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82C22" w14:textId="5E9EE0C4" w:rsidR="00277BC4" w:rsidRPr="00582D94" w:rsidRDefault="00277BC4" w:rsidP="00582D94">
      <w:pPr>
        <w:pStyle w:val="Title"/>
        <w:spacing w:before="120" w:after="240"/>
        <w:rPr>
          <w:sz w:val="36"/>
        </w:rPr>
      </w:pPr>
      <w:r w:rsidRPr="00582D94">
        <w:rPr>
          <w:sz w:val="36"/>
        </w:rPr>
        <w:t>Salient Obstacle Avoidance for Robotic Systems</w:t>
      </w:r>
    </w:p>
    <w:p w14:paraId="188AA365" w14:textId="77777777" w:rsidR="00A870EE" w:rsidRDefault="00A870EE" w:rsidP="007371B9">
      <w:pPr>
        <w:spacing w:after="120"/>
        <w:jc w:val="center"/>
      </w:pPr>
    </w:p>
    <w:p w14:paraId="3E63683A" w14:textId="77777777" w:rsidR="00737B53" w:rsidRPr="00A36B7B" w:rsidRDefault="00CD469C" w:rsidP="007371B9">
      <w:pPr>
        <w:spacing w:after="120"/>
        <w:jc w:val="center"/>
      </w:pPr>
      <w:r w:rsidRPr="00A36B7B">
        <w:t>Anonymous Submission</w:t>
      </w:r>
    </w:p>
    <w:p w14:paraId="06A24E91" w14:textId="77777777" w:rsidR="00CD469C" w:rsidRPr="006B42A5" w:rsidRDefault="00CD469C" w:rsidP="006B42A5">
      <w:pPr>
        <w:jc w:val="center"/>
        <w:rPr>
          <w:i/>
        </w:rPr>
      </w:pPr>
      <w:r w:rsidRPr="006B42A5">
        <w:rPr>
          <w:i/>
        </w:rPr>
        <w:t>Anonymous Afﬁliation</w:t>
      </w:r>
    </w:p>
    <w:p w14:paraId="7AF15D06" w14:textId="77777777" w:rsidR="00A870EE" w:rsidRDefault="00A870EE" w:rsidP="003C6F04"/>
    <w:p w14:paraId="4F60AD28" w14:textId="77777777" w:rsidR="009B5558" w:rsidRDefault="009B5558" w:rsidP="003C6F04"/>
    <w:p w14:paraId="4ADFB664" w14:textId="77777777" w:rsidR="009B5558" w:rsidRPr="00A36B7B" w:rsidRDefault="009B5558" w:rsidP="00582D94">
      <w:pPr>
        <w:pStyle w:val="AbstractHeading"/>
      </w:pPr>
      <w:r w:rsidRPr="00A36B7B">
        <w:t>Abstract</w:t>
      </w:r>
    </w:p>
    <w:p w14:paraId="39970707" w14:textId="137880E0" w:rsidR="00277BC4" w:rsidRPr="00277BC4" w:rsidRDefault="00277BC4" w:rsidP="00277BC4">
      <w:pPr>
        <w:pStyle w:val="Abstract"/>
      </w:pPr>
      <w:r>
        <w:t>S</w:t>
      </w:r>
      <w:r w:rsidRPr="00277BC4">
        <w:t xml:space="preserve">alient object detection is a very active area of interest, based on human selective attention which shifts our focus across prominent areas in a scene. Many models have been created and achieved impressive accuracies, however, this often comes at a high computational efficiency cost making them less attractive for real-time robotic systems. We develop a novel salient object detection algorithm and investigate the trade-off between accuracy and computation time by comparing pixel-based and region-based processing. Salient object detection has been used in a variety of applications, however, this work is focused on developing an algorithm considering obstacle avoidance for a robot operating in a cluttered and dynamic environment. The strategy is evaluated on the publicly available MSRA10K salient object dataset, against three current state-of-the-art methods. </w:t>
      </w:r>
    </w:p>
    <w:p w14:paraId="52B8AA23" w14:textId="77777777" w:rsidR="009B5558" w:rsidRDefault="009B5558" w:rsidP="003C6F04"/>
    <w:p w14:paraId="1163E80B" w14:textId="7B7EF386" w:rsidR="009B5558" w:rsidRPr="00CD469C" w:rsidRDefault="00CD469C" w:rsidP="003C6F04">
      <w:pPr>
        <w:rPr>
          <w:rFonts w:cs="Nimbus Roman No9 L"/>
        </w:rPr>
      </w:pPr>
      <w:r w:rsidRPr="00D35307">
        <w:rPr>
          <w:b/>
        </w:rPr>
        <w:t>Keywords:</w:t>
      </w:r>
      <w:r w:rsidR="00FA5118">
        <w:t xml:space="preserve"> Sali</w:t>
      </w:r>
      <w:r w:rsidR="00401989">
        <w:t xml:space="preserve">ency, </w:t>
      </w:r>
      <w:r w:rsidR="00A1509E">
        <w:t xml:space="preserve">SLIC, </w:t>
      </w:r>
      <w:r w:rsidR="00401989">
        <w:t>Obstacle Avo</w:t>
      </w:r>
      <w:r w:rsidR="00A1509E">
        <w:t>idance</w:t>
      </w:r>
      <w:r w:rsidR="00401989">
        <w:t>.</w:t>
      </w:r>
    </w:p>
    <w:p w14:paraId="40C9B3FB" w14:textId="69916B73" w:rsidR="009B5558" w:rsidRPr="00B15EF2" w:rsidRDefault="009B5558" w:rsidP="008952D8">
      <w:pPr>
        <w:pStyle w:val="Heading1"/>
      </w:pPr>
      <w:r w:rsidRPr="00CD469C">
        <w:t>1</w:t>
      </w:r>
      <w:r w:rsidR="00D03085">
        <w:t>.</w:t>
      </w:r>
      <w:r w:rsidRPr="00CD469C">
        <w:tab/>
      </w:r>
      <w:r w:rsidR="00CD469C" w:rsidRPr="00CD469C">
        <w:t xml:space="preserve">Introduction </w:t>
      </w:r>
    </w:p>
    <w:p w14:paraId="28DF6614" w14:textId="77777777" w:rsidR="005D570A" w:rsidRDefault="00582D94" w:rsidP="00582D94">
      <w:r w:rsidRPr="00582D94">
        <w:t>Selective attention is a characteristic of visual perception contained within the human visual system. With the volume of visual stimuli entering the eye; approximated between 10</w:t>
      </w:r>
      <w:r w:rsidRPr="00FA5118">
        <w:rPr>
          <w:vertAlign w:val="superscript"/>
        </w:rPr>
        <w:t>8</w:t>
      </w:r>
      <w:r w:rsidRPr="00582D94">
        <w:t xml:space="preserve"> – 10</w:t>
      </w:r>
      <w:r w:rsidRPr="00FA5118">
        <w:rPr>
          <w:vertAlign w:val="superscript"/>
        </w:rPr>
        <w:t>9</w:t>
      </w:r>
      <w:r w:rsidRPr="00582D94">
        <w:t xml:space="preserve"> </w:t>
      </w:r>
      <w:r w:rsidR="005D570A">
        <w:t xml:space="preserve">bits per second </w:t>
      </w:r>
      <w:r w:rsidR="005D570A">
        <w:rPr>
          <w:sz w:val="20"/>
          <w:szCs w:val="20"/>
        </w:rPr>
        <w:t>[Borji et al., 2013]</w:t>
      </w:r>
      <w:r w:rsidRPr="00582D94">
        <w:t>, the selective attention mechanism guides our focus across the conspicuous regions within a scene. Derived from this ability of filtering non-interesting information, salient object detection became a popular research topic, which is the process of detecting and segmenting the salient object/region within a scene. Many m</w:t>
      </w:r>
      <w:r w:rsidR="005D570A">
        <w:t xml:space="preserve">odels have been proposed </w:t>
      </w:r>
    </w:p>
    <w:p w14:paraId="648BF838" w14:textId="72AE2C84" w:rsidR="00D42AE1" w:rsidRPr="005D570A" w:rsidRDefault="005D570A" w:rsidP="005D570A">
      <w:r w:rsidRPr="005D570A">
        <w:t>[Fu et al., 2018; Ishikura et al., 2018; Aytekin et al., 2018; Zhang et al., 2017; Frintrop et al., 2007]</w:t>
      </w:r>
      <w:r>
        <w:t xml:space="preserve">, however, saliency </w:t>
      </w:r>
      <w:r w:rsidR="00582D94" w:rsidRPr="00582D94">
        <w:t xml:space="preserve">detection is still a research challenge due to the vast spectrum of objects, varying environments, complex backgrounds, lack of representation of top-down feature cues and computational complexity. While many algorithms achieve impressive detection results, this often is obtained using computationally expensive algorithmic approaches. In aiming to replicate visual attention, some developed models have glanced over the observation that humans do not process every detail within a scene, but rather process regions to locate the salient object. </w:t>
      </w:r>
    </w:p>
    <w:p w14:paraId="7D1BC8A7" w14:textId="3472750C" w:rsidR="00D42AE1" w:rsidRPr="001F5BDE" w:rsidRDefault="00D42AE1" w:rsidP="001F5BDE">
      <w:r>
        <w:t>S</w:t>
      </w:r>
      <w:r w:rsidRPr="00582D94">
        <w:t>aliency detection models can be p</w:t>
      </w:r>
      <w:r w:rsidR="00A315F4">
        <w:t xml:space="preserve">artitioned into two classes, </w:t>
      </w:r>
      <w:r w:rsidRPr="00582D94">
        <w:t>top-down and bottom-up</w:t>
      </w:r>
      <w:r w:rsidR="00A315F4">
        <w:t xml:space="preserve"> </w:t>
      </w:r>
      <w:r w:rsidR="00A315F4" w:rsidRPr="001F5BDE">
        <w:t>[Itti et al., 1998]</w:t>
      </w:r>
      <w:r w:rsidRPr="00582D94">
        <w:t>. Top-down models are slow, task-dependent and based on prior information of the scene or object, whereas bottom-up approaches focus on detecting regions or points that focus people’s attention, determined by low-level stimuli within a scene. Some significant saliency algorithms that have been proposed inc</w:t>
      </w:r>
      <w:r w:rsidR="001F5BDE">
        <w:t xml:space="preserve">lude </w:t>
      </w:r>
      <w:r w:rsidR="001F5BDE" w:rsidRPr="001F5BDE">
        <w:t>[Yan et al., 2013; Niu et al., 2016; Yang et al., 2017]. [Yan et al., 2013]</w:t>
      </w:r>
      <w:r w:rsidRPr="00582D94">
        <w:t xml:space="preserve"> propose a hierarchical saliency model. Feature cues are calculated on three image layers extracted from the input image. The final saliency map is computed using a hierarchical inference method, which is based on a tree-structure graph model. This approach outputs accurate saliency maps, however, the number of steps within the algorithm suggest it is not feasible for a rea</w:t>
      </w:r>
      <w:r w:rsidR="00A1509E">
        <w:t xml:space="preserve">l-time application. </w:t>
      </w:r>
      <w:r w:rsidRPr="00582D94">
        <w:t>[</w:t>
      </w:r>
      <w:r w:rsidR="001F5BDE" w:rsidRPr="001F5BDE">
        <w:t>Niu et al., 2016</w:t>
      </w:r>
      <w:r w:rsidRPr="00582D94">
        <w:t>] present a contrast saliency model using a patch-based approach, incorporating global statistics and surrounding contrast operators. A salient object detection method exploiting edges for super-pixel segmentation is presented in [</w:t>
      </w:r>
      <w:r w:rsidR="001F5BDE" w:rsidRPr="001F5BDE">
        <w:t>Yang et al., 2017</w:t>
      </w:r>
      <w:r w:rsidRPr="00582D94">
        <w:t xml:space="preserve">]. </w:t>
      </w:r>
    </w:p>
    <w:p w14:paraId="59EEE5D1" w14:textId="68BE6E02" w:rsidR="00582D94" w:rsidRDefault="00582D94" w:rsidP="00A315F4">
      <w:pPr>
        <w:ind w:firstLine="567"/>
      </w:pPr>
      <w:r w:rsidRPr="00582D94">
        <w:t xml:space="preserve">Within an image, a region or super-pixel can be described as a cluster of pixels with similar colour values and proximity. In this paper, we propose a novel algorithm that will detect the most salient object within a scene using a region-based approach. We also analyse the process of how saliency algorithms are applied to images, in terms of processing an image at a pixel-level in comparison with region-based processing. Pixel-based and region-based processing in terms of saliency detection can be defined as the estimation of whether the respective pixel or region belongs to the salient object. </w:t>
      </w:r>
    </w:p>
    <w:p w14:paraId="34AFA9FB" w14:textId="0A152231" w:rsidR="00D42AE1" w:rsidRDefault="00D42AE1" w:rsidP="00D42AE1">
      <w:pPr>
        <w:ind w:firstLine="567"/>
      </w:pPr>
      <w:r w:rsidRPr="00582D94">
        <w:lastRenderedPageBreak/>
        <w:t>Salient object detection has been applied to multiple applications</w:t>
      </w:r>
      <w:r w:rsidR="001F5BDE">
        <w:t xml:space="preserve"> such as: object recognition </w:t>
      </w:r>
      <w:r w:rsidR="001F5BDE">
        <w:rPr>
          <w:sz w:val="20"/>
          <w:szCs w:val="20"/>
        </w:rPr>
        <w:t>[Rutishauser et al., 2004]</w:t>
      </w:r>
      <w:r w:rsidR="001F5BDE">
        <w:t xml:space="preserve">, image segmentation </w:t>
      </w:r>
      <w:r w:rsidR="001F5BDE">
        <w:rPr>
          <w:sz w:val="20"/>
          <w:szCs w:val="20"/>
        </w:rPr>
        <w:t>[Ko et al., 2006]</w:t>
      </w:r>
      <w:r w:rsidRPr="00582D94">
        <w:t xml:space="preserve"> and </w:t>
      </w:r>
      <w:r w:rsidR="001F5BDE">
        <w:t xml:space="preserve">context-aware image editing </w:t>
      </w:r>
      <w:r w:rsidR="001F5BDE">
        <w:rPr>
          <w:sz w:val="20"/>
          <w:szCs w:val="20"/>
        </w:rPr>
        <w:t>[Wang et al., 2008]</w:t>
      </w:r>
      <w:r w:rsidRPr="00582D94">
        <w:t xml:space="preserve">, however, only recently has saliency object detection been utilized </w:t>
      </w:r>
      <w:r w:rsidR="001F5BDE">
        <w:t xml:space="preserve">within the area of robotics </w:t>
      </w:r>
      <w:r w:rsidR="001F5BDE">
        <w:rPr>
          <w:sz w:val="20"/>
          <w:szCs w:val="20"/>
        </w:rPr>
        <w:t>[Scharfenberger et al., 2013]</w:t>
      </w:r>
      <w:r w:rsidRPr="00582D94">
        <w:t>. This may be due to many existing salient object detection algorithms being quite computationally expensive and unsuitable for real-time robotic applications. We address this by developing an efficient and accurate approach to saliency object detection for the task of obstacle avoidance for robots operating within a cluttered or dynamic environment. A real-time salient obstacle avoidance algorithm will enable robotic platforms to detect and avoid any immediate obstacle within the scene, whether it be for the goal of avoiding obstacles while traversing a specific path or avoiding obstacles while completing manipulation tasks</w:t>
      </w:r>
      <w:r>
        <w:t>. Proposing a solution to real-</w:t>
      </w:r>
      <w:r w:rsidRPr="00582D94">
        <w:t xml:space="preserve">time obstacle avoidance using vision offers additional resilience within a real-world environment, while providing a framework for introducing more biologically-inspired solutions to robotic systems. </w:t>
      </w:r>
    </w:p>
    <w:p w14:paraId="514AC0BE" w14:textId="7D42A2E6" w:rsidR="00D42AE1" w:rsidRDefault="00D42AE1" w:rsidP="00D42AE1">
      <w:pPr>
        <w:ind w:firstLine="567"/>
      </w:pPr>
      <w:r w:rsidRPr="00582D94">
        <w:t>In this paper, the proposed model is compared with three state-of-the-art saliency approaches. Firstly</w:t>
      </w:r>
      <w:r>
        <w:t>,</w:t>
      </w:r>
      <w:r w:rsidRPr="00582D94">
        <w:t xml:space="preserve"> we use the Salient Region Detection and Segm</w:t>
      </w:r>
      <w:r w:rsidR="001F5BDE">
        <w:t xml:space="preserve">entation (SRDAS) approach in </w:t>
      </w:r>
      <w:r w:rsidR="001F5BDE">
        <w:rPr>
          <w:sz w:val="20"/>
          <w:szCs w:val="20"/>
        </w:rPr>
        <w:t>[Achanta et al., 2008]</w:t>
      </w:r>
      <w:r w:rsidRPr="00582D94">
        <w:t>, which implements a pixel-level approach that varies the filter sizes of compared pixels. SRDAS computes saliency using two feature cues: luminance and colour. Secondly</w:t>
      </w:r>
      <w:r>
        <w:t>,</w:t>
      </w:r>
      <w:r w:rsidRPr="00582D94">
        <w:t xml:space="preserve"> we compare with the Fast and Efficient Saliency Detection Using Sparse Sampling and Kern</w:t>
      </w:r>
      <w:r w:rsidR="001F5BDE">
        <w:t xml:space="preserve">el Density Estimation (FES) </w:t>
      </w:r>
      <w:r w:rsidR="001F5BDE">
        <w:rPr>
          <w:sz w:val="20"/>
          <w:szCs w:val="20"/>
        </w:rPr>
        <w:t>[Tavakoli et al., 2011]</w:t>
      </w:r>
      <w:r w:rsidRPr="00582D94">
        <w:t>, which divides an image into windows and computes saliency using a center-surround approach. Saliency maps are produced using sparse sampling and kernel density estimation. Finally</w:t>
      </w:r>
      <w:r>
        <w:t>,</w:t>
      </w:r>
      <w:r w:rsidRPr="00582D94">
        <w:t xml:space="preserve"> we compare with the Saliency Detection in the Compressed Domain for Adapt</w:t>
      </w:r>
      <w:r w:rsidR="001F5BDE">
        <w:t xml:space="preserve">ive Image Retargeting (DCT) </w:t>
      </w:r>
      <w:r w:rsidR="001F5BDE">
        <w:rPr>
          <w:sz w:val="20"/>
          <w:szCs w:val="20"/>
        </w:rPr>
        <w:t>[Fang et al., 2012]</w:t>
      </w:r>
      <w:r w:rsidRPr="00582D94">
        <w:t xml:space="preserve">. This approach processes images in blocks, and considers intensity, colour and texture as feature cues in computing saliency. </w:t>
      </w:r>
    </w:p>
    <w:p w14:paraId="3CBCC1BC" w14:textId="459C8926" w:rsidR="00D42AE1" w:rsidRDefault="00D42AE1" w:rsidP="00D42AE1">
      <w:pPr>
        <w:ind w:firstLine="567"/>
      </w:pPr>
      <w:r w:rsidRPr="00582D94">
        <w:t xml:space="preserve">The remainder of the paper is </w:t>
      </w:r>
      <w:r w:rsidR="00A315F4">
        <w:t>structured as follows. Section 2</w:t>
      </w:r>
      <w:r w:rsidRPr="00582D94">
        <w:t xml:space="preserve"> </w:t>
      </w:r>
      <w:r w:rsidR="00A315F4" w:rsidRPr="00582D94">
        <w:t>outlines the methodology and the proposed algorithm</w:t>
      </w:r>
      <w:r w:rsidRPr="00582D94">
        <w:t>, including the approaches us</w:t>
      </w:r>
      <w:r w:rsidR="00A315F4">
        <w:t xml:space="preserve">ed for evaluation in this paper, specifically, </w:t>
      </w:r>
      <w:r w:rsidRPr="00582D94">
        <w:t>Salient Region Detect</w:t>
      </w:r>
      <w:r w:rsidR="001F5BDE">
        <w:t xml:space="preserve">ion and Segmentation (SRDAS) </w:t>
      </w:r>
      <w:r w:rsidR="001F5BDE">
        <w:rPr>
          <w:sz w:val="20"/>
          <w:szCs w:val="20"/>
        </w:rPr>
        <w:t>[Achanta et al., 2008]</w:t>
      </w:r>
      <w:r w:rsidRPr="00582D94">
        <w:t>, Fast and Efficient Saliency Detection using Sparse Sampling and Kern</w:t>
      </w:r>
      <w:r w:rsidR="001F5BDE">
        <w:t xml:space="preserve">el density Estimation (FES) </w:t>
      </w:r>
      <w:r w:rsidR="001F5BDE">
        <w:rPr>
          <w:sz w:val="20"/>
          <w:szCs w:val="20"/>
        </w:rPr>
        <w:t>[Tavakoli et al., 2011]</w:t>
      </w:r>
      <w:r w:rsidRPr="00582D94">
        <w:t xml:space="preserve"> and Saliency Detection in the Compressed Domain for Adapt</w:t>
      </w:r>
      <w:r w:rsidR="001F5BDE">
        <w:t xml:space="preserve">ive Image Retargeting (DCT) </w:t>
      </w:r>
      <w:r w:rsidR="001F5BDE">
        <w:rPr>
          <w:sz w:val="20"/>
          <w:szCs w:val="20"/>
        </w:rPr>
        <w:t>[Fang et al., 2012]</w:t>
      </w:r>
      <w:r w:rsidRPr="00582D94">
        <w:t xml:space="preserve">. </w:t>
      </w:r>
      <w:r w:rsidR="00A315F4">
        <w:t xml:space="preserve">Experimental </w:t>
      </w:r>
      <w:r w:rsidRPr="00582D94">
        <w:t xml:space="preserve">results are detailed in Section 4, with Section 5 concluding the paper. </w:t>
      </w:r>
    </w:p>
    <w:p w14:paraId="21C876BB" w14:textId="77777777" w:rsidR="00A870EE" w:rsidRPr="00A870EE" w:rsidRDefault="00A870EE" w:rsidP="00D42AE1">
      <w:pPr>
        <w:ind w:firstLine="567"/>
        <w:rPr>
          <w:sz w:val="16"/>
        </w:rPr>
      </w:pPr>
    </w:p>
    <w:p w14:paraId="05398E5B" w14:textId="77777777" w:rsidR="00A870EE" w:rsidRDefault="00A870EE" w:rsidP="00D42AE1">
      <w:pPr>
        <w:ind w:firstLine="56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A870EE" w14:paraId="2C2F6963" w14:textId="77777777" w:rsidTr="0081264B">
        <w:tc>
          <w:tcPr>
            <w:tcW w:w="9635" w:type="dxa"/>
          </w:tcPr>
          <w:p w14:paraId="68F578FD" w14:textId="77777777" w:rsidR="00A870EE" w:rsidRDefault="00A870EE" w:rsidP="0081264B">
            <w:pPr>
              <w:jc w:val="center"/>
            </w:pPr>
            <w:r w:rsidRPr="00C346BE">
              <w:drawing>
                <wp:inline distT="0" distB="0" distL="0" distR="0" wp14:anchorId="2A490B41" wp14:editId="4F41939B">
                  <wp:extent cx="5667884" cy="2331371"/>
                  <wp:effectExtent l="0" t="0" r="0" b="5715"/>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cstate="print">
                            <a:extLst>
                              <a:ext uri="{28A0092B-C50C-407E-A947-70E740481C1C}">
                                <a14:useLocalDpi xmlns:a14="http://schemas.microsoft.com/office/drawing/2010/main" val="0"/>
                              </a:ext>
                            </a:extLst>
                          </a:blip>
                          <a:srcRect l="189" r="189"/>
                          <a:stretch>
                            <a:fillRect/>
                          </a:stretch>
                        </pic:blipFill>
                        <pic:spPr>
                          <a:xfrm>
                            <a:off x="0" y="0"/>
                            <a:ext cx="5675738" cy="2334601"/>
                          </a:xfrm>
                          <a:prstGeom prst="rect">
                            <a:avLst/>
                          </a:prstGeom>
                          <a:ln/>
                        </pic:spPr>
                      </pic:pic>
                    </a:graphicData>
                  </a:graphic>
                </wp:inline>
              </w:drawing>
            </w:r>
          </w:p>
        </w:tc>
      </w:tr>
      <w:tr w:rsidR="00A870EE" w14:paraId="180F9EBA" w14:textId="77777777" w:rsidTr="0081264B">
        <w:tc>
          <w:tcPr>
            <w:tcW w:w="9635" w:type="dxa"/>
          </w:tcPr>
          <w:p w14:paraId="31EACEE3" w14:textId="77777777" w:rsidR="00A870EE" w:rsidRDefault="00A870EE" w:rsidP="0081264B">
            <w:pPr>
              <w:pStyle w:val="Caption"/>
              <w:spacing w:before="120"/>
              <w:textDirection w:val="btLr"/>
            </w:pPr>
            <w:r w:rsidRPr="00C346BE">
              <w:t>Figure 1. Top-row: Overview of the proposed saliency algorithm. We compute saliency using global colour contrast and gradient contrast.</w:t>
            </w:r>
            <w:r>
              <w:t xml:space="preserve"> </w:t>
            </w:r>
            <w:r w:rsidRPr="00C346BE">
              <w:t>Bottom-row: Adaptation of algorithm to process regions</w:t>
            </w:r>
          </w:p>
        </w:tc>
      </w:tr>
    </w:tbl>
    <w:p w14:paraId="0C16FD06" w14:textId="77777777" w:rsidR="00A870EE" w:rsidRDefault="00A870EE" w:rsidP="00D42AE1">
      <w:pPr>
        <w:ind w:firstLine="567"/>
      </w:pPr>
    </w:p>
    <w:p w14:paraId="7BD39F53" w14:textId="44882E85" w:rsidR="00582D94" w:rsidRDefault="00D03085" w:rsidP="00582D94">
      <w:pPr>
        <w:pStyle w:val="Heading1"/>
      </w:pPr>
      <w:r>
        <w:t>2.</w:t>
      </w:r>
      <w:r w:rsidR="00582D94" w:rsidRPr="008952D8">
        <w:tab/>
      </w:r>
      <w:r w:rsidR="00FB6B9A">
        <w:t>Saliency Detection Methodo</w:t>
      </w:r>
      <w:bookmarkStart w:id="0" w:name="_GoBack"/>
      <w:bookmarkEnd w:id="0"/>
      <w:r w:rsidR="00FB6B9A">
        <w:t>logy</w:t>
      </w:r>
    </w:p>
    <w:p w14:paraId="6F06F357" w14:textId="2508D762" w:rsidR="00C346BE" w:rsidRDefault="00582D94" w:rsidP="00A870EE">
      <w:pPr>
        <w:ind w:firstLine="567"/>
      </w:pPr>
      <w:r w:rsidRPr="00582D94">
        <w:t>With the aim of creating an efficient, yet accurate approach to salient object detection</w:t>
      </w:r>
      <w:r w:rsidR="00C346BE">
        <w:t>,</w:t>
      </w:r>
      <w:r w:rsidRPr="00582D94">
        <w:t xml:space="preserve"> a saliency model was designed and implemented (outlined in Section 3.1) using a pixel-based approach and also a region-based approach that uses super-pixels generated via the simple linear iterative plane space, to efficiently generate almost uniform, compact super-pixels. </w:t>
      </w:r>
      <w:r w:rsidR="00C346BE">
        <w:t>A graphical representation of both approaches is represented in Figure 1.</w:t>
      </w:r>
    </w:p>
    <w:p w14:paraId="61566370" w14:textId="78997B6F" w:rsidR="00D03085" w:rsidRPr="00582D94" w:rsidRDefault="00D03085" w:rsidP="00D03085">
      <w:pPr>
        <w:pStyle w:val="Heading2"/>
      </w:pPr>
      <w:r>
        <w:t>2</w:t>
      </w:r>
      <w:r w:rsidR="00582D94">
        <w:t xml:space="preserve">.1 </w:t>
      </w:r>
      <w:r w:rsidR="00582D94" w:rsidRPr="00582D94">
        <w:t xml:space="preserve">Proposed pixel-based approach </w:t>
      </w:r>
    </w:p>
    <w:p w14:paraId="488DCA0A" w14:textId="77777777" w:rsidR="00036EE2" w:rsidRPr="000171FE" w:rsidRDefault="00036EE2" w:rsidP="00036EE2">
      <w:r w:rsidRPr="000171FE">
        <w:t>A new model for detecting the most salient object within a scene is presented. The proposed model considers two features cues: global colour contrast (</w:t>
      </w:r>
      <m:oMath>
        <m:r>
          <w:rPr>
            <w:rFonts w:ascii="Cambria Math" w:eastAsia="Cambria" w:hAnsi="Cambria Math" w:cs="Cambria"/>
          </w:rPr>
          <m:t>CC</m:t>
        </m:r>
      </m:oMath>
      <w:r w:rsidRPr="000171FE">
        <w:rPr>
          <w:rFonts w:ascii="Cambria" w:eastAsia="Cambria" w:hAnsi="Cambria" w:cs="Cambria"/>
        </w:rPr>
        <w:t>)</w:t>
      </w:r>
      <w:r w:rsidRPr="000171FE">
        <w:t xml:space="preserve"> and gradient contrast (</w:t>
      </w:r>
      <m:oMath>
        <m:r>
          <w:rPr>
            <w:rFonts w:ascii="Cambria Math" w:eastAsia="Cambria" w:hAnsi="Cambria Math" w:cs="Cambria"/>
          </w:rPr>
          <m:t>GC</m:t>
        </m:r>
      </m:oMath>
      <w:r w:rsidRPr="000171FE">
        <w:rPr>
          <w:rFonts w:ascii="Cambria" w:eastAsia="Cambria" w:hAnsi="Cambria" w:cs="Cambria"/>
        </w:rPr>
        <w:t>)</w:t>
      </w:r>
      <w:r w:rsidRPr="000171FE">
        <w:t xml:space="preserve">. Saliency, measured in each of the feature channels is computed per-pixel. To determine the salient object, two saliency maps are computed from each feature cue. After this, the computed saliency maps are combined to produce the final saliency map. Originally, the algorithm also considered centre-bias as a feature cue. However, when considering obstacle avoidance, there are a number of considerations that resulted in not implementing this including the fact that a mobile robot will be navigating an environment and therefore the salient object (obstacle) may not always be in the centre of the field of view. </w:t>
      </w:r>
    </w:p>
    <w:p w14:paraId="028CAD3D" w14:textId="05B39554" w:rsidR="00036EE2" w:rsidRDefault="00036EE2" w:rsidP="00B11802">
      <w:pPr>
        <w:spacing w:after="120"/>
        <w:ind w:firstLine="567"/>
      </w:pPr>
      <w:r w:rsidRPr="000171FE">
        <w:t xml:space="preserve">Colour is one of the main features for attracting human attention within an image. Pixels that have a high contrast to their surroundings when considering colour </w:t>
      </w:r>
      <w:r w:rsidR="001F5BDE">
        <w:t xml:space="preserve">are considered to be salient </w:t>
      </w:r>
      <w:r w:rsidR="001F5BDE">
        <w:rPr>
          <w:sz w:val="20"/>
          <w:szCs w:val="20"/>
        </w:rPr>
        <w:t>[Zhang et al., 2017]</w:t>
      </w:r>
      <w:r w:rsidRPr="000171FE">
        <w:t>. Many models compare pixels/regions to their neighbo</w:t>
      </w:r>
      <w:r w:rsidR="00B11802">
        <w:t>u</w:t>
      </w:r>
      <w:r w:rsidRPr="000171FE">
        <w:t>rs which is known as local contrast. Feature maps from local colo</w:t>
      </w:r>
      <w:r w:rsidR="00B11802">
        <w:t>u</w:t>
      </w:r>
      <w:r w:rsidRPr="000171FE">
        <w:t>r contrast tend to be noisy and mainly highlight the edges of the salient area/object, whereas global contrast computes the contrast of a pixel/region in relation to the colo</w:t>
      </w:r>
      <w:r w:rsidR="00B11802">
        <w:t>u</w:t>
      </w:r>
      <w:r w:rsidRPr="000171FE">
        <w:t>r value of all of the remaining pixels/regions within an image. The calculation to compute the colo</w:t>
      </w:r>
      <w:r w:rsidR="00B11802">
        <w:t>u</w:t>
      </w:r>
      <w:r w:rsidRPr="000171FE">
        <w:t>r contrast (</w:t>
      </w:r>
      <m:oMath>
        <m:r>
          <w:rPr>
            <w:rFonts w:ascii="Cambria Math" w:eastAsia="Cambria" w:hAnsi="Cambria Math" w:cs="Cambria"/>
          </w:rPr>
          <m:t>CC</m:t>
        </m:r>
      </m:oMath>
      <w:r w:rsidRPr="000171FE">
        <w:rPr>
          <w:rFonts w:ascii="Cambria" w:eastAsia="Cambria" w:hAnsi="Cambria" w:cs="Cambria"/>
        </w:rPr>
        <w:t>)</w:t>
      </w:r>
      <w:r w:rsidRPr="000171FE">
        <w:t xml:space="preserve"> of a pixel against the average colo</w:t>
      </w:r>
      <w:r w:rsidR="00B11802">
        <w:t>u</w:t>
      </w:r>
      <w:r w:rsidRPr="000171FE">
        <w:t xml:space="preserve">r value of the remaining pixels using the Euclidean distance, is defined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9"/>
        <w:gridCol w:w="466"/>
      </w:tblGrid>
      <w:tr w:rsidR="00B11802" w14:paraId="01FBD48A" w14:textId="77777777" w:rsidTr="00B11802">
        <w:tc>
          <w:tcPr>
            <w:tcW w:w="9169" w:type="dxa"/>
          </w:tcPr>
          <w:p w14:paraId="2F8336FE" w14:textId="5FB87040" w:rsidR="00B11802" w:rsidRPr="00B11802" w:rsidRDefault="00B11802" w:rsidP="00B11802">
            <w:pPr>
              <w:jc w:val="center"/>
              <w:rPr>
                <w:rFonts w:ascii="Cambria" w:eastAsia="Cambria" w:hAnsi="Cambria" w:cs="Cambria"/>
              </w:rPr>
            </w:pPr>
            <m:oMathPara>
              <m:oMath>
                <m:sSub>
                  <m:sSubPr>
                    <m:ctrlPr>
                      <w:rPr>
                        <w:rFonts w:ascii="Cambria Math" w:eastAsia="Cambria" w:hAnsi="Cambria Math" w:cs="Cambria"/>
                      </w:rPr>
                    </m:ctrlPr>
                  </m:sSubPr>
                  <m:e>
                    <m:r>
                      <w:rPr>
                        <w:rFonts w:ascii="Cambria Math" w:eastAsia="Cambria" w:hAnsi="Cambria Math" w:cs="Cambria"/>
                      </w:rPr>
                      <m:t xml:space="preserve">    CC</m:t>
                    </m:r>
                  </m:e>
                  <m:sub>
                    <m:r>
                      <w:rPr>
                        <w:rFonts w:ascii="Cambria Math" w:eastAsia="Cambria" w:hAnsi="Cambria Math" w:cs="Cambria"/>
                      </w:rPr>
                      <m:t>(i)</m:t>
                    </m:r>
                  </m:sub>
                </m:sSub>
                <m:r>
                  <w:rPr>
                    <w:rFonts w:ascii="Cambria Math" w:eastAsia="Cambria" w:hAnsi="Cambria Math" w:cs="Cambria"/>
                  </w:rPr>
                  <m:t xml:space="preserve">= </m:t>
                </m:r>
                <m:nary>
                  <m:naryPr>
                    <m:chr m:val="∑"/>
                    <m:ctrlPr>
                      <w:rPr>
                        <w:rFonts w:ascii="Cambria Math" w:eastAsia="Cambria" w:hAnsi="Cambria Math" w:cs="Cambria"/>
                      </w:rPr>
                    </m:ctrlPr>
                  </m:naryPr>
                  <m:sub>
                    <m:r>
                      <w:rPr>
                        <w:rFonts w:ascii="Cambria Math" w:eastAsia="Cambria" w:hAnsi="Cambria Math" w:cs="Cambria"/>
                      </w:rPr>
                      <m:t>i=1, i≠j</m:t>
                    </m:r>
                  </m:sub>
                  <m:sup>
                    <m:r>
                      <w:rPr>
                        <w:rFonts w:ascii="Cambria Math" w:eastAsia="Cambria" w:hAnsi="Cambria Math" w:cs="Cambria"/>
                      </w:rPr>
                      <m:t>N</m:t>
                    </m:r>
                  </m:sup>
                  <m:e/>
                </m:nary>
                <m:sSup>
                  <m:sSupPr>
                    <m:ctrlPr>
                      <w:rPr>
                        <w:rFonts w:ascii="Cambria Math" w:eastAsia="Cambria" w:hAnsi="Cambria Math" w:cs="Cambria"/>
                      </w:rPr>
                    </m:ctrlPr>
                  </m:sSupPr>
                  <m:e>
                    <m:r>
                      <w:rPr>
                        <w:rFonts w:ascii="Cambria Math" w:hAnsi="Cambria Math"/>
                      </w:rPr>
                      <m:t>‖</m:t>
                    </m:r>
                    <m:sSub>
                      <m:sSubPr>
                        <m:ctrlPr>
                          <w:rPr>
                            <w:rFonts w:ascii="Cambria Math" w:eastAsia="Cambria" w:hAnsi="Cambria Math" w:cs="Cambria"/>
                          </w:rPr>
                        </m:ctrlPr>
                      </m:sSubPr>
                      <m:e>
                        <m:r>
                          <w:rPr>
                            <w:rFonts w:ascii="Cambria Math" w:eastAsia="Cambria" w:hAnsi="Cambria Math" w:cs="Cambria"/>
                          </w:rPr>
                          <m:t>D</m:t>
                        </m:r>
                      </m:e>
                      <m:sub>
                        <m:r>
                          <w:rPr>
                            <w:rFonts w:ascii="Cambria Math" w:eastAsia="Cambria" w:hAnsi="Cambria Math" w:cs="Cambria"/>
                          </w:rPr>
                          <m:t>(i)</m:t>
                        </m:r>
                      </m:sub>
                    </m:sSub>
                    <m:r>
                      <w:rPr>
                        <w:rFonts w:ascii="Cambria Math" w:eastAsia="Cambria" w:hAnsi="Cambria Math" w:cs="Cambria"/>
                      </w:rPr>
                      <m:t xml:space="preserve">- </m:t>
                    </m:r>
                    <m:sSub>
                      <m:sSubPr>
                        <m:ctrlPr>
                          <w:rPr>
                            <w:rFonts w:ascii="Cambria Math" w:eastAsia="Cambria" w:hAnsi="Cambria Math" w:cs="Cambria"/>
                          </w:rPr>
                        </m:ctrlPr>
                      </m:sSubPr>
                      <m:e>
                        <m:r>
                          <w:rPr>
                            <w:rFonts w:ascii="Cambria Math" w:eastAsia="Cambria" w:hAnsi="Cambria Math" w:cs="Cambria"/>
                          </w:rPr>
                          <m:t>D</m:t>
                        </m:r>
                      </m:e>
                      <m:sub>
                        <m:r>
                          <w:rPr>
                            <w:rFonts w:ascii="Cambria Math" w:eastAsia="Cambria" w:hAnsi="Cambria Math" w:cs="Cambria"/>
                          </w:rPr>
                          <m:t>(j)</m:t>
                        </m:r>
                      </m:sub>
                    </m:sSub>
                    <m:r>
                      <w:rPr>
                        <w:rFonts w:ascii="Cambria Math" w:hAnsi="Cambria Math"/>
                      </w:rPr>
                      <m:t>‖</m:t>
                    </m:r>
                  </m:e>
                  <m:sup>
                    <m:r>
                      <w:rPr>
                        <w:rFonts w:ascii="Cambria Math" w:eastAsia="Cambria" w:hAnsi="Cambria Math" w:cs="Cambria"/>
                      </w:rPr>
                      <m:t>2</m:t>
                    </m:r>
                  </m:sup>
                </m:sSup>
                <m:r>
                  <w:rPr>
                    <w:rFonts w:ascii="Cambria Math" w:eastAsia="Cambria" w:hAnsi="Cambria Math" w:cs="Cambria"/>
                  </w:rPr>
                  <m:t xml:space="preserve">      </m:t>
                </m:r>
              </m:oMath>
            </m:oMathPara>
          </w:p>
        </w:tc>
        <w:tc>
          <w:tcPr>
            <w:tcW w:w="466" w:type="dxa"/>
          </w:tcPr>
          <w:p w14:paraId="34882EC2" w14:textId="77777777" w:rsidR="00B11802" w:rsidRDefault="00B11802" w:rsidP="00B11802"/>
          <w:p w14:paraId="57E186C3" w14:textId="7D6F5E78" w:rsidR="00B11802" w:rsidRDefault="00B11802" w:rsidP="00B11802">
            <w:r>
              <w:t>(1)</w:t>
            </w:r>
          </w:p>
        </w:tc>
      </w:tr>
    </w:tbl>
    <w:p w14:paraId="137AFD72" w14:textId="77777777" w:rsidR="00036EE2" w:rsidRPr="000171FE" w:rsidRDefault="00036EE2" w:rsidP="00036EE2"/>
    <w:p w14:paraId="7059ABAB" w14:textId="77777777" w:rsidR="00036EE2" w:rsidRPr="000171FE" w:rsidRDefault="00036EE2" w:rsidP="00036EE2">
      <w:r w:rsidRPr="000171FE">
        <w:t xml:space="preserve">where </w:t>
      </w:r>
      <m:oMath>
        <m:r>
          <w:rPr>
            <w:rFonts w:ascii="Cambria Math" w:eastAsia="Cambria" w:hAnsi="Cambria Math" w:cs="Cambria"/>
          </w:rPr>
          <m:t>N</m:t>
        </m:r>
      </m:oMath>
      <w:r w:rsidRPr="000171FE">
        <w:t xml:space="preserve"> is the total number of pixels, </w:t>
      </w:r>
      <m:oMath>
        <m:sSub>
          <m:sSubPr>
            <m:ctrlPr>
              <w:rPr>
                <w:rFonts w:ascii="Cambria Math" w:eastAsia="Cambria" w:hAnsi="Cambria Math" w:cs="Cambria"/>
              </w:rPr>
            </m:ctrlPr>
          </m:sSubPr>
          <m:e>
            <m:r>
              <w:rPr>
                <w:rFonts w:ascii="Cambria Math" w:eastAsia="Cambria" w:hAnsi="Cambria Math" w:cs="Cambria"/>
              </w:rPr>
              <m:t>D</m:t>
            </m:r>
          </m:e>
          <m:sub>
            <m:r>
              <w:rPr>
                <w:rFonts w:ascii="Cambria Math" w:eastAsia="Cambria" w:hAnsi="Cambria Math" w:cs="Cambria"/>
              </w:rPr>
              <m:t>(i)</m:t>
            </m:r>
          </m:sub>
        </m:sSub>
      </m:oMath>
      <w:r w:rsidRPr="000171FE">
        <w:t xml:space="preserve"> and </w:t>
      </w:r>
      <m:oMath>
        <m:sSub>
          <m:sSubPr>
            <m:ctrlPr>
              <w:rPr>
                <w:rFonts w:ascii="Cambria Math" w:eastAsia="Cambria" w:hAnsi="Cambria Math" w:cs="Cambria"/>
              </w:rPr>
            </m:ctrlPr>
          </m:sSubPr>
          <m:e>
            <m:r>
              <w:rPr>
                <w:rFonts w:ascii="Cambria Math" w:eastAsia="Cambria" w:hAnsi="Cambria Math" w:cs="Cambria"/>
              </w:rPr>
              <m:t>D</m:t>
            </m:r>
          </m:e>
          <m:sub>
            <m:r>
              <w:rPr>
                <w:rFonts w:ascii="Cambria Math" w:eastAsia="Cambria" w:hAnsi="Cambria Math" w:cs="Cambria"/>
              </w:rPr>
              <m:t>(j)</m:t>
            </m:r>
          </m:sub>
        </m:sSub>
      </m:oMath>
      <w:r w:rsidRPr="000171FE">
        <w:t xml:space="preserve"> represent the average L* a* b* values of pixels </w:t>
      </w:r>
      <m:oMath>
        <m:r>
          <w:rPr>
            <w:rFonts w:ascii="Cambria Math" w:eastAsia="Cambria" w:hAnsi="Cambria Math" w:cs="Cambria"/>
          </w:rPr>
          <m:t>i</m:t>
        </m:r>
      </m:oMath>
      <w:r w:rsidRPr="000171FE">
        <w:t xml:space="preserve"> and </w:t>
      </w:r>
      <m:oMath>
        <m:r>
          <w:rPr>
            <w:rFonts w:ascii="Cambria Math" w:eastAsia="Cambria" w:hAnsi="Cambria Math" w:cs="Cambria"/>
          </w:rPr>
          <m:t>j</m:t>
        </m:r>
      </m:oMath>
      <w:r w:rsidRPr="000171FE">
        <w:t xml:space="preserve"> respectively. </w:t>
      </w:r>
    </w:p>
    <w:p w14:paraId="3B1BB43C" w14:textId="0BD64F2F" w:rsidR="00036EE2" w:rsidRPr="000171FE" w:rsidRDefault="00036EE2" w:rsidP="00B11802">
      <w:pPr>
        <w:ind w:firstLine="567"/>
      </w:pPr>
      <w:r w:rsidRPr="000171FE">
        <w:t>Gradient contrast (GC) can play an integral part in approximating the salient object within a scene. While retaining important information about the background of an image, it also helps to preserve the contour of the salient object. GC measures the magnitude of local grayscale changes in an image.</w:t>
      </w:r>
    </w:p>
    <w:p w14:paraId="08681C81" w14:textId="35DDF2C1" w:rsidR="00B11802" w:rsidRDefault="00036EE2" w:rsidP="00B11802">
      <w:pPr>
        <w:spacing w:after="120"/>
        <w:ind w:firstLine="567"/>
      </w:pPr>
      <w:r w:rsidRPr="000171FE">
        <w:t xml:space="preserve">We calculate the gradient magnitude per pixel using a Sobel gradient operator. From the obtained gradient map </w:t>
      </w:r>
      <m:oMath>
        <m:r>
          <w:rPr>
            <w:rFonts w:ascii="Cambria Math" w:eastAsia="Cambria" w:hAnsi="Cambria Math" w:cs="Cambria"/>
          </w:rPr>
          <m:t>G</m:t>
        </m:r>
      </m:oMath>
      <w:r w:rsidRPr="000171FE">
        <w:t xml:space="preserve">, we define gradient contrast </w:t>
      </w:r>
      <m:oMath>
        <m:sSub>
          <m:sSubPr>
            <m:ctrlPr>
              <w:rPr>
                <w:rFonts w:ascii="Cambria Math" w:eastAsia="Cambria" w:hAnsi="Cambria Math" w:cs="Cambria"/>
              </w:rPr>
            </m:ctrlPr>
          </m:sSubPr>
          <m:e>
            <m:r>
              <w:rPr>
                <w:rFonts w:ascii="Cambria Math" w:eastAsia="Cambria" w:hAnsi="Cambria Math" w:cs="Cambria"/>
              </w:rPr>
              <m:t>GC</m:t>
            </m:r>
          </m:e>
          <m:sub/>
        </m:sSub>
      </m:oMath>
      <w:r w:rsidRPr="000171FE">
        <w:t xml:space="preserve">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9"/>
        <w:gridCol w:w="466"/>
      </w:tblGrid>
      <w:tr w:rsidR="00B11802" w14:paraId="36092A16" w14:textId="77777777" w:rsidTr="001F5BDE">
        <w:tc>
          <w:tcPr>
            <w:tcW w:w="9169" w:type="dxa"/>
          </w:tcPr>
          <w:p w14:paraId="31A5D4DE" w14:textId="03C70020" w:rsidR="00B11802" w:rsidRPr="00B11802" w:rsidRDefault="00B11802" w:rsidP="001F5BDE">
            <w:pPr>
              <w:jc w:val="center"/>
              <w:rPr>
                <w:rFonts w:ascii="Cambria" w:eastAsia="Cambria" w:hAnsi="Cambria" w:cs="Cambria"/>
              </w:rPr>
            </w:pPr>
            <m:oMathPara>
              <m:oMath>
                <m:r>
                  <w:rPr>
                    <w:rFonts w:ascii="Cambria Math" w:eastAsia="Cambria" w:hAnsi="Cambria Math" w:cs="Cambria"/>
                  </w:rPr>
                  <m:t xml:space="preserve">                </m:t>
                </m:r>
                <m:sSub>
                  <m:sSubPr>
                    <m:ctrlPr>
                      <w:rPr>
                        <w:rFonts w:ascii="Cambria Math" w:eastAsia="Cambria" w:hAnsi="Cambria Math" w:cs="Cambria"/>
                      </w:rPr>
                    </m:ctrlPr>
                  </m:sSubPr>
                  <m:e>
                    <m:r>
                      <w:rPr>
                        <w:rFonts w:ascii="Cambria Math" w:eastAsia="Cambria" w:hAnsi="Cambria Math" w:cs="Cambria"/>
                      </w:rPr>
                      <m:t>GC</m:t>
                    </m:r>
                  </m:e>
                  <m:sub>
                    <m:r>
                      <w:rPr>
                        <w:rFonts w:ascii="Cambria Math" w:eastAsia="Cambria" w:hAnsi="Cambria Math" w:cs="Cambria"/>
                      </w:rPr>
                      <m:t>(i)</m:t>
                    </m:r>
                  </m:sub>
                </m:sSub>
                <m:r>
                  <w:rPr>
                    <w:rFonts w:ascii="Cambria Math" w:eastAsia="Cambria" w:hAnsi="Cambria Math" w:cs="Cambria"/>
                  </w:rPr>
                  <m:t xml:space="preserve">= </m:t>
                </m:r>
                <m:nary>
                  <m:naryPr>
                    <m:chr m:val="∑"/>
                    <m:ctrlPr>
                      <w:rPr>
                        <w:rFonts w:ascii="Cambria Math" w:eastAsia="Cambria" w:hAnsi="Cambria Math" w:cs="Cambria"/>
                      </w:rPr>
                    </m:ctrlPr>
                  </m:naryPr>
                  <m:sub>
                    <m:r>
                      <w:rPr>
                        <w:rFonts w:ascii="Cambria Math" w:eastAsia="Cambria" w:hAnsi="Cambria Math" w:cs="Cambria"/>
                      </w:rPr>
                      <m:t>x=1, x ≠y</m:t>
                    </m:r>
                  </m:sub>
                  <m:sup>
                    <m:r>
                      <w:rPr>
                        <w:rFonts w:ascii="Cambria Math" w:eastAsia="Cambria" w:hAnsi="Cambria Math" w:cs="Cambria"/>
                      </w:rPr>
                      <m:t>N</m:t>
                    </m:r>
                  </m:sup>
                  <m:e/>
                </m:nary>
                <m:r>
                  <w:rPr>
                    <w:rFonts w:ascii="Cambria Math" w:hAnsi="Cambria Math"/>
                  </w:rPr>
                  <m:t>‖</m:t>
                </m:r>
                <m:sSub>
                  <m:sSubPr>
                    <m:ctrlPr>
                      <w:rPr>
                        <w:rFonts w:ascii="Cambria Math" w:eastAsia="Cambria" w:hAnsi="Cambria Math" w:cs="Cambria"/>
                      </w:rPr>
                    </m:ctrlPr>
                  </m:sSubPr>
                  <m:e>
                    <m:r>
                      <w:rPr>
                        <w:rFonts w:ascii="Cambria Math" w:eastAsia="Cambria" w:hAnsi="Cambria Math" w:cs="Cambria"/>
                      </w:rPr>
                      <m:t>g</m:t>
                    </m:r>
                  </m:e>
                  <m:sub>
                    <m:r>
                      <w:rPr>
                        <w:rFonts w:ascii="Cambria Math" w:eastAsia="Cambria" w:hAnsi="Cambria Math" w:cs="Cambria"/>
                      </w:rPr>
                      <m:t>(x)</m:t>
                    </m:r>
                  </m:sub>
                </m:sSub>
                <m:r>
                  <w:rPr>
                    <w:rFonts w:ascii="Cambria Math" w:eastAsia="Cambria" w:hAnsi="Cambria Math" w:cs="Cambria"/>
                  </w:rPr>
                  <m:t xml:space="preserve">- </m:t>
                </m:r>
                <m:sSub>
                  <m:sSubPr>
                    <m:ctrlPr>
                      <w:rPr>
                        <w:rFonts w:ascii="Cambria Math" w:eastAsia="Cambria" w:hAnsi="Cambria Math" w:cs="Cambria"/>
                      </w:rPr>
                    </m:ctrlPr>
                  </m:sSubPr>
                  <m:e>
                    <m:r>
                      <w:rPr>
                        <w:rFonts w:ascii="Cambria Math" w:eastAsia="Cambria" w:hAnsi="Cambria Math" w:cs="Cambria"/>
                      </w:rPr>
                      <m:t>g</m:t>
                    </m:r>
                  </m:e>
                  <m:sub>
                    <m:r>
                      <w:rPr>
                        <w:rFonts w:ascii="Cambria Math" w:eastAsia="Cambria" w:hAnsi="Cambria Math" w:cs="Cambria"/>
                      </w:rPr>
                      <m:t>(y)</m:t>
                    </m:r>
                  </m:sub>
                </m:sSub>
                <m:r>
                  <w:rPr>
                    <w:rFonts w:ascii="Cambria Math" w:hAnsi="Cambria Math"/>
                  </w:rPr>
                  <m:t>‖</m:t>
                </m:r>
              </m:oMath>
            </m:oMathPara>
          </w:p>
        </w:tc>
        <w:tc>
          <w:tcPr>
            <w:tcW w:w="466" w:type="dxa"/>
          </w:tcPr>
          <w:p w14:paraId="41E40DE2" w14:textId="77777777" w:rsidR="00B11802" w:rsidRDefault="00B11802" w:rsidP="001F5BDE"/>
          <w:p w14:paraId="64F56AA5" w14:textId="6BD5567E" w:rsidR="00B11802" w:rsidRDefault="00B11802" w:rsidP="001F5BDE">
            <w:r>
              <w:t>(2)</w:t>
            </w:r>
          </w:p>
        </w:tc>
      </w:tr>
    </w:tbl>
    <w:p w14:paraId="4A120DBC" w14:textId="77777777" w:rsidR="00B11802" w:rsidRPr="000171FE" w:rsidRDefault="00B11802" w:rsidP="00B11802">
      <w:pPr>
        <w:ind w:firstLine="567"/>
      </w:pPr>
    </w:p>
    <w:p w14:paraId="3F793210" w14:textId="77777777" w:rsidR="00036EE2" w:rsidRPr="000171FE" w:rsidRDefault="00036EE2" w:rsidP="00036EE2">
      <w:r w:rsidRPr="000171FE">
        <w:t xml:space="preserve">where </w:t>
      </w:r>
      <m:oMath>
        <m:sSub>
          <m:sSubPr>
            <m:ctrlPr>
              <w:rPr>
                <w:rFonts w:ascii="Cambria Math" w:eastAsia="Cambria" w:hAnsi="Cambria Math" w:cs="Cambria"/>
              </w:rPr>
            </m:ctrlPr>
          </m:sSubPr>
          <m:e>
            <m:r>
              <w:rPr>
                <w:rFonts w:ascii="Cambria Math" w:eastAsia="Cambria" w:hAnsi="Cambria Math" w:cs="Cambria"/>
              </w:rPr>
              <m:t>g</m:t>
            </m:r>
          </m:e>
          <m:sub>
            <m:r>
              <w:rPr>
                <w:rFonts w:ascii="Cambria Math" w:eastAsia="Cambria" w:hAnsi="Cambria Math" w:cs="Cambria"/>
              </w:rPr>
              <m:t>(x)</m:t>
            </m:r>
          </m:sub>
        </m:sSub>
      </m:oMath>
      <w:r w:rsidRPr="000171FE">
        <w:t xml:space="preserve"> and </w:t>
      </w:r>
      <m:oMath>
        <m:sSub>
          <m:sSubPr>
            <m:ctrlPr>
              <w:rPr>
                <w:rFonts w:ascii="Cambria Math" w:eastAsia="Cambria" w:hAnsi="Cambria Math" w:cs="Cambria"/>
              </w:rPr>
            </m:ctrlPr>
          </m:sSubPr>
          <m:e>
            <m:r>
              <w:rPr>
                <w:rFonts w:ascii="Cambria Math" w:eastAsia="Cambria" w:hAnsi="Cambria Math" w:cs="Cambria"/>
              </w:rPr>
              <m:t>g</m:t>
            </m:r>
          </m:e>
          <m:sub>
            <m:r>
              <w:rPr>
                <w:rFonts w:ascii="Cambria Math" w:eastAsia="Cambria" w:hAnsi="Cambria Math" w:cs="Cambria"/>
              </w:rPr>
              <m:t>(y)</m:t>
            </m:r>
          </m:sub>
        </m:sSub>
      </m:oMath>
      <w:r w:rsidRPr="000171FE">
        <w:t xml:space="preserve"> are the gradient values of the pixels </w:t>
      </w:r>
      <m:oMath>
        <m:r>
          <w:rPr>
            <w:rFonts w:ascii="Cambria Math" w:hAnsi="Cambria Math"/>
          </w:rPr>
          <m:t>x</m:t>
        </m:r>
      </m:oMath>
      <w:r w:rsidRPr="000171FE">
        <w:t xml:space="preserve"> and </w:t>
      </w:r>
      <m:oMath>
        <m:r>
          <w:rPr>
            <w:rFonts w:ascii="Cambria Math" w:hAnsi="Cambria Math"/>
          </w:rPr>
          <m:t>y</m:t>
        </m:r>
      </m:oMath>
      <w:r w:rsidRPr="000171FE">
        <w:rPr>
          <w:rFonts w:ascii="Cambria" w:eastAsia="Cambria" w:hAnsi="Cambria" w:cs="Cambria"/>
        </w:rPr>
        <w:t xml:space="preserve">  </w:t>
      </w:r>
      <w:r w:rsidRPr="000171FE">
        <w:t>respectively.</w:t>
      </w:r>
    </w:p>
    <w:p w14:paraId="27825366" w14:textId="023F4E75" w:rsidR="00036EE2" w:rsidRDefault="00036EE2" w:rsidP="00B11802">
      <w:pPr>
        <w:spacing w:after="240"/>
        <w:ind w:firstLine="567"/>
      </w:pPr>
      <w:r w:rsidRPr="000171FE">
        <w:t>To obtain the final saliency map, each of the feature cue outputs must be fuse</w:t>
      </w:r>
      <w:r w:rsidR="001F5BDE">
        <w:t xml:space="preserve">d together. As suggested in </w:t>
      </w:r>
      <w:r w:rsidR="001F5BDE">
        <w:rPr>
          <w:sz w:val="20"/>
          <w:szCs w:val="20"/>
        </w:rPr>
        <w:t>[Cheng et al., 2014]</w:t>
      </w:r>
      <w:r w:rsidRPr="000171FE">
        <w:t>, we investigated the most appropriate approach for fusing multiple feature cues. We tested multiple integration schemes (e.g. max, * and +) and normalised the saliency map from each feature cue, before amalgamating these. The resultant saliency value per pixel</w:t>
      </w:r>
      <m:oMath>
        <m:r>
          <w:rPr>
            <w:rFonts w:ascii="Cambria Math" w:eastAsia="Cambria" w:hAnsi="Cambria Math" w:cs="Cambria"/>
          </w:rPr>
          <m:t xml:space="preserve"> </m:t>
        </m:r>
        <m:sSub>
          <m:sSubPr>
            <m:ctrlPr>
              <w:rPr>
                <w:rFonts w:ascii="Cambria Math" w:eastAsia="Cambria" w:hAnsi="Cambria Math" w:cs="Cambria"/>
              </w:rPr>
            </m:ctrlPr>
          </m:sSubPr>
          <m:e>
            <m:r>
              <w:rPr>
                <w:rFonts w:ascii="Cambria Math" w:eastAsia="Cambria" w:hAnsi="Cambria Math" w:cs="Cambria"/>
              </w:rPr>
              <m:t>FS</m:t>
            </m:r>
          </m:e>
          <m:sub>
            <m:r>
              <w:rPr>
                <w:rFonts w:ascii="Cambria Math" w:eastAsia="Cambria" w:hAnsi="Cambria Math" w:cs="Cambria"/>
              </w:rPr>
              <m:t>(x)</m:t>
            </m:r>
          </m:sub>
        </m:sSub>
      </m:oMath>
      <w:r w:rsidRPr="000171FE">
        <w:t xml:space="preserve"> is defined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9"/>
        <w:gridCol w:w="466"/>
      </w:tblGrid>
      <w:tr w:rsidR="00B11802" w14:paraId="0941B123" w14:textId="77777777" w:rsidTr="001F5BDE">
        <w:tc>
          <w:tcPr>
            <w:tcW w:w="9169" w:type="dxa"/>
          </w:tcPr>
          <w:p w14:paraId="4CCF9B12" w14:textId="6B2C743B" w:rsidR="00B11802" w:rsidRPr="00B11802" w:rsidRDefault="00B11802" w:rsidP="001F5BDE">
            <w:pPr>
              <w:jc w:val="center"/>
              <w:rPr>
                <w:rFonts w:ascii="Cambria" w:eastAsia="Cambria" w:hAnsi="Cambria" w:cs="Cambria"/>
              </w:rPr>
            </w:pPr>
            <m:oMathPara>
              <m:oMath>
                <m:sSub>
                  <m:sSubPr>
                    <m:ctrlPr>
                      <w:rPr>
                        <w:rFonts w:ascii="Cambria Math" w:eastAsia="Cambria" w:hAnsi="Cambria Math" w:cs="Cambria"/>
                      </w:rPr>
                    </m:ctrlPr>
                  </m:sSubPr>
                  <m:e>
                    <m:r>
                      <w:rPr>
                        <w:rFonts w:ascii="Cambria Math" w:eastAsia="Cambria" w:hAnsi="Cambria Math" w:cs="Cambria"/>
                      </w:rPr>
                      <m:t>FS</m:t>
                    </m:r>
                  </m:e>
                  <m:sub>
                    <m:r>
                      <w:rPr>
                        <w:rFonts w:ascii="Cambria Math" w:eastAsia="Cambria" w:hAnsi="Cambria Math" w:cs="Cambria"/>
                      </w:rPr>
                      <m:t>(x)</m:t>
                    </m:r>
                  </m:sub>
                </m:sSub>
                <m:r>
                  <w:rPr>
                    <w:rFonts w:ascii="Cambria Math" w:eastAsia="Cambria" w:hAnsi="Cambria Math" w:cs="Cambria"/>
                  </w:rPr>
                  <m:t xml:space="preserve">= </m:t>
                </m:r>
                <m:sSub>
                  <m:sSubPr>
                    <m:ctrlPr>
                      <w:rPr>
                        <w:rFonts w:ascii="Cambria Math" w:hAnsi="Cambria Math"/>
                      </w:rPr>
                    </m:ctrlPr>
                  </m:sSubPr>
                  <m:e>
                    <m:r>
                      <w:rPr>
                        <w:rFonts w:ascii="Cambria Math" w:eastAsia="Cambria" w:hAnsi="Cambria Math" w:cs="Cambria"/>
                      </w:rPr>
                      <m:t>CC</m:t>
                    </m:r>
                  </m:e>
                  <m:sub>
                    <m:r>
                      <w:rPr>
                        <w:rFonts w:ascii="Cambria Math" w:hAnsi="Cambria Math"/>
                      </w:rPr>
                      <m:t>(</m:t>
                    </m:r>
                    <m:r>
                      <w:rPr>
                        <w:rFonts w:ascii="Cambria Math" w:eastAsia="Cambria" w:hAnsi="Cambria Math" w:cs="Cambria"/>
                      </w:rPr>
                      <m:t>i</m:t>
                    </m:r>
                    <m:r>
                      <w:rPr>
                        <w:rFonts w:ascii="Cambria Math" w:hAnsi="Cambria Math"/>
                      </w:rPr>
                      <m:t>)</m:t>
                    </m:r>
                  </m:sub>
                </m:sSub>
                <m:r>
                  <w:rPr>
                    <w:rFonts w:ascii="Cambria Math" w:eastAsia="Cambria" w:hAnsi="Cambria Math" w:cs="Cambria"/>
                  </w:rPr>
                  <m:t>+</m:t>
                </m:r>
                <m:sSub>
                  <m:sSubPr>
                    <m:ctrlPr>
                      <w:rPr>
                        <w:rFonts w:ascii="Cambria Math" w:hAnsi="Cambria Math"/>
                      </w:rPr>
                    </m:ctrlPr>
                  </m:sSubPr>
                  <m:e>
                    <m:r>
                      <w:rPr>
                        <w:rFonts w:ascii="Cambria Math" w:eastAsia="Cambria" w:hAnsi="Cambria Math" w:cs="Cambria"/>
                      </w:rPr>
                      <m:t>GC</m:t>
                    </m:r>
                  </m:e>
                  <m:sub>
                    <m:r>
                      <w:rPr>
                        <w:rFonts w:ascii="Cambria Math" w:hAnsi="Cambria Math"/>
                      </w:rPr>
                      <m:t>(</m:t>
                    </m:r>
                    <m:r>
                      <w:rPr>
                        <w:rFonts w:ascii="Cambria Math" w:eastAsia="Cambria" w:hAnsi="Cambria Math" w:cs="Cambria"/>
                      </w:rPr>
                      <m:t>i</m:t>
                    </m:r>
                    <m:r>
                      <w:rPr>
                        <w:rFonts w:ascii="Cambria Math" w:hAnsi="Cambria Math"/>
                      </w:rPr>
                      <m:t>)</m:t>
                    </m:r>
                  </m:sub>
                </m:sSub>
              </m:oMath>
            </m:oMathPara>
          </w:p>
        </w:tc>
        <w:tc>
          <w:tcPr>
            <w:tcW w:w="466" w:type="dxa"/>
          </w:tcPr>
          <w:p w14:paraId="7A04125F" w14:textId="33782EBD" w:rsidR="00B11802" w:rsidRDefault="00B11802" w:rsidP="001F5BDE">
            <w:r>
              <w:t>(3)</w:t>
            </w:r>
          </w:p>
        </w:tc>
      </w:tr>
    </w:tbl>
    <w:p w14:paraId="135FB7A5" w14:textId="74B07C25" w:rsidR="00036EE2" w:rsidRPr="000171FE" w:rsidRDefault="00036EE2" w:rsidP="00B11802">
      <w:pPr>
        <w:rPr>
          <w:b/>
          <w:smallCaps/>
        </w:rPr>
      </w:pPr>
    </w:p>
    <w:p w14:paraId="614FAC31" w14:textId="5ACF2116" w:rsidR="00036EE2" w:rsidRPr="000171FE" w:rsidRDefault="00036EE2" w:rsidP="000171FE">
      <w:r w:rsidRPr="000171FE">
        <w:t xml:space="preserve">where </w:t>
      </w:r>
      <m:oMath>
        <m:sSub>
          <m:sSubPr>
            <m:ctrlPr>
              <w:rPr>
                <w:rFonts w:ascii="Cambria Math" w:eastAsia="Cambria" w:hAnsi="Cambria Math" w:cs="Cambria"/>
              </w:rPr>
            </m:ctrlPr>
          </m:sSubPr>
          <m:e>
            <m:r>
              <w:rPr>
                <w:rFonts w:ascii="Cambria Math" w:eastAsia="Cambria" w:hAnsi="Cambria Math" w:cs="Cambria"/>
              </w:rPr>
              <m:t>CC</m:t>
            </m:r>
          </m:e>
          <m:sub>
            <m:r>
              <w:rPr>
                <w:rFonts w:ascii="Cambria Math" w:eastAsia="Cambria" w:hAnsi="Cambria Math" w:cs="Cambria"/>
              </w:rPr>
              <m:t>(i)</m:t>
            </m:r>
          </m:sub>
        </m:sSub>
      </m:oMath>
      <w:r w:rsidRPr="000171FE">
        <w:t xml:space="preserve"> and </w:t>
      </w:r>
      <m:oMath>
        <m:sSub>
          <m:sSubPr>
            <m:ctrlPr>
              <w:rPr>
                <w:rFonts w:ascii="Cambria Math" w:eastAsia="Cambria" w:hAnsi="Cambria Math" w:cs="Cambria"/>
              </w:rPr>
            </m:ctrlPr>
          </m:sSubPr>
          <m:e>
            <m:r>
              <w:rPr>
                <w:rFonts w:ascii="Cambria Math" w:eastAsia="Cambria" w:hAnsi="Cambria Math" w:cs="Cambria"/>
              </w:rPr>
              <m:t>GC</m:t>
            </m:r>
          </m:e>
          <m:sub>
            <m:r>
              <w:rPr>
                <w:rFonts w:ascii="Cambria Math" w:eastAsia="Cambria" w:hAnsi="Cambria Math" w:cs="Cambria"/>
              </w:rPr>
              <m:t>(i)</m:t>
            </m:r>
          </m:sub>
        </m:sSub>
      </m:oMath>
      <w:r w:rsidRPr="000171FE">
        <w:t xml:space="preserve"> are the respective feature cues of global color contrast and gradient contrast, and </w:t>
      </w:r>
      <m:oMath>
        <m:sSub>
          <m:sSubPr>
            <m:ctrlPr>
              <w:rPr>
                <w:rFonts w:ascii="Cambria Math" w:eastAsia="Cambria" w:hAnsi="Cambria Math" w:cs="Cambria"/>
              </w:rPr>
            </m:ctrlPr>
          </m:sSubPr>
          <m:e>
            <m:r>
              <w:rPr>
                <w:rFonts w:ascii="Cambria Math" w:eastAsia="Cambria" w:hAnsi="Cambria Math" w:cs="Cambria"/>
              </w:rPr>
              <m:t>S</m:t>
            </m:r>
          </m:e>
          <m:sub>
            <m:r>
              <w:rPr>
                <w:rFonts w:ascii="Cambria Math" w:eastAsia="Cambria" w:hAnsi="Cambria Math" w:cs="Cambria"/>
              </w:rPr>
              <m:t>(i)</m:t>
            </m:r>
          </m:sub>
        </m:sSub>
      </m:oMath>
      <w:r w:rsidRPr="000171FE">
        <w:t xml:space="preserve"> defines the current pixel. The pixel in one feature channel is fused with its corresponding pixel within the other feature channel using addition as the integration scheme.</w:t>
      </w:r>
    </w:p>
    <w:p w14:paraId="358A7C77" w14:textId="1F9221C1" w:rsidR="00036EE2" w:rsidRPr="00036EE2" w:rsidRDefault="00D03085" w:rsidP="00036EE2">
      <w:pPr>
        <w:pStyle w:val="Heading2"/>
      </w:pPr>
      <w:r>
        <w:t>2</w:t>
      </w:r>
      <w:r w:rsidR="00036EE2">
        <w:t xml:space="preserve">.2 </w:t>
      </w:r>
      <w:r w:rsidR="00036EE2" w:rsidRPr="00036EE2">
        <w:t>Proposed</w:t>
      </w:r>
      <w:r w:rsidR="00036EE2">
        <w:t xml:space="preserve"> </w:t>
      </w:r>
      <w:r w:rsidR="00036EE2" w:rsidRPr="00036EE2">
        <w:t>region-based</w:t>
      </w:r>
      <w:r w:rsidR="00036EE2">
        <w:t xml:space="preserve"> </w:t>
      </w:r>
      <w:r w:rsidR="00036EE2" w:rsidRPr="00036EE2">
        <w:t xml:space="preserve">approach </w:t>
      </w:r>
    </w:p>
    <w:p w14:paraId="4DB12C43" w14:textId="5AAC540E" w:rsidR="00036EE2" w:rsidRPr="000171FE" w:rsidRDefault="00036EE2" w:rsidP="00036EE2">
      <w:r w:rsidRPr="000171FE">
        <w:t>The first step within the region-based model is to over-segment the image i</w:t>
      </w:r>
      <w:r w:rsidR="00B11802">
        <w:t>nto regions/super-pixels using Simple Linear Iterative C</w:t>
      </w:r>
      <w:r w:rsidR="001F5BDE">
        <w:t xml:space="preserve">lustering (SLIC) </w:t>
      </w:r>
      <w:r w:rsidR="001F5BDE">
        <w:rPr>
          <w:sz w:val="20"/>
          <w:szCs w:val="20"/>
        </w:rPr>
        <w:t>[Achanta et al., 2012]</w:t>
      </w:r>
      <w:r w:rsidRPr="000171FE">
        <w:t xml:space="preserve">. SLIC groups pixels together with similar colour values in close proximity to form super-pixels. Images can then be processed in a region-based manner resulting in improved computational </w:t>
      </w:r>
      <w:r w:rsidRPr="000171FE">
        <w:lastRenderedPageBreak/>
        <w:t xml:space="preserve">efficiency, in comparison with the time taken to process images using a pixel-based approach. The challenge with processing regions is achieving the correct balance between computation time and accuracy. </w:t>
      </w:r>
      <w:r w:rsidR="00D03085">
        <w:t xml:space="preserve">With the super-pixel approach, </w:t>
      </w:r>
      <w:r w:rsidRPr="000171FE">
        <w:t xml:space="preserve">the input RGB image is converted to L* a* b* colour space, in preparation for clustering. The input image </w:t>
      </w:r>
      <m:oMath>
        <m:r>
          <w:rPr>
            <w:rFonts w:ascii="Cambria Math" w:eastAsia="Cambria" w:hAnsi="Cambria Math" w:cs="Cambria"/>
          </w:rPr>
          <m:t xml:space="preserve">I </m:t>
        </m:r>
      </m:oMath>
      <w:r w:rsidRPr="000171FE">
        <w:t xml:space="preserve">is segmented into </w:t>
      </w:r>
      <m:oMath>
        <m:r>
          <w:rPr>
            <w:rFonts w:ascii="Cambria Math" w:eastAsia="Cambria" w:hAnsi="Cambria Math" w:cs="Cambria"/>
          </w:rPr>
          <m:t>N</m:t>
        </m:r>
      </m:oMath>
      <w:r w:rsidRPr="000171FE">
        <w:t xml:space="preserve"> super-pixels</w:t>
      </w:r>
      <m:oMath>
        <m:r>
          <w:rPr>
            <w:rFonts w:ascii="Cambria Math" w:eastAsia="Cambria" w:hAnsi="Cambria Math" w:cs="Cambria"/>
          </w:rPr>
          <m:t xml:space="preserve"> </m:t>
        </m:r>
        <m:r>
          <w:rPr>
            <w:rFonts w:ascii="Cambria Math" w:hAnsi="Cambria Math"/>
          </w:rPr>
          <m:t>{</m:t>
        </m:r>
        <m:sSubSup>
          <m:sSubSupPr>
            <m:ctrlPr>
              <w:rPr>
                <w:rFonts w:ascii="Cambria Math" w:eastAsia="Cambria" w:hAnsi="Cambria Math" w:cs="Cambria"/>
              </w:rPr>
            </m:ctrlPr>
          </m:sSubSupPr>
          <m:e>
            <m:r>
              <w:rPr>
                <w:rFonts w:ascii="Cambria Math" w:eastAsia="Cambria" w:hAnsi="Cambria Math" w:cs="Cambria"/>
              </w:rPr>
              <m:t>S</m:t>
            </m:r>
          </m:e>
          <m:sub>
            <m:r>
              <w:rPr>
                <w:rFonts w:ascii="Cambria Math" w:eastAsia="Cambria" w:hAnsi="Cambria Math" w:cs="Cambria"/>
              </w:rPr>
              <m:t>i</m:t>
            </m:r>
          </m:sub>
          <m:sup>
            <m:r>
              <w:rPr>
                <w:rFonts w:ascii="Cambria Math" w:eastAsia="Cambria" w:hAnsi="Cambria Math" w:cs="Cambria"/>
              </w:rPr>
              <m:t>N</m:t>
            </m:r>
          </m:sup>
        </m:sSubSup>
        <m:r>
          <w:rPr>
            <w:rFonts w:ascii="Cambria Math" w:hAnsi="Cambria Math"/>
          </w:rPr>
          <m:t>}</m:t>
        </m:r>
        <m:r>
          <w:rPr>
            <w:rFonts w:ascii="Cambria Math" w:eastAsia="Cambria" w:hAnsi="Cambria Math" w:cs="Cambria"/>
          </w:rPr>
          <m:t xml:space="preserve">, i=1, 2, 3. . . . </m:t>
        </m:r>
        <m:sSup>
          <m:sSupPr>
            <m:ctrlPr>
              <w:rPr>
                <w:rFonts w:ascii="Cambria Math" w:eastAsia="Cambria" w:hAnsi="Cambria Math" w:cs="Cambria"/>
              </w:rPr>
            </m:ctrlPr>
          </m:sSupPr>
          <m:e>
            <m:r>
              <w:rPr>
                <w:rFonts w:ascii="Cambria Math" w:eastAsia="Cambria" w:hAnsi="Cambria Math" w:cs="Cambria"/>
              </w:rPr>
              <m:t>N</m:t>
            </m:r>
          </m:e>
          <m:sup/>
        </m:sSup>
        <m:r>
          <w:rPr>
            <w:rFonts w:ascii="Cambria Math" w:eastAsia="Cambria" w:hAnsi="Cambria Math" w:cs="Cambria"/>
          </w:rPr>
          <m:t xml:space="preserve">, </m:t>
        </m:r>
      </m:oMath>
      <w:r w:rsidRPr="000171FE">
        <w:t>where</w:t>
      </w:r>
      <m:oMath>
        <m:r>
          <w:rPr>
            <w:rFonts w:ascii="Cambria Math" w:eastAsia="Cambria" w:hAnsi="Cambria Math" w:cs="Cambria"/>
          </w:rPr>
          <m:t xml:space="preserve"> </m:t>
        </m:r>
        <m:sSup>
          <m:sSupPr>
            <m:ctrlPr>
              <w:rPr>
                <w:rFonts w:ascii="Cambria Math" w:eastAsia="Cambria" w:hAnsi="Cambria Math" w:cs="Cambria"/>
              </w:rPr>
            </m:ctrlPr>
          </m:sSupPr>
          <m:e>
            <m:r>
              <w:rPr>
                <w:rFonts w:ascii="Cambria Math" w:eastAsia="Cambria" w:hAnsi="Cambria Math" w:cs="Cambria"/>
              </w:rPr>
              <m:t>N</m:t>
            </m:r>
          </m:e>
          <m:sup/>
        </m:sSup>
      </m:oMath>
      <w:r w:rsidRPr="000171FE">
        <w:t xml:space="preserve"> denotes the total number of super-pixels. Experimentation was completed, measuring the average run-time and accuracy when varying the number of super-pixels within a scene. The results from this are discussed in Section </w:t>
      </w:r>
      <w:proofErr w:type="gramStart"/>
      <w:r w:rsidRPr="000171FE">
        <w:t>4, and</w:t>
      </w:r>
      <w:proofErr w:type="gramEnd"/>
      <w:r w:rsidRPr="000171FE">
        <w:t xml:space="preserve"> outlined in Figure 3.</w:t>
      </w:r>
    </w:p>
    <w:p w14:paraId="20FBE43A" w14:textId="42DAA8FF" w:rsidR="00036EE2" w:rsidRDefault="00036EE2" w:rsidP="00D03085">
      <w:pPr>
        <w:spacing w:after="240"/>
        <w:ind w:firstLine="567"/>
      </w:pPr>
      <w:r w:rsidRPr="000171FE">
        <w:t>Global colo</w:t>
      </w:r>
      <w:r w:rsidR="00D03085">
        <w:t>u</w:t>
      </w:r>
      <w:r w:rsidRPr="000171FE">
        <w:t>r contrast and gradient contrast are computed per super-pixel within each image.  Equation 1 can be adapted for defining the computation of global colo</w:t>
      </w:r>
      <w:r w:rsidR="00D03085">
        <w:t>u</w:t>
      </w:r>
      <w:r w:rsidRPr="000171FE">
        <w:t>r contrast (</w:t>
      </w:r>
      <m:oMath>
        <m:r>
          <w:rPr>
            <w:rFonts w:ascii="Cambria Math" w:eastAsia="Cambria" w:hAnsi="Cambria Math" w:cs="Cambria"/>
          </w:rPr>
          <m:t>CC</m:t>
        </m:r>
      </m:oMath>
      <w:r w:rsidRPr="000171FE">
        <w:rPr>
          <w:rFonts w:ascii="Cambria" w:eastAsia="Cambria" w:hAnsi="Cambria" w:cs="Cambria"/>
        </w:rPr>
        <w:t>)</w:t>
      </w:r>
      <w:r w:rsidRPr="000171FE">
        <w:t xml:space="preserve"> within the region-based approach: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9"/>
        <w:gridCol w:w="466"/>
      </w:tblGrid>
      <w:tr w:rsidR="00D03085" w14:paraId="0EE32B3B" w14:textId="77777777" w:rsidTr="001F5BDE">
        <w:tc>
          <w:tcPr>
            <w:tcW w:w="9169" w:type="dxa"/>
          </w:tcPr>
          <w:p w14:paraId="17E27925" w14:textId="3B6F110A" w:rsidR="00D03085" w:rsidRPr="00B11802" w:rsidRDefault="00D03085" w:rsidP="001F5BDE">
            <w:pPr>
              <w:jc w:val="center"/>
              <w:rPr>
                <w:rFonts w:ascii="Cambria" w:eastAsia="Cambria" w:hAnsi="Cambria" w:cs="Cambria"/>
              </w:rPr>
            </w:pPr>
            <m:oMathPara>
              <m:oMath>
                <m:sSub>
                  <m:sSubPr>
                    <m:ctrlPr>
                      <w:rPr>
                        <w:rFonts w:ascii="Cambria Math" w:eastAsia="Cambria" w:hAnsi="Cambria Math" w:cs="Cambria"/>
                      </w:rPr>
                    </m:ctrlPr>
                  </m:sSubPr>
                  <m:e>
                    <m:r>
                      <w:rPr>
                        <w:rFonts w:ascii="Cambria Math" w:eastAsia="Cambria" w:hAnsi="Cambria Math" w:cs="Cambria"/>
                      </w:rPr>
                      <m:t xml:space="preserve">    CC</m:t>
                    </m:r>
                  </m:e>
                  <m:sub>
                    <m:r>
                      <w:rPr>
                        <w:rFonts w:ascii="Cambria Math" w:eastAsia="Cambria" w:hAnsi="Cambria Math" w:cs="Cambria"/>
                      </w:rPr>
                      <m:t>S(i)</m:t>
                    </m:r>
                  </m:sub>
                </m:sSub>
                <m:r>
                  <w:rPr>
                    <w:rFonts w:ascii="Cambria Math" w:eastAsia="Cambria" w:hAnsi="Cambria Math" w:cs="Cambria"/>
                  </w:rPr>
                  <m:t xml:space="preserve">= </m:t>
                </m:r>
                <m:nary>
                  <m:naryPr>
                    <m:chr m:val="∑"/>
                    <m:ctrlPr>
                      <w:rPr>
                        <w:rFonts w:ascii="Cambria Math" w:eastAsia="Cambria" w:hAnsi="Cambria Math" w:cs="Cambria"/>
                      </w:rPr>
                    </m:ctrlPr>
                  </m:naryPr>
                  <m:sub>
                    <m:r>
                      <w:rPr>
                        <w:rFonts w:ascii="Cambria Math" w:eastAsia="Cambria" w:hAnsi="Cambria Math" w:cs="Cambria"/>
                      </w:rPr>
                      <m:t>i=1, i≠j</m:t>
                    </m:r>
                  </m:sub>
                  <m:sup>
                    <m:r>
                      <w:rPr>
                        <w:rFonts w:ascii="Cambria Math" w:eastAsia="Cambria" w:hAnsi="Cambria Math" w:cs="Cambria"/>
                      </w:rPr>
                      <m:t>S(N)</m:t>
                    </m:r>
                  </m:sup>
                  <m:e/>
                </m:nary>
                <m:sSup>
                  <m:sSupPr>
                    <m:ctrlPr>
                      <w:rPr>
                        <w:rFonts w:ascii="Cambria Math" w:eastAsia="Cambria" w:hAnsi="Cambria Math" w:cs="Cambria"/>
                      </w:rPr>
                    </m:ctrlPr>
                  </m:sSupPr>
                  <m:e>
                    <m:r>
                      <w:rPr>
                        <w:rFonts w:ascii="Cambria Math" w:hAnsi="Cambria Math"/>
                      </w:rPr>
                      <m:t>‖</m:t>
                    </m:r>
                    <m:sSub>
                      <m:sSubPr>
                        <m:ctrlPr>
                          <w:rPr>
                            <w:rFonts w:ascii="Cambria Math" w:eastAsia="Cambria" w:hAnsi="Cambria Math" w:cs="Cambria"/>
                          </w:rPr>
                        </m:ctrlPr>
                      </m:sSubPr>
                      <m:e>
                        <m:r>
                          <w:rPr>
                            <w:rFonts w:ascii="Cambria Math" w:eastAsia="Cambria" w:hAnsi="Cambria Math" w:cs="Cambria"/>
                          </w:rPr>
                          <m:t>D</m:t>
                        </m:r>
                      </m:e>
                      <m:sub>
                        <m:r>
                          <w:rPr>
                            <w:rFonts w:ascii="Cambria Math" w:eastAsia="Cambria" w:hAnsi="Cambria Math" w:cs="Cambria"/>
                          </w:rPr>
                          <m:t>S(i)</m:t>
                        </m:r>
                      </m:sub>
                    </m:sSub>
                    <m:r>
                      <w:rPr>
                        <w:rFonts w:ascii="Cambria Math" w:eastAsia="Cambria" w:hAnsi="Cambria Math" w:cs="Cambria"/>
                      </w:rPr>
                      <m:t xml:space="preserve">- </m:t>
                    </m:r>
                    <m:sSub>
                      <m:sSubPr>
                        <m:ctrlPr>
                          <w:rPr>
                            <w:rFonts w:ascii="Cambria Math" w:eastAsia="Cambria" w:hAnsi="Cambria Math" w:cs="Cambria"/>
                          </w:rPr>
                        </m:ctrlPr>
                      </m:sSubPr>
                      <m:e>
                        <m:r>
                          <w:rPr>
                            <w:rFonts w:ascii="Cambria Math" w:eastAsia="Cambria" w:hAnsi="Cambria Math" w:cs="Cambria"/>
                          </w:rPr>
                          <m:t>D</m:t>
                        </m:r>
                      </m:e>
                      <m:sub>
                        <m:r>
                          <w:rPr>
                            <w:rFonts w:ascii="Cambria Math" w:eastAsia="Cambria" w:hAnsi="Cambria Math" w:cs="Cambria"/>
                          </w:rPr>
                          <m:t>S(j)</m:t>
                        </m:r>
                      </m:sub>
                    </m:sSub>
                    <m:r>
                      <w:rPr>
                        <w:rFonts w:ascii="Cambria Math" w:hAnsi="Cambria Math"/>
                      </w:rPr>
                      <m:t>‖</m:t>
                    </m:r>
                  </m:e>
                  <m:sup>
                    <m:r>
                      <w:rPr>
                        <w:rFonts w:ascii="Cambria Math" w:eastAsia="Cambria" w:hAnsi="Cambria Math" w:cs="Cambria"/>
                      </w:rPr>
                      <m:t>2</m:t>
                    </m:r>
                  </m:sup>
                </m:sSup>
              </m:oMath>
            </m:oMathPara>
          </w:p>
        </w:tc>
        <w:tc>
          <w:tcPr>
            <w:tcW w:w="466" w:type="dxa"/>
          </w:tcPr>
          <w:p w14:paraId="664E4E11" w14:textId="77777777" w:rsidR="00D03085" w:rsidRDefault="00D03085" w:rsidP="001F5BDE"/>
          <w:p w14:paraId="6515C2E8" w14:textId="795FFAA8" w:rsidR="00D03085" w:rsidRDefault="00D03085" w:rsidP="001F5BDE">
            <w:r>
              <w:t>(4)</w:t>
            </w:r>
          </w:p>
        </w:tc>
      </w:tr>
    </w:tbl>
    <w:p w14:paraId="70DA8FBD" w14:textId="77777777" w:rsidR="00D03085" w:rsidRPr="00D03085" w:rsidRDefault="00D03085" w:rsidP="00036EE2">
      <w:pPr>
        <w:rPr>
          <w:sz w:val="15"/>
        </w:rPr>
      </w:pPr>
    </w:p>
    <w:p w14:paraId="2048CE6E" w14:textId="71092CC7" w:rsidR="00036EE2" w:rsidRDefault="00036EE2" w:rsidP="00563AD0">
      <w:pPr>
        <w:spacing w:after="240"/>
      </w:pPr>
      <w:r w:rsidRPr="000171FE">
        <w:t xml:space="preserve">where </w:t>
      </w:r>
      <m:oMath>
        <m:sSub>
          <m:sSubPr>
            <m:ctrlPr>
              <w:rPr>
                <w:rFonts w:ascii="Cambria Math" w:eastAsia="Cambria" w:hAnsi="Cambria Math" w:cs="Cambria"/>
              </w:rPr>
            </m:ctrlPr>
          </m:sSubPr>
          <m:e>
            <m:r>
              <w:rPr>
                <w:rFonts w:ascii="Cambria Math" w:eastAsia="Cambria" w:hAnsi="Cambria Math" w:cs="Cambria"/>
              </w:rPr>
              <m:t>S</m:t>
            </m:r>
          </m:e>
          <m:sub>
            <m:r>
              <w:rPr>
                <w:rFonts w:ascii="Cambria Math" w:eastAsia="Cambria" w:hAnsi="Cambria Math" w:cs="Cambria"/>
              </w:rPr>
              <m:t>(N)</m:t>
            </m:r>
          </m:sub>
        </m:sSub>
      </m:oMath>
      <w:r w:rsidRPr="000171FE">
        <w:t xml:space="preserve"> denotes the total number of super-pixels, </w:t>
      </w:r>
      <m:oMath>
        <m:sSub>
          <m:sSubPr>
            <m:ctrlPr>
              <w:rPr>
                <w:rFonts w:ascii="Cambria Math" w:eastAsia="Cambria" w:hAnsi="Cambria Math" w:cs="Cambria"/>
              </w:rPr>
            </m:ctrlPr>
          </m:sSubPr>
          <m:e>
            <m:r>
              <w:rPr>
                <w:rFonts w:ascii="Cambria Math" w:eastAsia="Cambria" w:hAnsi="Cambria Math" w:cs="Cambria"/>
              </w:rPr>
              <m:t>D</m:t>
            </m:r>
          </m:e>
          <m:sub>
            <m:r>
              <w:rPr>
                <w:rFonts w:ascii="Cambria Math" w:eastAsia="Cambria" w:hAnsi="Cambria Math" w:cs="Cambria"/>
              </w:rPr>
              <m:t>S(i)</m:t>
            </m:r>
          </m:sub>
        </m:sSub>
      </m:oMath>
      <w:r w:rsidRPr="000171FE">
        <w:t xml:space="preserve"> and </w:t>
      </w:r>
      <m:oMath>
        <m:sSub>
          <m:sSubPr>
            <m:ctrlPr>
              <w:rPr>
                <w:rFonts w:ascii="Cambria Math" w:eastAsia="Cambria" w:hAnsi="Cambria Math" w:cs="Cambria"/>
              </w:rPr>
            </m:ctrlPr>
          </m:sSubPr>
          <m:e>
            <m:r>
              <w:rPr>
                <w:rFonts w:ascii="Cambria Math" w:eastAsia="Cambria" w:hAnsi="Cambria Math" w:cs="Cambria"/>
              </w:rPr>
              <m:t>D</m:t>
            </m:r>
          </m:e>
          <m:sub>
            <m:r>
              <w:rPr>
                <w:rFonts w:ascii="Cambria Math" w:eastAsia="Cambria" w:hAnsi="Cambria Math" w:cs="Cambria"/>
              </w:rPr>
              <m:t>S(j)</m:t>
            </m:r>
          </m:sub>
        </m:sSub>
      </m:oMath>
      <w:r w:rsidRPr="000171FE">
        <w:t xml:space="preserve"> signify the average L* a* b* values of super-pixels </w:t>
      </w:r>
      <m:oMath>
        <m:r>
          <w:rPr>
            <w:rFonts w:ascii="Cambria Math" w:hAnsi="Cambria Math"/>
          </w:rPr>
          <m:t>S(</m:t>
        </m:r>
        <m:r>
          <w:rPr>
            <w:rFonts w:ascii="Cambria Math" w:eastAsia="Cambria" w:hAnsi="Cambria Math" w:cs="Cambria"/>
          </w:rPr>
          <m:t>i)</m:t>
        </m:r>
      </m:oMath>
      <w:r w:rsidRPr="000171FE">
        <w:t xml:space="preserve"> and </w:t>
      </w:r>
      <m:oMath>
        <m:r>
          <w:rPr>
            <w:rFonts w:ascii="Cambria Math" w:hAnsi="Cambria Math"/>
          </w:rPr>
          <m:t>S(</m:t>
        </m:r>
        <m:r>
          <w:rPr>
            <w:rFonts w:ascii="Cambria Math" w:eastAsia="Cambria" w:hAnsi="Cambria Math" w:cs="Cambria"/>
          </w:rPr>
          <m:t>j)</m:t>
        </m:r>
      </m:oMath>
      <w:r w:rsidRPr="000171FE">
        <w:t xml:space="preserve"> respectively. Gradient contrast (</w:t>
      </w:r>
      <m:oMath>
        <m:r>
          <w:rPr>
            <w:rFonts w:ascii="Cambria Math" w:eastAsia="Cambria" w:hAnsi="Cambria Math" w:cs="Cambria"/>
          </w:rPr>
          <m:t>GC</m:t>
        </m:r>
      </m:oMath>
      <w:r w:rsidRPr="000171FE">
        <w:rPr>
          <w:rFonts w:ascii="Cambria" w:eastAsia="Cambria" w:hAnsi="Cambria" w:cs="Cambria"/>
        </w:rPr>
        <w:t xml:space="preserve">) </w:t>
      </w:r>
      <w:r w:rsidRPr="000171FE">
        <w:t>is calculated per super-pixel using the following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9"/>
        <w:gridCol w:w="466"/>
      </w:tblGrid>
      <w:tr w:rsidR="00D03085" w14:paraId="7A7A0C56" w14:textId="77777777" w:rsidTr="001F5BDE">
        <w:tc>
          <w:tcPr>
            <w:tcW w:w="9169" w:type="dxa"/>
          </w:tcPr>
          <w:p w14:paraId="347A65F6" w14:textId="45024FB3" w:rsidR="00D03085" w:rsidRPr="00B11802" w:rsidRDefault="00D03085" w:rsidP="001F5BDE">
            <w:pPr>
              <w:jc w:val="center"/>
              <w:rPr>
                <w:rFonts w:ascii="Cambria" w:eastAsia="Cambria" w:hAnsi="Cambria" w:cs="Cambria"/>
              </w:rPr>
            </w:pPr>
            <m:oMathPara>
              <m:oMath>
                <m:sSub>
                  <m:sSubPr>
                    <m:ctrlPr>
                      <w:rPr>
                        <w:rFonts w:ascii="Cambria Math" w:eastAsia="Cambria" w:hAnsi="Cambria Math" w:cs="Cambria"/>
                      </w:rPr>
                    </m:ctrlPr>
                  </m:sSubPr>
                  <m:e>
                    <m:r>
                      <w:rPr>
                        <w:rFonts w:ascii="Cambria Math" w:eastAsia="Cambria" w:hAnsi="Cambria Math" w:cs="Cambria"/>
                      </w:rPr>
                      <m:t>GC</m:t>
                    </m:r>
                  </m:e>
                  <m:sub>
                    <m:r>
                      <w:rPr>
                        <w:rFonts w:ascii="Cambria Math" w:eastAsia="Cambria" w:hAnsi="Cambria Math" w:cs="Cambria"/>
                      </w:rPr>
                      <m:t>S(i)</m:t>
                    </m:r>
                  </m:sub>
                </m:sSub>
                <m:r>
                  <w:rPr>
                    <w:rFonts w:ascii="Cambria Math" w:eastAsia="Cambria" w:hAnsi="Cambria Math" w:cs="Cambria"/>
                  </w:rPr>
                  <m:t xml:space="preserve">= </m:t>
                </m:r>
                <m:nary>
                  <m:naryPr>
                    <m:chr m:val="∑"/>
                    <m:ctrlPr>
                      <w:rPr>
                        <w:rFonts w:ascii="Cambria Math" w:eastAsia="Cambria" w:hAnsi="Cambria Math" w:cs="Cambria"/>
                      </w:rPr>
                    </m:ctrlPr>
                  </m:naryPr>
                  <m:sub>
                    <m:r>
                      <w:rPr>
                        <w:rFonts w:ascii="Cambria Math" w:eastAsia="Cambria" w:hAnsi="Cambria Math" w:cs="Cambria"/>
                      </w:rPr>
                      <m:t>x=1, x ≠y</m:t>
                    </m:r>
                  </m:sub>
                  <m:sup>
                    <m:r>
                      <w:rPr>
                        <w:rFonts w:ascii="Cambria Math" w:eastAsia="Cambria" w:hAnsi="Cambria Math" w:cs="Cambria"/>
                      </w:rPr>
                      <m:t>S(N)</m:t>
                    </m:r>
                  </m:sup>
                  <m:e/>
                </m:nary>
                <m:r>
                  <w:rPr>
                    <w:rFonts w:ascii="Cambria Math" w:hAnsi="Cambria Math"/>
                  </w:rPr>
                  <m:t>‖</m:t>
                </m:r>
                <m:sSub>
                  <m:sSubPr>
                    <m:ctrlPr>
                      <w:rPr>
                        <w:rFonts w:ascii="Cambria Math" w:eastAsia="Cambria" w:hAnsi="Cambria Math" w:cs="Cambria"/>
                      </w:rPr>
                    </m:ctrlPr>
                  </m:sSubPr>
                  <m:e>
                    <m:r>
                      <w:rPr>
                        <w:rFonts w:ascii="Cambria Math" w:eastAsia="Cambria" w:hAnsi="Cambria Math" w:cs="Cambria"/>
                      </w:rPr>
                      <m:t>g</m:t>
                    </m:r>
                  </m:e>
                  <m:sub>
                    <m:r>
                      <w:rPr>
                        <w:rFonts w:ascii="Cambria Math" w:eastAsia="Cambria" w:hAnsi="Cambria Math" w:cs="Cambria"/>
                      </w:rPr>
                      <m:t>S(x)</m:t>
                    </m:r>
                  </m:sub>
                </m:sSub>
                <m:r>
                  <w:rPr>
                    <w:rFonts w:ascii="Cambria Math" w:eastAsia="Cambria" w:hAnsi="Cambria Math" w:cs="Cambria"/>
                  </w:rPr>
                  <m:t xml:space="preserve">- </m:t>
                </m:r>
                <m:sSub>
                  <m:sSubPr>
                    <m:ctrlPr>
                      <w:rPr>
                        <w:rFonts w:ascii="Cambria Math" w:eastAsia="Cambria" w:hAnsi="Cambria Math" w:cs="Cambria"/>
                      </w:rPr>
                    </m:ctrlPr>
                  </m:sSubPr>
                  <m:e>
                    <m:r>
                      <w:rPr>
                        <w:rFonts w:ascii="Cambria Math" w:eastAsia="Cambria" w:hAnsi="Cambria Math" w:cs="Cambria"/>
                      </w:rPr>
                      <m:t>g</m:t>
                    </m:r>
                  </m:e>
                  <m:sub>
                    <m:r>
                      <w:rPr>
                        <w:rFonts w:ascii="Cambria Math" w:eastAsia="Cambria" w:hAnsi="Cambria Math" w:cs="Cambria"/>
                      </w:rPr>
                      <m:t>S(y)</m:t>
                    </m:r>
                  </m:sub>
                </m:sSub>
                <m:r>
                  <w:rPr>
                    <w:rFonts w:ascii="Cambria Math" w:hAnsi="Cambria Math"/>
                  </w:rPr>
                  <m:t>‖</m:t>
                </m:r>
              </m:oMath>
            </m:oMathPara>
          </w:p>
        </w:tc>
        <w:tc>
          <w:tcPr>
            <w:tcW w:w="466" w:type="dxa"/>
          </w:tcPr>
          <w:p w14:paraId="56A6588C" w14:textId="77777777" w:rsidR="00D03085" w:rsidRDefault="00D03085" w:rsidP="001F5BDE"/>
          <w:p w14:paraId="469FC5F4" w14:textId="2047B9AE" w:rsidR="00D03085" w:rsidRDefault="00D03085" w:rsidP="001F5BDE">
            <w:r>
              <w:t>(5)</w:t>
            </w:r>
          </w:p>
        </w:tc>
      </w:tr>
    </w:tbl>
    <w:p w14:paraId="1F964D58" w14:textId="77777777" w:rsidR="00036EE2" w:rsidRPr="000171FE" w:rsidRDefault="00036EE2" w:rsidP="00036EE2">
      <w:pPr>
        <w:rPr>
          <w:b/>
        </w:rPr>
      </w:pPr>
    </w:p>
    <w:p w14:paraId="06F25AF6" w14:textId="222467E1" w:rsidR="00036EE2" w:rsidRDefault="00036EE2" w:rsidP="00036EE2">
      <w:r w:rsidRPr="000171FE">
        <w:t xml:space="preserve">with </w:t>
      </w:r>
      <m:oMath>
        <m:sSub>
          <m:sSubPr>
            <m:ctrlPr>
              <w:rPr>
                <w:rFonts w:ascii="Cambria Math" w:eastAsia="Cambria" w:hAnsi="Cambria Math" w:cs="Cambria"/>
              </w:rPr>
            </m:ctrlPr>
          </m:sSubPr>
          <m:e>
            <m:r>
              <w:rPr>
                <w:rFonts w:ascii="Cambria Math" w:eastAsia="Cambria" w:hAnsi="Cambria Math" w:cs="Cambria"/>
              </w:rPr>
              <m:t>S</m:t>
            </m:r>
          </m:e>
          <m:sub>
            <m:r>
              <w:rPr>
                <w:rFonts w:ascii="Cambria Math" w:eastAsia="Cambria" w:hAnsi="Cambria Math" w:cs="Cambria"/>
              </w:rPr>
              <m:t>(N)</m:t>
            </m:r>
          </m:sub>
        </m:sSub>
      </m:oMath>
      <w:r w:rsidRPr="000171FE">
        <w:rPr>
          <w:rFonts w:ascii="Cambria" w:eastAsia="Cambria" w:hAnsi="Cambria" w:cs="Cambria"/>
        </w:rPr>
        <w:t xml:space="preserve"> </w:t>
      </w:r>
      <w:r w:rsidRPr="000171FE">
        <w:t xml:space="preserve">defined as the total super-pixels in image </w:t>
      </w:r>
      <m:oMath>
        <m:r>
          <w:rPr>
            <w:rFonts w:ascii="Cambria Math" w:eastAsia="Cambria" w:hAnsi="Cambria Math" w:cs="Cambria"/>
          </w:rPr>
          <m:t>I.</m:t>
        </m:r>
        <m:sSub>
          <m:sSubPr>
            <m:ctrlPr>
              <w:rPr>
                <w:rFonts w:ascii="Cambria Math" w:eastAsia="Cambria" w:hAnsi="Cambria Math" w:cs="Cambria"/>
              </w:rPr>
            </m:ctrlPr>
          </m:sSubPr>
          <m:e>
            <m:r>
              <w:rPr>
                <w:rFonts w:ascii="Cambria Math" w:eastAsia="Cambria" w:hAnsi="Cambria Math" w:cs="Cambria"/>
              </w:rPr>
              <m:t>g</m:t>
            </m:r>
          </m:e>
          <m:sub>
            <m:r>
              <w:rPr>
                <w:rFonts w:ascii="Cambria Math" w:eastAsia="Cambria" w:hAnsi="Cambria Math" w:cs="Cambria"/>
              </w:rPr>
              <m:t>S(x)</m:t>
            </m:r>
          </m:sub>
        </m:sSub>
      </m:oMath>
      <w:r w:rsidRPr="000171FE">
        <w:rPr>
          <w:rFonts w:ascii="Cambria" w:eastAsia="Cambria" w:hAnsi="Cambria" w:cs="Cambria"/>
        </w:rPr>
        <w:t xml:space="preserve"> </w:t>
      </w:r>
      <w:r w:rsidRPr="000171FE">
        <w:t xml:space="preserve">and </w:t>
      </w:r>
      <m:oMath>
        <m:sSub>
          <m:sSubPr>
            <m:ctrlPr>
              <w:rPr>
                <w:rFonts w:ascii="Cambria Math" w:eastAsia="Cambria" w:hAnsi="Cambria Math" w:cs="Cambria"/>
              </w:rPr>
            </m:ctrlPr>
          </m:sSubPr>
          <m:e>
            <m:r>
              <w:rPr>
                <w:rFonts w:ascii="Cambria Math" w:eastAsia="Cambria" w:hAnsi="Cambria Math" w:cs="Cambria"/>
              </w:rPr>
              <m:t>g</m:t>
            </m:r>
          </m:e>
          <m:sub>
            <m:r>
              <w:rPr>
                <w:rFonts w:ascii="Cambria Math" w:eastAsia="Cambria" w:hAnsi="Cambria Math" w:cs="Cambria"/>
              </w:rPr>
              <m:t>S(y)</m:t>
            </m:r>
          </m:sub>
        </m:sSub>
      </m:oMath>
      <w:r w:rsidRPr="000171FE">
        <w:rPr>
          <w:rFonts w:ascii="Cambria" w:eastAsia="Cambria" w:hAnsi="Cambria" w:cs="Cambria"/>
        </w:rPr>
        <w:t xml:space="preserve"> denote the respective average gradient values of super-pixels </w:t>
      </w:r>
      <m:oMath>
        <m:sSub>
          <m:sSubPr>
            <m:ctrlPr>
              <w:rPr>
                <w:rFonts w:ascii="Cambria Math" w:eastAsia="Cambria" w:hAnsi="Cambria Math" w:cs="Cambria"/>
              </w:rPr>
            </m:ctrlPr>
          </m:sSubPr>
          <m:e>
            <m:r>
              <w:rPr>
                <w:rFonts w:ascii="Cambria Math" w:eastAsia="Cambria" w:hAnsi="Cambria Math" w:cs="Cambria"/>
              </w:rPr>
              <m:t>S</m:t>
            </m:r>
          </m:e>
          <m:sub>
            <m:r>
              <w:rPr>
                <w:rFonts w:ascii="Cambria Math" w:eastAsia="Cambria" w:hAnsi="Cambria Math" w:cs="Cambria"/>
              </w:rPr>
              <m:t>(x)</m:t>
            </m:r>
          </m:sub>
        </m:sSub>
      </m:oMath>
      <w:r w:rsidRPr="000171FE">
        <w:t xml:space="preserve"> and </w:t>
      </w:r>
      <m:oMath>
        <m:sSub>
          <m:sSubPr>
            <m:ctrlPr>
              <w:rPr>
                <w:rFonts w:ascii="Cambria Math" w:eastAsia="Cambria" w:hAnsi="Cambria Math" w:cs="Cambria"/>
              </w:rPr>
            </m:ctrlPr>
          </m:sSubPr>
          <m:e>
            <m:r>
              <w:rPr>
                <w:rFonts w:ascii="Cambria Math" w:eastAsia="Cambria" w:hAnsi="Cambria Math" w:cs="Cambria"/>
              </w:rPr>
              <m:t>S</m:t>
            </m:r>
          </m:e>
          <m:sub>
            <m:r>
              <w:rPr>
                <w:rFonts w:ascii="Cambria Math" w:eastAsia="Cambria" w:hAnsi="Cambria Math" w:cs="Cambria"/>
              </w:rPr>
              <m:t>(y)</m:t>
            </m:r>
          </m:sub>
        </m:sSub>
      </m:oMath>
      <w:r w:rsidRPr="000171FE">
        <w:rPr>
          <w:rFonts w:ascii="Cambria" w:eastAsia="Cambria" w:hAnsi="Cambria" w:cs="Cambria"/>
        </w:rPr>
        <w:t>.</w:t>
      </w:r>
      <w:r w:rsidR="00D03085">
        <w:t xml:space="preserve"> </w:t>
      </w:r>
      <w:r w:rsidRPr="000171FE">
        <w:t>The resultant saliency map for the proposed region-based approach can be obtained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9"/>
        <w:gridCol w:w="466"/>
      </w:tblGrid>
      <w:tr w:rsidR="00D03085" w14:paraId="7B691A05" w14:textId="77777777" w:rsidTr="001F5BDE">
        <w:tc>
          <w:tcPr>
            <w:tcW w:w="9169" w:type="dxa"/>
          </w:tcPr>
          <w:p w14:paraId="774B1B1A" w14:textId="4F02FB86" w:rsidR="00D03085" w:rsidRPr="00B11802" w:rsidRDefault="00D03085" w:rsidP="001F5BDE">
            <w:pPr>
              <w:jc w:val="center"/>
              <w:rPr>
                <w:rFonts w:ascii="Cambria" w:eastAsia="Cambria" w:hAnsi="Cambria" w:cs="Cambria"/>
              </w:rPr>
            </w:pPr>
            <m:oMathPara>
              <m:oMath>
                <m:r>
                  <w:rPr>
                    <w:rFonts w:ascii="Cambria Math" w:eastAsia="Cambria" w:hAnsi="Cambria Math" w:cs="Cambria"/>
                  </w:rPr>
                  <m:t xml:space="preserve">             </m:t>
                </m:r>
                <m:sSub>
                  <m:sSubPr>
                    <m:ctrlPr>
                      <w:rPr>
                        <w:rFonts w:ascii="Cambria Math" w:eastAsia="Cambria" w:hAnsi="Cambria Math" w:cs="Cambria"/>
                      </w:rPr>
                    </m:ctrlPr>
                  </m:sSubPr>
                  <m:e>
                    <m:r>
                      <w:rPr>
                        <w:rFonts w:ascii="Cambria Math" w:eastAsia="Cambria" w:hAnsi="Cambria Math" w:cs="Cambria"/>
                      </w:rPr>
                      <m:t>FS</m:t>
                    </m:r>
                  </m:e>
                  <m:sub>
                    <m:r>
                      <w:rPr>
                        <w:rFonts w:ascii="Cambria Math" w:eastAsia="Cambria" w:hAnsi="Cambria Math" w:cs="Cambria"/>
                      </w:rPr>
                      <m:t>S(x)</m:t>
                    </m:r>
                  </m:sub>
                </m:sSub>
                <m:r>
                  <w:rPr>
                    <w:rFonts w:ascii="Cambria Math" w:eastAsia="Cambria" w:hAnsi="Cambria Math" w:cs="Cambria"/>
                  </w:rPr>
                  <m:t xml:space="preserve">= </m:t>
                </m:r>
                <m:sSub>
                  <m:sSubPr>
                    <m:ctrlPr>
                      <w:rPr>
                        <w:rFonts w:ascii="Cambria Math" w:hAnsi="Cambria Math"/>
                      </w:rPr>
                    </m:ctrlPr>
                  </m:sSubPr>
                  <m:e>
                    <m:r>
                      <w:rPr>
                        <w:rFonts w:ascii="Cambria Math" w:eastAsia="Cambria" w:hAnsi="Cambria Math" w:cs="Cambria"/>
                      </w:rPr>
                      <m:t>CC</m:t>
                    </m:r>
                  </m:e>
                  <m:sub>
                    <m:r>
                      <w:rPr>
                        <w:rFonts w:ascii="Cambria Math" w:eastAsia="Cambria" w:hAnsi="Cambria Math" w:cs="Cambria"/>
                      </w:rPr>
                      <m:t>S</m:t>
                    </m:r>
                    <m:r>
                      <w:rPr>
                        <w:rFonts w:ascii="Cambria Math" w:hAnsi="Cambria Math"/>
                      </w:rPr>
                      <m:t>(</m:t>
                    </m:r>
                    <m:r>
                      <w:rPr>
                        <w:rFonts w:ascii="Cambria Math" w:eastAsia="Cambria" w:hAnsi="Cambria Math" w:cs="Cambria"/>
                      </w:rPr>
                      <m:t>i</m:t>
                    </m:r>
                    <m:r>
                      <w:rPr>
                        <w:rFonts w:ascii="Cambria Math" w:hAnsi="Cambria Math"/>
                      </w:rPr>
                      <m:t>)</m:t>
                    </m:r>
                  </m:sub>
                </m:sSub>
                <m:r>
                  <w:rPr>
                    <w:rFonts w:ascii="Cambria Math" w:eastAsia="Cambria" w:hAnsi="Cambria Math" w:cs="Cambria"/>
                  </w:rPr>
                  <m:t>+</m:t>
                </m:r>
                <m:sSub>
                  <m:sSubPr>
                    <m:ctrlPr>
                      <w:rPr>
                        <w:rFonts w:ascii="Cambria Math" w:hAnsi="Cambria Math"/>
                      </w:rPr>
                    </m:ctrlPr>
                  </m:sSubPr>
                  <m:e>
                    <m:r>
                      <w:rPr>
                        <w:rFonts w:ascii="Cambria Math" w:eastAsia="Cambria" w:hAnsi="Cambria Math" w:cs="Cambria"/>
                      </w:rPr>
                      <m:t>GC</m:t>
                    </m:r>
                  </m:e>
                  <m:sub>
                    <m:r>
                      <w:rPr>
                        <w:rFonts w:ascii="Cambria Math" w:eastAsia="Cambria" w:hAnsi="Cambria Math" w:cs="Cambria"/>
                      </w:rPr>
                      <m:t>S</m:t>
                    </m:r>
                    <m:r>
                      <w:rPr>
                        <w:rFonts w:ascii="Cambria Math" w:hAnsi="Cambria Math"/>
                      </w:rPr>
                      <m:t>(</m:t>
                    </m:r>
                    <m:r>
                      <w:rPr>
                        <w:rFonts w:ascii="Cambria Math" w:eastAsia="Cambria" w:hAnsi="Cambria Math" w:cs="Cambria"/>
                      </w:rPr>
                      <m:t>i</m:t>
                    </m:r>
                    <m:r>
                      <w:rPr>
                        <w:rFonts w:ascii="Cambria Math" w:hAnsi="Cambria Math"/>
                      </w:rPr>
                      <m:t>)</m:t>
                    </m:r>
                  </m:sub>
                </m:sSub>
                <m:r>
                  <w:rPr>
                    <w:rFonts w:ascii="Cambria Math" w:eastAsia="Cambria" w:hAnsi="Cambria Math" w:cs="Cambria"/>
                  </w:rPr>
                  <m:t xml:space="preserve"> </m:t>
                </m:r>
              </m:oMath>
            </m:oMathPara>
          </w:p>
        </w:tc>
        <w:tc>
          <w:tcPr>
            <w:tcW w:w="466" w:type="dxa"/>
          </w:tcPr>
          <w:p w14:paraId="3031A3E3" w14:textId="7B1402CC" w:rsidR="00D03085" w:rsidRDefault="00D03085" w:rsidP="001F5BDE">
            <w:r>
              <w:t>(6)</w:t>
            </w:r>
          </w:p>
        </w:tc>
      </w:tr>
    </w:tbl>
    <w:p w14:paraId="59744A9C" w14:textId="77777777" w:rsidR="00D03085" w:rsidRPr="000171FE" w:rsidRDefault="00D03085" w:rsidP="00036EE2"/>
    <w:p w14:paraId="4B9325AC" w14:textId="0F640005" w:rsidR="00036EE2" w:rsidRPr="000171FE" w:rsidRDefault="00036EE2" w:rsidP="00036EE2">
      <w:r w:rsidRPr="000171FE">
        <w:t xml:space="preserve">Feature maps are amalgamated per super-pixel. Super-pixel </w:t>
      </w:r>
      <m:oMath>
        <m:sSub>
          <m:sSubPr>
            <m:ctrlPr>
              <w:rPr>
                <w:rFonts w:ascii="Cambria Math" w:eastAsia="Cambria" w:hAnsi="Cambria Math" w:cs="Cambria"/>
              </w:rPr>
            </m:ctrlPr>
          </m:sSubPr>
          <m:e>
            <m:r>
              <w:rPr>
                <w:rFonts w:ascii="Cambria Math" w:eastAsia="Cambria" w:hAnsi="Cambria Math" w:cs="Cambria"/>
              </w:rPr>
              <m:t>S</m:t>
            </m:r>
          </m:e>
          <m:sub>
            <m:r>
              <w:rPr>
                <w:rFonts w:ascii="Cambria Math" w:eastAsia="Cambria" w:hAnsi="Cambria Math" w:cs="Cambria"/>
              </w:rPr>
              <m:t>(i)</m:t>
            </m:r>
          </m:sub>
        </m:sSub>
      </m:oMath>
      <w:r w:rsidRPr="000171FE">
        <w:rPr>
          <w:rFonts w:ascii="Cambria" w:eastAsia="Cambria" w:hAnsi="Cambria" w:cs="Cambria"/>
        </w:rPr>
        <w:t xml:space="preserve"> </w:t>
      </w:r>
      <w:r w:rsidRPr="000171FE">
        <w:t>within the global colo</w:t>
      </w:r>
      <w:r w:rsidR="00FB6B9A">
        <w:t>u</w:t>
      </w:r>
      <w:r w:rsidRPr="000171FE">
        <w:t xml:space="preserve">r contrast feature channel is combined with the corresponding super-pixel from the gradient contrast feature channel. </w:t>
      </w:r>
    </w:p>
    <w:p w14:paraId="74754154" w14:textId="7408AAA5" w:rsidR="00B15EF2" w:rsidRDefault="00B15EF2" w:rsidP="00294A19">
      <w:pPr>
        <w:pStyle w:val="Heading1"/>
      </w:pPr>
      <w:r>
        <w:t>3</w:t>
      </w:r>
      <w:r w:rsidR="00FB6B9A">
        <w:t xml:space="preserve">.   </w:t>
      </w:r>
      <w:r>
        <w:t xml:space="preserve"> </w:t>
      </w:r>
      <w:r w:rsidR="00036EE2">
        <w:t>Experimental Results</w:t>
      </w:r>
    </w:p>
    <w:p w14:paraId="6AB9EC8E" w14:textId="30A494C9" w:rsidR="00FB6B9A" w:rsidRDefault="00036EE2" w:rsidP="00FB6B9A">
      <w:pPr>
        <w:widowControl/>
        <w:autoSpaceDE/>
        <w:autoSpaceDN/>
        <w:adjustRightInd/>
        <w:spacing w:before="100" w:beforeAutospacing="1"/>
        <w:rPr>
          <w:rFonts w:eastAsia="Times New Roman"/>
          <w:color w:val="auto"/>
          <w:lang w:eastAsia="en-US"/>
        </w:rPr>
      </w:pPr>
      <w:r w:rsidRPr="00036EE2">
        <w:rPr>
          <w:rFonts w:eastAsia="Times New Roman"/>
          <w:color w:val="auto"/>
          <w:lang w:eastAsia="en-US"/>
        </w:rPr>
        <w:t>In order to validate the performance of the proposed approach, we used the MS</w:t>
      </w:r>
      <w:r w:rsidR="001F5BDE">
        <w:rPr>
          <w:rFonts w:eastAsia="Times New Roman"/>
          <w:color w:val="auto"/>
          <w:lang w:eastAsia="en-US"/>
        </w:rPr>
        <w:t xml:space="preserve">RA10K salient object dataset </w:t>
      </w:r>
      <w:r w:rsidR="001F5BDE">
        <w:rPr>
          <w:sz w:val="20"/>
          <w:szCs w:val="20"/>
        </w:rPr>
        <w:t>[Cheng et al., 2015]</w:t>
      </w:r>
      <w:r w:rsidRPr="00036EE2">
        <w:rPr>
          <w:rFonts w:eastAsia="Times New Roman"/>
          <w:color w:val="auto"/>
          <w:lang w:eastAsia="en-US"/>
        </w:rPr>
        <w:t>, which consists of structurally complex natural images, each accompanied by a ground-truth binary mask highlighting the salient object. 100 images were selected with varying salient objects and scenes, and each algorithm was evaluated on this set of images with respect to computational efficiency and accuracy. We evaluated the proposed Gradient and Colour Contrast Saliency (GCCS) approach against three current state-of-the-art models. To obtain a fair comparison, the SRDAS approach was adapted to process super-pixels (referred to as SRDAS_SLIC) as well as the original pixel- based approach, which compares each pixel with neighbo</w:t>
      </w:r>
      <w:r w:rsidR="00FB6B9A">
        <w:rPr>
          <w:rFonts w:eastAsia="Times New Roman"/>
          <w:color w:val="auto"/>
          <w:lang w:eastAsia="en-US"/>
        </w:rPr>
        <w:t>u</w:t>
      </w:r>
      <w:r w:rsidRPr="00036EE2">
        <w:rPr>
          <w:rFonts w:eastAsia="Times New Roman"/>
          <w:color w:val="auto"/>
          <w:lang w:eastAsia="en-US"/>
        </w:rPr>
        <w:t xml:space="preserve">rs at different filter scales, to formulate a saliency map. </w:t>
      </w:r>
    </w:p>
    <w:p w14:paraId="0427BD94" w14:textId="79B4F7F2" w:rsidR="00036EE2" w:rsidRDefault="00036EE2" w:rsidP="00563AD0">
      <w:pPr>
        <w:widowControl/>
        <w:autoSpaceDE/>
        <w:autoSpaceDN/>
        <w:adjustRightInd/>
        <w:spacing w:after="240"/>
        <w:ind w:firstLine="567"/>
        <w:rPr>
          <w:rFonts w:eastAsia="Times New Roman"/>
          <w:color w:val="auto"/>
          <w:lang w:eastAsia="en-US"/>
        </w:rPr>
      </w:pPr>
      <w:r w:rsidRPr="00036EE2">
        <w:rPr>
          <w:rFonts w:eastAsia="Times New Roman"/>
          <w:color w:val="auto"/>
          <w:lang w:eastAsia="en-US"/>
        </w:rPr>
        <w:t xml:space="preserve">Firstly, the proposed GCCS model was evaluated against SRDAS; their average run-times and accuracy measures are presented in Table 1. To measure efficiency, the average time taken to apply a saliency algorithm to the scene and obtain the output saliency map was used. Algorithmic accuracy (A) was calculated by comparing the output saliency map with the associated ground-truth mask and determining how well each algorithm segmented the salient object using the following equation: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9"/>
        <w:gridCol w:w="466"/>
      </w:tblGrid>
      <w:tr w:rsidR="00FB6B9A" w14:paraId="1408DABE" w14:textId="77777777" w:rsidTr="001F5BDE">
        <w:tc>
          <w:tcPr>
            <w:tcW w:w="9169" w:type="dxa"/>
          </w:tcPr>
          <w:p w14:paraId="1254CE72" w14:textId="5DE9A914" w:rsidR="00FB6B9A" w:rsidRPr="00B11802" w:rsidRDefault="00FB6B9A" w:rsidP="001F5BDE">
            <w:pPr>
              <w:jc w:val="center"/>
              <w:rPr>
                <w:rFonts w:ascii="Cambria" w:eastAsia="Cambria" w:hAnsi="Cambria" w:cs="Cambria"/>
              </w:rPr>
            </w:pPr>
            <m:oMathPara>
              <m:oMath>
                <m:r>
                  <w:rPr>
                    <w:rFonts w:ascii="Cambria Math" w:hAnsi="Cambria Math"/>
                  </w:rPr>
                  <m:t xml:space="preserve">                        </m:t>
                </m:r>
                <m:r>
                  <w:rPr>
                    <w:rFonts w:ascii="Cambria Math" w:eastAsia="Cambria" w:hAnsi="Cambria Math" w:cs="Cambria"/>
                  </w:rPr>
                  <m:t xml:space="preserve">A= </m:t>
                </m:r>
                <m:f>
                  <m:fPr>
                    <m:ctrlPr>
                      <w:rPr>
                        <w:rFonts w:ascii="Cambria Math" w:hAnsi="Cambria Math"/>
                      </w:rPr>
                    </m:ctrlPr>
                  </m:fPr>
                  <m:num>
                    <m:nary>
                      <m:naryPr>
                        <m:chr m:val="∑"/>
                        <m:ctrlPr>
                          <w:rPr>
                            <w:rFonts w:ascii="Cambria Math" w:eastAsia="Cambria" w:hAnsi="Cambria Math" w:cs="Cambria"/>
                          </w:rPr>
                        </m:ctrlPr>
                      </m:naryPr>
                      <m:sub/>
                      <m:sup/>
                      <m:e/>
                    </m:nary>
                    <m:r>
                      <w:rPr>
                        <w:rFonts w:ascii="Cambria Math" w:hAnsi="Cambria Math"/>
                      </w:rPr>
                      <m:t>(</m:t>
                    </m:r>
                    <m:r>
                      <w:rPr>
                        <w:rFonts w:ascii="Cambria Math" w:eastAsia="Cambria" w:hAnsi="Cambria Math" w:cs="Cambria"/>
                      </w:rPr>
                      <m:t>tp+tn</m:t>
                    </m:r>
                    <m:r>
                      <w:rPr>
                        <w:rFonts w:ascii="Cambria Math" w:hAnsi="Cambria Math"/>
                      </w:rPr>
                      <m:t>)</m:t>
                    </m:r>
                  </m:num>
                  <m:den>
                    <m:nary>
                      <m:naryPr>
                        <m:chr m:val="∑"/>
                        <m:ctrlPr>
                          <w:rPr>
                            <w:rFonts w:ascii="Cambria Math" w:hAnsi="Cambria Math"/>
                          </w:rPr>
                        </m:ctrlPr>
                      </m:naryPr>
                      <m:sub/>
                      <m:sup/>
                      <m:e/>
                    </m:nary>
                    <m:r>
                      <w:rPr>
                        <w:rFonts w:ascii="Cambria Math" w:hAnsi="Cambria Math"/>
                      </w:rPr>
                      <m:t>(</m:t>
                    </m:r>
                    <m:r>
                      <w:rPr>
                        <w:rFonts w:ascii="Cambria Math" w:eastAsia="Cambria" w:hAnsi="Cambria Math" w:cs="Cambria"/>
                      </w:rPr>
                      <m:t>tp+tn+fp+fn</m:t>
                    </m:r>
                    <m:r>
                      <w:rPr>
                        <w:rFonts w:ascii="Cambria Math" w:hAnsi="Cambria Math"/>
                      </w:rPr>
                      <m:t>)</m:t>
                    </m:r>
                  </m:den>
                </m:f>
                <m:r>
                  <w:rPr>
                    <w:rFonts w:ascii="Cambria Math" w:eastAsia="Cambria" w:hAnsi="Cambria Math" w:cs="Cambria"/>
                  </w:rPr>
                  <m:t xml:space="preserve">*100 </m:t>
                </m:r>
              </m:oMath>
            </m:oMathPara>
          </w:p>
        </w:tc>
        <w:tc>
          <w:tcPr>
            <w:tcW w:w="466" w:type="dxa"/>
          </w:tcPr>
          <w:p w14:paraId="5A80A362" w14:textId="02A14239" w:rsidR="00FB6B9A" w:rsidRDefault="00FB6B9A" w:rsidP="001F5BDE">
            <w:r>
              <w:t>(7)</w:t>
            </w:r>
          </w:p>
        </w:tc>
      </w:tr>
    </w:tbl>
    <w:p w14:paraId="42FBCA9A" w14:textId="77777777" w:rsidR="00563AD0" w:rsidRPr="00563AD0" w:rsidRDefault="00563AD0" w:rsidP="00FB6B9A">
      <w:pPr>
        <w:rPr>
          <w:sz w:val="15"/>
        </w:rPr>
      </w:pPr>
    </w:p>
    <w:p w14:paraId="0D5DFDA7" w14:textId="416548D9" w:rsidR="00036EE2" w:rsidRPr="000171FE" w:rsidRDefault="00036EE2" w:rsidP="00FB6B9A">
      <w:r w:rsidRPr="000171FE">
        <w:t xml:space="preserve">where </w:t>
      </w:r>
      <m:oMath>
        <m:r>
          <w:rPr>
            <w:rFonts w:ascii="Cambria Math" w:eastAsia="Cambria" w:hAnsi="Cambria Math" w:cs="Cambria"/>
          </w:rPr>
          <m:t>tp</m:t>
        </m:r>
      </m:oMath>
      <w:r w:rsidRPr="000171FE">
        <w:t xml:space="preserve">, </w:t>
      </w:r>
      <m:oMath>
        <m:r>
          <w:rPr>
            <w:rFonts w:ascii="Cambria Math" w:eastAsia="Cambria" w:hAnsi="Cambria Math" w:cs="Cambria"/>
          </w:rPr>
          <m:t>tn</m:t>
        </m:r>
      </m:oMath>
      <w:r w:rsidRPr="000171FE">
        <w:t xml:space="preserve">, </w:t>
      </w:r>
      <m:oMath>
        <m:r>
          <w:rPr>
            <w:rFonts w:ascii="Cambria Math" w:eastAsia="Cambria" w:hAnsi="Cambria Math" w:cs="Cambria"/>
          </w:rPr>
          <m:t>fp</m:t>
        </m:r>
      </m:oMath>
      <w:r w:rsidRPr="000171FE">
        <w:t xml:space="preserve"> and </w:t>
      </w:r>
      <m:oMath>
        <m:r>
          <w:rPr>
            <w:rFonts w:ascii="Cambria Math" w:eastAsia="Cambria" w:hAnsi="Cambria Math" w:cs="Cambria"/>
          </w:rPr>
          <m:t>fn</m:t>
        </m:r>
      </m:oMath>
      <w:r w:rsidRPr="000171FE">
        <w:t xml:space="preserve"> are true positives, true negatives, false positives and false negatives respectively.</w:t>
      </w:r>
    </w:p>
    <w:p w14:paraId="5552C413" w14:textId="3851B4F7" w:rsidR="00036EE2" w:rsidRPr="00FB6B9A" w:rsidRDefault="000171FE" w:rsidP="00FB6B9A">
      <w:pPr>
        <w:widowControl/>
        <w:autoSpaceDE/>
        <w:autoSpaceDN/>
        <w:adjustRightInd/>
        <w:spacing w:before="100" w:beforeAutospacing="1" w:after="120" w:line="240" w:lineRule="auto"/>
        <w:jc w:val="center"/>
        <w:rPr>
          <w:rFonts w:eastAsia="Times New Roman"/>
          <w:b/>
          <w:color w:val="auto"/>
          <w:sz w:val="20"/>
          <w:szCs w:val="20"/>
          <w:lang w:eastAsia="en-US"/>
        </w:rPr>
      </w:pPr>
      <w:r w:rsidRPr="00036EE2">
        <w:rPr>
          <w:rFonts w:ascii="Times New Roman,Bold" w:eastAsia="Times New Roman" w:hAnsi="Times New Roman,Bold"/>
          <w:b/>
          <w:color w:val="auto"/>
          <w:sz w:val="20"/>
          <w:szCs w:val="20"/>
          <w:lang w:eastAsia="en-US"/>
        </w:rPr>
        <w:lastRenderedPageBreak/>
        <w:t xml:space="preserve">Table 1. </w:t>
      </w:r>
      <w:r w:rsidRPr="00036EE2">
        <w:rPr>
          <w:rFonts w:eastAsia="Times New Roman"/>
          <w:b/>
          <w:color w:val="auto"/>
          <w:sz w:val="20"/>
          <w:szCs w:val="20"/>
          <w:lang w:eastAsia="en-US"/>
        </w:rPr>
        <w:t>Results when comparing pixels-based model SRDAS with GCCS</w:t>
      </w:r>
    </w:p>
    <w:tbl>
      <w:tblPr>
        <w:tblW w:w="7080" w:type="dxa"/>
        <w:tblInd w:w="1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1770"/>
        <w:gridCol w:w="1770"/>
        <w:gridCol w:w="1770"/>
      </w:tblGrid>
      <w:tr w:rsidR="000171FE" w:rsidRPr="000171FE" w14:paraId="5E098B59" w14:textId="77777777" w:rsidTr="00563AD0">
        <w:trPr>
          <w:trHeight w:val="379"/>
        </w:trPr>
        <w:tc>
          <w:tcPr>
            <w:tcW w:w="1770" w:type="dxa"/>
            <w:shd w:val="clear" w:color="auto" w:fill="B7B7B7"/>
            <w:tcMar>
              <w:top w:w="100" w:type="dxa"/>
              <w:left w:w="100" w:type="dxa"/>
              <w:bottom w:w="100" w:type="dxa"/>
              <w:right w:w="100" w:type="dxa"/>
            </w:tcMar>
          </w:tcPr>
          <w:p w14:paraId="24F6DD1D" w14:textId="77777777" w:rsidR="000171FE" w:rsidRPr="000171FE" w:rsidRDefault="000171FE" w:rsidP="00563AD0">
            <w:pPr>
              <w:pBdr>
                <w:top w:val="nil"/>
                <w:left w:val="nil"/>
                <w:bottom w:val="nil"/>
                <w:right w:val="nil"/>
                <w:between w:val="nil"/>
              </w:pBdr>
              <w:spacing w:line="240" w:lineRule="auto"/>
              <w:rPr>
                <w:b/>
              </w:rPr>
            </w:pPr>
            <w:r w:rsidRPr="000171FE">
              <w:rPr>
                <w:b/>
              </w:rPr>
              <w:t>Method</w:t>
            </w:r>
          </w:p>
        </w:tc>
        <w:tc>
          <w:tcPr>
            <w:tcW w:w="1770" w:type="dxa"/>
            <w:shd w:val="clear" w:color="auto" w:fill="B7B7B7"/>
            <w:tcMar>
              <w:top w:w="100" w:type="dxa"/>
              <w:left w:w="100" w:type="dxa"/>
              <w:bottom w:w="100" w:type="dxa"/>
              <w:right w:w="100" w:type="dxa"/>
            </w:tcMar>
          </w:tcPr>
          <w:p w14:paraId="2D8D7801" w14:textId="77777777" w:rsidR="000171FE" w:rsidRPr="000171FE" w:rsidRDefault="000171FE" w:rsidP="00563AD0">
            <w:pPr>
              <w:pBdr>
                <w:top w:val="nil"/>
                <w:left w:val="nil"/>
                <w:bottom w:val="nil"/>
                <w:right w:val="nil"/>
                <w:between w:val="nil"/>
              </w:pBdr>
              <w:spacing w:line="240" w:lineRule="auto"/>
              <w:rPr>
                <w:b/>
              </w:rPr>
            </w:pPr>
            <w:r w:rsidRPr="000171FE">
              <w:rPr>
                <w:b/>
              </w:rPr>
              <w:t>Avg. Runtime</w:t>
            </w:r>
          </w:p>
        </w:tc>
        <w:tc>
          <w:tcPr>
            <w:tcW w:w="1770" w:type="dxa"/>
            <w:shd w:val="clear" w:color="auto" w:fill="B7B7B7"/>
            <w:tcMar>
              <w:top w:w="100" w:type="dxa"/>
              <w:left w:w="100" w:type="dxa"/>
              <w:bottom w:w="100" w:type="dxa"/>
              <w:right w:w="100" w:type="dxa"/>
            </w:tcMar>
          </w:tcPr>
          <w:p w14:paraId="2741895E" w14:textId="77777777" w:rsidR="000171FE" w:rsidRPr="000171FE" w:rsidRDefault="000171FE" w:rsidP="00563AD0">
            <w:pPr>
              <w:pBdr>
                <w:top w:val="nil"/>
                <w:left w:val="nil"/>
                <w:bottom w:val="nil"/>
                <w:right w:val="nil"/>
                <w:between w:val="nil"/>
              </w:pBdr>
              <w:spacing w:line="240" w:lineRule="auto"/>
              <w:rPr>
                <w:b/>
              </w:rPr>
            </w:pPr>
            <w:r w:rsidRPr="000171FE">
              <w:rPr>
                <w:b/>
              </w:rPr>
              <w:t>Avg. Accuracy</w:t>
            </w:r>
          </w:p>
        </w:tc>
        <w:tc>
          <w:tcPr>
            <w:tcW w:w="1770" w:type="dxa"/>
            <w:shd w:val="clear" w:color="auto" w:fill="B7B7B7"/>
            <w:tcMar>
              <w:top w:w="100" w:type="dxa"/>
              <w:left w:w="100" w:type="dxa"/>
              <w:bottom w:w="100" w:type="dxa"/>
              <w:right w:w="100" w:type="dxa"/>
            </w:tcMar>
          </w:tcPr>
          <w:p w14:paraId="183FAE2C" w14:textId="77777777" w:rsidR="000171FE" w:rsidRPr="000171FE" w:rsidRDefault="000171FE" w:rsidP="00563AD0">
            <w:pPr>
              <w:pBdr>
                <w:top w:val="nil"/>
                <w:left w:val="nil"/>
                <w:bottom w:val="nil"/>
                <w:right w:val="nil"/>
                <w:between w:val="nil"/>
              </w:pBdr>
              <w:spacing w:line="240" w:lineRule="auto"/>
              <w:rPr>
                <w:b/>
              </w:rPr>
            </w:pPr>
            <w:r w:rsidRPr="000171FE">
              <w:rPr>
                <w:b/>
              </w:rPr>
              <w:t>Max Accuracy</w:t>
            </w:r>
          </w:p>
        </w:tc>
      </w:tr>
      <w:tr w:rsidR="000171FE" w:rsidRPr="000171FE" w14:paraId="3029F6E6" w14:textId="77777777" w:rsidTr="00FB6B9A">
        <w:trPr>
          <w:trHeight w:val="127"/>
        </w:trPr>
        <w:tc>
          <w:tcPr>
            <w:tcW w:w="1770" w:type="dxa"/>
            <w:shd w:val="clear" w:color="auto" w:fill="B7B7B7"/>
            <w:tcMar>
              <w:top w:w="100" w:type="dxa"/>
              <w:left w:w="100" w:type="dxa"/>
              <w:bottom w:w="100" w:type="dxa"/>
              <w:right w:w="100" w:type="dxa"/>
            </w:tcMar>
          </w:tcPr>
          <w:p w14:paraId="2F33CC78" w14:textId="77777777" w:rsidR="000171FE" w:rsidRPr="000171FE" w:rsidRDefault="000171FE" w:rsidP="00563AD0">
            <w:pPr>
              <w:pBdr>
                <w:top w:val="nil"/>
                <w:left w:val="nil"/>
                <w:bottom w:val="nil"/>
                <w:right w:val="nil"/>
                <w:between w:val="nil"/>
              </w:pBdr>
              <w:spacing w:line="240" w:lineRule="auto"/>
            </w:pPr>
            <w:r w:rsidRPr="000171FE">
              <w:t>SRDAS</w:t>
            </w:r>
          </w:p>
        </w:tc>
        <w:tc>
          <w:tcPr>
            <w:tcW w:w="1770" w:type="dxa"/>
            <w:shd w:val="clear" w:color="auto" w:fill="auto"/>
            <w:tcMar>
              <w:top w:w="100" w:type="dxa"/>
              <w:left w:w="100" w:type="dxa"/>
              <w:bottom w:w="100" w:type="dxa"/>
              <w:right w:w="100" w:type="dxa"/>
            </w:tcMar>
          </w:tcPr>
          <w:p w14:paraId="7137EA16" w14:textId="77777777" w:rsidR="000171FE" w:rsidRPr="000171FE" w:rsidRDefault="000171FE" w:rsidP="00563AD0">
            <w:pPr>
              <w:pBdr>
                <w:top w:val="nil"/>
                <w:left w:val="nil"/>
                <w:bottom w:val="nil"/>
                <w:right w:val="nil"/>
                <w:between w:val="nil"/>
              </w:pBdr>
              <w:spacing w:line="240" w:lineRule="auto"/>
            </w:pPr>
            <w:r w:rsidRPr="000171FE">
              <w:t>32.73 secs</w:t>
            </w:r>
          </w:p>
        </w:tc>
        <w:tc>
          <w:tcPr>
            <w:tcW w:w="1770" w:type="dxa"/>
            <w:shd w:val="clear" w:color="auto" w:fill="auto"/>
            <w:tcMar>
              <w:top w:w="100" w:type="dxa"/>
              <w:left w:w="100" w:type="dxa"/>
              <w:bottom w:w="100" w:type="dxa"/>
              <w:right w:w="100" w:type="dxa"/>
            </w:tcMar>
          </w:tcPr>
          <w:p w14:paraId="091C4DAC" w14:textId="77777777" w:rsidR="000171FE" w:rsidRPr="000171FE" w:rsidRDefault="000171FE" w:rsidP="00563AD0">
            <w:pPr>
              <w:pBdr>
                <w:top w:val="nil"/>
                <w:left w:val="nil"/>
                <w:bottom w:val="nil"/>
                <w:right w:val="nil"/>
                <w:between w:val="nil"/>
              </w:pBdr>
              <w:spacing w:line="240" w:lineRule="auto"/>
            </w:pPr>
            <w:r w:rsidRPr="000171FE">
              <w:t>74.19%</w:t>
            </w:r>
          </w:p>
        </w:tc>
        <w:tc>
          <w:tcPr>
            <w:tcW w:w="1770" w:type="dxa"/>
            <w:shd w:val="clear" w:color="auto" w:fill="auto"/>
            <w:tcMar>
              <w:top w:w="100" w:type="dxa"/>
              <w:left w:w="100" w:type="dxa"/>
              <w:bottom w:w="100" w:type="dxa"/>
              <w:right w:w="100" w:type="dxa"/>
            </w:tcMar>
          </w:tcPr>
          <w:p w14:paraId="1DDC86BE" w14:textId="77777777" w:rsidR="000171FE" w:rsidRPr="000171FE" w:rsidRDefault="000171FE" w:rsidP="00563AD0">
            <w:pPr>
              <w:pBdr>
                <w:top w:val="nil"/>
                <w:left w:val="nil"/>
                <w:bottom w:val="nil"/>
                <w:right w:val="nil"/>
                <w:between w:val="nil"/>
              </w:pBdr>
              <w:spacing w:line="240" w:lineRule="auto"/>
            </w:pPr>
            <w:r w:rsidRPr="000171FE">
              <w:t>96.12%</w:t>
            </w:r>
          </w:p>
        </w:tc>
      </w:tr>
      <w:tr w:rsidR="000171FE" w:rsidRPr="000171FE" w14:paraId="62F64B32" w14:textId="77777777" w:rsidTr="00FB6B9A">
        <w:trPr>
          <w:trHeight w:val="43"/>
        </w:trPr>
        <w:tc>
          <w:tcPr>
            <w:tcW w:w="1770" w:type="dxa"/>
            <w:shd w:val="clear" w:color="auto" w:fill="B7B7B7"/>
            <w:tcMar>
              <w:top w:w="100" w:type="dxa"/>
              <w:left w:w="100" w:type="dxa"/>
              <w:bottom w:w="100" w:type="dxa"/>
              <w:right w:w="100" w:type="dxa"/>
            </w:tcMar>
          </w:tcPr>
          <w:p w14:paraId="54F1A128" w14:textId="77777777" w:rsidR="000171FE" w:rsidRPr="000171FE" w:rsidRDefault="000171FE" w:rsidP="00563AD0">
            <w:pPr>
              <w:pBdr>
                <w:top w:val="nil"/>
                <w:left w:val="nil"/>
                <w:bottom w:val="nil"/>
                <w:right w:val="nil"/>
                <w:between w:val="nil"/>
              </w:pBdr>
              <w:spacing w:line="240" w:lineRule="auto"/>
            </w:pPr>
            <w:r w:rsidRPr="000171FE">
              <w:t>GCCS</w:t>
            </w:r>
          </w:p>
        </w:tc>
        <w:tc>
          <w:tcPr>
            <w:tcW w:w="1770" w:type="dxa"/>
            <w:shd w:val="clear" w:color="auto" w:fill="auto"/>
            <w:tcMar>
              <w:top w:w="100" w:type="dxa"/>
              <w:left w:w="100" w:type="dxa"/>
              <w:bottom w:w="100" w:type="dxa"/>
              <w:right w:w="100" w:type="dxa"/>
            </w:tcMar>
          </w:tcPr>
          <w:p w14:paraId="012722CC" w14:textId="07E9C794" w:rsidR="000171FE" w:rsidRPr="000171FE" w:rsidRDefault="000171FE" w:rsidP="00563AD0">
            <w:pPr>
              <w:pBdr>
                <w:top w:val="nil"/>
                <w:left w:val="nil"/>
                <w:bottom w:val="nil"/>
                <w:right w:val="nil"/>
                <w:between w:val="nil"/>
              </w:pBdr>
              <w:spacing w:line="240" w:lineRule="auto"/>
            </w:pPr>
            <w:r w:rsidRPr="000171FE">
              <w:t>34 secs</w:t>
            </w:r>
          </w:p>
        </w:tc>
        <w:tc>
          <w:tcPr>
            <w:tcW w:w="1770" w:type="dxa"/>
            <w:shd w:val="clear" w:color="auto" w:fill="auto"/>
            <w:tcMar>
              <w:top w:w="100" w:type="dxa"/>
              <w:left w:w="100" w:type="dxa"/>
              <w:bottom w:w="100" w:type="dxa"/>
              <w:right w:w="100" w:type="dxa"/>
            </w:tcMar>
          </w:tcPr>
          <w:p w14:paraId="440CE738" w14:textId="150CFDD1" w:rsidR="000171FE" w:rsidRPr="000171FE" w:rsidRDefault="000171FE" w:rsidP="00563AD0">
            <w:pPr>
              <w:pBdr>
                <w:top w:val="nil"/>
                <w:left w:val="nil"/>
                <w:bottom w:val="nil"/>
                <w:right w:val="nil"/>
                <w:between w:val="nil"/>
              </w:pBdr>
              <w:spacing w:line="240" w:lineRule="auto"/>
            </w:pPr>
            <w:r w:rsidRPr="000171FE">
              <w:t>76.69%</w:t>
            </w:r>
          </w:p>
        </w:tc>
        <w:tc>
          <w:tcPr>
            <w:tcW w:w="1770" w:type="dxa"/>
            <w:shd w:val="clear" w:color="auto" w:fill="auto"/>
            <w:tcMar>
              <w:top w:w="100" w:type="dxa"/>
              <w:left w:w="100" w:type="dxa"/>
              <w:bottom w:w="100" w:type="dxa"/>
              <w:right w:w="100" w:type="dxa"/>
            </w:tcMar>
          </w:tcPr>
          <w:p w14:paraId="29880A0D" w14:textId="77777777" w:rsidR="000171FE" w:rsidRPr="000171FE" w:rsidRDefault="000171FE" w:rsidP="00563AD0">
            <w:pPr>
              <w:pBdr>
                <w:top w:val="nil"/>
                <w:left w:val="nil"/>
                <w:bottom w:val="nil"/>
                <w:right w:val="nil"/>
                <w:between w:val="nil"/>
              </w:pBdr>
              <w:spacing w:line="240" w:lineRule="auto"/>
            </w:pPr>
            <w:r w:rsidRPr="000171FE">
              <w:t>99.08%</w:t>
            </w:r>
          </w:p>
        </w:tc>
      </w:tr>
    </w:tbl>
    <w:p w14:paraId="1AFEF1BA" w14:textId="77777777" w:rsidR="00563AD0" w:rsidRDefault="00563AD0" w:rsidP="005E35FD">
      <w:pPr>
        <w:pStyle w:val="NormalWeb"/>
        <w:spacing w:before="0" w:beforeAutospacing="0" w:after="0" w:afterAutospacing="0" w:line="276" w:lineRule="auto"/>
        <w:jc w:val="both"/>
        <w:rPr>
          <w:sz w:val="21"/>
          <w:szCs w:val="21"/>
        </w:rPr>
      </w:pPr>
    </w:p>
    <w:p w14:paraId="777FFB34" w14:textId="4D923DBF" w:rsidR="00563AD0" w:rsidRDefault="00036EE2" w:rsidP="005E35FD">
      <w:pPr>
        <w:pStyle w:val="NormalWeb"/>
        <w:spacing w:before="0" w:beforeAutospacing="0" w:after="0" w:afterAutospacing="0" w:line="276" w:lineRule="auto"/>
        <w:jc w:val="both"/>
        <w:rPr>
          <w:sz w:val="21"/>
          <w:szCs w:val="21"/>
        </w:rPr>
      </w:pPr>
      <w:r w:rsidRPr="000171FE">
        <w:rPr>
          <w:sz w:val="21"/>
          <w:szCs w:val="21"/>
        </w:rPr>
        <w:t>In computing accuracy, each saliency map was transformed into a binary mask image format using the Matlab impl</w:t>
      </w:r>
      <w:r w:rsidR="001F5BDE">
        <w:rPr>
          <w:sz w:val="21"/>
          <w:szCs w:val="21"/>
        </w:rPr>
        <w:t xml:space="preserve">ementation of Otsu’s method </w:t>
      </w:r>
      <w:r w:rsidR="001F5BDE">
        <w:rPr>
          <w:sz w:val="20"/>
          <w:szCs w:val="20"/>
        </w:rPr>
        <w:t>[Otsu et al., 1979]</w:t>
      </w:r>
      <w:r w:rsidRPr="000171FE">
        <w:rPr>
          <w:sz w:val="21"/>
          <w:szCs w:val="21"/>
        </w:rPr>
        <w:t xml:space="preserve">, which computes a global image threshold to minimize the variance of thresholded black and white pixels/regions. As seen in Table 1, the proposed algorithm (GCCS) had a higher average accuracy across the dataset of 76.69%, compared with 74.19% achieved by SRDAS. While this result was encouraging, the recorded average run-time of 34 seconds could not be considered for implementation on a robotic platform within a dynamic environment. With this observation, the algorithm was adapted to process regions rather than pixels. To obtain the best accuracy in real-time, we varied the number of super-pixels per image across the </w:t>
      </w:r>
      <w:proofErr w:type="gramStart"/>
      <w:r w:rsidRPr="000171FE">
        <w:rPr>
          <w:sz w:val="21"/>
          <w:szCs w:val="21"/>
        </w:rPr>
        <w:t>dataset, and</w:t>
      </w:r>
      <w:proofErr w:type="gramEnd"/>
      <w:r w:rsidRPr="000171FE">
        <w:rPr>
          <w:sz w:val="21"/>
          <w:szCs w:val="21"/>
        </w:rPr>
        <w:t xml:space="preserve"> recorded the average processing time alongside the achieved accuracy. Figure 2 shows the results of the completed study, with the selected number of super-pixels being 100, 250, 500, 750 and 1000 respectively. The recorded accuracies range from 70.5% to 81.1%, however, increase in accuracy comes at a cost to efficiency. Based on the results presented in Figure 3, each image was segmented into 500 super-pixels as this yields a very respectable average accuracy of 78.3% at a small cost to processing time.</w:t>
      </w:r>
    </w:p>
    <w:p w14:paraId="71B3B9B9" w14:textId="40B2F360" w:rsidR="00563AD0" w:rsidRDefault="00036EE2" w:rsidP="00A870EE">
      <w:pPr>
        <w:pStyle w:val="NormalWeb"/>
        <w:spacing w:before="0" w:beforeAutospacing="0" w:after="0" w:afterAutospacing="0" w:line="276" w:lineRule="auto"/>
        <w:ind w:firstLine="567"/>
        <w:jc w:val="both"/>
        <w:rPr>
          <w:sz w:val="21"/>
          <w:szCs w:val="21"/>
        </w:rPr>
      </w:pPr>
      <w:r w:rsidRPr="000171FE">
        <w:rPr>
          <w:sz w:val="21"/>
          <w:szCs w:val="21"/>
        </w:rPr>
        <w:t xml:space="preserve">The implemented region-based algorithm was evaluated against two state-of-the-art saliency detection methods. For a fair comparison, SRDAS was also implemented with SLIC. As can be seen in Table 2, the proposed approach incorporating SLIC (GCCS_SLIC) performs very well when considering the trade-off between accuracy and computational efficiency. FES recorded the fastest average runtime at 0.4 seconds, with the GCCS_SLIC algorithm closely following at 0.75 seconds. What should be noted is that GCCS_SLIC outperforms FES when considering average accuracy, with an increase of 13.8%. DCT recorded the highest average accuracy across the dataset, at an average cost of 1.74 seconds per image. When calculating the maximum accuracy, i.e. the percentage of each salient object that was correctly segmented by the algorithm, both proposed approaches, GCCS </w:t>
      </w:r>
      <w:r w:rsidRPr="000171FE">
        <w:rPr>
          <w:rFonts w:ascii="Times New Roman,Italic" w:hAnsi="Times New Roman,Italic"/>
          <w:sz w:val="21"/>
          <w:szCs w:val="21"/>
        </w:rPr>
        <w:t xml:space="preserve">(pixel-level) </w:t>
      </w:r>
      <w:r w:rsidRPr="000171FE">
        <w:rPr>
          <w:sz w:val="21"/>
          <w:szCs w:val="21"/>
        </w:rPr>
        <w:t xml:space="preserve">and GCCS_SLIC </w:t>
      </w:r>
      <w:r w:rsidRPr="000171FE">
        <w:rPr>
          <w:rFonts w:ascii="Times New Roman,Italic" w:hAnsi="Times New Roman,Italic"/>
          <w:sz w:val="21"/>
          <w:szCs w:val="21"/>
        </w:rPr>
        <w:t xml:space="preserve">(region- level) </w:t>
      </w:r>
      <w:r w:rsidRPr="000171FE">
        <w:rPr>
          <w:sz w:val="21"/>
          <w:szCs w:val="21"/>
        </w:rPr>
        <w:t xml:space="preserve">performed best obtaining maximum accuracies of 99.08% and 98.99% respectively. </w:t>
      </w:r>
    </w:p>
    <w:p w14:paraId="70967D9D" w14:textId="77777777" w:rsidR="00A870EE" w:rsidRPr="00915FBD" w:rsidRDefault="00A870EE" w:rsidP="00A870EE">
      <w:pPr>
        <w:widowControl/>
        <w:autoSpaceDE/>
        <w:autoSpaceDN/>
        <w:adjustRightInd/>
        <w:spacing w:before="100" w:beforeAutospacing="1" w:after="120" w:line="240" w:lineRule="auto"/>
        <w:jc w:val="center"/>
        <w:textDirection w:val="btLr"/>
        <w:rPr>
          <w:rFonts w:eastAsia="Times New Roman"/>
          <w:b/>
          <w:color w:val="auto"/>
          <w:sz w:val="20"/>
          <w:szCs w:val="20"/>
          <w:lang w:eastAsia="en-US"/>
        </w:rPr>
      </w:pPr>
      <w:r w:rsidRPr="00915FBD">
        <w:rPr>
          <w:rFonts w:eastAsia="Times New Roman"/>
          <w:b/>
          <w:color w:val="auto"/>
          <w:sz w:val="20"/>
          <w:szCs w:val="20"/>
          <w:lang w:eastAsia="en-US"/>
        </w:rPr>
        <w:t>Table 2. Results when comparing region-based models FES, DCT, SRDAS_SLIC with GCCS_SLIC</w:t>
      </w:r>
    </w:p>
    <w:tbl>
      <w:tblPr>
        <w:tblW w:w="7637" w:type="dxa"/>
        <w:tblInd w:w="9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72"/>
        <w:gridCol w:w="1917"/>
        <w:gridCol w:w="2051"/>
        <w:gridCol w:w="1997"/>
      </w:tblGrid>
      <w:tr w:rsidR="00A870EE" w:rsidRPr="000171FE" w14:paraId="2A758DD2" w14:textId="77777777" w:rsidTr="0081264B">
        <w:trPr>
          <w:trHeight w:val="379"/>
        </w:trPr>
        <w:tc>
          <w:tcPr>
            <w:tcW w:w="1672" w:type="dxa"/>
            <w:shd w:val="clear" w:color="auto" w:fill="B7B7B7"/>
            <w:tcMar>
              <w:top w:w="100" w:type="dxa"/>
              <w:left w:w="100" w:type="dxa"/>
              <w:bottom w:w="100" w:type="dxa"/>
              <w:right w:w="100" w:type="dxa"/>
            </w:tcMar>
          </w:tcPr>
          <w:p w14:paraId="585DF0E9" w14:textId="77777777" w:rsidR="00A870EE" w:rsidRPr="000171FE" w:rsidRDefault="00A870EE" w:rsidP="0081264B">
            <w:pPr>
              <w:spacing w:line="240" w:lineRule="auto"/>
              <w:jc w:val="center"/>
              <w:rPr>
                <w:b/>
              </w:rPr>
            </w:pPr>
            <w:r w:rsidRPr="000171FE">
              <w:rPr>
                <w:b/>
              </w:rPr>
              <w:t>Method</w:t>
            </w:r>
          </w:p>
        </w:tc>
        <w:tc>
          <w:tcPr>
            <w:tcW w:w="1917" w:type="dxa"/>
            <w:shd w:val="clear" w:color="auto" w:fill="B7B7B7"/>
            <w:tcMar>
              <w:top w:w="100" w:type="dxa"/>
              <w:left w:w="100" w:type="dxa"/>
              <w:bottom w:w="100" w:type="dxa"/>
              <w:right w:w="100" w:type="dxa"/>
            </w:tcMar>
          </w:tcPr>
          <w:p w14:paraId="26F004AB" w14:textId="77777777" w:rsidR="00A870EE" w:rsidRPr="000171FE" w:rsidRDefault="00A870EE" w:rsidP="0081264B">
            <w:pPr>
              <w:spacing w:line="240" w:lineRule="auto"/>
              <w:jc w:val="center"/>
              <w:rPr>
                <w:b/>
              </w:rPr>
            </w:pPr>
            <w:r w:rsidRPr="000171FE">
              <w:rPr>
                <w:b/>
              </w:rPr>
              <w:t>Avg. Runtime</w:t>
            </w:r>
          </w:p>
        </w:tc>
        <w:tc>
          <w:tcPr>
            <w:tcW w:w="2051" w:type="dxa"/>
            <w:shd w:val="clear" w:color="auto" w:fill="B7B7B7"/>
            <w:tcMar>
              <w:top w:w="100" w:type="dxa"/>
              <w:left w:w="100" w:type="dxa"/>
              <w:bottom w:w="100" w:type="dxa"/>
              <w:right w:w="100" w:type="dxa"/>
            </w:tcMar>
          </w:tcPr>
          <w:p w14:paraId="60EFEEC8" w14:textId="77777777" w:rsidR="00A870EE" w:rsidRPr="000171FE" w:rsidRDefault="00A870EE" w:rsidP="0081264B">
            <w:pPr>
              <w:spacing w:line="240" w:lineRule="auto"/>
              <w:jc w:val="center"/>
              <w:rPr>
                <w:b/>
              </w:rPr>
            </w:pPr>
            <w:r w:rsidRPr="000171FE">
              <w:rPr>
                <w:b/>
              </w:rPr>
              <w:t>Avg. Accuracy</w:t>
            </w:r>
          </w:p>
        </w:tc>
        <w:tc>
          <w:tcPr>
            <w:tcW w:w="1997" w:type="dxa"/>
            <w:shd w:val="clear" w:color="auto" w:fill="B7B7B7"/>
            <w:tcMar>
              <w:top w:w="100" w:type="dxa"/>
              <w:left w:w="100" w:type="dxa"/>
              <w:bottom w:w="100" w:type="dxa"/>
              <w:right w:w="100" w:type="dxa"/>
            </w:tcMar>
          </w:tcPr>
          <w:p w14:paraId="6FA8669D" w14:textId="77777777" w:rsidR="00A870EE" w:rsidRPr="000171FE" w:rsidRDefault="00A870EE" w:rsidP="0081264B">
            <w:pPr>
              <w:spacing w:line="240" w:lineRule="auto"/>
              <w:jc w:val="center"/>
              <w:rPr>
                <w:b/>
              </w:rPr>
            </w:pPr>
            <w:r w:rsidRPr="000171FE">
              <w:rPr>
                <w:b/>
              </w:rPr>
              <w:t>Max Accuracy</w:t>
            </w:r>
          </w:p>
        </w:tc>
      </w:tr>
      <w:tr w:rsidR="00A870EE" w:rsidRPr="000171FE" w14:paraId="4F46DE85" w14:textId="77777777" w:rsidTr="0081264B">
        <w:trPr>
          <w:trHeight w:val="42"/>
        </w:trPr>
        <w:tc>
          <w:tcPr>
            <w:tcW w:w="1672" w:type="dxa"/>
            <w:shd w:val="clear" w:color="auto" w:fill="B7B7B7"/>
            <w:tcMar>
              <w:top w:w="100" w:type="dxa"/>
              <w:left w:w="100" w:type="dxa"/>
              <w:bottom w:w="100" w:type="dxa"/>
              <w:right w:w="100" w:type="dxa"/>
            </w:tcMar>
          </w:tcPr>
          <w:p w14:paraId="7ACE83A2" w14:textId="77777777" w:rsidR="00A870EE" w:rsidRPr="000171FE" w:rsidRDefault="00A870EE" w:rsidP="0081264B">
            <w:pPr>
              <w:pBdr>
                <w:top w:val="nil"/>
                <w:left w:val="nil"/>
                <w:bottom w:val="nil"/>
                <w:right w:val="nil"/>
                <w:between w:val="nil"/>
              </w:pBdr>
              <w:spacing w:line="240" w:lineRule="auto"/>
              <w:jc w:val="center"/>
            </w:pPr>
            <w:r w:rsidRPr="000171FE">
              <w:t>FES</w:t>
            </w:r>
          </w:p>
        </w:tc>
        <w:tc>
          <w:tcPr>
            <w:tcW w:w="1917" w:type="dxa"/>
            <w:shd w:val="clear" w:color="auto" w:fill="auto"/>
            <w:tcMar>
              <w:top w:w="100" w:type="dxa"/>
              <w:left w:w="100" w:type="dxa"/>
              <w:bottom w:w="100" w:type="dxa"/>
              <w:right w:w="100" w:type="dxa"/>
            </w:tcMar>
          </w:tcPr>
          <w:p w14:paraId="5F9CCF97" w14:textId="77777777" w:rsidR="00A870EE" w:rsidRPr="000171FE" w:rsidRDefault="00A870EE" w:rsidP="0081264B">
            <w:pPr>
              <w:pBdr>
                <w:top w:val="nil"/>
                <w:left w:val="nil"/>
                <w:bottom w:val="nil"/>
                <w:right w:val="nil"/>
                <w:between w:val="nil"/>
              </w:pBdr>
              <w:spacing w:line="240" w:lineRule="auto"/>
              <w:jc w:val="center"/>
            </w:pPr>
            <w:r w:rsidRPr="000171FE">
              <w:t>0.4 secs.</w:t>
            </w:r>
          </w:p>
        </w:tc>
        <w:tc>
          <w:tcPr>
            <w:tcW w:w="2051" w:type="dxa"/>
            <w:shd w:val="clear" w:color="auto" w:fill="auto"/>
            <w:tcMar>
              <w:top w:w="100" w:type="dxa"/>
              <w:left w:w="100" w:type="dxa"/>
              <w:bottom w:w="100" w:type="dxa"/>
              <w:right w:w="100" w:type="dxa"/>
            </w:tcMar>
          </w:tcPr>
          <w:p w14:paraId="1DD4C9DF" w14:textId="77777777" w:rsidR="00A870EE" w:rsidRPr="000171FE" w:rsidRDefault="00A870EE" w:rsidP="0081264B">
            <w:pPr>
              <w:pBdr>
                <w:top w:val="nil"/>
                <w:left w:val="nil"/>
                <w:bottom w:val="nil"/>
                <w:right w:val="nil"/>
                <w:between w:val="nil"/>
              </w:pBdr>
              <w:spacing w:line="240" w:lineRule="auto"/>
              <w:jc w:val="center"/>
            </w:pPr>
            <w:r w:rsidRPr="000171FE">
              <w:t>64.5%</w:t>
            </w:r>
          </w:p>
        </w:tc>
        <w:tc>
          <w:tcPr>
            <w:tcW w:w="1997" w:type="dxa"/>
            <w:shd w:val="clear" w:color="auto" w:fill="auto"/>
            <w:tcMar>
              <w:top w:w="100" w:type="dxa"/>
              <w:left w:w="100" w:type="dxa"/>
              <w:bottom w:w="100" w:type="dxa"/>
              <w:right w:w="100" w:type="dxa"/>
            </w:tcMar>
          </w:tcPr>
          <w:p w14:paraId="075126B7" w14:textId="77777777" w:rsidR="00A870EE" w:rsidRPr="000171FE" w:rsidRDefault="00A870EE" w:rsidP="0081264B">
            <w:pPr>
              <w:pBdr>
                <w:top w:val="nil"/>
                <w:left w:val="nil"/>
                <w:bottom w:val="nil"/>
                <w:right w:val="nil"/>
                <w:between w:val="nil"/>
              </w:pBdr>
              <w:spacing w:line="240" w:lineRule="auto"/>
              <w:jc w:val="center"/>
            </w:pPr>
            <w:r w:rsidRPr="000171FE">
              <w:t>95.18%</w:t>
            </w:r>
          </w:p>
        </w:tc>
      </w:tr>
      <w:tr w:rsidR="00A870EE" w:rsidRPr="000171FE" w14:paraId="7648BFFB" w14:textId="77777777" w:rsidTr="0081264B">
        <w:trPr>
          <w:trHeight w:val="44"/>
        </w:trPr>
        <w:tc>
          <w:tcPr>
            <w:tcW w:w="1672" w:type="dxa"/>
            <w:shd w:val="clear" w:color="auto" w:fill="B7B7B7"/>
            <w:tcMar>
              <w:top w:w="100" w:type="dxa"/>
              <w:left w:w="100" w:type="dxa"/>
              <w:bottom w:w="100" w:type="dxa"/>
              <w:right w:w="100" w:type="dxa"/>
            </w:tcMar>
          </w:tcPr>
          <w:p w14:paraId="6CD37C51" w14:textId="77777777" w:rsidR="00A870EE" w:rsidRPr="000171FE" w:rsidRDefault="00A870EE" w:rsidP="0081264B">
            <w:pPr>
              <w:pBdr>
                <w:top w:val="nil"/>
                <w:left w:val="nil"/>
                <w:bottom w:val="nil"/>
                <w:right w:val="nil"/>
                <w:between w:val="nil"/>
              </w:pBdr>
              <w:spacing w:line="240" w:lineRule="auto"/>
              <w:jc w:val="center"/>
            </w:pPr>
            <w:r w:rsidRPr="000171FE">
              <w:t>DCT</w:t>
            </w:r>
          </w:p>
        </w:tc>
        <w:tc>
          <w:tcPr>
            <w:tcW w:w="1917" w:type="dxa"/>
            <w:shd w:val="clear" w:color="auto" w:fill="auto"/>
            <w:tcMar>
              <w:top w:w="100" w:type="dxa"/>
              <w:left w:w="100" w:type="dxa"/>
              <w:bottom w:w="100" w:type="dxa"/>
              <w:right w:w="100" w:type="dxa"/>
            </w:tcMar>
          </w:tcPr>
          <w:p w14:paraId="08550DC4" w14:textId="77777777" w:rsidR="00A870EE" w:rsidRPr="000171FE" w:rsidRDefault="00A870EE" w:rsidP="0081264B">
            <w:pPr>
              <w:pBdr>
                <w:top w:val="nil"/>
                <w:left w:val="nil"/>
                <w:bottom w:val="nil"/>
                <w:right w:val="nil"/>
                <w:between w:val="nil"/>
              </w:pBdr>
              <w:spacing w:line="240" w:lineRule="auto"/>
              <w:jc w:val="center"/>
            </w:pPr>
            <w:r w:rsidRPr="000171FE">
              <w:t>1.74 secs.</w:t>
            </w:r>
          </w:p>
        </w:tc>
        <w:tc>
          <w:tcPr>
            <w:tcW w:w="2051" w:type="dxa"/>
            <w:shd w:val="clear" w:color="auto" w:fill="auto"/>
            <w:tcMar>
              <w:top w:w="100" w:type="dxa"/>
              <w:left w:w="100" w:type="dxa"/>
              <w:bottom w:w="100" w:type="dxa"/>
              <w:right w:w="100" w:type="dxa"/>
            </w:tcMar>
          </w:tcPr>
          <w:p w14:paraId="41FDBFB1" w14:textId="77777777" w:rsidR="00A870EE" w:rsidRPr="000171FE" w:rsidRDefault="00A870EE" w:rsidP="0081264B">
            <w:pPr>
              <w:pBdr>
                <w:top w:val="nil"/>
                <w:left w:val="nil"/>
                <w:bottom w:val="nil"/>
                <w:right w:val="nil"/>
                <w:between w:val="nil"/>
              </w:pBdr>
              <w:spacing w:line="240" w:lineRule="auto"/>
              <w:jc w:val="center"/>
            </w:pPr>
            <w:r w:rsidRPr="000171FE">
              <w:t>81%</w:t>
            </w:r>
          </w:p>
        </w:tc>
        <w:tc>
          <w:tcPr>
            <w:tcW w:w="1997" w:type="dxa"/>
            <w:shd w:val="clear" w:color="auto" w:fill="auto"/>
            <w:tcMar>
              <w:top w:w="100" w:type="dxa"/>
              <w:left w:w="100" w:type="dxa"/>
              <w:bottom w:w="100" w:type="dxa"/>
              <w:right w:w="100" w:type="dxa"/>
            </w:tcMar>
          </w:tcPr>
          <w:p w14:paraId="3EAFB893" w14:textId="77777777" w:rsidR="00A870EE" w:rsidRPr="000171FE" w:rsidRDefault="00A870EE" w:rsidP="0081264B">
            <w:pPr>
              <w:pBdr>
                <w:top w:val="nil"/>
                <w:left w:val="nil"/>
                <w:bottom w:val="nil"/>
                <w:right w:val="nil"/>
                <w:between w:val="nil"/>
              </w:pBdr>
              <w:spacing w:line="240" w:lineRule="auto"/>
              <w:jc w:val="center"/>
            </w:pPr>
            <w:r w:rsidRPr="000171FE">
              <w:t>97.9%</w:t>
            </w:r>
          </w:p>
        </w:tc>
      </w:tr>
      <w:tr w:rsidR="00A870EE" w:rsidRPr="000171FE" w14:paraId="60D080FB" w14:textId="77777777" w:rsidTr="0081264B">
        <w:trPr>
          <w:trHeight w:val="85"/>
        </w:trPr>
        <w:tc>
          <w:tcPr>
            <w:tcW w:w="1672" w:type="dxa"/>
            <w:shd w:val="clear" w:color="auto" w:fill="B7B7B7"/>
            <w:tcMar>
              <w:top w:w="100" w:type="dxa"/>
              <w:left w:w="100" w:type="dxa"/>
              <w:bottom w:w="100" w:type="dxa"/>
              <w:right w:w="100" w:type="dxa"/>
            </w:tcMar>
          </w:tcPr>
          <w:p w14:paraId="5FFA058E" w14:textId="77777777" w:rsidR="00A870EE" w:rsidRPr="000171FE" w:rsidRDefault="00A870EE" w:rsidP="0081264B">
            <w:pPr>
              <w:pBdr>
                <w:top w:val="nil"/>
                <w:left w:val="nil"/>
                <w:bottom w:val="nil"/>
                <w:right w:val="nil"/>
                <w:between w:val="nil"/>
              </w:pBdr>
              <w:spacing w:line="240" w:lineRule="auto"/>
              <w:jc w:val="center"/>
            </w:pPr>
            <w:r w:rsidRPr="000171FE">
              <w:t>SRDAS_SLIC</w:t>
            </w:r>
          </w:p>
        </w:tc>
        <w:tc>
          <w:tcPr>
            <w:tcW w:w="1917" w:type="dxa"/>
            <w:shd w:val="clear" w:color="auto" w:fill="auto"/>
            <w:tcMar>
              <w:top w:w="100" w:type="dxa"/>
              <w:left w:w="100" w:type="dxa"/>
              <w:bottom w:w="100" w:type="dxa"/>
              <w:right w:w="100" w:type="dxa"/>
            </w:tcMar>
          </w:tcPr>
          <w:p w14:paraId="15B3FEB7" w14:textId="77777777" w:rsidR="00A870EE" w:rsidRPr="000171FE" w:rsidRDefault="00A870EE" w:rsidP="0081264B">
            <w:pPr>
              <w:pBdr>
                <w:top w:val="nil"/>
                <w:left w:val="nil"/>
                <w:bottom w:val="nil"/>
                <w:right w:val="nil"/>
                <w:between w:val="nil"/>
              </w:pBdr>
              <w:spacing w:line="240" w:lineRule="auto"/>
              <w:jc w:val="center"/>
            </w:pPr>
            <w:r w:rsidRPr="000171FE">
              <w:t>2.23 secs</w:t>
            </w:r>
          </w:p>
        </w:tc>
        <w:tc>
          <w:tcPr>
            <w:tcW w:w="2051" w:type="dxa"/>
            <w:shd w:val="clear" w:color="auto" w:fill="auto"/>
            <w:tcMar>
              <w:top w:w="100" w:type="dxa"/>
              <w:left w:w="100" w:type="dxa"/>
              <w:bottom w:w="100" w:type="dxa"/>
              <w:right w:w="100" w:type="dxa"/>
            </w:tcMar>
          </w:tcPr>
          <w:p w14:paraId="353F7C10" w14:textId="77777777" w:rsidR="00A870EE" w:rsidRPr="000171FE" w:rsidRDefault="00A870EE" w:rsidP="0081264B">
            <w:pPr>
              <w:pBdr>
                <w:top w:val="nil"/>
                <w:left w:val="nil"/>
                <w:bottom w:val="nil"/>
                <w:right w:val="nil"/>
                <w:between w:val="nil"/>
              </w:pBdr>
              <w:spacing w:line="240" w:lineRule="auto"/>
              <w:jc w:val="center"/>
            </w:pPr>
            <w:r w:rsidRPr="000171FE">
              <w:t>54.29%</w:t>
            </w:r>
          </w:p>
        </w:tc>
        <w:tc>
          <w:tcPr>
            <w:tcW w:w="1997" w:type="dxa"/>
            <w:shd w:val="clear" w:color="auto" w:fill="auto"/>
            <w:tcMar>
              <w:top w:w="100" w:type="dxa"/>
              <w:left w:w="100" w:type="dxa"/>
              <w:bottom w:w="100" w:type="dxa"/>
              <w:right w:w="100" w:type="dxa"/>
            </w:tcMar>
          </w:tcPr>
          <w:p w14:paraId="5F873386" w14:textId="77777777" w:rsidR="00A870EE" w:rsidRPr="000171FE" w:rsidRDefault="00A870EE" w:rsidP="0081264B">
            <w:pPr>
              <w:pBdr>
                <w:top w:val="nil"/>
                <w:left w:val="nil"/>
                <w:bottom w:val="nil"/>
                <w:right w:val="nil"/>
                <w:between w:val="nil"/>
              </w:pBdr>
              <w:spacing w:line="240" w:lineRule="auto"/>
              <w:jc w:val="center"/>
            </w:pPr>
            <w:r w:rsidRPr="000171FE">
              <w:t>95.10%</w:t>
            </w:r>
          </w:p>
        </w:tc>
      </w:tr>
      <w:tr w:rsidR="00A870EE" w:rsidRPr="000171FE" w14:paraId="7F2D49B0" w14:textId="77777777" w:rsidTr="0081264B">
        <w:trPr>
          <w:trHeight w:val="87"/>
        </w:trPr>
        <w:tc>
          <w:tcPr>
            <w:tcW w:w="1672" w:type="dxa"/>
            <w:shd w:val="clear" w:color="auto" w:fill="B7B7B7"/>
            <w:tcMar>
              <w:top w:w="100" w:type="dxa"/>
              <w:left w:w="100" w:type="dxa"/>
              <w:bottom w:w="100" w:type="dxa"/>
              <w:right w:w="100" w:type="dxa"/>
            </w:tcMar>
          </w:tcPr>
          <w:p w14:paraId="39F10D34" w14:textId="77777777" w:rsidR="00A870EE" w:rsidRPr="000171FE" w:rsidRDefault="00A870EE" w:rsidP="0081264B">
            <w:pPr>
              <w:spacing w:line="240" w:lineRule="auto"/>
              <w:jc w:val="center"/>
            </w:pPr>
            <w:r w:rsidRPr="000171FE">
              <w:t>GCCS_SLIC</w:t>
            </w:r>
          </w:p>
        </w:tc>
        <w:tc>
          <w:tcPr>
            <w:tcW w:w="1917" w:type="dxa"/>
            <w:shd w:val="clear" w:color="auto" w:fill="auto"/>
            <w:tcMar>
              <w:top w:w="100" w:type="dxa"/>
              <w:left w:w="100" w:type="dxa"/>
              <w:bottom w:w="100" w:type="dxa"/>
              <w:right w:w="100" w:type="dxa"/>
            </w:tcMar>
          </w:tcPr>
          <w:p w14:paraId="6F944C92" w14:textId="77777777" w:rsidR="00A870EE" w:rsidRPr="000171FE" w:rsidRDefault="00A870EE" w:rsidP="0081264B">
            <w:pPr>
              <w:pBdr>
                <w:top w:val="nil"/>
                <w:left w:val="nil"/>
                <w:bottom w:val="nil"/>
                <w:right w:val="nil"/>
                <w:between w:val="nil"/>
              </w:pBdr>
              <w:spacing w:line="240" w:lineRule="auto"/>
              <w:jc w:val="center"/>
            </w:pPr>
            <w:r w:rsidRPr="000171FE">
              <w:t>0.75 secs</w:t>
            </w:r>
          </w:p>
        </w:tc>
        <w:tc>
          <w:tcPr>
            <w:tcW w:w="2051" w:type="dxa"/>
            <w:shd w:val="clear" w:color="auto" w:fill="auto"/>
            <w:tcMar>
              <w:top w:w="100" w:type="dxa"/>
              <w:left w:w="100" w:type="dxa"/>
              <w:bottom w:w="100" w:type="dxa"/>
              <w:right w:w="100" w:type="dxa"/>
            </w:tcMar>
          </w:tcPr>
          <w:p w14:paraId="274A5E39" w14:textId="77777777" w:rsidR="00A870EE" w:rsidRPr="000171FE" w:rsidRDefault="00A870EE" w:rsidP="0081264B">
            <w:pPr>
              <w:pBdr>
                <w:top w:val="nil"/>
                <w:left w:val="nil"/>
                <w:bottom w:val="nil"/>
                <w:right w:val="nil"/>
                <w:between w:val="nil"/>
              </w:pBdr>
              <w:spacing w:line="240" w:lineRule="auto"/>
              <w:jc w:val="center"/>
            </w:pPr>
            <w:r w:rsidRPr="000171FE">
              <w:t>78.3%</w:t>
            </w:r>
          </w:p>
        </w:tc>
        <w:tc>
          <w:tcPr>
            <w:tcW w:w="1997" w:type="dxa"/>
            <w:shd w:val="clear" w:color="auto" w:fill="auto"/>
            <w:tcMar>
              <w:top w:w="100" w:type="dxa"/>
              <w:left w:w="100" w:type="dxa"/>
              <w:bottom w:w="100" w:type="dxa"/>
              <w:right w:w="100" w:type="dxa"/>
            </w:tcMar>
          </w:tcPr>
          <w:p w14:paraId="6B0D7ACF" w14:textId="77777777" w:rsidR="00A870EE" w:rsidRPr="000171FE" w:rsidRDefault="00A870EE" w:rsidP="0081264B">
            <w:pPr>
              <w:pBdr>
                <w:top w:val="nil"/>
                <w:left w:val="nil"/>
                <w:bottom w:val="nil"/>
                <w:right w:val="nil"/>
                <w:between w:val="nil"/>
              </w:pBdr>
              <w:spacing w:line="240" w:lineRule="auto"/>
              <w:jc w:val="center"/>
            </w:pPr>
            <w:r w:rsidRPr="000171FE">
              <w:t>98.99%</w:t>
            </w:r>
          </w:p>
        </w:tc>
      </w:tr>
    </w:tbl>
    <w:p w14:paraId="603C1634" w14:textId="77777777" w:rsidR="00563AD0" w:rsidRPr="00563AD0" w:rsidRDefault="00563AD0" w:rsidP="00563AD0">
      <w:pPr>
        <w:pStyle w:val="NormalWeb"/>
        <w:spacing w:before="0" w:beforeAutospacing="0" w:after="0" w:afterAutospacing="0" w:line="276" w:lineRule="auto"/>
        <w:ind w:firstLine="567"/>
        <w:jc w:val="both"/>
        <w:rPr>
          <w:sz w:val="8"/>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563AD0" w14:paraId="3E02C141" w14:textId="77777777" w:rsidTr="00563AD0">
        <w:tc>
          <w:tcPr>
            <w:tcW w:w="9635" w:type="dxa"/>
            <w:vAlign w:val="center"/>
          </w:tcPr>
          <w:p w14:paraId="074AEB93" w14:textId="77777777" w:rsidR="00563AD0" w:rsidRDefault="00563AD0" w:rsidP="00563AD0">
            <w:pPr>
              <w:pStyle w:val="NormalWeb"/>
              <w:spacing w:before="0" w:beforeAutospacing="0" w:after="0" w:afterAutospacing="0" w:line="276" w:lineRule="auto"/>
              <w:jc w:val="center"/>
              <w:rPr>
                <w:sz w:val="21"/>
                <w:szCs w:val="21"/>
              </w:rPr>
            </w:pPr>
            <w:r>
              <w:rPr>
                <w:noProof/>
              </w:rPr>
              <w:drawing>
                <wp:inline distT="0" distB="0" distL="0" distR="0" wp14:anchorId="5301CF03" wp14:editId="353E53C5">
                  <wp:extent cx="3462020" cy="2079639"/>
                  <wp:effectExtent l="0" t="0" r="5080" b="3175"/>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7">
                            <a:extLst>
                              <a:ext uri="{28A0092B-C50C-407E-A947-70E740481C1C}">
                                <a14:useLocalDpi xmlns:a14="http://schemas.microsoft.com/office/drawing/2010/main" val="0"/>
                              </a:ext>
                            </a:extLst>
                          </a:blip>
                          <a:srcRect l="30026" t="40167" r="38299" b="30777"/>
                          <a:stretch/>
                        </pic:blipFill>
                        <pic:spPr bwMode="auto">
                          <a:xfrm>
                            <a:off x="0" y="0"/>
                            <a:ext cx="3462020" cy="2079639"/>
                          </a:xfrm>
                          <a:prstGeom prst="rect">
                            <a:avLst/>
                          </a:prstGeom>
                          <a:ln>
                            <a:noFill/>
                          </a:ln>
                          <a:extLst>
                            <a:ext uri="{53640926-AAD7-44D8-BBD7-CCE9431645EC}">
                              <a14:shadowObscured xmlns:a14="http://schemas.microsoft.com/office/drawing/2010/main"/>
                            </a:ext>
                          </a:extLst>
                        </pic:spPr>
                      </pic:pic>
                    </a:graphicData>
                  </a:graphic>
                </wp:inline>
              </w:drawing>
            </w:r>
          </w:p>
          <w:p w14:paraId="2D62AFE5" w14:textId="6EE14430" w:rsidR="00563AD0" w:rsidRPr="00563AD0" w:rsidRDefault="00563AD0" w:rsidP="00563AD0">
            <w:pPr>
              <w:pStyle w:val="NormalWeb"/>
              <w:spacing w:before="0" w:beforeAutospacing="0" w:after="0" w:afterAutospacing="0" w:line="276" w:lineRule="auto"/>
              <w:jc w:val="center"/>
              <w:rPr>
                <w:sz w:val="6"/>
                <w:szCs w:val="21"/>
              </w:rPr>
            </w:pPr>
          </w:p>
        </w:tc>
      </w:tr>
      <w:tr w:rsidR="00563AD0" w14:paraId="02137275" w14:textId="77777777" w:rsidTr="00563AD0">
        <w:tc>
          <w:tcPr>
            <w:tcW w:w="9635" w:type="dxa"/>
          </w:tcPr>
          <w:p w14:paraId="0ABCA505" w14:textId="20E4DEFA" w:rsidR="00563AD0" w:rsidRPr="00563AD0" w:rsidRDefault="00563AD0" w:rsidP="00563AD0">
            <w:pPr>
              <w:widowControl/>
              <w:autoSpaceDE/>
              <w:autoSpaceDN/>
              <w:adjustRightInd/>
              <w:spacing w:before="100" w:beforeAutospacing="1" w:after="120" w:line="240" w:lineRule="auto"/>
              <w:jc w:val="center"/>
              <w:rPr>
                <w:rFonts w:eastAsia="Times New Roman"/>
                <w:b/>
                <w:color w:val="auto"/>
                <w:sz w:val="20"/>
                <w:szCs w:val="20"/>
                <w:lang w:eastAsia="en-US"/>
              </w:rPr>
            </w:pPr>
            <w:r w:rsidRPr="00563AD0">
              <w:rPr>
                <w:rFonts w:eastAsia="Times New Roman"/>
                <w:b/>
                <w:color w:val="auto"/>
                <w:sz w:val="20"/>
                <w:szCs w:val="20"/>
                <w:lang w:eastAsia="en-US"/>
              </w:rPr>
              <w:t xml:space="preserve">Figure 2. Results showing accuracy vs. average run-time with a varying number of super-pixels </w:t>
            </w:r>
          </w:p>
        </w:tc>
      </w:tr>
    </w:tbl>
    <w:p w14:paraId="50CC3F6B" w14:textId="73242462" w:rsidR="00563AD0" w:rsidRDefault="00563AD0" w:rsidP="00563AD0">
      <w:pPr>
        <w:pStyle w:val="Heading1"/>
      </w:pPr>
      <w:r>
        <w:t>4.     Conclusions</w:t>
      </w:r>
    </w:p>
    <w:p w14:paraId="553520F3" w14:textId="4C64F90F" w:rsidR="00563AD0" w:rsidRDefault="00563AD0" w:rsidP="00492E91">
      <w:pPr>
        <w:pStyle w:val="NormalWeb"/>
        <w:spacing w:before="0" w:beforeAutospacing="0" w:after="0" w:afterAutospacing="0" w:line="276" w:lineRule="auto"/>
        <w:jc w:val="both"/>
        <w:rPr>
          <w:sz w:val="21"/>
          <w:szCs w:val="21"/>
        </w:rPr>
      </w:pPr>
      <w:r w:rsidRPr="000171FE">
        <w:rPr>
          <w:sz w:val="21"/>
          <w:szCs w:val="21"/>
        </w:rPr>
        <w:t>We have proposed a novel salient object detection model incorporating two feature cues. This approach was adapted to process at both pixel-level and region-based level. An evaluation of these implementations found that region-based approaches can achieve comparable accuracy, whilst vastly outperforming pixel-based approaches in terms of computational efficiency. We presented experimental results using the well-known MSRA10K salient object dataset, showing a significant improvement in computation time; taking less than one second to process a single image and output a saliency map. While a pixel-level approach captures more detail in the final saliency map, current pixel-level approaches are not feasible for real-time applications, such as obstacle avoidance for a mobile robot. However</w:t>
      </w:r>
      <w:r>
        <w:rPr>
          <w:sz w:val="21"/>
          <w:szCs w:val="21"/>
        </w:rPr>
        <w:t>,</w:t>
      </w:r>
      <w:r w:rsidRPr="000171FE">
        <w:rPr>
          <w:sz w:val="21"/>
          <w:szCs w:val="21"/>
        </w:rPr>
        <w:t xml:space="preserve"> the GCCS_SLIC approach provides a clear solution for this. </w:t>
      </w:r>
    </w:p>
    <w:p w14:paraId="5558A721" w14:textId="531B16DA" w:rsidR="00A870EE" w:rsidRDefault="00563AD0" w:rsidP="00A870EE">
      <w:pPr>
        <w:pStyle w:val="NormalWeb"/>
        <w:spacing w:before="0" w:beforeAutospacing="0" w:after="0" w:afterAutospacing="0" w:line="276" w:lineRule="auto"/>
        <w:ind w:firstLine="567"/>
        <w:jc w:val="both"/>
        <w:rPr>
          <w:sz w:val="21"/>
          <w:szCs w:val="21"/>
        </w:rPr>
      </w:pPr>
      <w:r w:rsidRPr="000171FE">
        <w:rPr>
          <w:sz w:val="21"/>
          <w:szCs w:val="21"/>
        </w:rPr>
        <w:t xml:space="preserve">Future work will investigate other feature cues that will aid in detecting salient obstacles within a scene or environment, such as orientation and depth. We also plan to implement a multi-scale approach to salient object detection to capture more information at different scales, and therefore increase accuracy and implement this using a Kinect and Summit XL robotic system. </w:t>
      </w:r>
    </w:p>
    <w:p w14:paraId="233879DD" w14:textId="0D0D6E5F" w:rsidR="00A870EE" w:rsidRDefault="00A870EE" w:rsidP="00A870EE">
      <w:pPr>
        <w:pStyle w:val="Heading1"/>
        <w:spacing w:line="240" w:lineRule="auto"/>
      </w:pPr>
      <w:r>
        <w:t xml:space="preserve">5.     </w:t>
      </w:r>
      <w:r>
        <w:t>References</w:t>
      </w:r>
    </w:p>
    <w:p w14:paraId="48A7D1B3" w14:textId="77777777" w:rsidR="00A870EE" w:rsidRPr="00A870EE" w:rsidRDefault="00A870EE" w:rsidP="00A870EE">
      <w:pPr>
        <w:spacing w:after="120"/>
        <w:ind w:left="640" w:hanging="640"/>
      </w:pPr>
      <w:r w:rsidRPr="00A870EE">
        <w:t>[Achanta et al., 2008</w:t>
      </w:r>
      <w:proofErr w:type="gramStart"/>
      <w:r w:rsidRPr="00A870EE">
        <w:t>]  R.</w:t>
      </w:r>
      <w:proofErr w:type="gramEnd"/>
      <w:r w:rsidRPr="00A870EE">
        <w:t xml:space="preserve"> Achanta, F. Estrada, P. Wils, and S. Sabine, “Salient Region Detection and Segmentation,” </w:t>
      </w:r>
      <w:r w:rsidRPr="00A870EE">
        <w:rPr>
          <w:i/>
        </w:rPr>
        <w:t>Int. Conf. Comput. Vis. Syst. ICVS, 2008</w:t>
      </w:r>
      <w:r w:rsidRPr="00A870EE">
        <w:t>, vol. 5008, pp. 66–75, 2008.</w:t>
      </w:r>
    </w:p>
    <w:p w14:paraId="6924A5A1" w14:textId="77777777" w:rsidR="00A870EE" w:rsidRPr="00A870EE" w:rsidRDefault="00A870EE" w:rsidP="00A870EE">
      <w:pPr>
        <w:spacing w:after="120"/>
        <w:ind w:left="567" w:hanging="567"/>
      </w:pPr>
      <w:r w:rsidRPr="00A870EE">
        <w:t xml:space="preserve">[Achanta et al., 2012]   R. Achanta, A. Shaji, K. Smith, and A. Lucchi, “SLIC Superpixels Compared to State-of-the-Art Superpixel Methods,” </w:t>
      </w:r>
      <w:r w:rsidRPr="00A870EE">
        <w:rPr>
          <w:i/>
        </w:rPr>
        <w:t>IEEE Trans. PATTERN Anal. Mach. Intell.</w:t>
      </w:r>
      <w:r w:rsidRPr="00A870EE">
        <w:t>, vol. 34, no. 11, pp. 2274–2281, 2012.</w:t>
      </w:r>
    </w:p>
    <w:p w14:paraId="3DF2F704" w14:textId="77777777" w:rsidR="00A870EE" w:rsidRPr="00A870EE" w:rsidRDefault="00A870EE" w:rsidP="00A870EE">
      <w:pPr>
        <w:spacing w:after="120"/>
        <w:ind w:left="640" w:hanging="640"/>
      </w:pPr>
      <w:r w:rsidRPr="00A870EE">
        <w:t xml:space="preserve">[Aytekin et al., 2018]   C. Aytekin, A. Iosifidis, and M. Gabbouj, “Probabilistic saliency estimation,” </w:t>
      </w:r>
      <w:r w:rsidRPr="00A870EE">
        <w:rPr>
          <w:i/>
        </w:rPr>
        <w:t>Pattern Recognit.</w:t>
      </w:r>
      <w:r w:rsidRPr="00A870EE">
        <w:t>, vol. 74, pp. 359–372, 2018.</w:t>
      </w:r>
    </w:p>
    <w:p w14:paraId="2CFB3304" w14:textId="77777777" w:rsidR="00A870EE" w:rsidRPr="00A870EE" w:rsidRDefault="00A870EE" w:rsidP="00A870EE">
      <w:pPr>
        <w:spacing w:after="120"/>
        <w:ind w:left="640" w:hanging="640"/>
      </w:pPr>
      <w:r w:rsidRPr="00A870EE">
        <w:t xml:space="preserve">[Borji et al., 2013]   A. Borji and L. Itti, “State-of-the-Art in Visual Attention Modeling,” </w:t>
      </w:r>
      <w:r w:rsidRPr="00A870EE">
        <w:rPr>
          <w:i/>
        </w:rPr>
        <w:t>IEEE Trans. Pattern Anal. Mach. Intell</w:t>
      </w:r>
      <w:r w:rsidRPr="00A870EE">
        <w:t>, vol. 35, no. 1, pp. 185–207, 2013.</w:t>
      </w:r>
    </w:p>
    <w:p w14:paraId="3BE0DCC5" w14:textId="77777777" w:rsidR="00A870EE" w:rsidRPr="00A870EE" w:rsidRDefault="00A870EE" w:rsidP="00A870EE">
      <w:pPr>
        <w:spacing w:after="120"/>
        <w:ind w:left="567" w:hanging="567"/>
      </w:pPr>
      <w:r w:rsidRPr="00A870EE">
        <w:t xml:space="preserve">[Cheng et al., 2014]   Y. Cheng, H. Fu, X. Wei, J. Xiao, and X. Cao, “Depth Enhanced Saliency Detection Method,” in </w:t>
      </w:r>
      <w:r w:rsidRPr="00A870EE">
        <w:rPr>
          <w:i/>
        </w:rPr>
        <w:t>Proceedings of International Conference on Internet Multimedia Computing and Service</w:t>
      </w:r>
      <w:r w:rsidRPr="00A870EE">
        <w:t>, 2014, no. 1.</w:t>
      </w:r>
    </w:p>
    <w:p w14:paraId="3C8253DF" w14:textId="77777777" w:rsidR="00A870EE" w:rsidRDefault="00A870EE" w:rsidP="00A870EE">
      <w:pPr>
        <w:spacing w:after="120"/>
        <w:ind w:left="640" w:hanging="640"/>
      </w:pPr>
      <w:r w:rsidRPr="00A870EE">
        <w:t xml:space="preserve">[Cheng et al., 2015]   M. Cheng, N. J. Mitra, X. Huang, P. H. S. Torr, and S. Hu, “Global Contrast Based Salient Region Detection,” </w:t>
      </w:r>
      <w:r w:rsidRPr="00A870EE">
        <w:rPr>
          <w:i/>
        </w:rPr>
        <w:t>IEEE Trans. Pattern Anal. Mach. Intell.</w:t>
      </w:r>
      <w:r w:rsidRPr="00A870EE">
        <w:t>, vol. 37, no. 3, pp. 569–582, 2015.</w:t>
      </w:r>
    </w:p>
    <w:p w14:paraId="514897DD" w14:textId="77777777" w:rsidR="00A870EE" w:rsidRPr="00A870EE" w:rsidRDefault="00A870EE" w:rsidP="00A870EE">
      <w:pPr>
        <w:spacing w:after="120"/>
        <w:ind w:left="640" w:hanging="640"/>
      </w:pPr>
    </w:p>
    <w:p w14:paraId="6ED877D6" w14:textId="77777777" w:rsidR="00A870EE" w:rsidRPr="00A870EE" w:rsidRDefault="00A870EE" w:rsidP="00A870EE">
      <w:pPr>
        <w:spacing w:after="120"/>
        <w:ind w:left="640" w:hanging="640"/>
      </w:pPr>
      <w:r w:rsidRPr="00A870EE">
        <w:t xml:space="preserve">[Fang et al., 2012]   Y. Fang, Z. Chen, W. Lin, S. Member, C. Lin, and S. Member, “Saliency Detection in the Compressed Domain for Adaptive Image Retargeting,” </w:t>
      </w:r>
      <w:r w:rsidRPr="00A870EE">
        <w:rPr>
          <w:i/>
        </w:rPr>
        <w:t>IEEE Trans. IMAGE Process.</w:t>
      </w:r>
      <w:r w:rsidRPr="00A870EE">
        <w:t>, vol. 21, no. 9, pp. 3888–3901, 2012.</w:t>
      </w:r>
    </w:p>
    <w:p w14:paraId="017A472E" w14:textId="77777777" w:rsidR="00A870EE" w:rsidRPr="00A870EE" w:rsidRDefault="00A870EE" w:rsidP="00A870EE">
      <w:pPr>
        <w:spacing w:after="120"/>
        <w:ind w:left="640" w:hanging="640"/>
      </w:pPr>
      <w:r w:rsidRPr="00A870EE">
        <w:t xml:space="preserve">[Frintrop et al., 2007]   S. Frintrop, M. Klodt, and E. Rome, “A Real-time Visual Attention System Using Integral Images,” in </w:t>
      </w:r>
      <w:r w:rsidRPr="00A870EE">
        <w:rPr>
          <w:i/>
        </w:rPr>
        <w:t>International Conference on Computer Vision Systems</w:t>
      </w:r>
      <w:r w:rsidRPr="00A870EE">
        <w:t>, 2007, no. ICVS.</w:t>
      </w:r>
    </w:p>
    <w:p w14:paraId="4B095BB2" w14:textId="77777777" w:rsidR="00A870EE" w:rsidRPr="00A870EE" w:rsidRDefault="00A870EE" w:rsidP="00A870EE">
      <w:pPr>
        <w:spacing w:after="120"/>
        <w:ind w:left="640" w:hanging="640"/>
      </w:pPr>
      <w:r w:rsidRPr="00A870EE">
        <w:t xml:space="preserve">[Fu et al., 2018]   K. Fu, I. Y. Gu, and J. Yang, “Spectral salient object detection,” </w:t>
      </w:r>
      <w:r w:rsidRPr="00A870EE">
        <w:rPr>
          <w:i/>
        </w:rPr>
        <w:t>Neurocomputing</w:t>
      </w:r>
      <w:r w:rsidRPr="00A870EE">
        <w:t>, vol. 275, pp. 788–803, 2018.</w:t>
      </w:r>
    </w:p>
    <w:p w14:paraId="410F870B" w14:textId="77777777" w:rsidR="00A870EE" w:rsidRPr="00A870EE" w:rsidRDefault="00A870EE" w:rsidP="00A870EE">
      <w:pPr>
        <w:spacing w:after="120"/>
        <w:ind w:left="640" w:hanging="640"/>
      </w:pPr>
      <w:r w:rsidRPr="00A870EE">
        <w:t xml:space="preserve">[Ishikura et al., 2018]   K. Ishikura, N. Kurita, D. M. Chandler, S. Member, and G. Ohashi, “Saliency Detection Based on Multiscale Extrema of Local Perceptual Color Differences,” </w:t>
      </w:r>
      <w:r w:rsidRPr="00A870EE">
        <w:rPr>
          <w:i/>
        </w:rPr>
        <w:t>IEEE Trans. IMAGE Process.</w:t>
      </w:r>
      <w:r w:rsidRPr="00A870EE">
        <w:t>, vol. 27, no. 2, pp. 703–717, 2018.</w:t>
      </w:r>
    </w:p>
    <w:p w14:paraId="0BBC8BF6" w14:textId="77777777" w:rsidR="00A870EE" w:rsidRPr="00A870EE" w:rsidRDefault="00A870EE" w:rsidP="00A870EE">
      <w:pPr>
        <w:spacing w:after="120"/>
        <w:ind w:left="640" w:hanging="640"/>
      </w:pPr>
      <w:r w:rsidRPr="00A870EE">
        <w:t xml:space="preserve">[Itti et al., 1998]   L. Itti, C. Koch, and E. Niebur, “A Model of Saliency-Based Visual Attention for Rapid Scene Analysis,” in </w:t>
      </w:r>
      <w:r w:rsidRPr="00A870EE">
        <w:rPr>
          <w:i/>
        </w:rPr>
        <w:t>IEEE Trans. on Pattern Analysis and Machine Intelligence</w:t>
      </w:r>
      <w:r w:rsidRPr="00A870EE">
        <w:t>, 1998, vol. 20, no. 11, pp. 1254–1259.</w:t>
      </w:r>
    </w:p>
    <w:p w14:paraId="5B522379" w14:textId="77777777" w:rsidR="00A870EE" w:rsidRPr="00A870EE" w:rsidRDefault="00A870EE" w:rsidP="00A870EE">
      <w:pPr>
        <w:spacing w:after="120"/>
        <w:ind w:left="640" w:hanging="640"/>
      </w:pPr>
      <w:r w:rsidRPr="00A870EE">
        <w:t>[Ko et al., 2006]   B. C. Ko and J. Nam, “Object-of-interest image segmentation based on human attention and semantic region,” Opt. Soc. Am. A, vol. 23, no. 10, pp. 2462–2470, 2006.</w:t>
      </w:r>
    </w:p>
    <w:p w14:paraId="7927C141" w14:textId="77777777" w:rsidR="00A870EE" w:rsidRPr="00A870EE" w:rsidRDefault="00A870EE" w:rsidP="00A870EE">
      <w:pPr>
        <w:spacing w:after="120"/>
        <w:ind w:left="567" w:hanging="567"/>
      </w:pPr>
      <w:r w:rsidRPr="00A870EE">
        <w:t xml:space="preserve">[Niu et al., 2016]   J. Niu, X. Bu, and K. Qian, “Exploiting contrast cues for salient region detection,” in </w:t>
      </w:r>
      <w:r w:rsidRPr="00A870EE">
        <w:rPr>
          <w:i/>
        </w:rPr>
        <w:t>Multimedia Tools and Applications</w:t>
      </w:r>
      <w:r w:rsidRPr="00A870EE">
        <w:t>, 2016, no. March 2016, pp. 1–15.</w:t>
      </w:r>
    </w:p>
    <w:p w14:paraId="052DD4D3" w14:textId="77777777" w:rsidR="00A870EE" w:rsidRPr="00A870EE" w:rsidRDefault="00A870EE" w:rsidP="00A870EE">
      <w:pPr>
        <w:spacing w:after="120"/>
        <w:ind w:left="567" w:hanging="567"/>
      </w:pPr>
      <w:r w:rsidRPr="00A870EE">
        <w:t>[Otsu et al., 1979]    N. Otsu, "A Threshold Selection Method from Gray-Level Histograms," IEEE Transactions on Systems, Man, and Cybernetics, vol. 9, no. 1, pp. 62-66, 1979.</w:t>
      </w:r>
    </w:p>
    <w:p w14:paraId="4A4A6005" w14:textId="77777777" w:rsidR="00A870EE" w:rsidRPr="00A870EE" w:rsidRDefault="00A870EE" w:rsidP="00A870EE">
      <w:pPr>
        <w:spacing w:after="120"/>
        <w:ind w:left="640" w:hanging="640"/>
      </w:pPr>
      <w:r w:rsidRPr="00A870EE">
        <w:t xml:space="preserve">[Rutishauser et al., 2004]   U. Rutishauser, D. Walther, C. Koch, and P. Perona, “Is bottom-up attention useful for object </w:t>
      </w:r>
      <w:proofErr w:type="gramStart"/>
      <w:r w:rsidRPr="00A870EE">
        <w:t>recognition?,</w:t>
      </w:r>
      <w:proofErr w:type="gramEnd"/>
      <w:r w:rsidRPr="00A870EE">
        <w:t xml:space="preserve">” in </w:t>
      </w:r>
      <w:r w:rsidRPr="00A870EE">
        <w:rPr>
          <w:i/>
        </w:rPr>
        <w:t>IEEE Comp. Soc. Conf. CVPR</w:t>
      </w:r>
      <w:r w:rsidRPr="00A870EE">
        <w:t>, 2004, p. II-37-II-44.</w:t>
      </w:r>
    </w:p>
    <w:p w14:paraId="22527097" w14:textId="77777777" w:rsidR="00A870EE" w:rsidRPr="00A870EE" w:rsidRDefault="00A870EE" w:rsidP="00A870EE">
      <w:pPr>
        <w:spacing w:after="120"/>
        <w:ind w:left="640" w:hanging="640"/>
      </w:pPr>
      <w:r w:rsidRPr="00A870EE">
        <w:t>[Scharfenberger et al., 2013</w:t>
      </w:r>
      <w:proofErr w:type="gramStart"/>
      <w:r w:rsidRPr="00A870EE">
        <w:t>]  C.</w:t>
      </w:r>
      <w:proofErr w:type="gramEnd"/>
      <w:r w:rsidRPr="00A870EE">
        <w:t xml:space="preserve"> Scharfenberger, S. L. Waslander, J. S. Zelek, and D. A. Clausi, “Existence Detection of Objects in Images for Robot Vision Using Saliency Histogram Features,” in </w:t>
      </w:r>
      <w:r w:rsidRPr="00A870EE">
        <w:rPr>
          <w:i/>
        </w:rPr>
        <w:t>International Conference on Computer and Robot Vision</w:t>
      </w:r>
      <w:r w:rsidRPr="00A870EE">
        <w:t>, 2013.</w:t>
      </w:r>
    </w:p>
    <w:p w14:paraId="4FB6235A" w14:textId="77777777" w:rsidR="00A870EE" w:rsidRPr="00A870EE" w:rsidRDefault="00A870EE" w:rsidP="00A870EE">
      <w:pPr>
        <w:spacing w:after="120"/>
        <w:ind w:left="640" w:hanging="640"/>
      </w:pPr>
      <w:r w:rsidRPr="00A870EE">
        <w:t xml:space="preserve">[Tavakoli et al., 2011]   H. R. Tavakoli, E. Rahtu, and J. Heikkil, “Fast and Efficient Saliency Detection Using,” </w:t>
      </w:r>
      <w:r w:rsidRPr="00A870EE">
        <w:rPr>
          <w:i/>
        </w:rPr>
        <w:t>Image Anal. SCIA</w:t>
      </w:r>
      <w:r w:rsidRPr="00A870EE">
        <w:t>, vol. 6688, pp. 666–675, 2011.</w:t>
      </w:r>
    </w:p>
    <w:p w14:paraId="19770D03" w14:textId="77777777" w:rsidR="00A870EE" w:rsidRPr="00A870EE" w:rsidRDefault="00A870EE" w:rsidP="00A870EE">
      <w:pPr>
        <w:spacing w:after="120"/>
        <w:ind w:left="640" w:hanging="640"/>
      </w:pPr>
      <w:r w:rsidRPr="00A870EE">
        <w:t xml:space="preserve">[Wang et al., 2008]    Y. Wang, C. Tai, O. Sorkine, and T. Lee, “Optimized Scale-and-Stretch for Image Resizing,” in </w:t>
      </w:r>
      <w:r w:rsidRPr="00A870EE">
        <w:rPr>
          <w:i/>
        </w:rPr>
        <w:t>ACM Trans. Graph.</w:t>
      </w:r>
      <w:r w:rsidRPr="00A870EE">
        <w:t>, 2008, vol. 27, no. 5, pp. 1–8.</w:t>
      </w:r>
    </w:p>
    <w:p w14:paraId="073AF35A" w14:textId="77777777" w:rsidR="00A870EE" w:rsidRPr="00A870EE" w:rsidRDefault="00A870EE" w:rsidP="00A870EE">
      <w:pPr>
        <w:spacing w:after="120"/>
        <w:ind w:left="640" w:hanging="640"/>
      </w:pPr>
      <w:r w:rsidRPr="00A870EE">
        <w:t xml:space="preserve">[Yan et al., 2013].  Q. Yan, L. Xu, J. Shi, and J. Jia, “Hierarchical Saliency Detection,” in </w:t>
      </w:r>
      <w:r w:rsidRPr="00A870EE">
        <w:rPr>
          <w:i/>
        </w:rPr>
        <w:t>IEEE Conference on Computer Vision and Pattern Recognition</w:t>
      </w:r>
      <w:r w:rsidRPr="00A870EE">
        <w:t>, 2013.</w:t>
      </w:r>
    </w:p>
    <w:p w14:paraId="7B966D34" w14:textId="77777777" w:rsidR="00A870EE" w:rsidRPr="00A870EE" w:rsidRDefault="00A870EE" w:rsidP="00A870EE">
      <w:pPr>
        <w:spacing w:after="120"/>
        <w:ind w:left="567" w:hanging="567"/>
      </w:pPr>
      <w:r w:rsidRPr="00A870EE">
        <w:t xml:space="preserve">[Yang et al., 2017]    B. Yang, X. Zhang, L. Chen, H. Yang, and Z. Gao, “Edge guided salient object detection,” </w:t>
      </w:r>
      <w:r w:rsidRPr="00A870EE">
        <w:rPr>
          <w:i/>
        </w:rPr>
        <w:t>Neurocomputing</w:t>
      </w:r>
      <w:r w:rsidRPr="00A870EE">
        <w:t>, vol. 221, no. August 2016, pp. 60–71, 2017.</w:t>
      </w:r>
    </w:p>
    <w:p w14:paraId="54E855DB" w14:textId="77777777" w:rsidR="00A870EE" w:rsidRPr="00A870EE" w:rsidRDefault="00A870EE" w:rsidP="00A870EE">
      <w:pPr>
        <w:spacing w:after="120"/>
        <w:ind w:left="640" w:hanging="640"/>
      </w:pPr>
      <w:r w:rsidRPr="00A870EE">
        <w:t xml:space="preserve">[Zhang et al., 2017]   Q. Zhang, J. Lin, Y. Tao, W. Li, and Y. Shi, “Salient object detection via color and texture cues,” </w:t>
      </w:r>
      <w:r w:rsidRPr="00A870EE">
        <w:rPr>
          <w:i/>
        </w:rPr>
        <w:t>Neurocomputing</w:t>
      </w:r>
      <w:r w:rsidRPr="00A870EE">
        <w:t>, vol. 243, pp. 35–48, 2017.</w:t>
      </w:r>
    </w:p>
    <w:p w14:paraId="451073D5" w14:textId="77777777" w:rsidR="00A870EE" w:rsidRDefault="00A870EE" w:rsidP="00492E91">
      <w:pPr>
        <w:pStyle w:val="NormalWeb"/>
        <w:spacing w:before="0" w:beforeAutospacing="0" w:after="0" w:afterAutospacing="0" w:line="276" w:lineRule="auto"/>
        <w:ind w:firstLine="567"/>
        <w:jc w:val="both"/>
        <w:rPr>
          <w:sz w:val="21"/>
          <w:szCs w:val="21"/>
        </w:rPr>
      </w:pPr>
    </w:p>
    <w:p w14:paraId="7D4448B9" w14:textId="77777777" w:rsidR="00A870EE" w:rsidRDefault="00A870EE" w:rsidP="00492E91">
      <w:pPr>
        <w:pStyle w:val="NormalWeb"/>
        <w:spacing w:before="0" w:beforeAutospacing="0" w:after="0" w:afterAutospacing="0" w:line="276" w:lineRule="auto"/>
        <w:ind w:firstLine="567"/>
        <w:jc w:val="both"/>
        <w:rPr>
          <w:sz w:val="21"/>
          <w:szCs w:val="21"/>
        </w:rPr>
      </w:pPr>
    </w:p>
    <w:p w14:paraId="3FA6D293" w14:textId="77777777" w:rsidR="00A870EE" w:rsidRDefault="00A870EE" w:rsidP="00492E91">
      <w:pPr>
        <w:pStyle w:val="NormalWeb"/>
        <w:spacing w:before="0" w:beforeAutospacing="0" w:after="0" w:afterAutospacing="0" w:line="276" w:lineRule="auto"/>
        <w:ind w:firstLine="567"/>
        <w:jc w:val="both"/>
        <w:rPr>
          <w:sz w:val="21"/>
          <w:szCs w:val="21"/>
        </w:rPr>
      </w:pPr>
    </w:p>
    <w:p w14:paraId="7DE9247F" w14:textId="77777777" w:rsidR="00A870EE" w:rsidRPr="000171FE" w:rsidRDefault="00A870EE" w:rsidP="00492E91">
      <w:pPr>
        <w:pStyle w:val="NormalWeb"/>
        <w:spacing w:before="0" w:beforeAutospacing="0" w:after="0" w:afterAutospacing="0" w:line="276" w:lineRule="auto"/>
        <w:ind w:firstLine="567"/>
        <w:jc w:val="both"/>
        <w:rPr>
          <w:sz w:val="21"/>
          <w:szCs w:val="21"/>
        </w:rPr>
      </w:pPr>
    </w:p>
    <w:p w14:paraId="4950B329" w14:textId="77777777" w:rsidR="00036EE2" w:rsidRDefault="00036EE2" w:rsidP="00036EE2">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5"/>
      </w:tblGrid>
      <w:tr w:rsidR="00563AD0" w14:paraId="10AD2215" w14:textId="77777777" w:rsidTr="00215AFE">
        <w:trPr>
          <w:trHeight w:val="5135"/>
        </w:trPr>
        <w:tc>
          <w:tcPr>
            <w:tcW w:w="9635" w:type="dxa"/>
          </w:tcPr>
          <w:p w14:paraId="668B7FA7" w14:textId="50322DB2" w:rsidR="00563AD0" w:rsidRDefault="00563AD0" w:rsidP="00215AFE">
            <w:pPr>
              <w:ind w:left="-110"/>
              <w:rPr>
                <w:sz w:val="20"/>
                <w:szCs w:val="20"/>
              </w:rPr>
            </w:pPr>
            <w:r w:rsidRPr="000171FE">
              <w:drawing>
                <wp:inline distT="0" distB="0" distL="0" distR="0" wp14:anchorId="300FE6B3" wp14:editId="26F98E0E">
                  <wp:extent cx="6114614" cy="3148049"/>
                  <wp:effectExtent l="0" t="0" r="0" b="1905"/>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extLst>
                              <a:ext uri="{28A0092B-C50C-407E-A947-70E740481C1C}">
                                <a14:useLocalDpi xmlns:a14="http://schemas.microsoft.com/office/drawing/2010/main" val="0"/>
                              </a:ext>
                            </a:extLst>
                          </a:blip>
                          <a:srcRect l="31727" t="26605" r="4651" b="16207"/>
                          <a:stretch>
                            <a:fillRect/>
                          </a:stretch>
                        </pic:blipFill>
                        <pic:spPr>
                          <a:xfrm>
                            <a:off x="0" y="0"/>
                            <a:ext cx="6141470" cy="3161876"/>
                          </a:xfrm>
                          <a:prstGeom prst="rect">
                            <a:avLst/>
                          </a:prstGeom>
                          <a:ln/>
                        </pic:spPr>
                      </pic:pic>
                    </a:graphicData>
                  </a:graphic>
                </wp:inline>
              </w:drawing>
            </w:r>
          </w:p>
        </w:tc>
      </w:tr>
      <w:tr w:rsidR="00563AD0" w14:paraId="117A0B56" w14:textId="77777777" w:rsidTr="00215AFE">
        <w:tc>
          <w:tcPr>
            <w:tcW w:w="9635" w:type="dxa"/>
          </w:tcPr>
          <w:p w14:paraId="5D012F22" w14:textId="6D2DBB01" w:rsidR="00563AD0" w:rsidRPr="00215AFE" w:rsidRDefault="00215AFE" w:rsidP="00215AFE">
            <w:pPr>
              <w:widowControl/>
              <w:autoSpaceDE/>
              <w:autoSpaceDN/>
              <w:adjustRightInd/>
              <w:spacing w:before="100" w:beforeAutospacing="1" w:after="120" w:line="240" w:lineRule="auto"/>
              <w:jc w:val="center"/>
              <w:textDirection w:val="btLr"/>
              <w:rPr>
                <w:rFonts w:eastAsia="Times New Roman"/>
                <w:b/>
                <w:color w:val="auto"/>
                <w:sz w:val="20"/>
                <w:szCs w:val="20"/>
                <w:lang w:eastAsia="en-US"/>
              </w:rPr>
            </w:pPr>
            <w:r>
              <w:rPr>
                <w:rFonts w:eastAsia="Times New Roman"/>
                <w:b/>
                <w:color w:val="auto"/>
                <w:sz w:val="20"/>
                <w:szCs w:val="20"/>
                <w:lang w:eastAsia="en-US"/>
              </w:rPr>
              <w:t>Figure 3</w:t>
            </w:r>
            <w:r w:rsidR="00563AD0" w:rsidRPr="00563AD0">
              <w:rPr>
                <w:rFonts w:eastAsia="Times New Roman"/>
                <w:b/>
                <w:color w:val="auto"/>
                <w:sz w:val="20"/>
                <w:szCs w:val="20"/>
                <w:lang w:eastAsia="en-US"/>
              </w:rPr>
              <w:t xml:space="preserve">. Visual comparison examples of </w:t>
            </w:r>
            <w:r>
              <w:rPr>
                <w:rFonts w:eastAsia="Times New Roman"/>
                <w:b/>
                <w:color w:val="auto"/>
                <w:sz w:val="20"/>
                <w:szCs w:val="20"/>
                <w:lang w:eastAsia="en-US"/>
              </w:rPr>
              <w:t xml:space="preserve">methods on the MRSA10K dataset: </w:t>
            </w:r>
            <w:r w:rsidR="00563AD0" w:rsidRPr="00563AD0">
              <w:rPr>
                <w:rFonts w:eastAsia="Times New Roman"/>
                <w:b/>
                <w:color w:val="auto"/>
                <w:sz w:val="20"/>
                <w:szCs w:val="20"/>
                <w:lang w:eastAsia="en-US"/>
              </w:rPr>
              <w:t xml:space="preserve">Column (a) </w:t>
            </w:r>
            <w:r>
              <w:rPr>
                <w:rFonts w:eastAsia="Times New Roman"/>
                <w:b/>
                <w:color w:val="auto"/>
                <w:sz w:val="20"/>
                <w:szCs w:val="20"/>
                <w:lang w:eastAsia="en-US"/>
              </w:rPr>
              <w:t xml:space="preserve">is </w:t>
            </w:r>
            <w:r w:rsidR="00563AD0" w:rsidRPr="00563AD0">
              <w:rPr>
                <w:rFonts w:eastAsia="Times New Roman"/>
                <w:b/>
                <w:color w:val="auto"/>
                <w:sz w:val="20"/>
                <w:szCs w:val="20"/>
                <w:lang w:eastAsia="en-US"/>
              </w:rPr>
              <w:t>the input image</w:t>
            </w:r>
            <w:r>
              <w:rPr>
                <w:rFonts w:eastAsia="Times New Roman"/>
                <w:b/>
                <w:color w:val="auto"/>
                <w:sz w:val="20"/>
                <w:szCs w:val="20"/>
                <w:lang w:eastAsia="en-US"/>
              </w:rPr>
              <w:t>;</w:t>
            </w:r>
            <w:r w:rsidR="00563AD0" w:rsidRPr="00563AD0">
              <w:rPr>
                <w:rFonts w:eastAsia="Times New Roman"/>
                <w:b/>
                <w:color w:val="auto"/>
                <w:sz w:val="20"/>
                <w:szCs w:val="20"/>
                <w:lang w:eastAsia="en-US"/>
              </w:rPr>
              <w:t xml:space="preserve"> Columns (b) – (g) are output saliency maps produced by (b) SRDAS [7], (c) SLIC_SRDAS, (</w:t>
            </w:r>
            <w:r>
              <w:rPr>
                <w:rFonts w:eastAsia="Times New Roman"/>
                <w:b/>
                <w:color w:val="auto"/>
                <w:sz w:val="20"/>
                <w:szCs w:val="20"/>
                <w:lang w:eastAsia="en-US"/>
              </w:rPr>
              <w:t>d) FES [13], (e) DCT [14], (f) GCCS</w:t>
            </w:r>
            <w:r w:rsidR="00563AD0" w:rsidRPr="00563AD0">
              <w:rPr>
                <w:rFonts w:eastAsia="Times New Roman"/>
                <w:b/>
                <w:color w:val="auto"/>
                <w:sz w:val="20"/>
                <w:szCs w:val="20"/>
                <w:lang w:eastAsia="en-US"/>
              </w:rPr>
              <w:t xml:space="preserve"> (</w:t>
            </w:r>
            <w:r>
              <w:rPr>
                <w:rFonts w:eastAsia="Times New Roman"/>
                <w:b/>
                <w:color w:val="auto"/>
                <w:sz w:val="20"/>
                <w:szCs w:val="20"/>
                <w:lang w:eastAsia="en-US"/>
              </w:rPr>
              <w:t xml:space="preserve">pixel-level), </w:t>
            </w:r>
            <w:r w:rsidR="00563AD0" w:rsidRPr="00563AD0">
              <w:rPr>
                <w:rFonts w:eastAsia="Times New Roman"/>
                <w:b/>
                <w:color w:val="auto"/>
                <w:sz w:val="20"/>
                <w:szCs w:val="20"/>
                <w:lang w:eastAsia="en-US"/>
              </w:rPr>
              <w:t>(g) GCCS (super-pixels)</w:t>
            </w:r>
            <w:r>
              <w:rPr>
                <w:rFonts w:eastAsia="Times New Roman"/>
                <w:b/>
                <w:color w:val="auto"/>
                <w:sz w:val="20"/>
                <w:szCs w:val="20"/>
                <w:lang w:eastAsia="en-US"/>
              </w:rPr>
              <w:t xml:space="preserve">; </w:t>
            </w:r>
            <w:r w:rsidRPr="00563AD0">
              <w:rPr>
                <w:rFonts w:eastAsia="Times New Roman"/>
                <w:b/>
                <w:color w:val="auto"/>
                <w:sz w:val="20"/>
                <w:szCs w:val="20"/>
                <w:lang w:eastAsia="en-US"/>
              </w:rPr>
              <w:t>(h) is the ground truth binary mask.</w:t>
            </w:r>
          </w:p>
        </w:tc>
      </w:tr>
    </w:tbl>
    <w:p w14:paraId="422136AA" w14:textId="7DF2594C" w:rsidR="005D570A" w:rsidRPr="00A870EE" w:rsidRDefault="005D570A" w:rsidP="00A870EE">
      <w:pPr>
        <w:pStyle w:val="Heading1"/>
        <w:spacing w:line="240" w:lineRule="auto"/>
        <w:rPr>
          <w:sz w:val="20"/>
          <w:szCs w:val="20"/>
        </w:rPr>
      </w:pPr>
    </w:p>
    <w:sectPr w:rsidR="005D570A" w:rsidRPr="00A870EE" w:rsidSect="005B5DC7">
      <w:pgSz w:w="11907" w:h="16840" w:code="9"/>
      <w:pgMar w:top="1610" w:right="1100" w:bottom="1554" w:left="1162"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Nimbus Roman No9 L">
    <w:altName w:val="Calibri"/>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00004FF" w:usb2="00000000" w:usb3="00000000" w:csb0="0000019F" w:csb1="00000000"/>
  </w:font>
  <w:font w:name="Times New Roman,Bold">
    <w:altName w:val="Times New Roman"/>
    <w:panose1 w:val="00000800000000020000"/>
    <w:charset w:val="00"/>
    <w:family w:val="auto"/>
    <w:pitch w:val="variable"/>
    <w:sig w:usb0="E00002FF" w:usb1="5000205A" w:usb2="00000000" w:usb3="00000000" w:csb0="0000019F" w:csb1="00000000"/>
  </w:font>
  <w:font w:name="Times New Roman,Italic">
    <w:altName w:val="Times New Roman"/>
    <w:panose1 w:val="0000050000000009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3C0D6E"/>
    <w:multiLevelType w:val="hybridMultilevel"/>
    <w:tmpl w:val="B526FC42"/>
    <w:lvl w:ilvl="0" w:tplc="4A865468">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grammar="clean"/>
  <w:defaultTabStop w:val="567"/>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C4A"/>
    <w:rsid w:val="00016045"/>
    <w:rsid w:val="000171FE"/>
    <w:rsid w:val="00024E2A"/>
    <w:rsid w:val="00036EE2"/>
    <w:rsid w:val="000456D2"/>
    <w:rsid w:val="00047469"/>
    <w:rsid w:val="00087F6C"/>
    <w:rsid w:val="000C0A10"/>
    <w:rsid w:val="000C648A"/>
    <w:rsid w:val="000C7BDB"/>
    <w:rsid w:val="00105452"/>
    <w:rsid w:val="001524B9"/>
    <w:rsid w:val="001C6EFA"/>
    <w:rsid w:val="001F5BDE"/>
    <w:rsid w:val="00215AFE"/>
    <w:rsid w:val="00277BC4"/>
    <w:rsid w:val="00294A19"/>
    <w:rsid w:val="002F58DC"/>
    <w:rsid w:val="00366DB3"/>
    <w:rsid w:val="003C6F04"/>
    <w:rsid w:val="00401989"/>
    <w:rsid w:val="00492E91"/>
    <w:rsid w:val="00496261"/>
    <w:rsid w:val="00497E80"/>
    <w:rsid w:val="004D5709"/>
    <w:rsid w:val="005404E4"/>
    <w:rsid w:val="00563AD0"/>
    <w:rsid w:val="00566103"/>
    <w:rsid w:val="005745C8"/>
    <w:rsid w:val="00582D94"/>
    <w:rsid w:val="00583284"/>
    <w:rsid w:val="005B5DC7"/>
    <w:rsid w:val="005B70B8"/>
    <w:rsid w:val="005D570A"/>
    <w:rsid w:val="005E35FD"/>
    <w:rsid w:val="006B3CEB"/>
    <w:rsid w:val="006B42A5"/>
    <w:rsid w:val="006F6FAC"/>
    <w:rsid w:val="007371B9"/>
    <w:rsid w:val="00737B53"/>
    <w:rsid w:val="007510A2"/>
    <w:rsid w:val="00780865"/>
    <w:rsid w:val="007F52AF"/>
    <w:rsid w:val="00817062"/>
    <w:rsid w:val="00853CE0"/>
    <w:rsid w:val="00875BA8"/>
    <w:rsid w:val="008952D8"/>
    <w:rsid w:val="00897335"/>
    <w:rsid w:val="008D38E2"/>
    <w:rsid w:val="00902140"/>
    <w:rsid w:val="00915FBD"/>
    <w:rsid w:val="009B0D85"/>
    <w:rsid w:val="009B5558"/>
    <w:rsid w:val="009E1751"/>
    <w:rsid w:val="00A040EC"/>
    <w:rsid w:val="00A1509E"/>
    <w:rsid w:val="00A315F4"/>
    <w:rsid w:val="00A36B7B"/>
    <w:rsid w:val="00A56A75"/>
    <w:rsid w:val="00A870EE"/>
    <w:rsid w:val="00AF2CF2"/>
    <w:rsid w:val="00AF745E"/>
    <w:rsid w:val="00B11802"/>
    <w:rsid w:val="00B15EF2"/>
    <w:rsid w:val="00B16A1A"/>
    <w:rsid w:val="00B461C6"/>
    <w:rsid w:val="00B63D6F"/>
    <w:rsid w:val="00BB634A"/>
    <w:rsid w:val="00C24AAB"/>
    <w:rsid w:val="00C346BE"/>
    <w:rsid w:val="00C45F3C"/>
    <w:rsid w:val="00CB5594"/>
    <w:rsid w:val="00CD469C"/>
    <w:rsid w:val="00D03085"/>
    <w:rsid w:val="00D04EBB"/>
    <w:rsid w:val="00D10B87"/>
    <w:rsid w:val="00D1395C"/>
    <w:rsid w:val="00D42AE1"/>
    <w:rsid w:val="00D605C9"/>
    <w:rsid w:val="00D9294F"/>
    <w:rsid w:val="00DC209D"/>
    <w:rsid w:val="00E05446"/>
    <w:rsid w:val="00E71C4A"/>
    <w:rsid w:val="00E828F4"/>
    <w:rsid w:val="00F177CB"/>
    <w:rsid w:val="00F36382"/>
    <w:rsid w:val="00F65C56"/>
    <w:rsid w:val="00FA5118"/>
    <w:rsid w:val="00FB6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0AEB3B"/>
  <w15:docId w15:val="{724FD1F2-6126-4FAB-AB20-09A3EC346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6F04"/>
    <w:pPr>
      <w:widowControl w:val="0"/>
      <w:autoSpaceDE w:val="0"/>
      <w:autoSpaceDN w:val="0"/>
      <w:adjustRightInd w:val="0"/>
      <w:spacing w:line="276" w:lineRule="auto"/>
      <w:jc w:val="both"/>
    </w:pPr>
    <w:rPr>
      <w:rFonts w:eastAsiaTheme="minorEastAsia"/>
      <w:color w:val="000000"/>
      <w:sz w:val="21"/>
      <w:szCs w:val="21"/>
    </w:rPr>
  </w:style>
  <w:style w:type="paragraph" w:styleId="Heading1">
    <w:name w:val="heading 1"/>
    <w:basedOn w:val="Normal"/>
    <w:next w:val="Normal"/>
    <w:qFormat/>
    <w:rsid w:val="00294A19"/>
    <w:pPr>
      <w:spacing w:before="360" w:after="200"/>
      <w:outlineLvl w:val="0"/>
    </w:pPr>
    <w:rPr>
      <w:b/>
      <w:sz w:val="28"/>
      <w:szCs w:val="28"/>
    </w:rPr>
  </w:style>
  <w:style w:type="paragraph" w:styleId="Heading2">
    <w:name w:val="heading 2"/>
    <w:basedOn w:val="Normal"/>
    <w:next w:val="Normal"/>
    <w:link w:val="Heading2Char"/>
    <w:uiPriority w:val="9"/>
    <w:unhideWhenUsed/>
    <w:qFormat/>
    <w:rsid w:val="00294A19"/>
    <w:pPr>
      <w:keepNext/>
      <w:spacing w:before="280" w:after="120"/>
      <w:outlineLvl w:val="1"/>
    </w:pPr>
    <w:rPr>
      <w:rFonts w:eastAsiaTheme="majorEastAsia"/>
      <w:b/>
      <w:bCs/>
      <w:iCs/>
      <w:sz w:val="24"/>
      <w:szCs w:val="26"/>
    </w:rPr>
  </w:style>
  <w:style w:type="paragraph" w:styleId="Heading3">
    <w:name w:val="heading 3"/>
    <w:basedOn w:val="Normal"/>
    <w:next w:val="Normal"/>
    <w:link w:val="Heading3Char"/>
    <w:uiPriority w:val="9"/>
    <w:unhideWhenUsed/>
    <w:qFormat/>
    <w:rsid w:val="00294A19"/>
    <w:pPr>
      <w:keepNext/>
      <w:spacing w:before="240" w:after="120"/>
      <w:outlineLvl w:val="2"/>
    </w:pPr>
    <w:rPr>
      <w:rFonts w:eastAsiaTheme="majorEastAsia"/>
      <w:b/>
      <w:b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customStyle="1" w:styleId="CM8">
    <w:name w:val="CM8"/>
    <w:basedOn w:val="Normal"/>
    <w:next w:val="Normal"/>
    <w:uiPriority w:val="99"/>
    <w:rsid w:val="00CD469C"/>
    <w:rPr>
      <w:rFonts w:ascii="Nimbus Roman No9 L" w:hAnsi="Nimbus Roman No9 L"/>
    </w:rPr>
  </w:style>
  <w:style w:type="paragraph" w:customStyle="1" w:styleId="CM1">
    <w:name w:val="CM1"/>
    <w:basedOn w:val="Normal"/>
    <w:next w:val="Normal"/>
    <w:uiPriority w:val="99"/>
    <w:rsid w:val="00CD469C"/>
    <w:rPr>
      <w:rFonts w:ascii="Nimbus Roman No9 L" w:hAnsi="Nimbus Roman No9 L"/>
    </w:rPr>
  </w:style>
  <w:style w:type="paragraph" w:customStyle="1" w:styleId="CM7">
    <w:name w:val="CM7"/>
    <w:basedOn w:val="Normal"/>
    <w:next w:val="Normal"/>
    <w:uiPriority w:val="99"/>
    <w:rsid w:val="00CD469C"/>
    <w:rPr>
      <w:rFonts w:ascii="Nimbus Roman No9 L" w:hAnsi="Nimbus Roman No9 L"/>
    </w:rPr>
  </w:style>
  <w:style w:type="paragraph" w:styleId="Title">
    <w:name w:val="Title"/>
    <w:basedOn w:val="Heading1"/>
    <w:next w:val="Normal"/>
    <w:link w:val="TitleChar"/>
    <w:uiPriority w:val="10"/>
    <w:qFormat/>
    <w:rsid w:val="00024E2A"/>
    <w:pPr>
      <w:jc w:val="center"/>
    </w:pPr>
    <w:rPr>
      <w:b w:val="0"/>
      <w:sz w:val="32"/>
    </w:rPr>
  </w:style>
  <w:style w:type="character" w:customStyle="1" w:styleId="TitleChar">
    <w:name w:val="Title Char"/>
    <w:basedOn w:val="DefaultParagraphFont"/>
    <w:link w:val="Title"/>
    <w:uiPriority w:val="10"/>
    <w:rsid w:val="00024E2A"/>
    <w:rPr>
      <w:rFonts w:eastAsiaTheme="minorEastAsia"/>
      <w:color w:val="000000"/>
      <w:sz w:val="32"/>
      <w:szCs w:val="28"/>
    </w:rPr>
  </w:style>
  <w:style w:type="paragraph" w:styleId="Caption">
    <w:name w:val="caption"/>
    <w:basedOn w:val="Normal"/>
    <w:next w:val="Normal"/>
    <w:uiPriority w:val="35"/>
    <w:unhideWhenUsed/>
    <w:qFormat/>
    <w:rsid w:val="00566103"/>
    <w:pPr>
      <w:jc w:val="center"/>
    </w:pPr>
    <w:rPr>
      <w:b/>
      <w:bCs/>
      <w:sz w:val="20"/>
      <w:szCs w:val="20"/>
    </w:rPr>
  </w:style>
  <w:style w:type="character" w:customStyle="1" w:styleId="Heading2Char">
    <w:name w:val="Heading 2 Char"/>
    <w:basedOn w:val="DefaultParagraphFont"/>
    <w:link w:val="Heading2"/>
    <w:uiPriority w:val="9"/>
    <w:rsid w:val="00294A19"/>
    <w:rPr>
      <w:rFonts w:eastAsiaTheme="majorEastAsia"/>
      <w:b/>
      <w:bCs/>
      <w:iCs/>
      <w:color w:val="000000"/>
      <w:sz w:val="24"/>
      <w:szCs w:val="26"/>
    </w:rPr>
  </w:style>
  <w:style w:type="character" w:customStyle="1" w:styleId="Heading3Char">
    <w:name w:val="Heading 3 Char"/>
    <w:basedOn w:val="DefaultParagraphFont"/>
    <w:link w:val="Heading3"/>
    <w:uiPriority w:val="9"/>
    <w:rsid w:val="00294A19"/>
    <w:rPr>
      <w:rFonts w:eastAsiaTheme="majorEastAsia"/>
      <w:b/>
      <w:bCs/>
      <w:color w:val="000000"/>
      <w:sz w:val="22"/>
      <w:szCs w:val="26"/>
    </w:rPr>
  </w:style>
  <w:style w:type="character" w:styleId="Strong">
    <w:name w:val="Strong"/>
    <w:basedOn w:val="DefaultParagraphFont"/>
    <w:uiPriority w:val="22"/>
    <w:qFormat/>
    <w:rsid w:val="00B15EF2"/>
    <w:rPr>
      <w:rFonts w:ascii="Times New Roman" w:hAnsi="Times New Roman" w:cs="Times New Roman"/>
      <w:b/>
    </w:rPr>
  </w:style>
  <w:style w:type="paragraph" w:customStyle="1" w:styleId="Abstract">
    <w:name w:val="Abstract"/>
    <w:basedOn w:val="Normal"/>
    <w:link w:val="AbstractChar"/>
    <w:qFormat/>
    <w:rsid w:val="00A36B7B"/>
    <w:pPr>
      <w:ind w:left="567" w:right="566" w:firstLine="567"/>
    </w:pPr>
    <w:rPr>
      <w:sz w:val="20"/>
      <w:szCs w:val="20"/>
    </w:rPr>
  </w:style>
  <w:style w:type="paragraph" w:customStyle="1" w:styleId="AbstractHeading">
    <w:name w:val="AbstractHeading"/>
    <w:basedOn w:val="Abstract"/>
    <w:link w:val="AbstractHeadingChar"/>
    <w:qFormat/>
    <w:rsid w:val="00A36B7B"/>
    <w:pPr>
      <w:spacing w:before="120" w:after="120"/>
      <w:jc w:val="center"/>
    </w:pPr>
    <w:rPr>
      <w:b/>
    </w:rPr>
  </w:style>
  <w:style w:type="character" w:customStyle="1" w:styleId="AbstractChar">
    <w:name w:val="Abstract Char"/>
    <w:basedOn w:val="DefaultParagraphFont"/>
    <w:link w:val="Abstract"/>
    <w:rsid w:val="00A36B7B"/>
    <w:rPr>
      <w:rFonts w:eastAsiaTheme="minorEastAsia"/>
      <w:color w:val="000000"/>
    </w:rPr>
  </w:style>
  <w:style w:type="character" w:styleId="PlaceholderText">
    <w:name w:val="Placeholder Text"/>
    <w:basedOn w:val="DefaultParagraphFont"/>
    <w:uiPriority w:val="99"/>
    <w:semiHidden/>
    <w:rsid w:val="006F6FAC"/>
    <w:rPr>
      <w:color w:val="808080"/>
    </w:rPr>
  </w:style>
  <w:style w:type="character" w:customStyle="1" w:styleId="AbstractHeadingChar">
    <w:name w:val="AbstractHeading Char"/>
    <w:basedOn w:val="AbstractChar"/>
    <w:link w:val="AbstractHeading"/>
    <w:rsid w:val="00A36B7B"/>
    <w:rPr>
      <w:rFonts w:eastAsiaTheme="minorEastAsia"/>
      <w:b/>
      <w:color w:val="000000"/>
    </w:rPr>
  </w:style>
  <w:style w:type="paragraph" w:styleId="BalloonText">
    <w:name w:val="Balloon Text"/>
    <w:basedOn w:val="Normal"/>
    <w:link w:val="BalloonTextChar"/>
    <w:uiPriority w:val="99"/>
    <w:semiHidden/>
    <w:unhideWhenUsed/>
    <w:rsid w:val="006F6F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FAC"/>
    <w:rPr>
      <w:rFonts w:ascii="Tahoma" w:eastAsiaTheme="minorEastAsia" w:hAnsi="Tahoma" w:cs="Tahoma"/>
      <w:color w:val="000000"/>
      <w:sz w:val="16"/>
      <w:szCs w:val="16"/>
    </w:rPr>
  </w:style>
  <w:style w:type="table" w:styleId="TableGrid">
    <w:name w:val="Table Grid"/>
    <w:basedOn w:val="TableNormal"/>
    <w:uiPriority w:val="39"/>
    <w:rsid w:val="00897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7BDB"/>
    <w:pPr>
      <w:ind w:left="720"/>
      <w:contextualSpacing/>
    </w:pPr>
  </w:style>
  <w:style w:type="paragraph" w:styleId="NormalWeb">
    <w:name w:val="Normal (Web)"/>
    <w:basedOn w:val="Normal"/>
    <w:uiPriority w:val="99"/>
    <w:unhideWhenUsed/>
    <w:rsid w:val="00277BC4"/>
    <w:pPr>
      <w:widowControl/>
      <w:autoSpaceDE/>
      <w:autoSpaceDN/>
      <w:adjustRightInd/>
      <w:spacing w:before="100" w:beforeAutospacing="1" w:after="100" w:afterAutospacing="1" w:line="240" w:lineRule="auto"/>
      <w:jc w:val="left"/>
    </w:pPr>
    <w:rPr>
      <w:rFonts w:eastAsia="Times New Roman"/>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941561">
      <w:bodyDiv w:val="1"/>
      <w:marLeft w:val="0"/>
      <w:marRight w:val="0"/>
      <w:marTop w:val="0"/>
      <w:marBottom w:val="0"/>
      <w:divBdr>
        <w:top w:val="none" w:sz="0" w:space="0" w:color="auto"/>
        <w:left w:val="none" w:sz="0" w:space="0" w:color="auto"/>
        <w:bottom w:val="none" w:sz="0" w:space="0" w:color="auto"/>
        <w:right w:val="none" w:sz="0" w:space="0" w:color="auto"/>
      </w:divBdr>
      <w:divsChild>
        <w:div w:id="484442219">
          <w:marLeft w:val="0"/>
          <w:marRight w:val="0"/>
          <w:marTop w:val="0"/>
          <w:marBottom w:val="0"/>
          <w:divBdr>
            <w:top w:val="none" w:sz="0" w:space="0" w:color="auto"/>
            <w:left w:val="none" w:sz="0" w:space="0" w:color="auto"/>
            <w:bottom w:val="none" w:sz="0" w:space="0" w:color="auto"/>
            <w:right w:val="none" w:sz="0" w:space="0" w:color="auto"/>
          </w:divBdr>
          <w:divsChild>
            <w:div w:id="572589237">
              <w:marLeft w:val="0"/>
              <w:marRight w:val="0"/>
              <w:marTop w:val="0"/>
              <w:marBottom w:val="0"/>
              <w:divBdr>
                <w:top w:val="none" w:sz="0" w:space="0" w:color="auto"/>
                <w:left w:val="none" w:sz="0" w:space="0" w:color="auto"/>
                <w:bottom w:val="none" w:sz="0" w:space="0" w:color="auto"/>
                <w:right w:val="none" w:sz="0" w:space="0" w:color="auto"/>
              </w:divBdr>
              <w:divsChild>
                <w:div w:id="834496820">
                  <w:marLeft w:val="0"/>
                  <w:marRight w:val="0"/>
                  <w:marTop w:val="0"/>
                  <w:marBottom w:val="0"/>
                  <w:divBdr>
                    <w:top w:val="none" w:sz="0" w:space="0" w:color="auto"/>
                    <w:left w:val="none" w:sz="0" w:space="0" w:color="auto"/>
                    <w:bottom w:val="none" w:sz="0" w:space="0" w:color="auto"/>
                    <w:right w:val="none" w:sz="0" w:space="0" w:color="auto"/>
                  </w:divBdr>
                </w:div>
              </w:divsChild>
            </w:div>
            <w:div w:id="1054545974">
              <w:marLeft w:val="0"/>
              <w:marRight w:val="0"/>
              <w:marTop w:val="0"/>
              <w:marBottom w:val="0"/>
              <w:divBdr>
                <w:top w:val="none" w:sz="0" w:space="0" w:color="auto"/>
                <w:left w:val="none" w:sz="0" w:space="0" w:color="auto"/>
                <w:bottom w:val="none" w:sz="0" w:space="0" w:color="auto"/>
                <w:right w:val="none" w:sz="0" w:space="0" w:color="auto"/>
              </w:divBdr>
              <w:divsChild>
                <w:div w:id="395857767">
                  <w:marLeft w:val="0"/>
                  <w:marRight w:val="0"/>
                  <w:marTop w:val="0"/>
                  <w:marBottom w:val="0"/>
                  <w:divBdr>
                    <w:top w:val="none" w:sz="0" w:space="0" w:color="auto"/>
                    <w:left w:val="none" w:sz="0" w:space="0" w:color="auto"/>
                    <w:bottom w:val="none" w:sz="0" w:space="0" w:color="auto"/>
                    <w:right w:val="none" w:sz="0" w:space="0" w:color="auto"/>
                  </w:divBdr>
                </w:div>
              </w:divsChild>
            </w:div>
            <w:div w:id="606355928">
              <w:marLeft w:val="0"/>
              <w:marRight w:val="0"/>
              <w:marTop w:val="0"/>
              <w:marBottom w:val="0"/>
              <w:divBdr>
                <w:top w:val="none" w:sz="0" w:space="0" w:color="auto"/>
                <w:left w:val="none" w:sz="0" w:space="0" w:color="auto"/>
                <w:bottom w:val="none" w:sz="0" w:space="0" w:color="auto"/>
                <w:right w:val="none" w:sz="0" w:space="0" w:color="auto"/>
              </w:divBdr>
              <w:divsChild>
                <w:div w:id="1350529259">
                  <w:marLeft w:val="0"/>
                  <w:marRight w:val="0"/>
                  <w:marTop w:val="0"/>
                  <w:marBottom w:val="0"/>
                  <w:divBdr>
                    <w:top w:val="none" w:sz="0" w:space="0" w:color="auto"/>
                    <w:left w:val="none" w:sz="0" w:space="0" w:color="auto"/>
                    <w:bottom w:val="none" w:sz="0" w:space="0" w:color="auto"/>
                    <w:right w:val="none" w:sz="0" w:space="0" w:color="auto"/>
                  </w:divBdr>
                </w:div>
              </w:divsChild>
            </w:div>
            <w:div w:id="703136386">
              <w:marLeft w:val="0"/>
              <w:marRight w:val="0"/>
              <w:marTop w:val="0"/>
              <w:marBottom w:val="0"/>
              <w:divBdr>
                <w:top w:val="none" w:sz="0" w:space="0" w:color="auto"/>
                <w:left w:val="none" w:sz="0" w:space="0" w:color="auto"/>
                <w:bottom w:val="none" w:sz="0" w:space="0" w:color="auto"/>
                <w:right w:val="none" w:sz="0" w:space="0" w:color="auto"/>
              </w:divBdr>
              <w:divsChild>
                <w:div w:id="628827536">
                  <w:marLeft w:val="0"/>
                  <w:marRight w:val="0"/>
                  <w:marTop w:val="0"/>
                  <w:marBottom w:val="0"/>
                  <w:divBdr>
                    <w:top w:val="none" w:sz="0" w:space="0" w:color="auto"/>
                    <w:left w:val="none" w:sz="0" w:space="0" w:color="auto"/>
                    <w:bottom w:val="none" w:sz="0" w:space="0" w:color="auto"/>
                    <w:right w:val="none" w:sz="0" w:space="0" w:color="auto"/>
                  </w:divBdr>
                </w:div>
              </w:divsChild>
            </w:div>
            <w:div w:id="1247152766">
              <w:marLeft w:val="0"/>
              <w:marRight w:val="0"/>
              <w:marTop w:val="0"/>
              <w:marBottom w:val="0"/>
              <w:divBdr>
                <w:top w:val="none" w:sz="0" w:space="0" w:color="auto"/>
                <w:left w:val="none" w:sz="0" w:space="0" w:color="auto"/>
                <w:bottom w:val="none" w:sz="0" w:space="0" w:color="auto"/>
                <w:right w:val="none" w:sz="0" w:space="0" w:color="auto"/>
              </w:divBdr>
              <w:divsChild>
                <w:div w:id="757362000">
                  <w:marLeft w:val="0"/>
                  <w:marRight w:val="0"/>
                  <w:marTop w:val="0"/>
                  <w:marBottom w:val="0"/>
                  <w:divBdr>
                    <w:top w:val="none" w:sz="0" w:space="0" w:color="auto"/>
                    <w:left w:val="none" w:sz="0" w:space="0" w:color="auto"/>
                    <w:bottom w:val="none" w:sz="0" w:space="0" w:color="auto"/>
                    <w:right w:val="none" w:sz="0" w:space="0" w:color="auto"/>
                  </w:divBdr>
                </w:div>
              </w:divsChild>
            </w:div>
            <w:div w:id="395786986">
              <w:marLeft w:val="0"/>
              <w:marRight w:val="0"/>
              <w:marTop w:val="0"/>
              <w:marBottom w:val="0"/>
              <w:divBdr>
                <w:top w:val="none" w:sz="0" w:space="0" w:color="auto"/>
                <w:left w:val="none" w:sz="0" w:space="0" w:color="auto"/>
                <w:bottom w:val="none" w:sz="0" w:space="0" w:color="auto"/>
                <w:right w:val="none" w:sz="0" w:space="0" w:color="auto"/>
              </w:divBdr>
              <w:divsChild>
                <w:div w:id="493254318">
                  <w:marLeft w:val="0"/>
                  <w:marRight w:val="0"/>
                  <w:marTop w:val="0"/>
                  <w:marBottom w:val="0"/>
                  <w:divBdr>
                    <w:top w:val="none" w:sz="0" w:space="0" w:color="auto"/>
                    <w:left w:val="none" w:sz="0" w:space="0" w:color="auto"/>
                    <w:bottom w:val="none" w:sz="0" w:space="0" w:color="auto"/>
                    <w:right w:val="none" w:sz="0" w:space="0" w:color="auto"/>
                  </w:divBdr>
                </w:div>
              </w:divsChild>
            </w:div>
            <w:div w:id="412552450">
              <w:marLeft w:val="0"/>
              <w:marRight w:val="0"/>
              <w:marTop w:val="0"/>
              <w:marBottom w:val="0"/>
              <w:divBdr>
                <w:top w:val="none" w:sz="0" w:space="0" w:color="auto"/>
                <w:left w:val="none" w:sz="0" w:space="0" w:color="auto"/>
                <w:bottom w:val="none" w:sz="0" w:space="0" w:color="auto"/>
                <w:right w:val="none" w:sz="0" w:space="0" w:color="auto"/>
              </w:divBdr>
              <w:divsChild>
                <w:div w:id="70741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38843">
      <w:bodyDiv w:val="1"/>
      <w:marLeft w:val="0"/>
      <w:marRight w:val="0"/>
      <w:marTop w:val="0"/>
      <w:marBottom w:val="0"/>
      <w:divBdr>
        <w:top w:val="none" w:sz="0" w:space="0" w:color="auto"/>
        <w:left w:val="none" w:sz="0" w:space="0" w:color="auto"/>
        <w:bottom w:val="none" w:sz="0" w:space="0" w:color="auto"/>
        <w:right w:val="none" w:sz="0" w:space="0" w:color="auto"/>
      </w:divBdr>
      <w:divsChild>
        <w:div w:id="1806120203">
          <w:marLeft w:val="0"/>
          <w:marRight w:val="0"/>
          <w:marTop w:val="0"/>
          <w:marBottom w:val="0"/>
          <w:divBdr>
            <w:top w:val="none" w:sz="0" w:space="0" w:color="auto"/>
            <w:left w:val="none" w:sz="0" w:space="0" w:color="auto"/>
            <w:bottom w:val="none" w:sz="0" w:space="0" w:color="auto"/>
            <w:right w:val="none" w:sz="0" w:space="0" w:color="auto"/>
          </w:divBdr>
          <w:divsChild>
            <w:div w:id="1224213851">
              <w:marLeft w:val="0"/>
              <w:marRight w:val="0"/>
              <w:marTop w:val="0"/>
              <w:marBottom w:val="0"/>
              <w:divBdr>
                <w:top w:val="none" w:sz="0" w:space="0" w:color="auto"/>
                <w:left w:val="none" w:sz="0" w:space="0" w:color="auto"/>
                <w:bottom w:val="none" w:sz="0" w:space="0" w:color="auto"/>
                <w:right w:val="none" w:sz="0" w:space="0" w:color="auto"/>
              </w:divBdr>
              <w:divsChild>
                <w:div w:id="192145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9632">
      <w:bodyDiv w:val="1"/>
      <w:marLeft w:val="0"/>
      <w:marRight w:val="0"/>
      <w:marTop w:val="0"/>
      <w:marBottom w:val="0"/>
      <w:divBdr>
        <w:top w:val="none" w:sz="0" w:space="0" w:color="auto"/>
        <w:left w:val="none" w:sz="0" w:space="0" w:color="auto"/>
        <w:bottom w:val="none" w:sz="0" w:space="0" w:color="auto"/>
        <w:right w:val="none" w:sz="0" w:space="0" w:color="auto"/>
      </w:divBdr>
      <w:divsChild>
        <w:div w:id="1293973653">
          <w:marLeft w:val="0"/>
          <w:marRight w:val="0"/>
          <w:marTop w:val="0"/>
          <w:marBottom w:val="0"/>
          <w:divBdr>
            <w:top w:val="none" w:sz="0" w:space="0" w:color="auto"/>
            <w:left w:val="none" w:sz="0" w:space="0" w:color="auto"/>
            <w:bottom w:val="none" w:sz="0" w:space="0" w:color="auto"/>
            <w:right w:val="none" w:sz="0" w:space="0" w:color="auto"/>
          </w:divBdr>
          <w:divsChild>
            <w:div w:id="1501696133">
              <w:marLeft w:val="0"/>
              <w:marRight w:val="0"/>
              <w:marTop w:val="0"/>
              <w:marBottom w:val="0"/>
              <w:divBdr>
                <w:top w:val="none" w:sz="0" w:space="0" w:color="auto"/>
                <w:left w:val="none" w:sz="0" w:space="0" w:color="auto"/>
                <w:bottom w:val="none" w:sz="0" w:space="0" w:color="auto"/>
                <w:right w:val="none" w:sz="0" w:space="0" w:color="auto"/>
              </w:divBdr>
              <w:divsChild>
                <w:div w:id="6057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4597">
      <w:bodyDiv w:val="1"/>
      <w:marLeft w:val="0"/>
      <w:marRight w:val="0"/>
      <w:marTop w:val="0"/>
      <w:marBottom w:val="0"/>
      <w:divBdr>
        <w:top w:val="none" w:sz="0" w:space="0" w:color="auto"/>
        <w:left w:val="none" w:sz="0" w:space="0" w:color="auto"/>
        <w:bottom w:val="none" w:sz="0" w:space="0" w:color="auto"/>
        <w:right w:val="none" w:sz="0" w:space="0" w:color="auto"/>
      </w:divBdr>
      <w:divsChild>
        <w:div w:id="1998026123">
          <w:marLeft w:val="0"/>
          <w:marRight w:val="0"/>
          <w:marTop w:val="0"/>
          <w:marBottom w:val="0"/>
          <w:divBdr>
            <w:top w:val="none" w:sz="0" w:space="0" w:color="auto"/>
            <w:left w:val="none" w:sz="0" w:space="0" w:color="auto"/>
            <w:bottom w:val="none" w:sz="0" w:space="0" w:color="auto"/>
            <w:right w:val="none" w:sz="0" w:space="0" w:color="auto"/>
          </w:divBdr>
          <w:divsChild>
            <w:div w:id="1990744800">
              <w:marLeft w:val="0"/>
              <w:marRight w:val="0"/>
              <w:marTop w:val="0"/>
              <w:marBottom w:val="0"/>
              <w:divBdr>
                <w:top w:val="none" w:sz="0" w:space="0" w:color="auto"/>
                <w:left w:val="none" w:sz="0" w:space="0" w:color="auto"/>
                <w:bottom w:val="none" w:sz="0" w:space="0" w:color="auto"/>
                <w:right w:val="none" w:sz="0" w:space="0" w:color="auto"/>
              </w:divBdr>
              <w:divsChild>
                <w:div w:id="28381784">
                  <w:marLeft w:val="0"/>
                  <w:marRight w:val="0"/>
                  <w:marTop w:val="0"/>
                  <w:marBottom w:val="0"/>
                  <w:divBdr>
                    <w:top w:val="none" w:sz="0" w:space="0" w:color="auto"/>
                    <w:left w:val="none" w:sz="0" w:space="0" w:color="auto"/>
                    <w:bottom w:val="none" w:sz="0" w:space="0" w:color="auto"/>
                    <w:right w:val="none" w:sz="0" w:space="0" w:color="auto"/>
                  </w:divBdr>
                </w:div>
                <w:div w:id="11790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75672">
      <w:bodyDiv w:val="1"/>
      <w:marLeft w:val="0"/>
      <w:marRight w:val="0"/>
      <w:marTop w:val="0"/>
      <w:marBottom w:val="0"/>
      <w:divBdr>
        <w:top w:val="none" w:sz="0" w:space="0" w:color="auto"/>
        <w:left w:val="none" w:sz="0" w:space="0" w:color="auto"/>
        <w:bottom w:val="none" w:sz="0" w:space="0" w:color="auto"/>
        <w:right w:val="none" w:sz="0" w:space="0" w:color="auto"/>
      </w:divBdr>
      <w:divsChild>
        <w:div w:id="525678112">
          <w:marLeft w:val="0"/>
          <w:marRight w:val="0"/>
          <w:marTop w:val="0"/>
          <w:marBottom w:val="0"/>
          <w:divBdr>
            <w:top w:val="none" w:sz="0" w:space="0" w:color="auto"/>
            <w:left w:val="none" w:sz="0" w:space="0" w:color="auto"/>
            <w:bottom w:val="none" w:sz="0" w:space="0" w:color="auto"/>
            <w:right w:val="none" w:sz="0" w:space="0" w:color="auto"/>
          </w:divBdr>
          <w:divsChild>
            <w:div w:id="233705671">
              <w:marLeft w:val="0"/>
              <w:marRight w:val="0"/>
              <w:marTop w:val="0"/>
              <w:marBottom w:val="0"/>
              <w:divBdr>
                <w:top w:val="none" w:sz="0" w:space="0" w:color="auto"/>
                <w:left w:val="none" w:sz="0" w:space="0" w:color="auto"/>
                <w:bottom w:val="none" w:sz="0" w:space="0" w:color="auto"/>
                <w:right w:val="none" w:sz="0" w:space="0" w:color="auto"/>
              </w:divBdr>
              <w:divsChild>
                <w:div w:id="1861696272">
                  <w:marLeft w:val="0"/>
                  <w:marRight w:val="0"/>
                  <w:marTop w:val="0"/>
                  <w:marBottom w:val="0"/>
                  <w:divBdr>
                    <w:top w:val="none" w:sz="0" w:space="0" w:color="auto"/>
                    <w:left w:val="none" w:sz="0" w:space="0" w:color="auto"/>
                    <w:bottom w:val="none" w:sz="0" w:space="0" w:color="auto"/>
                    <w:right w:val="none" w:sz="0" w:space="0" w:color="auto"/>
                  </w:divBdr>
                </w:div>
                <w:div w:id="1884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24401">
      <w:bodyDiv w:val="1"/>
      <w:marLeft w:val="0"/>
      <w:marRight w:val="0"/>
      <w:marTop w:val="0"/>
      <w:marBottom w:val="0"/>
      <w:divBdr>
        <w:top w:val="none" w:sz="0" w:space="0" w:color="auto"/>
        <w:left w:val="none" w:sz="0" w:space="0" w:color="auto"/>
        <w:bottom w:val="none" w:sz="0" w:space="0" w:color="auto"/>
        <w:right w:val="none" w:sz="0" w:space="0" w:color="auto"/>
      </w:divBdr>
      <w:divsChild>
        <w:div w:id="171647509">
          <w:marLeft w:val="0"/>
          <w:marRight w:val="0"/>
          <w:marTop w:val="0"/>
          <w:marBottom w:val="0"/>
          <w:divBdr>
            <w:top w:val="none" w:sz="0" w:space="0" w:color="auto"/>
            <w:left w:val="none" w:sz="0" w:space="0" w:color="auto"/>
            <w:bottom w:val="none" w:sz="0" w:space="0" w:color="auto"/>
            <w:right w:val="none" w:sz="0" w:space="0" w:color="auto"/>
          </w:divBdr>
          <w:divsChild>
            <w:div w:id="715544629">
              <w:marLeft w:val="0"/>
              <w:marRight w:val="0"/>
              <w:marTop w:val="0"/>
              <w:marBottom w:val="0"/>
              <w:divBdr>
                <w:top w:val="none" w:sz="0" w:space="0" w:color="auto"/>
                <w:left w:val="none" w:sz="0" w:space="0" w:color="auto"/>
                <w:bottom w:val="none" w:sz="0" w:space="0" w:color="auto"/>
                <w:right w:val="none" w:sz="0" w:space="0" w:color="auto"/>
              </w:divBdr>
              <w:divsChild>
                <w:div w:id="5553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257300">
      <w:bodyDiv w:val="1"/>
      <w:marLeft w:val="0"/>
      <w:marRight w:val="0"/>
      <w:marTop w:val="0"/>
      <w:marBottom w:val="0"/>
      <w:divBdr>
        <w:top w:val="none" w:sz="0" w:space="0" w:color="auto"/>
        <w:left w:val="none" w:sz="0" w:space="0" w:color="auto"/>
        <w:bottom w:val="none" w:sz="0" w:space="0" w:color="auto"/>
        <w:right w:val="none" w:sz="0" w:space="0" w:color="auto"/>
      </w:divBdr>
      <w:divsChild>
        <w:div w:id="1930583267">
          <w:marLeft w:val="0"/>
          <w:marRight w:val="0"/>
          <w:marTop w:val="0"/>
          <w:marBottom w:val="0"/>
          <w:divBdr>
            <w:top w:val="none" w:sz="0" w:space="0" w:color="auto"/>
            <w:left w:val="none" w:sz="0" w:space="0" w:color="auto"/>
            <w:bottom w:val="none" w:sz="0" w:space="0" w:color="auto"/>
            <w:right w:val="none" w:sz="0" w:space="0" w:color="auto"/>
          </w:divBdr>
          <w:divsChild>
            <w:div w:id="578641963">
              <w:marLeft w:val="0"/>
              <w:marRight w:val="0"/>
              <w:marTop w:val="0"/>
              <w:marBottom w:val="0"/>
              <w:divBdr>
                <w:top w:val="none" w:sz="0" w:space="0" w:color="auto"/>
                <w:left w:val="none" w:sz="0" w:space="0" w:color="auto"/>
                <w:bottom w:val="none" w:sz="0" w:space="0" w:color="auto"/>
                <w:right w:val="none" w:sz="0" w:space="0" w:color="auto"/>
              </w:divBdr>
              <w:divsChild>
                <w:div w:id="1805736743">
                  <w:marLeft w:val="0"/>
                  <w:marRight w:val="0"/>
                  <w:marTop w:val="0"/>
                  <w:marBottom w:val="0"/>
                  <w:divBdr>
                    <w:top w:val="none" w:sz="0" w:space="0" w:color="auto"/>
                    <w:left w:val="none" w:sz="0" w:space="0" w:color="auto"/>
                    <w:bottom w:val="none" w:sz="0" w:space="0" w:color="auto"/>
                    <w:right w:val="none" w:sz="0" w:space="0" w:color="auto"/>
                  </w:divBdr>
                </w:div>
                <w:div w:id="517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954466">
      <w:bodyDiv w:val="1"/>
      <w:marLeft w:val="0"/>
      <w:marRight w:val="0"/>
      <w:marTop w:val="0"/>
      <w:marBottom w:val="0"/>
      <w:divBdr>
        <w:top w:val="none" w:sz="0" w:space="0" w:color="auto"/>
        <w:left w:val="none" w:sz="0" w:space="0" w:color="auto"/>
        <w:bottom w:val="none" w:sz="0" w:space="0" w:color="auto"/>
        <w:right w:val="none" w:sz="0" w:space="0" w:color="auto"/>
      </w:divBdr>
      <w:divsChild>
        <w:div w:id="154536431">
          <w:marLeft w:val="0"/>
          <w:marRight w:val="0"/>
          <w:marTop w:val="0"/>
          <w:marBottom w:val="0"/>
          <w:divBdr>
            <w:top w:val="none" w:sz="0" w:space="0" w:color="auto"/>
            <w:left w:val="none" w:sz="0" w:space="0" w:color="auto"/>
            <w:bottom w:val="none" w:sz="0" w:space="0" w:color="auto"/>
            <w:right w:val="none" w:sz="0" w:space="0" w:color="auto"/>
          </w:divBdr>
          <w:divsChild>
            <w:div w:id="845095071">
              <w:marLeft w:val="0"/>
              <w:marRight w:val="0"/>
              <w:marTop w:val="0"/>
              <w:marBottom w:val="0"/>
              <w:divBdr>
                <w:top w:val="none" w:sz="0" w:space="0" w:color="auto"/>
                <w:left w:val="none" w:sz="0" w:space="0" w:color="auto"/>
                <w:bottom w:val="none" w:sz="0" w:space="0" w:color="auto"/>
                <w:right w:val="none" w:sz="0" w:space="0" w:color="auto"/>
              </w:divBdr>
              <w:divsChild>
                <w:div w:id="47206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94866">
      <w:bodyDiv w:val="1"/>
      <w:marLeft w:val="0"/>
      <w:marRight w:val="0"/>
      <w:marTop w:val="0"/>
      <w:marBottom w:val="0"/>
      <w:divBdr>
        <w:top w:val="none" w:sz="0" w:space="0" w:color="auto"/>
        <w:left w:val="none" w:sz="0" w:space="0" w:color="auto"/>
        <w:bottom w:val="none" w:sz="0" w:space="0" w:color="auto"/>
        <w:right w:val="none" w:sz="0" w:space="0" w:color="auto"/>
      </w:divBdr>
      <w:divsChild>
        <w:div w:id="709375821">
          <w:marLeft w:val="0"/>
          <w:marRight w:val="0"/>
          <w:marTop w:val="0"/>
          <w:marBottom w:val="0"/>
          <w:divBdr>
            <w:top w:val="none" w:sz="0" w:space="0" w:color="auto"/>
            <w:left w:val="none" w:sz="0" w:space="0" w:color="auto"/>
            <w:bottom w:val="none" w:sz="0" w:space="0" w:color="auto"/>
            <w:right w:val="none" w:sz="0" w:space="0" w:color="auto"/>
          </w:divBdr>
          <w:divsChild>
            <w:div w:id="25303066">
              <w:marLeft w:val="0"/>
              <w:marRight w:val="0"/>
              <w:marTop w:val="0"/>
              <w:marBottom w:val="0"/>
              <w:divBdr>
                <w:top w:val="none" w:sz="0" w:space="0" w:color="auto"/>
                <w:left w:val="none" w:sz="0" w:space="0" w:color="auto"/>
                <w:bottom w:val="none" w:sz="0" w:space="0" w:color="auto"/>
                <w:right w:val="none" w:sz="0" w:space="0" w:color="auto"/>
              </w:divBdr>
              <w:divsChild>
                <w:div w:id="18308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342810">
      <w:bodyDiv w:val="1"/>
      <w:marLeft w:val="0"/>
      <w:marRight w:val="0"/>
      <w:marTop w:val="0"/>
      <w:marBottom w:val="0"/>
      <w:divBdr>
        <w:top w:val="none" w:sz="0" w:space="0" w:color="auto"/>
        <w:left w:val="none" w:sz="0" w:space="0" w:color="auto"/>
        <w:bottom w:val="none" w:sz="0" w:space="0" w:color="auto"/>
        <w:right w:val="none" w:sz="0" w:space="0" w:color="auto"/>
      </w:divBdr>
      <w:divsChild>
        <w:div w:id="868950236">
          <w:marLeft w:val="0"/>
          <w:marRight w:val="0"/>
          <w:marTop w:val="0"/>
          <w:marBottom w:val="0"/>
          <w:divBdr>
            <w:top w:val="none" w:sz="0" w:space="0" w:color="auto"/>
            <w:left w:val="none" w:sz="0" w:space="0" w:color="auto"/>
            <w:bottom w:val="none" w:sz="0" w:space="0" w:color="auto"/>
            <w:right w:val="none" w:sz="0" w:space="0" w:color="auto"/>
          </w:divBdr>
          <w:divsChild>
            <w:div w:id="280264461">
              <w:marLeft w:val="0"/>
              <w:marRight w:val="0"/>
              <w:marTop w:val="0"/>
              <w:marBottom w:val="0"/>
              <w:divBdr>
                <w:top w:val="none" w:sz="0" w:space="0" w:color="auto"/>
                <w:left w:val="none" w:sz="0" w:space="0" w:color="auto"/>
                <w:bottom w:val="none" w:sz="0" w:space="0" w:color="auto"/>
                <w:right w:val="none" w:sz="0" w:space="0" w:color="auto"/>
              </w:divBdr>
              <w:divsChild>
                <w:div w:id="109258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50927">
      <w:bodyDiv w:val="1"/>
      <w:marLeft w:val="0"/>
      <w:marRight w:val="0"/>
      <w:marTop w:val="0"/>
      <w:marBottom w:val="0"/>
      <w:divBdr>
        <w:top w:val="none" w:sz="0" w:space="0" w:color="auto"/>
        <w:left w:val="none" w:sz="0" w:space="0" w:color="auto"/>
        <w:bottom w:val="none" w:sz="0" w:space="0" w:color="auto"/>
        <w:right w:val="none" w:sz="0" w:space="0" w:color="auto"/>
      </w:divBdr>
      <w:divsChild>
        <w:div w:id="757556730">
          <w:marLeft w:val="0"/>
          <w:marRight w:val="0"/>
          <w:marTop w:val="0"/>
          <w:marBottom w:val="0"/>
          <w:divBdr>
            <w:top w:val="none" w:sz="0" w:space="0" w:color="auto"/>
            <w:left w:val="none" w:sz="0" w:space="0" w:color="auto"/>
            <w:bottom w:val="none" w:sz="0" w:space="0" w:color="auto"/>
            <w:right w:val="none" w:sz="0" w:space="0" w:color="auto"/>
          </w:divBdr>
          <w:divsChild>
            <w:div w:id="564219297">
              <w:marLeft w:val="0"/>
              <w:marRight w:val="0"/>
              <w:marTop w:val="0"/>
              <w:marBottom w:val="0"/>
              <w:divBdr>
                <w:top w:val="none" w:sz="0" w:space="0" w:color="auto"/>
                <w:left w:val="none" w:sz="0" w:space="0" w:color="auto"/>
                <w:bottom w:val="none" w:sz="0" w:space="0" w:color="auto"/>
                <w:right w:val="none" w:sz="0" w:space="0" w:color="auto"/>
              </w:divBdr>
              <w:divsChild>
                <w:div w:id="17391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052808">
      <w:bodyDiv w:val="1"/>
      <w:marLeft w:val="0"/>
      <w:marRight w:val="0"/>
      <w:marTop w:val="0"/>
      <w:marBottom w:val="0"/>
      <w:divBdr>
        <w:top w:val="none" w:sz="0" w:space="0" w:color="auto"/>
        <w:left w:val="none" w:sz="0" w:space="0" w:color="auto"/>
        <w:bottom w:val="none" w:sz="0" w:space="0" w:color="auto"/>
        <w:right w:val="none" w:sz="0" w:space="0" w:color="auto"/>
      </w:divBdr>
      <w:divsChild>
        <w:div w:id="1941257782">
          <w:marLeft w:val="0"/>
          <w:marRight w:val="0"/>
          <w:marTop w:val="0"/>
          <w:marBottom w:val="0"/>
          <w:divBdr>
            <w:top w:val="none" w:sz="0" w:space="0" w:color="auto"/>
            <w:left w:val="none" w:sz="0" w:space="0" w:color="auto"/>
            <w:bottom w:val="none" w:sz="0" w:space="0" w:color="auto"/>
            <w:right w:val="none" w:sz="0" w:space="0" w:color="auto"/>
          </w:divBdr>
          <w:divsChild>
            <w:div w:id="1163931921">
              <w:marLeft w:val="0"/>
              <w:marRight w:val="0"/>
              <w:marTop w:val="0"/>
              <w:marBottom w:val="0"/>
              <w:divBdr>
                <w:top w:val="none" w:sz="0" w:space="0" w:color="auto"/>
                <w:left w:val="none" w:sz="0" w:space="0" w:color="auto"/>
                <w:bottom w:val="none" w:sz="0" w:space="0" w:color="auto"/>
                <w:right w:val="none" w:sz="0" w:space="0" w:color="auto"/>
              </w:divBdr>
              <w:divsChild>
                <w:div w:id="2056810272">
                  <w:marLeft w:val="0"/>
                  <w:marRight w:val="0"/>
                  <w:marTop w:val="0"/>
                  <w:marBottom w:val="0"/>
                  <w:divBdr>
                    <w:top w:val="none" w:sz="0" w:space="0" w:color="auto"/>
                    <w:left w:val="none" w:sz="0" w:space="0" w:color="auto"/>
                    <w:bottom w:val="none" w:sz="0" w:space="0" w:color="auto"/>
                    <w:right w:val="none" w:sz="0" w:space="0" w:color="auto"/>
                  </w:divBdr>
                </w:div>
              </w:divsChild>
            </w:div>
            <w:div w:id="1718043515">
              <w:marLeft w:val="0"/>
              <w:marRight w:val="0"/>
              <w:marTop w:val="0"/>
              <w:marBottom w:val="0"/>
              <w:divBdr>
                <w:top w:val="none" w:sz="0" w:space="0" w:color="auto"/>
                <w:left w:val="none" w:sz="0" w:space="0" w:color="auto"/>
                <w:bottom w:val="none" w:sz="0" w:space="0" w:color="auto"/>
                <w:right w:val="none" w:sz="0" w:space="0" w:color="auto"/>
              </w:divBdr>
              <w:divsChild>
                <w:div w:id="20922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97304">
      <w:bodyDiv w:val="1"/>
      <w:marLeft w:val="0"/>
      <w:marRight w:val="0"/>
      <w:marTop w:val="0"/>
      <w:marBottom w:val="0"/>
      <w:divBdr>
        <w:top w:val="none" w:sz="0" w:space="0" w:color="auto"/>
        <w:left w:val="none" w:sz="0" w:space="0" w:color="auto"/>
        <w:bottom w:val="none" w:sz="0" w:space="0" w:color="auto"/>
        <w:right w:val="none" w:sz="0" w:space="0" w:color="auto"/>
      </w:divBdr>
      <w:divsChild>
        <w:div w:id="823083358">
          <w:marLeft w:val="0"/>
          <w:marRight w:val="0"/>
          <w:marTop w:val="0"/>
          <w:marBottom w:val="0"/>
          <w:divBdr>
            <w:top w:val="none" w:sz="0" w:space="0" w:color="auto"/>
            <w:left w:val="none" w:sz="0" w:space="0" w:color="auto"/>
            <w:bottom w:val="none" w:sz="0" w:space="0" w:color="auto"/>
            <w:right w:val="none" w:sz="0" w:space="0" w:color="auto"/>
          </w:divBdr>
          <w:divsChild>
            <w:div w:id="1640106891">
              <w:marLeft w:val="0"/>
              <w:marRight w:val="0"/>
              <w:marTop w:val="0"/>
              <w:marBottom w:val="0"/>
              <w:divBdr>
                <w:top w:val="none" w:sz="0" w:space="0" w:color="auto"/>
                <w:left w:val="none" w:sz="0" w:space="0" w:color="auto"/>
                <w:bottom w:val="none" w:sz="0" w:space="0" w:color="auto"/>
                <w:right w:val="none" w:sz="0" w:space="0" w:color="auto"/>
              </w:divBdr>
              <w:divsChild>
                <w:div w:id="1237982019">
                  <w:marLeft w:val="0"/>
                  <w:marRight w:val="0"/>
                  <w:marTop w:val="0"/>
                  <w:marBottom w:val="0"/>
                  <w:divBdr>
                    <w:top w:val="none" w:sz="0" w:space="0" w:color="auto"/>
                    <w:left w:val="none" w:sz="0" w:space="0" w:color="auto"/>
                    <w:bottom w:val="none" w:sz="0" w:space="0" w:color="auto"/>
                    <w:right w:val="none" w:sz="0" w:space="0" w:color="auto"/>
                  </w:divBdr>
                </w:div>
              </w:divsChild>
            </w:div>
            <w:div w:id="533427072">
              <w:marLeft w:val="0"/>
              <w:marRight w:val="0"/>
              <w:marTop w:val="0"/>
              <w:marBottom w:val="0"/>
              <w:divBdr>
                <w:top w:val="none" w:sz="0" w:space="0" w:color="auto"/>
                <w:left w:val="none" w:sz="0" w:space="0" w:color="auto"/>
                <w:bottom w:val="none" w:sz="0" w:space="0" w:color="auto"/>
                <w:right w:val="none" w:sz="0" w:space="0" w:color="auto"/>
              </w:divBdr>
              <w:divsChild>
                <w:div w:id="1774278148">
                  <w:marLeft w:val="0"/>
                  <w:marRight w:val="0"/>
                  <w:marTop w:val="0"/>
                  <w:marBottom w:val="0"/>
                  <w:divBdr>
                    <w:top w:val="none" w:sz="0" w:space="0" w:color="auto"/>
                    <w:left w:val="none" w:sz="0" w:space="0" w:color="auto"/>
                    <w:bottom w:val="none" w:sz="0" w:space="0" w:color="auto"/>
                    <w:right w:val="none" w:sz="0" w:space="0" w:color="auto"/>
                  </w:divBdr>
                </w:div>
                <w:div w:id="1937861583">
                  <w:marLeft w:val="0"/>
                  <w:marRight w:val="0"/>
                  <w:marTop w:val="0"/>
                  <w:marBottom w:val="0"/>
                  <w:divBdr>
                    <w:top w:val="none" w:sz="0" w:space="0" w:color="auto"/>
                    <w:left w:val="none" w:sz="0" w:space="0" w:color="auto"/>
                    <w:bottom w:val="none" w:sz="0" w:space="0" w:color="auto"/>
                    <w:right w:val="none" w:sz="0" w:space="0" w:color="auto"/>
                  </w:divBdr>
                </w:div>
                <w:div w:id="3917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18586">
      <w:bodyDiv w:val="1"/>
      <w:marLeft w:val="0"/>
      <w:marRight w:val="0"/>
      <w:marTop w:val="0"/>
      <w:marBottom w:val="0"/>
      <w:divBdr>
        <w:top w:val="none" w:sz="0" w:space="0" w:color="auto"/>
        <w:left w:val="none" w:sz="0" w:space="0" w:color="auto"/>
        <w:bottom w:val="none" w:sz="0" w:space="0" w:color="auto"/>
        <w:right w:val="none" w:sz="0" w:space="0" w:color="auto"/>
      </w:divBdr>
      <w:divsChild>
        <w:div w:id="1806895740">
          <w:marLeft w:val="0"/>
          <w:marRight w:val="0"/>
          <w:marTop w:val="0"/>
          <w:marBottom w:val="0"/>
          <w:divBdr>
            <w:top w:val="none" w:sz="0" w:space="0" w:color="auto"/>
            <w:left w:val="none" w:sz="0" w:space="0" w:color="auto"/>
            <w:bottom w:val="none" w:sz="0" w:space="0" w:color="auto"/>
            <w:right w:val="none" w:sz="0" w:space="0" w:color="auto"/>
          </w:divBdr>
          <w:divsChild>
            <w:div w:id="1123771669">
              <w:marLeft w:val="0"/>
              <w:marRight w:val="0"/>
              <w:marTop w:val="0"/>
              <w:marBottom w:val="0"/>
              <w:divBdr>
                <w:top w:val="none" w:sz="0" w:space="0" w:color="auto"/>
                <w:left w:val="none" w:sz="0" w:space="0" w:color="auto"/>
                <w:bottom w:val="none" w:sz="0" w:space="0" w:color="auto"/>
                <w:right w:val="none" w:sz="0" w:space="0" w:color="auto"/>
              </w:divBdr>
              <w:divsChild>
                <w:div w:id="1112746819">
                  <w:marLeft w:val="0"/>
                  <w:marRight w:val="0"/>
                  <w:marTop w:val="0"/>
                  <w:marBottom w:val="0"/>
                  <w:divBdr>
                    <w:top w:val="none" w:sz="0" w:space="0" w:color="auto"/>
                    <w:left w:val="none" w:sz="0" w:space="0" w:color="auto"/>
                    <w:bottom w:val="none" w:sz="0" w:space="0" w:color="auto"/>
                    <w:right w:val="none" w:sz="0" w:space="0" w:color="auto"/>
                  </w:divBdr>
                </w:div>
                <w:div w:id="9795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93966">
      <w:bodyDiv w:val="1"/>
      <w:marLeft w:val="0"/>
      <w:marRight w:val="0"/>
      <w:marTop w:val="0"/>
      <w:marBottom w:val="0"/>
      <w:divBdr>
        <w:top w:val="none" w:sz="0" w:space="0" w:color="auto"/>
        <w:left w:val="none" w:sz="0" w:space="0" w:color="auto"/>
        <w:bottom w:val="none" w:sz="0" w:space="0" w:color="auto"/>
        <w:right w:val="none" w:sz="0" w:space="0" w:color="auto"/>
      </w:divBdr>
      <w:divsChild>
        <w:div w:id="697269175">
          <w:marLeft w:val="0"/>
          <w:marRight w:val="0"/>
          <w:marTop w:val="0"/>
          <w:marBottom w:val="0"/>
          <w:divBdr>
            <w:top w:val="none" w:sz="0" w:space="0" w:color="auto"/>
            <w:left w:val="none" w:sz="0" w:space="0" w:color="auto"/>
            <w:bottom w:val="none" w:sz="0" w:space="0" w:color="auto"/>
            <w:right w:val="none" w:sz="0" w:space="0" w:color="auto"/>
          </w:divBdr>
          <w:divsChild>
            <w:div w:id="423376497">
              <w:marLeft w:val="0"/>
              <w:marRight w:val="0"/>
              <w:marTop w:val="0"/>
              <w:marBottom w:val="0"/>
              <w:divBdr>
                <w:top w:val="none" w:sz="0" w:space="0" w:color="auto"/>
                <w:left w:val="none" w:sz="0" w:space="0" w:color="auto"/>
                <w:bottom w:val="none" w:sz="0" w:space="0" w:color="auto"/>
                <w:right w:val="none" w:sz="0" w:space="0" w:color="auto"/>
              </w:divBdr>
              <w:divsChild>
                <w:div w:id="3281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5648">
      <w:bodyDiv w:val="1"/>
      <w:marLeft w:val="0"/>
      <w:marRight w:val="0"/>
      <w:marTop w:val="0"/>
      <w:marBottom w:val="0"/>
      <w:divBdr>
        <w:top w:val="none" w:sz="0" w:space="0" w:color="auto"/>
        <w:left w:val="none" w:sz="0" w:space="0" w:color="auto"/>
        <w:bottom w:val="none" w:sz="0" w:space="0" w:color="auto"/>
        <w:right w:val="none" w:sz="0" w:space="0" w:color="auto"/>
      </w:divBdr>
      <w:divsChild>
        <w:div w:id="89393061">
          <w:marLeft w:val="0"/>
          <w:marRight w:val="0"/>
          <w:marTop w:val="0"/>
          <w:marBottom w:val="0"/>
          <w:divBdr>
            <w:top w:val="none" w:sz="0" w:space="0" w:color="auto"/>
            <w:left w:val="none" w:sz="0" w:space="0" w:color="auto"/>
            <w:bottom w:val="none" w:sz="0" w:space="0" w:color="auto"/>
            <w:right w:val="none" w:sz="0" w:space="0" w:color="auto"/>
          </w:divBdr>
          <w:divsChild>
            <w:div w:id="819879866">
              <w:marLeft w:val="0"/>
              <w:marRight w:val="0"/>
              <w:marTop w:val="0"/>
              <w:marBottom w:val="0"/>
              <w:divBdr>
                <w:top w:val="none" w:sz="0" w:space="0" w:color="auto"/>
                <w:left w:val="none" w:sz="0" w:space="0" w:color="auto"/>
                <w:bottom w:val="none" w:sz="0" w:space="0" w:color="auto"/>
                <w:right w:val="none" w:sz="0" w:space="0" w:color="auto"/>
              </w:divBdr>
              <w:divsChild>
                <w:div w:id="18896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84828">
      <w:bodyDiv w:val="1"/>
      <w:marLeft w:val="0"/>
      <w:marRight w:val="0"/>
      <w:marTop w:val="0"/>
      <w:marBottom w:val="0"/>
      <w:divBdr>
        <w:top w:val="none" w:sz="0" w:space="0" w:color="auto"/>
        <w:left w:val="none" w:sz="0" w:space="0" w:color="auto"/>
        <w:bottom w:val="none" w:sz="0" w:space="0" w:color="auto"/>
        <w:right w:val="none" w:sz="0" w:space="0" w:color="auto"/>
      </w:divBdr>
      <w:divsChild>
        <w:div w:id="506869630">
          <w:marLeft w:val="0"/>
          <w:marRight w:val="0"/>
          <w:marTop w:val="0"/>
          <w:marBottom w:val="0"/>
          <w:divBdr>
            <w:top w:val="none" w:sz="0" w:space="0" w:color="auto"/>
            <w:left w:val="none" w:sz="0" w:space="0" w:color="auto"/>
            <w:bottom w:val="none" w:sz="0" w:space="0" w:color="auto"/>
            <w:right w:val="none" w:sz="0" w:space="0" w:color="auto"/>
          </w:divBdr>
          <w:divsChild>
            <w:div w:id="977496769">
              <w:marLeft w:val="0"/>
              <w:marRight w:val="0"/>
              <w:marTop w:val="0"/>
              <w:marBottom w:val="0"/>
              <w:divBdr>
                <w:top w:val="none" w:sz="0" w:space="0" w:color="auto"/>
                <w:left w:val="none" w:sz="0" w:space="0" w:color="auto"/>
                <w:bottom w:val="none" w:sz="0" w:space="0" w:color="auto"/>
                <w:right w:val="none" w:sz="0" w:space="0" w:color="auto"/>
              </w:divBdr>
              <w:divsChild>
                <w:div w:id="120128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35102">
      <w:bodyDiv w:val="1"/>
      <w:marLeft w:val="0"/>
      <w:marRight w:val="0"/>
      <w:marTop w:val="0"/>
      <w:marBottom w:val="0"/>
      <w:divBdr>
        <w:top w:val="none" w:sz="0" w:space="0" w:color="auto"/>
        <w:left w:val="none" w:sz="0" w:space="0" w:color="auto"/>
        <w:bottom w:val="none" w:sz="0" w:space="0" w:color="auto"/>
        <w:right w:val="none" w:sz="0" w:space="0" w:color="auto"/>
      </w:divBdr>
      <w:divsChild>
        <w:div w:id="1400983947">
          <w:marLeft w:val="0"/>
          <w:marRight w:val="0"/>
          <w:marTop w:val="0"/>
          <w:marBottom w:val="0"/>
          <w:divBdr>
            <w:top w:val="none" w:sz="0" w:space="0" w:color="auto"/>
            <w:left w:val="none" w:sz="0" w:space="0" w:color="auto"/>
            <w:bottom w:val="none" w:sz="0" w:space="0" w:color="auto"/>
            <w:right w:val="none" w:sz="0" w:space="0" w:color="auto"/>
          </w:divBdr>
          <w:divsChild>
            <w:div w:id="828787552">
              <w:marLeft w:val="0"/>
              <w:marRight w:val="0"/>
              <w:marTop w:val="0"/>
              <w:marBottom w:val="0"/>
              <w:divBdr>
                <w:top w:val="none" w:sz="0" w:space="0" w:color="auto"/>
                <w:left w:val="none" w:sz="0" w:space="0" w:color="auto"/>
                <w:bottom w:val="none" w:sz="0" w:space="0" w:color="auto"/>
                <w:right w:val="none" w:sz="0" w:space="0" w:color="auto"/>
              </w:divBdr>
              <w:divsChild>
                <w:div w:id="12753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048316">
      <w:bodyDiv w:val="1"/>
      <w:marLeft w:val="0"/>
      <w:marRight w:val="0"/>
      <w:marTop w:val="0"/>
      <w:marBottom w:val="0"/>
      <w:divBdr>
        <w:top w:val="none" w:sz="0" w:space="0" w:color="auto"/>
        <w:left w:val="none" w:sz="0" w:space="0" w:color="auto"/>
        <w:bottom w:val="none" w:sz="0" w:space="0" w:color="auto"/>
        <w:right w:val="none" w:sz="0" w:space="0" w:color="auto"/>
      </w:divBdr>
      <w:divsChild>
        <w:div w:id="1599825056">
          <w:marLeft w:val="0"/>
          <w:marRight w:val="0"/>
          <w:marTop w:val="0"/>
          <w:marBottom w:val="0"/>
          <w:divBdr>
            <w:top w:val="none" w:sz="0" w:space="0" w:color="auto"/>
            <w:left w:val="none" w:sz="0" w:space="0" w:color="auto"/>
            <w:bottom w:val="none" w:sz="0" w:space="0" w:color="auto"/>
            <w:right w:val="none" w:sz="0" w:space="0" w:color="auto"/>
          </w:divBdr>
          <w:divsChild>
            <w:div w:id="535780124">
              <w:marLeft w:val="0"/>
              <w:marRight w:val="0"/>
              <w:marTop w:val="0"/>
              <w:marBottom w:val="0"/>
              <w:divBdr>
                <w:top w:val="none" w:sz="0" w:space="0" w:color="auto"/>
                <w:left w:val="none" w:sz="0" w:space="0" w:color="auto"/>
                <w:bottom w:val="none" w:sz="0" w:space="0" w:color="auto"/>
                <w:right w:val="none" w:sz="0" w:space="0" w:color="auto"/>
              </w:divBdr>
              <w:divsChild>
                <w:div w:id="18508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89700">
      <w:bodyDiv w:val="1"/>
      <w:marLeft w:val="0"/>
      <w:marRight w:val="0"/>
      <w:marTop w:val="0"/>
      <w:marBottom w:val="0"/>
      <w:divBdr>
        <w:top w:val="none" w:sz="0" w:space="0" w:color="auto"/>
        <w:left w:val="none" w:sz="0" w:space="0" w:color="auto"/>
        <w:bottom w:val="none" w:sz="0" w:space="0" w:color="auto"/>
        <w:right w:val="none" w:sz="0" w:space="0" w:color="auto"/>
      </w:divBdr>
      <w:divsChild>
        <w:div w:id="460269477">
          <w:marLeft w:val="0"/>
          <w:marRight w:val="0"/>
          <w:marTop w:val="0"/>
          <w:marBottom w:val="0"/>
          <w:divBdr>
            <w:top w:val="none" w:sz="0" w:space="0" w:color="auto"/>
            <w:left w:val="none" w:sz="0" w:space="0" w:color="auto"/>
            <w:bottom w:val="none" w:sz="0" w:space="0" w:color="auto"/>
            <w:right w:val="none" w:sz="0" w:space="0" w:color="auto"/>
          </w:divBdr>
          <w:divsChild>
            <w:div w:id="1562713701">
              <w:marLeft w:val="0"/>
              <w:marRight w:val="0"/>
              <w:marTop w:val="0"/>
              <w:marBottom w:val="0"/>
              <w:divBdr>
                <w:top w:val="none" w:sz="0" w:space="0" w:color="auto"/>
                <w:left w:val="none" w:sz="0" w:space="0" w:color="auto"/>
                <w:bottom w:val="none" w:sz="0" w:space="0" w:color="auto"/>
                <w:right w:val="none" w:sz="0" w:space="0" w:color="auto"/>
              </w:divBdr>
              <w:divsChild>
                <w:div w:id="84636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059595">
      <w:bodyDiv w:val="1"/>
      <w:marLeft w:val="0"/>
      <w:marRight w:val="0"/>
      <w:marTop w:val="0"/>
      <w:marBottom w:val="0"/>
      <w:divBdr>
        <w:top w:val="none" w:sz="0" w:space="0" w:color="auto"/>
        <w:left w:val="none" w:sz="0" w:space="0" w:color="auto"/>
        <w:bottom w:val="none" w:sz="0" w:space="0" w:color="auto"/>
        <w:right w:val="none" w:sz="0" w:space="0" w:color="auto"/>
      </w:divBdr>
      <w:divsChild>
        <w:div w:id="33117550">
          <w:marLeft w:val="0"/>
          <w:marRight w:val="0"/>
          <w:marTop w:val="0"/>
          <w:marBottom w:val="0"/>
          <w:divBdr>
            <w:top w:val="none" w:sz="0" w:space="0" w:color="auto"/>
            <w:left w:val="none" w:sz="0" w:space="0" w:color="auto"/>
            <w:bottom w:val="none" w:sz="0" w:space="0" w:color="auto"/>
            <w:right w:val="none" w:sz="0" w:space="0" w:color="auto"/>
          </w:divBdr>
          <w:divsChild>
            <w:div w:id="1920360725">
              <w:marLeft w:val="0"/>
              <w:marRight w:val="0"/>
              <w:marTop w:val="0"/>
              <w:marBottom w:val="0"/>
              <w:divBdr>
                <w:top w:val="none" w:sz="0" w:space="0" w:color="auto"/>
                <w:left w:val="none" w:sz="0" w:space="0" w:color="auto"/>
                <w:bottom w:val="none" w:sz="0" w:space="0" w:color="auto"/>
                <w:right w:val="none" w:sz="0" w:space="0" w:color="auto"/>
              </w:divBdr>
              <w:divsChild>
                <w:div w:id="20015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D563245F-2BD1-A941-8BC6-7AD9F42CE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8</Pages>
  <Words>3380</Words>
  <Characters>19364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How to Format an IMVIP Paper</vt:lpstr>
    </vt:vector>
  </TitlesOfParts>
  <Company>Faculty of Informatics</Company>
  <LinksUpToDate>false</LinksUpToDate>
  <CharactersWithSpaces>22699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Format an IMVIP Paper</dc:title>
  <dc:subject/>
  <dc:creator>Philip Morrow</dc:creator>
  <cp:keywords/>
  <dc:description/>
  <cp:lastModifiedBy>Gardiner, Bryan</cp:lastModifiedBy>
  <cp:revision>15</cp:revision>
  <cp:lastPrinted>2018-05-31T21:06:00Z</cp:lastPrinted>
  <dcterms:created xsi:type="dcterms:W3CDTF">2018-05-31T19:21:00Z</dcterms:created>
  <dcterms:modified xsi:type="dcterms:W3CDTF">2018-05-31T21:48:00Z</dcterms:modified>
</cp:coreProperties>
</file>