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E4AC1" w14:textId="033D09AF" w:rsidR="009B24D0" w:rsidRPr="00C25A5E" w:rsidRDefault="009B24D0" w:rsidP="009B24D0">
      <w:pPr>
        <w:pStyle w:val="Title"/>
        <w:framePr w:w="0" w:hSpace="0" w:vSpace="0" w:wrap="auto" w:vAnchor="margin" w:hAnchor="text" w:xAlign="left" w:yAlign="inline"/>
        <w:rPr>
          <w:sz w:val="38"/>
          <w:szCs w:val="38"/>
        </w:rPr>
      </w:pPr>
      <w:bookmarkStart w:id="0" w:name="_Hlk495396757"/>
      <w:bookmarkEnd w:id="0"/>
      <w:r w:rsidRPr="00C25A5E">
        <w:rPr>
          <w:sz w:val="38"/>
          <w:szCs w:val="38"/>
        </w:rPr>
        <w:t>Efficient Energy Storage Technology for P</w:t>
      </w:r>
      <w:r w:rsidR="00C25A5E" w:rsidRPr="00C25A5E">
        <w:rPr>
          <w:sz w:val="38"/>
          <w:szCs w:val="38"/>
        </w:rPr>
        <w:t xml:space="preserve">hotovoltaic System </w:t>
      </w:r>
    </w:p>
    <w:p w14:paraId="30CBB9FD" w14:textId="77777777" w:rsidR="00B256D7" w:rsidRPr="00B256D7" w:rsidRDefault="00B256D7" w:rsidP="00B256D7">
      <w:pPr>
        <w:rPr>
          <w:lang w:val="en-US"/>
        </w:rPr>
      </w:pPr>
    </w:p>
    <w:p w14:paraId="36217E7F" w14:textId="31267474" w:rsidR="00C416B9" w:rsidRDefault="00E52852" w:rsidP="00C65526">
      <w:pPr>
        <w:pStyle w:val="Abstract"/>
        <w:jc w:val="center"/>
        <w:rPr>
          <w:b w:val="0"/>
          <w:sz w:val="24"/>
          <w:szCs w:val="24"/>
          <w:lang w:val="en-IE"/>
        </w:rPr>
      </w:pPr>
      <w:r w:rsidRPr="00ED4B09">
        <w:rPr>
          <w:b w:val="0"/>
          <w:sz w:val="24"/>
          <w:szCs w:val="24"/>
          <w:lang w:val="en-IE"/>
        </w:rPr>
        <w:t xml:space="preserve">Hoda Akbari </w:t>
      </w:r>
      <w:r w:rsidRPr="00ED4B09">
        <w:rPr>
          <w:b w:val="0"/>
          <w:sz w:val="24"/>
          <w:szCs w:val="24"/>
          <w:vertAlign w:val="superscript"/>
          <w:lang w:val="en-IE"/>
        </w:rPr>
        <w:t>a</w:t>
      </w:r>
      <w:r w:rsidRPr="00ED4B09">
        <w:rPr>
          <w:b w:val="0"/>
          <w:sz w:val="24"/>
          <w:szCs w:val="24"/>
          <w:lang w:val="en-IE"/>
        </w:rPr>
        <w:t>, Maria C. Browne</w:t>
      </w:r>
      <w:r w:rsidRPr="00ED4B09">
        <w:rPr>
          <w:b w:val="0"/>
          <w:sz w:val="24"/>
          <w:szCs w:val="24"/>
          <w:vertAlign w:val="superscript"/>
          <w:lang w:val="en-IE"/>
        </w:rPr>
        <w:t xml:space="preserve"> a</w:t>
      </w:r>
      <w:r w:rsidRPr="00ED4B09">
        <w:rPr>
          <w:b w:val="0"/>
          <w:sz w:val="24"/>
          <w:szCs w:val="24"/>
          <w:lang w:val="en-IE"/>
        </w:rPr>
        <w:t>,</w:t>
      </w:r>
      <w:r>
        <w:rPr>
          <w:b w:val="0"/>
          <w:sz w:val="24"/>
          <w:szCs w:val="24"/>
          <w:lang w:val="en-IE"/>
        </w:rPr>
        <w:t xml:space="preserve"> </w:t>
      </w:r>
      <w:r w:rsidRPr="00ED4B09">
        <w:rPr>
          <w:b w:val="0"/>
          <w:sz w:val="24"/>
          <w:szCs w:val="24"/>
          <w:lang w:val="en-IE"/>
        </w:rPr>
        <w:t xml:space="preserve">Anita Ortega </w:t>
      </w:r>
      <w:r w:rsidRPr="00ED4B09">
        <w:rPr>
          <w:b w:val="0"/>
          <w:sz w:val="24"/>
          <w:szCs w:val="24"/>
          <w:vertAlign w:val="superscript"/>
          <w:lang w:val="en-IE"/>
        </w:rPr>
        <w:t>a</w:t>
      </w:r>
      <w:r w:rsidRPr="00ED4B09">
        <w:rPr>
          <w:b w:val="0"/>
          <w:sz w:val="24"/>
          <w:szCs w:val="24"/>
          <w:lang w:val="en-IE"/>
        </w:rPr>
        <w:t xml:space="preserve">, Mingjun Huang </w:t>
      </w:r>
      <w:r w:rsidRPr="00ED4B09">
        <w:rPr>
          <w:b w:val="0"/>
          <w:sz w:val="24"/>
          <w:szCs w:val="24"/>
          <w:vertAlign w:val="superscript"/>
          <w:lang w:val="en-IE"/>
        </w:rPr>
        <w:t>b</w:t>
      </w:r>
      <w:r w:rsidRPr="00ED4B09">
        <w:rPr>
          <w:b w:val="0"/>
          <w:sz w:val="24"/>
          <w:szCs w:val="24"/>
          <w:lang w:val="en-IE"/>
        </w:rPr>
        <w:t>,</w:t>
      </w:r>
      <w:r w:rsidR="008F6813" w:rsidRPr="008F6813">
        <w:rPr>
          <w:rFonts w:ascii="Calibri" w:hAnsi="Calibri"/>
          <w:color w:val="1F497D"/>
          <w:sz w:val="22"/>
          <w:szCs w:val="22"/>
          <w:shd w:val="clear" w:color="auto" w:fill="FFFFFF"/>
        </w:rPr>
        <w:t xml:space="preserve"> </w:t>
      </w:r>
      <w:r w:rsidR="008F6813" w:rsidRPr="008F6813">
        <w:rPr>
          <w:b w:val="0"/>
          <w:sz w:val="24"/>
          <w:szCs w:val="24"/>
          <w:lang w:val="en-IE"/>
        </w:rPr>
        <w:t>Neil J. Hewitt</w:t>
      </w:r>
      <w:r w:rsidR="008F6813">
        <w:rPr>
          <w:b w:val="0"/>
          <w:sz w:val="24"/>
          <w:szCs w:val="24"/>
          <w:lang w:val="en-IE"/>
        </w:rPr>
        <w:t xml:space="preserve"> </w:t>
      </w:r>
      <w:r w:rsidR="008F6813" w:rsidRPr="00ED4B09">
        <w:rPr>
          <w:b w:val="0"/>
          <w:sz w:val="24"/>
          <w:szCs w:val="24"/>
          <w:vertAlign w:val="superscript"/>
          <w:lang w:val="en-IE"/>
        </w:rPr>
        <w:t>b</w:t>
      </w:r>
      <w:r w:rsidR="008F6813" w:rsidRPr="00ED4B09">
        <w:rPr>
          <w:b w:val="0"/>
          <w:sz w:val="24"/>
          <w:szCs w:val="24"/>
          <w:lang w:val="en-IE"/>
        </w:rPr>
        <w:t>,</w:t>
      </w:r>
      <w:r w:rsidRPr="008F6813">
        <w:rPr>
          <w:b w:val="0"/>
          <w:sz w:val="24"/>
          <w:szCs w:val="24"/>
          <w:lang w:val="en-IE"/>
        </w:rPr>
        <w:t xml:space="preserve"> </w:t>
      </w:r>
      <w:r w:rsidR="0089624A">
        <w:rPr>
          <w:b w:val="0"/>
          <w:sz w:val="24"/>
          <w:szCs w:val="24"/>
          <w:lang w:val="en-IE"/>
        </w:rPr>
        <w:t>Brian Norton</w:t>
      </w:r>
      <w:r w:rsidRPr="0089624A">
        <w:rPr>
          <w:b w:val="0"/>
          <w:sz w:val="24"/>
          <w:szCs w:val="24"/>
          <w:vertAlign w:val="superscript"/>
          <w:lang w:val="en-IE"/>
        </w:rPr>
        <w:t>c</w:t>
      </w:r>
      <w:r w:rsidRPr="00ED4B09">
        <w:rPr>
          <w:b w:val="0"/>
          <w:sz w:val="24"/>
          <w:szCs w:val="24"/>
          <w:lang w:val="en-IE"/>
        </w:rPr>
        <w:t>, Sarah J</w:t>
      </w:r>
      <w:r w:rsidR="001D0781">
        <w:rPr>
          <w:b w:val="0"/>
          <w:sz w:val="24"/>
          <w:szCs w:val="24"/>
          <w:lang w:val="en-IE"/>
        </w:rPr>
        <w:t>.</w:t>
      </w:r>
      <w:r w:rsidRPr="00ED4B09">
        <w:rPr>
          <w:b w:val="0"/>
          <w:sz w:val="24"/>
          <w:szCs w:val="24"/>
          <w:lang w:val="en-IE"/>
        </w:rPr>
        <w:t xml:space="preserve"> McCormack </w:t>
      </w:r>
      <w:r w:rsidRPr="001D0781">
        <w:rPr>
          <w:b w:val="0"/>
          <w:sz w:val="24"/>
          <w:szCs w:val="24"/>
          <w:vertAlign w:val="superscript"/>
          <w:lang w:val="en-IE"/>
        </w:rPr>
        <w:t>a</w:t>
      </w:r>
      <w:r w:rsidRPr="008F6813">
        <w:rPr>
          <w:b w:val="0"/>
          <w:sz w:val="24"/>
          <w:szCs w:val="24"/>
          <w:lang w:val="en-IE"/>
        </w:rPr>
        <w:t>*</w:t>
      </w:r>
    </w:p>
    <w:p w14:paraId="4F1D0DE1" w14:textId="77777777" w:rsidR="008F6813" w:rsidRPr="008F6813" w:rsidRDefault="008F6813" w:rsidP="008F6813"/>
    <w:p w14:paraId="7EC7AD53" w14:textId="30000153" w:rsidR="009B24D0" w:rsidRPr="00B256D7" w:rsidRDefault="00B256D7" w:rsidP="002A76A5">
      <w:pPr>
        <w:shd w:val="clear" w:color="auto" w:fill="FFFFFF"/>
        <w:spacing w:after="200" w:line="240" w:lineRule="auto"/>
        <w:jc w:val="center"/>
        <w:rPr>
          <w:rFonts w:ascii="Times New Roman" w:hAnsi="Times New Roman"/>
          <w:sz w:val="16"/>
          <w:szCs w:val="16"/>
        </w:rPr>
      </w:pPr>
      <w:r w:rsidRPr="0089624A">
        <w:rPr>
          <w:rFonts w:ascii="Times New Roman" w:hAnsi="Times New Roman"/>
          <w:sz w:val="16"/>
          <w:szCs w:val="16"/>
          <w:vertAlign w:val="superscript"/>
        </w:rPr>
        <w:t>a</w:t>
      </w:r>
      <w:r w:rsidRPr="00B256D7">
        <w:rPr>
          <w:rFonts w:ascii="Times New Roman" w:hAnsi="Times New Roman"/>
          <w:sz w:val="16"/>
          <w:szCs w:val="16"/>
        </w:rPr>
        <w:t xml:space="preserve"> </w:t>
      </w:r>
      <w:r w:rsidR="009B24D0" w:rsidRPr="00B256D7">
        <w:rPr>
          <w:rFonts w:ascii="Times New Roman" w:hAnsi="Times New Roman"/>
          <w:sz w:val="16"/>
          <w:szCs w:val="16"/>
        </w:rPr>
        <w:t>Department of Civil, Structural and Environmental Engineering, Trinity College, Dublin 2, Ireland</w:t>
      </w:r>
    </w:p>
    <w:p w14:paraId="63313537" w14:textId="77777777" w:rsidR="009B24D0" w:rsidRPr="00B256D7" w:rsidRDefault="009B24D0" w:rsidP="002A76A5">
      <w:pPr>
        <w:spacing w:after="200" w:line="240" w:lineRule="auto"/>
        <w:jc w:val="center"/>
        <w:rPr>
          <w:rFonts w:ascii="Times New Roman" w:hAnsi="Times New Roman"/>
          <w:sz w:val="16"/>
          <w:szCs w:val="16"/>
        </w:rPr>
      </w:pPr>
      <w:r w:rsidRPr="0089624A">
        <w:rPr>
          <w:rFonts w:ascii="Times New Roman" w:hAnsi="Times New Roman"/>
          <w:sz w:val="16"/>
          <w:szCs w:val="16"/>
          <w:vertAlign w:val="superscript"/>
        </w:rPr>
        <w:t xml:space="preserve">b </w:t>
      </w:r>
      <w:r w:rsidRPr="00B256D7">
        <w:rPr>
          <w:rFonts w:ascii="Times New Roman" w:hAnsi="Times New Roman"/>
          <w:sz w:val="16"/>
          <w:szCs w:val="16"/>
        </w:rPr>
        <w:t xml:space="preserve">School of Architecture and the Built Environment, Built Environment Research Institute, Ulster University, Belfast, UK. </w:t>
      </w:r>
    </w:p>
    <w:p w14:paraId="08F086B4" w14:textId="77777777" w:rsidR="00C416B9" w:rsidRPr="00B256D7" w:rsidRDefault="009B24D0" w:rsidP="002A76A5">
      <w:pPr>
        <w:spacing w:after="200" w:line="240" w:lineRule="auto"/>
        <w:jc w:val="center"/>
        <w:rPr>
          <w:rFonts w:ascii="Times New Roman" w:hAnsi="Times New Roman"/>
          <w:sz w:val="16"/>
          <w:szCs w:val="16"/>
        </w:rPr>
      </w:pPr>
      <w:r w:rsidRPr="0089624A">
        <w:rPr>
          <w:rFonts w:ascii="Times New Roman" w:hAnsi="Times New Roman"/>
          <w:sz w:val="16"/>
          <w:szCs w:val="16"/>
          <w:vertAlign w:val="superscript"/>
        </w:rPr>
        <w:t>c</w:t>
      </w:r>
      <w:r w:rsidR="00F84597" w:rsidRPr="0089624A">
        <w:rPr>
          <w:rFonts w:ascii="Times New Roman" w:hAnsi="Times New Roman"/>
          <w:sz w:val="16"/>
          <w:szCs w:val="16"/>
          <w:vertAlign w:val="superscript"/>
        </w:rPr>
        <w:t xml:space="preserve"> </w:t>
      </w:r>
      <w:r w:rsidRPr="00B256D7">
        <w:rPr>
          <w:rFonts w:ascii="Times New Roman" w:hAnsi="Times New Roman"/>
          <w:sz w:val="16"/>
          <w:szCs w:val="16"/>
        </w:rPr>
        <w:t xml:space="preserve">Dublin Energy Lab., Dublin Institute of Technology, Grangegorman, Dublin 7, Ireland. </w:t>
      </w:r>
    </w:p>
    <w:p w14:paraId="2C04F3CC" w14:textId="7D2D1312" w:rsidR="00124D36" w:rsidRDefault="00F84597" w:rsidP="00F2720A">
      <w:pPr>
        <w:spacing w:after="200" w:line="240" w:lineRule="auto"/>
        <w:jc w:val="center"/>
        <w:rPr>
          <w:rStyle w:val="Hyperlink"/>
          <w:rFonts w:ascii="Times New Roman" w:hAnsi="Times New Roman"/>
          <w:sz w:val="18"/>
          <w:szCs w:val="18"/>
        </w:rPr>
      </w:pPr>
      <w:r w:rsidRPr="00B256D7">
        <w:rPr>
          <w:rFonts w:ascii="Times New Roman" w:hAnsi="Times New Roman"/>
          <w:sz w:val="18"/>
          <w:szCs w:val="18"/>
        </w:rPr>
        <w:t xml:space="preserve">*Corresponding author: </w:t>
      </w:r>
      <w:hyperlink r:id="rId8" w:history="1">
        <w:r w:rsidR="00F2720A" w:rsidRPr="004E54B6">
          <w:rPr>
            <w:rStyle w:val="Hyperlink"/>
            <w:rFonts w:ascii="Times New Roman" w:hAnsi="Times New Roman"/>
            <w:sz w:val="18"/>
            <w:szCs w:val="18"/>
          </w:rPr>
          <w:t>mccorms1@tcd.ie</w:t>
        </w:r>
      </w:hyperlink>
    </w:p>
    <w:p w14:paraId="454190FA" w14:textId="77777777" w:rsidR="004F03A9" w:rsidRDefault="004F03A9" w:rsidP="00F2720A">
      <w:pPr>
        <w:spacing w:after="200" w:line="240" w:lineRule="auto"/>
        <w:jc w:val="center"/>
        <w:rPr>
          <w:rStyle w:val="ms-font-s"/>
          <w:rFonts w:ascii="Times New Roman" w:hAnsi="Times New Roman"/>
          <w:color w:val="0078D7"/>
          <w:sz w:val="18"/>
          <w:szCs w:val="18"/>
        </w:rPr>
      </w:pPr>
    </w:p>
    <w:p w14:paraId="58C399E3" w14:textId="2B4E526B" w:rsidR="0049688E" w:rsidRPr="0089624A" w:rsidRDefault="00F135F4" w:rsidP="00F135F4">
      <w:pPr>
        <w:spacing w:after="200" w:line="360" w:lineRule="auto"/>
        <w:jc w:val="both"/>
        <w:rPr>
          <w:rFonts w:ascii="Times New Roman" w:hAnsi="Times New Roman"/>
          <w:b/>
          <w:sz w:val="24"/>
          <w:szCs w:val="24"/>
          <w:lang w:val="en-US"/>
        </w:rPr>
      </w:pPr>
      <w:r w:rsidRPr="00F135F4">
        <w:rPr>
          <w:rFonts w:ascii="Times New Roman" w:hAnsi="Times New Roman"/>
          <w:b/>
          <w:sz w:val="24"/>
          <w:szCs w:val="24"/>
          <w:lang w:val="en-US"/>
        </w:rPr>
        <w:t>Abstract</w:t>
      </w:r>
    </w:p>
    <w:p w14:paraId="0906D19B" w14:textId="76BCA943" w:rsidR="00382962" w:rsidRPr="0006534A" w:rsidRDefault="00617E75" w:rsidP="00F135F4">
      <w:pPr>
        <w:spacing w:after="200" w:line="360" w:lineRule="auto"/>
        <w:jc w:val="both"/>
        <w:rPr>
          <w:rFonts w:ascii="Times New Roman" w:hAnsi="Times New Roman"/>
          <w:lang w:val="en-US"/>
        </w:rPr>
      </w:pPr>
      <w:r>
        <w:rPr>
          <w:rFonts w:ascii="Times New Roman" w:hAnsi="Times New Roman"/>
          <w:lang w:val="en-US"/>
        </w:rPr>
        <w:t xml:space="preserve">For photovoltaic </w:t>
      </w:r>
      <w:r w:rsidR="00DB668E">
        <w:rPr>
          <w:rFonts w:ascii="Times New Roman" w:hAnsi="Times New Roman"/>
          <w:lang w:val="en-US"/>
        </w:rPr>
        <w:t xml:space="preserve">(PV) </w:t>
      </w:r>
      <w:r>
        <w:rPr>
          <w:rFonts w:ascii="Times New Roman" w:hAnsi="Times New Roman"/>
          <w:lang w:val="en-US"/>
        </w:rPr>
        <w:t xml:space="preserve">systems to become fully integrated in society, efficient, cost-effective </w:t>
      </w:r>
      <w:r w:rsidR="0006534A">
        <w:rPr>
          <w:rFonts w:ascii="Times New Roman" w:hAnsi="Times New Roman"/>
          <w:lang w:val="en-US"/>
        </w:rPr>
        <w:t xml:space="preserve">energy </w:t>
      </w:r>
      <w:r>
        <w:rPr>
          <w:rFonts w:ascii="Times New Roman" w:hAnsi="Times New Roman"/>
          <w:lang w:val="en-US"/>
        </w:rPr>
        <w:t xml:space="preserve">storage systems must be </w:t>
      </w:r>
      <w:r w:rsidR="00D67E1F">
        <w:rPr>
          <w:rFonts w:ascii="Times New Roman" w:hAnsi="Times New Roman"/>
          <w:lang w:val="en-US"/>
        </w:rPr>
        <w:t xml:space="preserve">utilized </w:t>
      </w:r>
      <w:r w:rsidR="00FF1027">
        <w:rPr>
          <w:rFonts w:ascii="Times New Roman" w:hAnsi="Times New Roman"/>
          <w:lang w:val="en-US"/>
        </w:rPr>
        <w:t xml:space="preserve">together with intelligent </w:t>
      </w:r>
      <w:r>
        <w:rPr>
          <w:rFonts w:ascii="Times New Roman" w:hAnsi="Times New Roman"/>
          <w:lang w:val="en-US"/>
        </w:rPr>
        <w:t>demandside management.</w:t>
      </w:r>
      <w:r w:rsidR="00D77190">
        <w:rPr>
          <w:rFonts w:ascii="Times New Roman" w:hAnsi="Times New Roman"/>
          <w:lang w:val="en-US"/>
        </w:rPr>
        <w:t xml:space="preserve">  </w:t>
      </w:r>
      <w:r w:rsidR="00896E50">
        <w:rPr>
          <w:rFonts w:ascii="Times New Roman" w:hAnsi="Times New Roman"/>
          <w:lang w:val="en-US"/>
        </w:rPr>
        <w:t xml:space="preserve">As the global solar photovoltaic market reaches 76 GW, increasing PV self-consumption </w:t>
      </w:r>
      <w:r w:rsidR="00152456">
        <w:rPr>
          <w:rFonts w:ascii="Times New Roman" w:hAnsi="Times New Roman"/>
          <w:lang w:val="en-US"/>
        </w:rPr>
        <w:t>will become</w:t>
      </w:r>
      <w:r w:rsidR="00896E50">
        <w:rPr>
          <w:rFonts w:ascii="Times New Roman" w:hAnsi="Times New Roman"/>
          <w:lang w:val="en-US"/>
        </w:rPr>
        <w:t xml:space="preserve"> important</w:t>
      </w:r>
      <w:r w:rsidR="00896E50" w:rsidRPr="00152456">
        <w:rPr>
          <w:rFonts w:ascii="Times New Roman" w:hAnsi="Times New Roman"/>
          <w:lang w:val="en-US"/>
        </w:rPr>
        <w:t xml:space="preserve"> </w:t>
      </w:r>
      <w:r w:rsidR="00152456">
        <w:rPr>
          <w:rFonts w:ascii="Times New Roman" w:hAnsi="Times New Roman"/>
          <w:lang w:val="en-US"/>
        </w:rPr>
        <w:t xml:space="preserve">to </w:t>
      </w:r>
      <w:r w:rsidR="00152456" w:rsidRPr="00C148D7">
        <w:rPr>
          <w:rFonts w:ascii="Times New Roman" w:hAnsi="Times New Roman"/>
          <w:lang w:val="en-US"/>
        </w:rPr>
        <w:t>achieve</w:t>
      </w:r>
      <w:r w:rsidR="00896E50">
        <w:rPr>
          <w:rFonts w:ascii="Times New Roman" w:hAnsi="Times New Roman"/>
          <w:lang w:val="en-US"/>
        </w:rPr>
        <w:t xml:space="preserve"> integrate more PV power in the power system.  </w:t>
      </w:r>
      <w:r>
        <w:rPr>
          <w:rFonts w:ascii="Times New Roman" w:hAnsi="Times New Roman"/>
          <w:lang w:val="en-US"/>
        </w:rPr>
        <w:t>The paper</w:t>
      </w:r>
      <w:r w:rsidR="00BA2F3B" w:rsidRPr="00BA2F3B">
        <w:rPr>
          <w:rFonts w:ascii="Times New Roman" w:hAnsi="Times New Roman"/>
          <w:lang w:val="en-US"/>
        </w:rPr>
        <w:t xml:space="preserve"> review</w:t>
      </w:r>
      <w:r w:rsidR="00152456">
        <w:rPr>
          <w:rFonts w:ascii="Times New Roman" w:hAnsi="Times New Roman"/>
          <w:lang w:val="en-US"/>
        </w:rPr>
        <w:t>s</w:t>
      </w:r>
      <w:r w:rsidR="00BA2F3B" w:rsidRPr="00BA2F3B">
        <w:rPr>
          <w:rFonts w:ascii="Times New Roman" w:hAnsi="Times New Roman"/>
          <w:lang w:val="en-US"/>
        </w:rPr>
        <w:t xml:space="preserve"> </w:t>
      </w:r>
      <w:r w:rsidR="00DB668E">
        <w:rPr>
          <w:rFonts w:ascii="Times New Roman" w:hAnsi="Times New Roman"/>
          <w:lang w:val="en-US"/>
        </w:rPr>
        <w:t>current</w:t>
      </w:r>
      <w:r w:rsidR="00BA2F3B" w:rsidRPr="00BA2F3B">
        <w:rPr>
          <w:rFonts w:ascii="Times New Roman" w:hAnsi="Times New Roman"/>
          <w:lang w:val="en-US"/>
        </w:rPr>
        <w:t xml:space="preserve"> energy storage systems </w:t>
      </w:r>
      <w:r w:rsidR="00BA2F3B">
        <w:rPr>
          <w:rFonts w:ascii="Times New Roman" w:hAnsi="Times New Roman"/>
          <w:lang w:val="en-US"/>
        </w:rPr>
        <w:t xml:space="preserve">for </w:t>
      </w:r>
      <w:r w:rsidR="00DB668E">
        <w:rPr>
          <w:rFonts w:ascii="Times New Roman" w:hAnsi="Times New Roman"/>
          <w:lang w:val="en-US"/>
        </w:rPr>
        <w:t>PV</w:t>
      </w:r>
      <w:r w:rsidR="00152456">
        <w:rPr>
          <w:rFonts w:ascii="Times New Roman" w:hAnsi="Times New Roman"/>
          <w:lang w:val="en-US"/>
        </w:rPr>
        <w:t>.</w:t>
      </w:r>
      <w:r w:rsidR="00DB668E">
        <w:rPr>
          <w:rFonts w:ascii="Times New Roman" w:hAnsi="Times New Roman"/>
          <w:lang w:val="en-US"/>
        </w:rPr>
        <w:t xml:space="preserve"> </w:t>
      </w:r>
      <w:r w:rsidR="00152456">
        <w:rPr>
          <w:rFonts w:ascii="Times New Roman" w:hAnsi="Times New Roman"/>
          <w:lang w:val="en-US"/>
        </w:rPr>
        <w:t xml:space="preserve">It encompasses </w:t>
      </w:r>
      <w:r w:rsidR="00DB668E">
        <w:rPr>
          <w:rFonts w:ascii="Times New Roman" w:hAnsi="Times New Roman"/>
          <w:lang w:val="en-US"/>
        </w:rPr>
        <w:t xml:space="preserve">(i) </w:t>
      </w:r>
      <w:r>
        <w:rPr>
          <w:rFonts w:ascii="Times New Roman" w:hAnsi="Times New Roman"/>
          <w:lang w:val="en-US"/>
        </w:rPr>
        <w:t>e</w:t>
      </w:r>
      <w:r w:rsidR="00A75C6D">
        <w:rPr>
          <w:rFonts w:ascii="Times New Roman" w:hAnsi="Times New Roman"/>
          <w:lang w:val="en-US"/>
        </w:rPr>
        <w:t xml:space="preserve">lectrical </w:t>
      </w:r>
      <w:r>
        <w:rPr>
          <w:rFonts w:ascii="Times New Roman" w:hAnsi="Times New Roman"/>
          <w:lang w:val="en-US"/>
        </w:rPr>
        <w:t>e</w:t>
      </w:r>
      <w:r w:rsidR="00A75C6D">
        <w:rPr>
          <w:rFonts w:ascii="Times New Roman" w:hAnsi="Times New Roman"/>
          <w:lang w:val="en-US"/>
        </w:rPr>
        <w:t xml:space="preserve">nergy </w:t>
      </w:r>
      <w:r>
        <w:rPr>
          <w:rFonts w:ascii="Times New Roman" w:hAnsi="Times New Roman"/>
          <w:lang w:val="en-US"/>
        </w:rPr>
        <w:t>storage s</w:t>
      </w:r>
      <w:r w:rsidR="00A75C6D">
        <w:rPr>
          <w:rFonts w:ascii="Times New Roman" w:hAnsi="Times New Roman"/>
          <w:lang w:val="en-US"/>
        </w:rPr>
        <w:t>ystem</w:t>
      </w:r>
      <w:r>
        <w:rPr>
          <w:rFonts w:ascii="Times New Roman" w:hAnsi="Times New Roman"/>
          <w:lang w:val="en-US"/>
        </w:rPr>
        <w:t>s</w:t>
      </w:r>
      <w:r w:rsidR="00A75C6D">
        <w:rPr>
          <w:rFonts w:ascii="Times New Roman" w:hAnsi="Times New Roman"/>
          <w:lang w:val="en-US"/>
        </w:rPr>
        <w:t xml:space="preserve"> (EES)</w:t>
      </w:r>
      <w:r w:rsidR="00DB668E">
        <w:rPr>
          <w:rFonts w:ascii="Times New Roman" w:hAnsi="Times New Roman"/>
          <w:lang w:val="en-US"/>
        </w:rPr>
        <w:t>; (ii)</w:t>
      </w:r>
      <w:r w:rsidR="00A75C6D">
        <w:rPr>
          <w:rFonts w:ascii="Times New Roman" w:hAnsi="Times New Roman"/>
          <w:lang w:val="en-US"/>
        </w:rPr>
        <w:t xml:space="preserve"> </w:t>
      </w:r>
      <w:r>
        <w:rPr>
          <w:rFonts w:ascii="Times New Roman" w:hAnsi="Times New Roman"/>
          <w:lang w:val="en-US"/>
        </w:rPr>
        <w:t>t</w:t>
      </w:r>
      <w:r w:rsidR="00A75C6D">
        <w:rPr>
          <w:rFonts w:ascii="Times New Roman" w:hAnsi="Times New Roman"/>
          <w:lang w:val="en-US"/>
        </w:rPr>
        <w:t xml:space="preserve">hermal </w:t>
      </w:r>
      <w:r>
        <w:rPr>
          <w:rFonts w:ascii="Times New Roman" w:hAnsi="Times New Roman"/>
          <w:lang w:val="en-US"/>
        </w:rPr>
        <w:t>e</w:t>
      </w:r>
      <w:r w:rsidR="00A75C6D">
        <w:rPr>
          <w:rFonts w:ascii="Times New Roman" w:hAnsi="Times New Roman"/>
          <w:lang w:val="en-US"/>
        </w:rPr>
        <w:t xml:space="preserve">nergy </w:t>
      </w:r>
      <w:r>
        <w:rPr>
          <w:rFonts w:ascii="Times New Roman" w:hAnsi="Times New Roman"/>
          <w:lang w:val="en-US"/>
        </w:rPr>
        <w:t xml:space="preserve">storage </w:t>
      </w:r>
      <w:r w:rsidR="00A75C6D">
        <w:rPr>
          <w:rFonts w:ascii="Times New Roman" w:hAnsi="Times New Roman"/>
          <w:lang w:val="en-US"/>
        </w:rPr>
        <w:t>(TES)</w:t>
      </w:r>
      <w:r>
        <w:rPr>
          <w:rFonts w:ascii="Times New Roman" w:hAnsi="Times New Roman"/>
          <w:lang w:val="en-US"/>
        </w:rPr>
        <w:t xml:space="preserve"> systems</w:t>
      </w:r>
      <w:r w:rsidR="00DB668E">
        <w:rPr>
          <w:rFonts w:ascii="Times New Roman" w:hAnsi="Times New Roman"/>
          <w:lang w:val="en-US"/>
        </w:rPr>
        <w:t xml:space="preserve"> and (iii) </w:t>
      </w:r>
      <w:r w:rsidR="00A75C6D">
        <w:rPr>
          <w:rFonts w:ascii="Times New Roman" w:hAnsi="Times New Roman"/>
          <w:lang w:val="en-US"/>
        </w:rPr>
        <w:t>integration of PV-</w:t>
      </w:r>
      <w:r w:rsidR="00DB668E">
        <w:rPr>
          <w:rFonts w:ascii="Times New Roman" w:hAnsi="Times New Roman"/>
          <w:lang w:val="en-US"/>
        </w:rPr>
        <w:t>e</w:t>
      </w:r>
      <w:r w:rsidR="00A75C6D">
        <w:rPr>
          <w:rFonts w:ascii="Times New Roman" w:hAnsi="Times New Roman"/>
          <w:lang w:val="en-US"/>
        </w:rPr>
        <w:t xml:space="preserve">nergy storage in </w:t>
      </w:r>
      <w:r w:rsidR="00DB668E">
        <w:rPr>
          <w:rFonts w:ascii="Times New Roman" w:hAnsi="Times New Roman"/>
          <w:lang w:val="en-US"/>
        </w:rPr>
        <w:t xml:space="preserve">smart </w:t>
      </w:r>
      <w:r w:rsidR="00A75C6D">
        <w:rPr>
          <w:rFonts w:ascii="Times New Roman" w:hAnsi="Times New Roman"/>
          <w:lang w:val="en-US"/>
        </w:rPr>
        <w:t>building</w:t>
      </w:r>
      <w:r w:rsidR="00DB668E">
        <w:rPr>
          <w:rFonts w:ascii="Times New Roman" w:hAnsi="Times New Roman"/>
          <w:lang w:val="en-US"/>
        </w:rPr>
        <w:t>s</w:t>
      </w:r>
      <w:r w:rsidR="00BE6491">
        <w:rPr>
          <w:rFonts w:ascii="Times New Roman" w:hAnsi="Times New Roman"/>
          <w:lang w:val="en-US"/>
        </w:rPr>
        <w:t xml:space="preserve"> and </w:t>
      </w:r>
      <w:r w:rsidR="00152456">
        <w:rPr>
          <w:rFonts w:ascii="Times New Roman" w:hAnsi="Times New Roman"/>
          <w:lang w:val="en-US"/>
        </w:rPr>
        <w:t>(iv) e</w:t>
      </w:r>
      <w:r w:rsidR="00BE6491">
        <w:rPr>
          <w:rFonts w:ascii="Times New Roman" w:hAnsi="Times New Roman"/>
          <w:lang w:val="en-US"/>
        </w:rPr>
        <w:t>xamine</w:t>
      </w:r>
      <w:r w:rsidR="00152456">
        <w:rPr>
          <w:rFonts w:ascii="Times New Roman" w:hAnsi="Times New Roman"/>
          <w:lang w:val="en-US"/>
        </w:rPr>
        <w:t>s</w:t>
      </w:r>
      <w:r w:rsidR="00BE6491">
        <w:rPr>
          <w:rFonts w:ascii="Times New Roman" w:hAnsi="Times New Roman"/>
          <w:lang w:val="en-US"/>
        </w:rPr>
        <w:t xml:space="preserve"> the </w:t>
      </w:r>
      <w:r w:rsidR="00A75C6D">
        <w:rPr>
          <w:rFonts w:ascii="Times New Roman" w:hAnsi="Times New Roman"/>
          <w:lang w:val="en-US"/>
        </w:rPr>
        <w:t xml:space="preserve">potential and role of energy storage for PV </w:t>
      </w:r>
      <w:r w:rsidR="00152456">
        <w:rPr>
          <w:rFonts w:ascii="Times New Roman" w:hAnsi="Times New Roman"/>
          <w:lang w:val="en-US"/>
        </w:rPr>
        <w:t xml:space="preserve">in the context of </w:t>
      </w:r>
      <w:r w:rsidR="00A75C6D">
        <w:rPr>
          <w:rFonts w:ascii="Times New Roman" w:hAnsi="Times New Roman"/>
          <w:lang w:val="en-US"/>
        </w:rPr>
        <w:t>future ene</w:t>
      </w:r>
      <w:r w:rsidR="00C21E13">
        <w:rPr>
          <w:rFonts w:ascii="Times New Roman" w:hAnsi="Times New Roman"/>
          <w:lang w:val="en-US"/>
        </w:rPr>
        <w:t>rgy developments.</w:t>
      </w:r>
    </w:p>
    <w:p w14:paraId="5ACA7FC3" w14:textId="155F5D80" w:rsidR="004F03A9" w:rsidRDefault="00532F8A" w:rsidP="00F135F4">
      <w:pPr>
        <w:spacing w:after="200" w:line="360" w:lineRule="auto"/>
        <w:jc w:val="both"/>
        <w:rPr>
          <w:rFonts w:ascii="Times New Roman" w:hAnsi="Times New Roman"/>
          <w:b/>
          <w:sz w:val="24"/>
          <w:szCs w:val="24"/>
          <w:lang w:val="en-US"/>
        </w:rPr>
      </w:pPr>
      <w:r w:rsidRPr="00532F8A">
        <w:rPr>
          <w:rFonts w:ascii="Times New Roman" w:hAnsi="Times New Roman"/>
          <w:b/>
          <w:sz w:val="24"/>
          <w:szCs w:val="24"/>
          <w:lang w:val="en-US"/>
        </w:rPr>
        <w:t>Keywords</w:t>
      </w:r>
      <w:r>
        <w:rPr>
          <w:rFonts w:ascii="Times New Roman" w:hAnsi="Times New Roman"/>
          <w:b/>
          <w:sz w:val="24"/>
          <w:szCs w:val="24"/>
          <w:lang w:val="en-US"/>
        </w:rPr>
        <w:t>:</w:t>
      </w:r>
      <w:r w:rsidR="003B3C03">
        <w:rPr>
          <w:rFonts w:ascii="Times New Roman" w:hAnsi="Times New Roman"/>
          <w:b/>
          <w:sz w:val="24"/>
          <w:szCs w:val="24"/>
          <w:lang w:val="en-US"/>
        </w:rPr>
        <w:t xml:space="preserve"> </w:t>
      </w:r>
      <w:r w:rsidR="003B3C03" w:rsidRPr="003B3C03">
        <w:rPr>
          <w:rFonts w:ascii="Times New Roman" w:hAnsi="Times New Roman"/>
          <w:lang w:val="en-US"/>
        </w:rPr>
        <w:t>Photo</w:t>
      </w:r>
      <w:r w:rsidR="003B3C03">
        <w:rPr>
          <w:rFonts w:ascii="Times New Roman" w:hAnsi="Times New Roman"/>
          <w:lang w:val="en-US"/>
        </w:rPr>
        <w:t>voltaic; Phase Change Material (PCM); Thermal Energy Storage (TES); Concentration; Solar electrical system; Building integr</w:t>
      </w:r>
      <w:r w:rsidR="00D471FA">
        <w:rPr>
          <w:rFonts w:ascii="Times New Roman" w:hAnsi="Times New Roman"/>
          <w:lang w:val="en-US"/>
        </w:rPr>
        <w:t>ation</w:t>
      </w:r>
    </w:p>
    <w:p w14:paraId="3F2C3659" w14:textId="696A2DBC" w:rsidR="002A76A5" w:rsidRPr="00532F8A" w:rsidRDefault="00C65526" w:rsidP="003B24EF">
      <w:pPr>
        <w:pStyle w:val="ListParagraph"/>
        <w:numPr>
          <w:ilvl w:val="0"/>
          <w:numId w:val="7"/>
        </w:numPr>
        <w:spacing w:after="200" w:line="360" w:lineRule="auto"/>
        <w:jc w:val="both"/>
        <w:rPr>
          <w:b/>
          <w:lang w:val="en-US"/>
        </w:rPr>
      </w:pPr>
      <w:r w:rsidRPr="00532F8A">
        <w:rPr>
          <w:b/>
          <w:lang w:val="en-US"/>
        </w:rPr>
        <w:t>Introduction</w:t>
      </w:r>
      <w:r w:rsidR="002A76A5" w:rsidRPr="00532F8A">
        <w:rPr>
          <w:b/>
          <w:lang w:val="en-US"/>
        </w:rPr>
        <w:t xml:space="preserve"> </w:t>
      </w:r>
    </w:p>
    <w:p w14:paraId="78BC60E1" w14:textId="62E6EC03" w:rsidR="00917C88" w:rsidRPr="004571BA" w:rsidRDefault="00917C88" w:rsidP="00917C88">
      <w:pPr>
        <w:suppressAutoHyphens w:val="0"/>
        <w:autoSpaceDE w:val="0"/>
        <w:adjustRightInd w:val="0"/>
        <w:spacing w:line="360" w:lineRule="auto"/>
        <w:jc w:val="both"/>
        <w:textAlignment w:val="auto"/>
        <w:rPr>
          <w:rFonts w:ascii="Times New Roman" w:eastAsia="Times New Roman" w:hAnsi="Times New Roman"/>
          <w:lang w:val="en-US" w:eastAsia="en-GB"/>
        </w:rPr>
      </w:pPr>
      <w:r w:rsidRPr="004571BA">
        <w:rPr>
          <w:rFonts w:ascii="Times New Roman" w:eastAsia="Times New Roman" w:hAnsi="Times New Roman"/>
          <w:lang w:val="en-US" w:eastAsia="en-GB"/>
        </w:rPr>
        <w:t xml:space="preserve">Over the past decade, global </w:t>
      </w:r>
      <w:r w:rsidR="00A50553">
        <w:rPr>
          <w:rFonts w:ascii="Times New Roman" w:eastAsia="Times New Roman" w:hAnsi="Times New Roman"/>
          <w:lang w:val="en-US" w:eastAsia="en-GB"/>
        </w:rPr>
        <w:t>installed capacity of</w:t>
      </w:r>
      <w:r w:rsidRPr="004571BA">
        <w:rPr>
          <w:rFonts w:ascii="Times New Roman" w:eastAsia="Times New Roman" w:hAnsi="Times New Roman"/>
          <w:lang w:val="en-US" w:eastAsia="en-GB"/>
        </w:rPr>
        <w:t xml:space="preserve"> solar </w:t>
      </w:r>
      <w:r w:rsidR="00A50553">
        <w:rPr>
          <w:rFonts w:ascii="Times New Roman" w:eastAsia="Times New Roman" w:hAnsi="Times New Roman"/>
          <w:lang w:val="en-US" w:eastAsia="en-GB"/>
        </w:rPr>
        <w:t>photovoltaic (</w:t>
      </w:r>
      <w:r w:rsidRPr="004571BA">
        <w:rPr>
          <w:rFonts w:ascii="Times New Roman" w:eastAsia="Times New Roman" w:hAnsi="Times New Roman"/>
          <w:lang w:val="en-US" w:eastAsia="en-GB"/>
        </w:rPr>
        <w:t>PV</w:t>
      </w:r>
      <w:r w:rsidR="00A50553">
        <w:rPr>
          <w:rFonts w:ascii="Times New Roman" w:eastAsia="Times New Roman" w:hAnsi="Times New Roman"/>
          <w:lang w:val="en-US" w:eastAsia="en-GB"/>
        </w:rPr>
        <w:t>)</w:t>
      </w:r>
      <w:r w:rsidRPr="004571BA">
        <w:rPr>
          <w:rFonts w:ascii="Times New Roman" w:eastAsia="Times New Roman" w:hAnsi="Times New Roman"/>
          <w:lang w:val="en-US" w:eastAsia="en-GB"/>
        </w:rPr>
        <w:t xml:space="preserve"> has dramatically increased </w:t>
      </w:r>
      <w:r w:rsidR="00152456">
        <w:rPr>
          <w:rFonts w:ascii="Times New Roman" w:eastAsia="Times New Roman" w:hAnsi="Times New Roman"/>
          <w:lang w:val="en-US" w:eastAsia="en-GB"/>
        </w:rPr>
        <w:t xml:space="preserve">as part of a </w:t>
      </w:r>
      <w:r>
        <w:rPr>
          <w:rFonts w:ascii="Times New Roman" w:eastAsia="Times New Roman" w:hAnsi="Times New Roman"/>
          <w:lang w:val="en-US" w:eastAsia="en-GB"/>
        </w:rPr>
        <w:t xml:space="preserve">shift from fossil fuels and </w:t>
      </w:r>
      <w:r w:rsidR="008745AD">
        <w:rPr>
          <w:rFonts w:ascii="Times New Roman" w:eastAsia="Times New Roman" w:hAnsi="Times New Roman"/>
          <w:lang w:val="en-US" w:eastAsia="en-GB"/>
        </w:rPr>
        <w:t xml:space="preserve">a </w:t>
      </w:r>
      <w:r>
        <w:rPr>
          <w:rFonts w:ascii="Times New Roman" w:eastAsia="Times New Roman" w:hAnsi="Times New Roman"/>
          <w:lang w:val="en-US" w:eastAsia="en-GB"/>
        </w:rPr>
        <w:t>move toward reliable, clean</w:t>
      </w:r>
      <w:r w:rsidR="00A50553">
        <w:rPr>
          <w:rFonts w:ascii="Times New Roman" w:eastAsia="Times New Roman" w:hAnsi="Times New Roman"/>
          <w:lang w:val="en-US" w:eastAsia="en-GB"/>
        </w:rPr>
        <w:t>,</w:t>
      </w:r>
      <w:r>
        <w:rPr>
          <w:rFonts w:ascii="Times New Roman" w:eastAsia="Times New Roman" w:hAnsi="Times New Roman"/>
          <w:lang w:val="en-US" w:eastAsia="en-GB"/>
        </w:rPr>
        <w:t xml:space="preserve"> efficient </w:t>
      </w:r>
      <w:r w:rsidR="00A50553">
        <w:rPr>
          <w:rFonts w:ascii="Times New Roman" w:eastAsia="Times New Roman" w:hAnsi="Times New Roman"/>
          <w:lang w:val="en-US" w:eastAsia="en-GB"/>
        </w:rPr>
        <w:t xml:space="preserve">and sustainable </w:t>
      </w:r>
      <w:r>
        <w:rPr>
          <w:rFonts w:ascii="Times New Roman" w:eastAsia="Times New Roman" w:hAnsi="Times New Roman"/>
          <w:lang w:val="en-US" w:eastAsia="en-GB"/>
        </w:rPr>
        <w:t xml:space="preserve">fuels </w:t>
      </w:r>
      <w:r>
        <w:rPr>
          <w:rFonts w:ascii="Times New Roman" w:eastAsia="Times New Roman" w:hAnsi="Times New Roman"/>
          <w:lang w:val="en-US" w:eastAsia="en-GB"/>
        </w:rPr>
        <w:fldChar w:fldCharType="begin" w:fldLock="1"/>
      </w:r>
      <w:r>
        <w:rPr>
          <w:rFonts w:ascii="Times New Roman" w:eastAsia="Times New Roman" w:hAnsi="Times New Roman"/>
          <w:lang w:val="en-US" w:eastAsia="en-GB"/>
        </w:rPr>
        <w:instrText>ADDIN CSL_CITATION { "citationItems" : [ { "id" : "ITEM-1", "itemData" : { "DOI" : "10.1016/j.jclepro.2014.05.061", "ISBN" : "0959-6526", "ISSN" : "09596526", "abstract" : "Sustainable development of energy systems requires consideration of all three sustainability dimensions: environmental, economic and social. Current work presents a new decision-support framework for facilitating this. Taking a life cycle approach, the framework integrates the three sustainability dimensions to enable assessments at both technology and systems levels. The framework comprises scenario analysis, life cycle assessment, life cycle costing, social sustainability assessment and multi-criteria decision analysis, which are used to assess and identify the most sustainable energy options. The application of the framework is illustrated on the example of future electricity supply in Mexico. Eleven scenarios up to 2050 have been developed considering different technologies, electricity mixes and climate change targets. The results show that, based on the 17 sustainability criteria used in this work, the business-as-usual scenario, mostly based on fossil fuels, is unsustainable regardless of the preferences for different sustainability criteria. This is mainly due to the high costs and environmental impacts associated with fossil fuels. Overall, the most sustainable scenarios are those with higher penetration of renewables (wind, solar, hydro, geothermal and biomass) and nuclear power. These electricity pathways would enable meeting the national greenhouse gas emission targets by 2050 in a more sustainable way than envisaged by the current policy. However, some trade-offs among the sustainability criteria are needed, particularly with respect to the social impacts. These trade-offs can be explored easily within the decision-support framework to reveal how different stakeholder preferences affect the outcomes of sustainability assessment, thus contributing to more informed decision and policy making. \u00a9 2014 Elsevier Ltd. All rights reserved.", "author" : [ { "dropping-particle" : "", "family" : "Santoyo-Castelazo", "given" : "Edgar", "non-dropping-particle" : "", "parse-names" : false, "suffix" : "" }, { "dropping-particle" : "", "family" : "Azapagic", "given" : "Adisa", "non-dropping-particle" : "", "parse-names" : false, "suffix" : "" } ], "container-title" : "Journal of Cleaner Production", "id" : "ITEM-1", "issued" : { "date-parts" : [ [ "2014" ] ] }, "page" : "119-138", "title" : "Sustainability assessment of energy systems: Integrating environmental, economic and social aspects", "type" : "article-journal", "volume" : "80" }, "uris" : [ "http://www.mendeley.com/documents/?uuid=2b869698-dd0e-4353-84b0-b6c5eed4541e" ] }, { "id" : "ITEM-2", "itemData" : { "DOI" : "10.1016/j.solmat.2013.08.015", "ISBN" : "0927-0248", "ISSN" : "09270248", "abstract" : "In this paper, an updated review of the state of technology and installations of several energy storage technologies were presented, and their various characteristics were analyzed. The analyses included their storage properties, current state in the industry and feasibility for future installation. The paper includes also the main characteristics of energy storage technologies suitable for renewable energy systems. \u00a9 2013 Elsevier B.V.", "author" : [ { "dropping-particle" : "", "family" : "Kousksou", "given" : "T.", "non-dropping-particle" : "", "parse-names" : false, "suffix" : "" }, { "dropping-particle" : "", "family" : "Bruel", "given" : "P.", "non-dropping-particle" : "", "parse-names" : false, "suffix" : "" }, { "dropping-particle" : "", "family" : "Jamil", "given" : "A.", "non-dropping-particle" : "", "parse-names" : false, "suffix" : "" }, { "dropping-particle" : "", "family" : "Rhafiki", "given" : "T.", "non-dropping-particle" : "El", "parse-names" : false, "suffix" : "" }, { "dropping-particle" : "", "family" : "Zeraouli", "given" : "Y.", "non-dropping-particle" : "", "parse-names" : false, "suffix" : "" } ], "container-title" : "Solar Energy Materials and Solar Cells", "id" : "ITEM-2", "issue" : "PART A", "issued" : { "date-parts" : [ [ "2014" ] ] }, "page" : "59-80", "title" : "Energy storage: Applications and challenges", "type" : "article", "volume" : "120" }, "uris" : [ "http://www.mendeley.com/documents/?uuid=750c2d0e-26be-4dad-be7b-7a88a74edaed" ] } ], "mendeley" : { "formattedCitation" : "(Kousksou, Bruel, Jamil, El Rhafiki, &amp; Zeraouli, 2014; Santoyo-Castelazo &amp; Azapagic, 2014)", "plainTextFormattedCitation" : "(Kousksou, Bruel, Jamil, El Rhafiki, &amp; Zeraouli, 2014; Santoyo-Castelazo &amp; Azapagic, 2014)", "previouslyFormattedCitation" : "(Kousksou, Bruel, Jamil, El Rhafiki, &amp; Zeraouli, 2014; Santoyo-Castelazo &amp; Azapagic, 2014)" }, "properties" : { "noteIndex" : 0 }, "schema" : "https://github.com/citation-style-language/schema/raw/master/csl-citation.json" }</w:instrText>
      </w:r>
      <w:r>
        <w:rPr>
          <w:rFonts w:ascii="Times New Roman" w:eastAsia="Times New Roman" w:hAnsi="Times New Roman"/>
          <w:lang w:val="en-US" w:eastAsia="en-GB"/>
        </w:rPr>
        <w:fldChar w:fldCharType="separate"/>
      </w:r>
      <w:r w:rsidRPr="001A3192">
        <w:rPr>
          <w:rFonts w:ascii="Times New Roman" w:eastAsia="Times New Roman" w:hAnsi="Times New Roman"/>
          <w:noProof/>
          <w:lang w:val="en-US" w:eastAsia="en-GB"/>
        </w:rPr>
        <w:t>(Kousksou, Bruel, Jamil, El Rhafiki, &amp; Zeraouli, 2014; Santoyo-Castelazo &amp; Azapagic, 2014)</w:t>
      </w:r>
      <w:r>
        <w:rPr>
          <w:rFonts w:ascii="Times New Roman" w:eastAsia="Times New Roman" w:hAnsi="Times New Roman"/>
          <w:lang w:val="en-US" w:eastAsia="en-GB"/>
        </w:rPr>
        <w:fldChar w:fldCharType="end"/>
      </w:r>
      <w:r>
        <w:rPr>
          <w:rFonts w:ascii="Times New Roman" w:eastAsia="Times New Roman" w:hAnsi="Times New Roman"/>
          <w:lang w:val="en-US" w:eastAsia="en-GB"/>
        </w:rPr>
        <w:t xml:space="preserve">. </w:t>
      </w:r>
      <w:r w:rsidR="00152456">
        <w:rPr>
          <w:rFonts w:ascii="Times New Roman" w:eastAsia="Times New Roman" w:hAnsi="Times New Roman"/>
          <w:lang w:val="en-US" w:eastAsia="en-GB"/>
        </w:rPr>
        <w:t xml:space="preserve"> </w:t>
      </w:r>
      <w:r>
        <w:rPr>
          <w:rFonts w:ascii="Times New Roman" w:eastAsia="Times New Roman" w:hAnsi="Times New Roman"/>
          <w:lang w:val="en-US" w:eastAsia="en-GB"/>
        </w:rPr>
        <w:t>E</w:t>
      </w:r>
      <w:r w:rsidRPr="00FC2FC7">
        <w:rPr>
          <w:rFonts w:ascii="Times New Roman" w:eastAsia="Times New Roman" w:hAnsi="Times New Roman"/>
          <w:lang w:val="en-US" w:eastAsia="en-GB"/>
        </w:rPr>
        <w:t xml:space="preserve">nergy storage is </w:t>
      </w:r>
      <w:r>
        <w:rPr>
          <w:rFonts w:ascii="Times New Roman" w:eastAsia="Times New Roman" w:hAnsi="Times New Roman"/>
          <w:lang w:val="en-US" w:eastAsia="en-GB"/>
        </w:rPr>
        <w:t>essential</w:t>
      </w:r>
      <w:r w:rsidRPr="00FC2FC7">
        <w:rPr>
          <w:rFonts w:ascii="Times New Roman" w:eastAsia="Times New Roman" w:hAnsi="Times New Roman"/>
          <w:lang w:val="en-US" w:eastAsia="en-GB"/>
        </w:rPr>
        <w:t xml:space="preserve"> for </w:t>
      </w:r>
      <w:r w:rsidR="008745AD">
        <w:rPr>
          <w:rFonts w:ascii="Times New Roman" w:eastAsia="Times New Roman" w:hAnsi="Times New Roman"/>
          <w:lang w:val="en-US" w:eastAsia="en-GB"/>
        </w:rPr>
        <w:t>PV</w:t>
      </w:r>
      <w:r w:rsidR="00152456">
        <w:rPr>
          <w:rFonts w:ascii="Times New Roman" w:eastAsia="Times New Roman" w:hAnsi="Times New Roman"/>
          <w:lang w:val="en-US" w:eastAsia="en-GB"/>
        </w:rPr>
        <w:t xml:space="preserve"> technology</w:t>
      </w:r>
      <w:r w:rsidRPr="00FC2FC7">
        <w:rPr>
          <w:rFonts w:ascii="Times New Roman" w:eastAsia="Times New Roman" w:hAnsi="Times New Roman"/>
          <w:lang w:val="en-US" w:eastAsia="en-GB"/>
        </w:rPr>
        <w:t xml:space="preserve"> to become completely reliable as </w:t>
      </w:r>
      <w:r w:rsidR="00152456">
        <w:rPr>
          <w:rFonts w:ascii="Times New Roman" w:eastAsia="Times New Roman" w:hAnsi="Times New Roman"/>
          <w:lang w:val="en-US" w:eastAsia="en-GB"/>
        </w:rPr>
        <w:t xml:space="preserve">a </w:t>
      </w:r>
      <w:r w:rsidRPr="00FC2FC7">
        <w:rPr>
          <w:rFonts w:ascii="Times New Roman" w:eastAsia="Times New Roman" w:hAnsi="Times New Roman"/>
          <w:lang w:val="en-US" w:eastAsia="en-GB"/>
        </w:rPr>
        <w:t xml:space="preserve">primary source of energy. </w:t>
      </w:r>
      <w:r w:rsidR="008734A4">
        <w:rPr>
          <w:rFonts w:ascii="Times New Roman" w:eastAsia="Times New Roman" w:hAnsi="Times New Roman"/>
          <w:lang w:val="en-US" w:eastAsia="en-GB"/>
        </w:rPr>
        <w:t>I</w:t>
      </w:r>
      <w:r w:rsidRPr="00FC2FC7">
        <w:rPr>
          <w:rFonts w:ascii="Times New Roman" w:eastAsia="Times New Roman" w:hAnsi="Times New Roman"/>
          <w:lang w:val="en-US" w:eastAsia="en-GB"/>
        </w:rPr>
        <w:t xml:space="preserve">t is necessary to store </w:t>
      </w:r>
      <w:r w:rsidR="008745AD">
        <w:rPr>
          <w:rFonts w:ascii="Times New Roman" w:eastAsia="Times New Roman" w:hAnsi="Times New Roman"/>
          <w:lang w:val="en-US" w:eastAsia="en-GB"/>
        </w:rPr>
        <w:t>PV</w:t>
      </w:r>
      <w:r w:rsidR="008734A4">
        <w:rPr>
          <w:rFonts w:ascii="Times New Roman" w:eastAsia="Times New Roman" w:hAnsi="Times New Roman"/>
          <w:lang w:val="en-US" w:eastAsia="en-GB"/>
        </w:rPr>
        <w:t xml:space="preserve"> electricity </w:t>
      </w:r>
      <w:r w:rsidRPr="00FC2FC7">
        <w:rPr>
          <w:rFonts w:ascii="Times New Roman" w:eastAsia="Times New Roman" w:hAnsi="Times New Roman"/>
          <w:lang w:val="en-US" w:eastAsia="en-GB"/>
        </w:rPr>
        <w:t xml:space="preserve">when an excess is produced </w:t>
      </w:r>
      <w:r w:rsidR="008734A4">
        <w:rPr>
          <w:rFonts w:ascii="Times New Roman" w:eastAsia="Times New Roman" w:hAnsi="Times New Roman"/>
          <w:lang w:val="en-US" w:eastAsia="en-GB"/>
        </w:rPr>
        <w:t xml:space="preserve">to be </w:t>
      </w:r>
      <w:r w:rsidRPr="00FC2FC7">
        <w:rPr>
          <w:rFonts w:ascii="Times New Roman" w:eastAsia="Times New Roman" w:hAnsi="Times New Roman"/>
          <w:lang w:val="en-US" w:eastAsia="en-GB"/>
        </w:rPr>
        <w:t>released when it is required</w:t>
      </w:r>
      <w:r>
        <w:rPr>
          <w:rFonts w:ascii="Times New Roman" w:eastAsia="Times New Roman" w:hAnsi="Times New Roman"/>
          <w:lang w:val="en-US" w:eastAsia="en-GB"/>
        </w:rPr>
        <w:t xml:space="preserve">. </w:t>
      </w:r>
      <w:r w:rsidRPr="005D5915">
        <w:rPr>
          <w:rFonts w:ascii="Times New Roman" w:eastAsia="Times New Roman" w:hAnsi="Times New Roman"/>
          <w:lang w:val="en-US" w:eastAsia="en-GB"/>
        </w:rPr>
        <w:t>Energy storage can help network</w:t>
      </w:r>
      <w:r w:rsidR="008734A4">
        <w:rPr>
          <w:rFonts w:ascii="Times New Roman" w:eastAsia="Times New Roman" w:hAnsi="Times New Roman"/>
          <w:lang w:val="en-US" w:eastAsia="en-GB"/>
        </w:rPr>
        <w:t>s</w:t>
      </w:r>
      <w:r w:rsidRPr="005D5915">
        <w:rPr>
          <w:rFonts w:ascii="Times New Roman" w:eastAsia="Times New Roman" w:hAnsi="Times New Roman"/>
          <w:lang w:val="en-US" w:eastAsia="en-GB"/>
        </w:rPr>
        <w:t xml:space="preserve"> withstand peaks in demand allow</w:t>
      </w:r>
      <w:r w:rsidR="008734A4">
        <w:rPr>
          <w:rFonts w:ascii="Times New Roman" w:eastAsia="Times New Roman" w:hAnsi="Times New Roman"/>
          <w:lang w:val="en-US" w:eastAsia="en-GB"/>
        </w:rPr>
        <w:t xml:space="preserve">ing </w:t>
      </w:r>
      <w:r w:rsidRPr="005D5915">
        <w:rPr>
          <w:rFonts w:ascii="Times New Roman" w:eastAsia="Times New Roman" w:hAnsi="Times New Roman"/>
          <w:lang w:val="en-US" w:eastAsia="en-GB"/>
        </w:rPr>
        <w:t>transmission and distribution to operate at full capacity</w:t>
      </w:r>
      <w:r w:rsidR="008734A4">
        <w:rPr>
          <w:rFonts w:ascii="Times New Roman" w:eastAsia="Times New Roman" w:hAnsi="Times New Roman"/>
          <w:lang w:val="en-US" w:eastAsia="en-GB"/>
        </w:rPr>
        <w:t xml:space="preserve">.  </w:t>
      </w:r>
      <w:r w:rsidRPr="005D5915">
        <w:rPr>
          <w:rFonts w:ascii="Times New Roman" w:eastAsia="Times New Roman" w:hAnsi="Times New Roman"/>
          <w:lang w:val="en-US" w:eastAsia="en-GB"/>
        </w:rPr>
        <w:t>In terms of shorter period</w:t>
      </w:r>
      <w:r w:rsidR="008745AD">
        <w:rPr>
          <w:rFonts w:ascii="Times New Roman" w:eastAsia="Times New Roman" w:hAnsi="Times New Roman"/>
          <w:lang w:val="en-US" w:eastAsia="en-GB"/>
        </w:rPr>
        <w:t>s</w:t>
      </w:r>
      <w:r w:rsidRPr="005D5915">
        <w:rPr>
          <w:rFonts w:ascii="Times New Roman" w:eastAsia="Times New Roman" w:hAnsi="Times New Roman"/>
          <w:lang w:val="en-US" w:eastAsia="en-GB"/>
        </w:rPr>
        <w:t xml:space="preserve"> of storage, it can be effective for smoothing out small peaks and distortion in voltage</w:t>
      </w:r>
      <w:r>
        <w:rPr>
          <w:rFonts w:ascii="Times New Roman" w:eastAsia="Times New Roman" w:hAnsi="Times New Roman"/>
          <w:lang w:val="en-US" w:eastAsia="en-GB"/>
        </w:rPr>
        <w:t xml:space="preserve"> </w:t>
      </w:r>
      <w:r w:rsidRPr="00FC2FC7">
        <w:rPr>
          <w:rFonts w:ascii="Times New Roman" w:eastAsia="Times New Roman" w:hAnsi="Times New Roman"/>
          <w:lang w:val="en-US" w:eastAsia="en-GB"/>
        </w:rPr>
        <w:fldChar w:fldCharType="begin" w:fldLock="1"/>
      </w:r>
      <w:r>
        <w:rPr>
          <w:rFonts w:ascii="Times New Roman" w:eastAsia="Times New Roman" w:hAnsi="Times New Roman"/>
          <w:lang w:val="en-US" w:eastAsia="en-GB"/>
        </w:rPr>
        <w:instrText>ADDIN CSL_CITATION { "citationItems" : [ { "id" : "ITEM-1", "itemData" : { "DOI" : "10.1016/j.rser.2008.09.028", "ISBN" : "1364-0321", "ISSN" : "13640321", "abstract" : "In today's world, there is a continuous global need for more energy which, at the same time, has to be cleaner than the energy produced from the traditional generation technologies. This need has facilitated the increasing penetration of distributed generation (DG) technologies and primarily of renewable energy sources (RES). The extensive use of such energy sources in today's electricity networks can indisputably minimize the threat of global warming and climate change. However, the power output of these energy sources is not as reliable and as easy to adjust to changing demand cycles as the output from the traditional power sources. This disadvantage can only be effectively overcome by the storing of the excess power produced by DG-RES. Therefore, in order for these new sources to become completely reliable as primary sources of energy, energy storage is a crucial factor. In this work, an overview of the current and future energy storage technologies used for electric power applications is carried out. Most of the technologies are in use today while others are still under intensive research and development. A comparison between the various technologies is presented in terms of the most important technological characteristics of each technology. The comparison shows that each storage technology is different in terms of its ideal network application environment and energy storage scale. This means that in order to achieve optimum results, the unique network environment and the specifications of the storage device have to be studied thoroughly, before a decision for the ideal storage technology to be selected is taken. ?? 2008 Elsevier Ltd. All rights reserved.", "author" : [ { "dropping-particle" : "", "family" : "Hadjipaschalis", "given" : "Ioannis", "non-dropping-particle" : "", "parse-names" : false, "suffix" : "" }, { "dropping-particle" : "", "family" : "Poullikkas", "given" : "Andreas", "non-dropping-particle" : "", "parse-names" : false, "suffix" : "" }, { "dropping-particle" : "", "family" : "Efthimiou", "given" : "Venizelos", "non-dropping-particle" : "", "parse-names" : false, "suffix" : "" } ], "container-title" : "Renewable and Sustainable Energy Reviews", "id" : "ITEM-1", "issue" : "6-7", "issued" : { "date-parts" : [ [ "2009" ] ] }, "page" : "1513-1522", "title" : "Overview of current and future energy storage technologies for electric power applications", "type" : "article", "volume" : "13" }, "uris" : [ "http://www.mendeley.com/documents/?uuid=531fe81a-af4d-4965-9f3f-acaa626e6e19" ] } ], "mendeley" : { "formattedCitation" : "(Hadjipaschalis, Poullikkas, &amp; Efthimiou, 2009)", "plainTextFormattedCitation" : "(Hadjipaschalis, Poullikkas, &amp; Efthimiou, 2009)", "previouslyFormattedCitation" : "(Hadjipaschalis, Poullikkas, &amp; Efthimiou, 2009)" }, "properties" : { "noteIndex" : 0 }, "schema" : "https://github.com/citation-style-language/schema/raw/master/csl-citation.json" }</w:instrText>
      </w:r>
      <w:r w:rsidRPr="00FC2FC7">
        <w:rPr>
          <w:rFonts w:ascii="Times New Roman" w:eastAsia="Times New Roman" w:hAnsi="Times New Roman"/>
          <w:lang w:val="en-US" w:eastAsia="en-GB"/>
        </w:rPr>
        <w:fldChar w:fldCharType="separate"/>
      </w:r>
      <w:r w:rsidRPr="00FC2FC7">
        <w:rPr>
          <w:rFonts w:ascii="Times New Roman" w:eastAsia="Times New Roman" w:hAnsi="Times New Roman"/>
          <w:noProof/>
          <w:lang w:val="en-US" w:eastAsia="en-GB"/>
        </w:rPr>
        <w:t>(Hadjipaschalis, Poullikkas, &amp; Efthimiou, 2009)</w:t>
      </w:r>
      <w:r w:rsidRPr="00FC2FC7">
        <w:rPr>
          <w:rFonts w:ascii="Times New Roman" w:eastAsia="Times New Roman" w:hAnsi="Times New Roman"/>
          <w:lang w:val="en-US" w:eastAsia="en-GB"/>
        </w:rPr>
        <w:fldChar w:fldCharType="end"/>
      </w:r>
      <w:r w:rsidRPr="00FC2FC7">
        <w:rPr>
          <w:rFonts w:ascii="Times New Roman" w:eastAsia="Times New Roman" w:hAnsi="Times New Roman"/>
          <w:lang w:val="en-US" w:eastAsia="en-GB"/>
        </w:rPr>
        <w:t>.</w:t>
      </w:r>
      <w:r>
        <w:t xml:space="preserve"> </w:t>
      </w:r>
    </w:p>
    <w:p w14:paraId="32B1A178" w14:textId="20B4347B" w:rsidR="00917C88" w:rsidRDefault="00917C88" w:rsidP="00917C88">
      <w:pPr>
        <w:suppressAutoHyphens w:val="0"/>
        <w:autoSpaceDE w:val="0"/>
        <w:adjustRightInd w:val="0"/>
        <w:spacing w:line="360" w:lineRule="auto"/>
        <w:jc w:val="both"/>
        <w:textAlignment w:val="auto"/>
        <w:rPr>
          <w:rFonts w:ascii="Times New Roman" w:eastAsia="Times New Roman" w:hAnsi="Times New Roman"/>
          <w:lang w:val="en-US" w:eastAsia="en-GB"/>
        </w:rPr>
      </w:pPr>
      <w:r>
        <w:rPr>
          <w:rFonts w:ascii="Times New Roman" w:eastAsia="Times New Roman" w:hAnsi="Times New Roman"/>
          <w:lang w:val="en-US" w:eastAsia="en-GB"/>
        </w:rPr>
        <w:lastRenderedPageBreak/>
        <w:t>E</w:t>
      </w:r>
      <w:r w:rsidRPr="009B104D">
        <w:rPr>
          <w:rFonts w:ascii="Times New Roman" w:eastAsia="Times New Roman" w:hAnsi="Times New Roman"/>
          <w:lang w:val="en-US" w:eastAsia="en-GB"/>
        </w:rPr>
        <w:t xml:space="preserve">nergy storage technologies </w:t>
      </w:r>
      <w:r>
        <w:rPr>
          <w:rFonts w:ascii="Times New Roman" w:eastAsia="Times New Roman" w:hAnsi="Times New Roman"/>
          <w:lang w:val="en-US" w:eastAsia="en-GB"/>
        </w:rPr>
        <w:t xml:space="preserve">can be </w:t>
      </w:r>
      <w:r w:rsidRPr="0080581D">
        <w:rPr>
          <w:rFonts w:ascii="Times New Roman" w:eastAsia="Times New Roman" w:hAnsi="Times New Roman"/>
          <w:lang w:val="en-US" w:eastAsia="en-GB"/>
        </w:rPr>
        <w:t>classified</w:t>
      </w:r>
      <w:r>
        <w:rPr>
          <w:rFonts w:ascii="Times New Roman" w:eastAsia="Times New Roman" w:hAnsi="Times New Roman"/>
          <w:lang w:val="en-US" w:eastAsia="en-GB"/>
        </w:rPr>
        <w:t xml:space="preserve"> as electrical</w:t>
      </w:r>
      <w:r w:rsidR="00EE4BB1">
        <w:rPr>
          <w:rFonts w:ascii="Times New Roman" w:eastAsia="Times New Roman" w:hAnsi="Times New Roman"/>
          <w:lang w:val="en-US" w:eastAsia="en-GB"/>
        </w:rPr>
        <w:t xml:space="preserve">, </w:t>
      </w:r>
      <w:r w:rsidRPr="009B104D">
        <w:rPr>
          <w:rFonts w:ascii="Times New Roman" w:eastAsia="Times New Roman" w:hAnsi="Times New Roman"/>
          <w:lang w:val="en-US" w:eastAsia="en-GB"/>
        </w:rPr>
        <w:t>thermal</w:t>
      </w:r>
      <w:r w:rsidR="00EE4BB1">
        <w:rPr>
          <w:rFonts w:ascii="Times New Roman" w:eastAsia="Times New Roman" w:hAnsi="Times New Roman"/>
          <w:lang w:val="en-US" w:eastAsia="en-GB"/>
        </w:rPr>
        <w:t xml:space="preserve"> and mechanical</w:t>
      </w:r>
      <w:r>
        <w:rPr>
          <w:rFonts w:ascii="Times New Roman" w:eastAsia="Times New Roman" w:hAnsi="Times New Roman"/>
          <w:lang w:val="en-US" w:eastAsia="en-GB"/>
        </w:rPr>
        <w:t xml:space="preserve"> </w:t>
      </w:r>
      <w:r>
        <w:rPr>
          <w:rFonts w:ascii="Times New Roman" w:eastAsia="Times New Roman" w:hAnsi="Times New Roman"/>
          <w:lang w:val="en-US" w:eastAsia="en-GB"/>
        </w:rPr>
        <w:fldChar w:fldCharType="begin" w:fldLock="1"/>
      </w:r>
      <w:r>
        <w:rPr>
          <w:rFonts w:ascii="Times New Roman" w:eastAsia="Times New Roman" w:hAnsi="Times New Roman"/>
          <w:lang w:val="en-US" w:eastAsia="en-GB"/>
        </w:rPr>
        <w:instrText>ADDIN CSL_CITATION { "citationItems" : [ { "id" : "ITEM-1", "itemData" : { "DOI" : "10.1016/j.enpol.2008.09.040", "ISBN" : "0301-4215", "ISSN" : "03014215", "abstract" : "Energy storage technologies may be electrical or thermal. Electrical energy stores have an electrical input and output to connect them to the system of which they form part, while thermal stores have a thermal input and output. The principal electrical energy storage technologies described are electrochemical systems (batteries and flow cells), kinetic energy storage (flywheels) and potential energy storage, in the form of pumped hydro and compressed air. Complementary thermal storage technologies include those based on the sensible and latent heat capacity of materials, which include bulk and smaller-capacity hot and cold water storage systems, ice storage, phase change materials and specific bespoke thermal storage media. For the majority of the storage technologies considered here, the potential for fundamental step changes in performance is limited. For electrochemical systems, basic chemistry suggests that lithium-based technologies represent the pinnacle of cell development. This means that the greatest potential for technological advances probably lies in the incremental development of existing technologies, facilitated by advances in materials science, engineering, processing and fabrication. These considerations are applicable to both electrical and thermal storage. Such incremental developments in the core storage technologies are likely to be complemented and supported by advances in systems integration and engineering. Future energy storage technologies may be expected to offer improved energy and power densities, although, in practice, gains in reliability, longevity, cycle life expectancy and cost may be more significant than increases in energy/powerdensity per se. ?? 2008 Queen's Printer and Controller of HMSO.", "author" : [ { "dropping-particle" : "", "family" : "Baker", "given" : "John", "non-dropping-particle" : "", "parse-names" : false, "suffix" : "" } ], "container-title" : "Energy Policy", "id" : "ITEM-1", "issue" : "12", "issued" : { "date-parts" : [ [ "2008" ] ] }, "page" : "4368-4373", "title" : "New technology and possible advances in energy storage", "type" : "article-journal", "volume" : "36" }, "uris" : [ "http://www.mendeley.com/documents/?uuid=2d7ce81a-e110-45d8-9251-bb0dc0ad571f" ] }, { "id" : "ITEM-2", "itemData" : { "DOI" : "10.1016/j.rser.2007.01.023", "ISBN" : "1364-0321", "ISSN" : "13640321", "abstract" : "Electricity generated from renewable sources, which has shown remarkable growth worldwide, can rarely provide immediate response to demand as these sources do not deliver a regular supply easily adjustable to consumption needs. Thus, the growth of this decentralized production means greater network load stability problems and requires energy storage, generally using lead batteries, as a potential solution. However, lead batteries cannot withstand high cycling rates, nor can they store large amounts of energy in a small volume. That is why other types of storage technologies are being developed and implemented. This has led to the emergence of storage as a crucial element in the management of energy from renewable sources, allowing energy to be released into the grid during peak hours when it is more valuable. The work described in this paper highlights the need to store energy in order to strengthen power networks and maintain load levels. There are various types of storage methods, some of which are already in use, while others are still in development. We have taken a look at the main characteristics of the different electricity storage techniques and their field of application (permanent or portable, long- or short-term storage, maximum power required, etc.). These characteristics will serve to make comparisons in order to determine the most appropriate technique for each type of application. ?? 2007 Elsevier Ltd. All rights reserved.", "author" : [ { "dropping-particle" : "", "family" : "Ibrahim", "given" : "H.", "non-dropping-particle" : "", "parse-names" : false, "suffix" : "" }, { "dropping-particle" : "", "family" : "Ilinca", "given" : "A.", "non-dropping-particle" : "", "parse-names" : false, "suffix" : "" }, { "dropping-particle" : "", "family" : "Perron", "given" : "J.", "non-dropping-particle" : "", "parse-names" : false, "suffix" : "" } ], "container-title" : "Renewable and Sustainable Energy Reviews", "id" : "ITEM-2", "issue" : "5", "issued" : { "date-parts" : [ [ "2008" ] ] }, "page" : "1221-1250", "title" : "Energy storage systems-Characteristics and comparisons", "type" : "article", "volume" : "12" }, "uris" : [ "http://www.mendeley.com/documents/?uuid=1ad0b762-0a36-402c-9632-adfc22f5a3b1" ] }, { "id" : "ITEM-3", "itemData" : { "abstract" : "This report describes the results of a study on stationary energy storage technologies for a range of applications that were categorized according to storage duration (discharge time): long or short. The study was funded by the U.S. Department of Energy through the Energy Storage Systems Program. A wide variety of storage technologies were analyzed according to performance capabilities, cost projects, and readiness to serve these many applications, and the advantages and disadvantages of each are presented.", "author" : [ { "dropping-particle" : "", "family" : "Schoenung", "given" : "Susan M", "non-dropping-particle" : "", "parse-names" : false, "suffix" : "" }, { "dropping-particle" : "", "family" : "Hassenzahl", "given" : "William", "non-dropping-particle" : "", "parse-names" : false, "suffix" : "" } ], "container-title" : "Sandia National Laboratories U.S. Dept. of Energy", "id" : "ITEM-3", "issue" : "March", "issued" : { "date-parts" : [ [ "2001" ] ] }, "page" : "46 pp.", "title" : "Characteristics and Technologies for Long-vs. Short-Term Energy Storage A Study by the DOE Energy Storage Systems Program SAND2001-0765", "type" : "article-journal" }, "uris" : [ "http://www.mendeley.com/documents/?uuid=7046f406-61f3-4a6f-98be-21d30b54c8ca" ] }, { "id" : "ITEM-4", "itemData" : { "DOI" : "10.2172/947483", "abstract" : "The entire project addresses the issue of mitigating additional intermittency and fast ramps that occur at higher penetration of intermittent resources, including wind genera- tion, in the Bonneville Power Administration (BPA) and the California Independent Sys- tem Operator (California ISO) control areas. The proposed Wide Area Energy Storage and Management System (WAEMS) will address the additional regulation requirement through the energy exchange between the participating control areas and through the use of energy storage and other generation resources. For the BPA and California ISO control centers, the new regulation service will look no different comparing with the traditional regulation resources. The proposed project will benefit the regulation service in these service areas, regardless of the actual degree of penetration of the intermittent resources in the regions. The project develops principles, algorithms, market integration rules, functional de- sign and technical specifications for the WAEMS system. The project is sponsored by BPA and supported in kind by California ISO, Beacon Power Corporation, and the Cali- fornia Energy Commission (CEC). This report provides a summary of results obtained in the first phase of the project. These tasks addressed in Phase 1 are as follow: \u2022 Evaluate and compare energy storage options. Review the world experience. Iden- tify top three technologies that can meet the needs of this project. \u2022 Design and evaluate configurations and integration schemes of the energy storage, generation resources, their combinations, and other options. Identify the most promising configurations and their benefits. \u2022 Analyze technical and market compatibility of the proposed integration schemes with the existing regulation and load following systems at BPA and California ISO. \u2022 Collect data needed for experiments at BPA and California ISO. \u2022 Develop algorithms for the energy storage and generation control. Implement them as MATLABTM codes. \u2022 Conduct experiments using the MATLABTM model and collected data.", "author" : [ { "dropping-particle" : "", "family" : "Makarov", "given" : "Y.V.", "non-dropping-particle" : "", "parse-names" : false, "suffix" : "" }, { "dropping-particle" : "", "family" : "Yang", "given" : "B", "non-dropping-particle" : "", "parse-names" : false, "suffix" : "" }, { "dropping-particle" : "", "family" : "DeSteese", "given" : "J. G", "non-dropping-particle" : "", "parse-names" : false, "suffix" : "" }, { "dropping-particle" : "", "family" : "Lu", "given" : "S", "non-dropping-particle" : "", "parse-names" : false, "suffix" : "" }, { "dropping-particle" : "", "family" : "Miller", "given" : "C. H", "non-dropping-particle" : "", "parse-names" : false, "suffix" : "" }, { "dropping-particle" : "", "family" : "Nyeng", "given" : "P", "non-dropping-particle" : "", "parse-names" : false, "suffix" : "" }, { "dropping-particle" : "", "family" : "Ma", "given" : "J", "non-dropping-particle" : "", "parse-names" : false, "suffix" : "" }, { "dropping-particle" : "", "family" : "Hammerstrom", "given" : "D. J", "non-dropping-particle" : "", "parse-names" : false, "suffix" : "" }, { "dropping-particle" : "", "family" : "Viswanathan", "given" : "V.V.", "non-dropping-particle" : "", "parse-names" : false, "suffix" : "" } ], "container-title" : "Bonneville Power Administration", "id" : "ITEM-4", "issued" : { "date-parts" : [ [ "2008" ] ] }, "page" : "127", "title" : "Wide-area energy storage and management system to balance intermittent resources in the Bonneville power administration and California ISO control areas", "type" : "article-journal" }, "uris" : [ "http://www.mendeley.com/documents/?uuid=d71973b2-d4eb-4df8-bac0-7af25d0b21fb" ] } ], "mendeley" : { "formattedCitation" : "(Baker, 2008; Ibrahim, Ilinca, &amp; Perron, 2008; Makarov et al., 2008; Schoenung &amp; Hassenzahl, 2001)", "plainTextFormattedCitation" : "(Baker, 2008; Ibrahim, Ilinca, &amp; Perron, 2008; Makarov et al., 2008; Schoenung &amp; Hassenzahl, 2001)", "previouslyFormattedCitation" : "(Baker, 2008; Ibrahim, Ilinca, &amp; Perron, 2008; Makarov et al., 2008; Schoenung &amp; Hassenzahl, 2001)" }, "properties" : { "noteIndex" : 0 }, "schema" : "https://github.com/citation-style-language/schema/raw/master/csl-citation.json" }</w:instrText>
      </w:r>
      <w:r>
        <w:rPr>
          <w:rFonts w:ascii="Times New Roman" w:eastAsia="Times New Roman" w:hAnsi="Times New Roman"/>
          <w:lang w:val="en-US" w:eastAsia="en-GB"/>
        </w:rPr>
        <w:fldChar w:fldCharType="separate"/>
      </w:r>
      <w:r w:rsidRPr="00C95871">
        <w:rPr>
          <w:rFonts w:ascii="Times New Roman" w:eastAsia="Times New Roman" w:hAnsi="Times New Roman"/>
          <w:noProof/>
          <w:lang w:val="en-US" w:eastAsia="en-GB"/>
        </w:rPr>
        <w:t>(Baker, 2008; Ibrahim, Ilinca, &amp; Perron, 2008; Makarov et al., 2008; Schoenung &amp; Hassenzahl, 2001)</w:t>
      </w:r>
      <w:r>
        <w:rPr>
          <w:rFonts w:ascii="Times New Roman" w:eastAsia="Times New Roman" w:hAnsi="Times New Roman"/>
          <w:lang w:val="en-US" w:eastAsia="en-GB"/>
        </w:rPr>
        <w:fldChar w:fldCharType="end"/>
      </w:r>
      <w:r>
        <w:rPr>
          <w:rFonts w:ascii="Times New Roman" w:eastAsia="Times New Roman" w:hAnsi="Times New Roman"/>
          <w:lang w:val="en-US" w:eastAsia="en-GB"/>
        </w:rPr>
        <w:t xml:space="preserve">. Electrical Energy Storage (EES) </w:t>
      </w:r>
      <w:r w:rsidRPr="00C95871">
        <w:rPr>
          <w:rFonts w:ascii="Times New Roman" w:eastAsia="Times New Roman" w:hAnsi="Times New Roman"/>
          <w:lang w:val="en-US" w:eastAsia="en-GB"/>
        </w:rPr>
        <w:t>technologies</w:t>
      </w:r>
      <w:r w:rsidR="00EE4BB1">
        <w:rPr>
          <w:rFonts w:ascii="Times New Roman" w:eastAsia="Times New Roman" w:hAnsi="Times New Roman"/>
          <w:lang w:val="en-US" w:eastAsia="en-GB"/>
        </w:rPr>
        <w:t xml:space="preserve"> include</w:t>
      </w:r>
      <w:r w:rsidR="00A50553">
        <w:rPr>
          <w:rFonts w:ascii="Times New Roman" w:eastAsia="Times New Roman" w:hAnsi="Times New Roman"/>
          <w:lang w:val="en-US" w:eastAsia="en-GB"/>
        </w:rPr>
        <w:t>:</w:t>
      </w:r>
    </w:p>
    <w:p w14:paraId="71B25799" w14:textId="427B48AA" w:rsidR="00D00034" w:rsidRDefault="00D00034" w:rsidP="00D00034">
      <w:pPr>
        <w:pStyle w:val="ListParagraph"/>
        <w:numPr>
          <w:ilvl w:val="0"/>
          <w:numId w:val="15"/>
        </w:numPr>
        <w:autoSpaceDE w:val="0"/>
        <w:adjustRightInd w:val="0"/>
        <w:spacing w:line="360" w:lineRule="auto"/>
        <w:jc w:val="both"/>
        <w:rPr>
          <w:sz w:val="22"/>
          <w:szCs w:val="22"/>
          <w:lang w:val="en-US"/>
        </w:rPr>
      </w:pPr>
      <w:r w:rsidRPr="00F846C4">
        <w:rPr>
          <w:sz w:val="22"/>
          <w:szCs w:val="22"/>
          <w:lang w:val="en-US"/>
        </w:rPr>
        <w:t>Supercapacitor</w:t>
      </w:r>
      <w:r>
        <w:rPr>
          <w:sz w:val="22"/>
          <w:szCs w:val="22"/>
          <w:lang w:val="en-US"/>
        </w:rPr>
        <w:t>s (electrochemical capacitors):</w:t>
      </w:r>
      <w:r w:rsidRPr="0012648B">
        <w:rPr>
          <w:rFonts w:ascii="Arial" w:hAnsi="Arial" w:cs="Arial"/>
          <w:color w:val="5C6B84"/>
          <w:sz w:val="23"/>
          <w:szCs w:val="23"/>
          <w:shd w:val="clear" w:color="auto" w:fill="FFFFFF"/>
        </w:rPr>
        <w:t xml:space="preserve"> </w:t>
      </w:r>
      <w:r w:rsidRPr="0012648B">
        <w:rPr>
          <w:sz w:val="22"/>
          <w:szCs w:val="22"/>
          <w:lang w:val="en-US"/>
        </w:rPr>
        <w:t>Ele</w:t>
      </w:r>
      <w:r>
        <w:rPr>
          <w:sz w:val="22"/>
          <w:szCs w:val="22"/>
          <w:lang w:val="en-US"/>
        </w:rPr>
        <w:t xml:space="preserve">ctrochemical capacitors </w:t>
      </w:r>
      <w:r w:rsidRPr="0012648B">
        <w:rPr>
          <w:sz w:val="22"/>
          <w:szCs w:val="22"/>
          <w:lang w:val="en-US"/>
        </w:rPr>
        <w:t>sometimes referred to as “ele</w:t>
      </w:r>
      <w:r>
        <w:rPr>
          <w:sz w:val="22"/>
          <w:szCs w:val="22"/>
          <w:lang w:val="en-US"/>
        </w:rPr>
        <w:t>ctric double-layer” capacitors and</w:t>
      </w:r>
      <w:r w:rsidRPr="0012648B">
        <w:rPr>
          <w:sz w:val="22"/>
          <w:szCs w:val="22"/>
          <w:lang w:val="en-US"/>
        </w:rPr>
        <w:t xml:space="preserve"> appear under trade names like “Supercapacitor” or “Ultracapacitor.” The phrase “double-layer” refers to their physically storing electrical charge at a surface-electrolyte interface of high-surface-area carbon electrodes.</w:t>
      </w:r>
    </w:p>
    <w:p w14:paraId="638C435F" w14:textId="77777777" w:rsidR="00917C88" w:rsidRDefault="00917C88" w:rsidP="003B24EF">
      <w:pPr>
        <w:pStyle w:val="ListParagraph"/>
        <w:numPr>
          <w:ilvl w:val="0"/>
          <w:numId w:val="12"/>
        </w:numPr>
        <w:suppressAutoHyphens w:val="0"/>
        <w:autoSpaceDE w:val="0"/>
        <w:adjustRightInd w:val="0"/>
        <w:spacing w:line="360" w:lineRule="auto"/>
        <w:jc w:val="both"/>
        <w:textAlignment w:val="auto"/>
        <w:rPr>
          <w:sz w:val="22"/>
          <w:szCs w:val="22"/>
          <w:lang w:val="en-US"/>
        </w:rPr>
      </w:pPr>
      <w:r w:rsidRPr="00822C70">
        <w:rPr>
          <w:sz w:val="22"/>
          <w:szCs w:val="22"/>
          <w:lang w:val="en-US"/>
        </w:rPr>
        <w:t>Electrochemical systems, such as embracing batteries and flow cells;</w:t>
      </w:r>
    </w:p>
    <w:p w14:paraId="516020A9" w14:textId="77777777" w:rsidR="00D00034" w:rsidRPr="00F846C4" w:rsidRDefault="00D00034" w:rsidP="00D00034">
      <w:pPr>
        <w:pStyle w:val="ListParagraph"/>
        <w:numPr>
          <w:ilvl w:val="0"/>
          <w:numId w:val="12"/>
        </w:numPr>
        <w:autoSpaceDE w:val="0"/>
        <w:adjustRightInd w:val="0"/>
        <w:spacing w:line="360" w:lineRule="auto"/>
        <w:jc w:val="both"/>
        <w:rPr>
          <w:sz w:val="22"/>
          <w:szCs w:val="22"/>
          <w:lang w:val="en-US"/>
        </w:rPr>
      </w:pPr>
      <w:r>
        <w:rPr>
          <w:sz w:val="22"/>
          <w:szCs w:val="22"/>
          <w:lang w:val="en-US"/>
        </w:rPr>
        <w:t xml:space="preserve">Pumped hydro: </w:t>
      </w:r>
      <w:r w:rsidRPr="0012648B">
        <w:rPr>
          <w:sz w:val="22"/>
          <w:szCs w:val="22"/>
          <w:lang w:val="en-US"/>
        </w:rPr>
        <w:t>creating large-scale reservoirs of energy with water</w:t>
      </w:r>
      <w:r>
        <w:rPr>
          <w:sz w:val="22"/>
          <w:szCs w:val="22"/>
          <w:lang w:val="en-US"/>
        </w:rPr>
        <w:t>.</w:t>
      </w:r>
    </w:p>
    <w:p w14:paraId="6FD1DB3E" w14:textId="77777777" w:rsidR="00D00034" w:rsidRPr="00F846C4" w:rsidRDefault="00D00034" w:rsidP="00D00034">
      <w:pPr>
        <w:pStyle w:val="ListParagraph"/>
        <w:numPr>
          <w:ilvl w:val="0"/>
          <w:numId w:val="12"/>
        </w:numPr>
        <w:autoSpaceDE w:val="0"/>
        <w:adjustRightInd w:val="0"/>
        <w:spacing w:line="360" w:lineRule="auto"/>
        <w:jc w:val="both"/>
        <w:rPr>
          <w:sz w:val="22"/>
          <w:szCs w:val="22"/>
          <w:lang w:val="en-US"/>
        </w:rPr>
      </w:pPr>
      <w:r w:rsidRPr="00F846C4">
        <w:rPr>
          <w:sz w:val="22"/>
          <w:szCs w:val="22"/>
          <w:lang w:val="en-US"/>
        </w:rPr>
        <w:t>Compress</w:t>
      </w:r>
      <w:r>
        <w:rPr>
          <w:sz w:val="22"/>
          <w:szCs w:val="22"/>
          <w:lang w:val="en-US"/>
        </w:rPr>
        <w:t xml:space="preserve">ed air energy storage (CAES): </w:t>
      </w:r>
      <w:r w:rsidRPr="0012648B">
        <w:rPr>
          <w:sz w:val="22"/>
          <w:szCs w:val="22"/>
          <w:lang w:val="en-US"/>
        </w:rPr>
        <w:t>utilizing compressed air to create a potent energy reserve</w:t>
      </w:r>
      <w:r>
        <w:rPr>
          <w:sz w:val="22"/>
          <w:szCs w:val="22"/>
          <w:lang w:val="en-US"/>
        </w:rPr>
        <w:t>.</w:t>
      </w:r>
    </w:p>
    <w:p w14:paraId="60D4D048" w14:textId="77777777" w:rsidR="00D00034" w:rsidRDefault="00D00034" w:rsidP="00D00034">
      <w:pPr>
        <w:pStyle w:val="ListParagraph"/>
        <w:numPr>
          <w:ilvl w:val="0"/>
          <w:numId w:val="12"/>
        </w:numPr>
        <w:autoSpaceDE w:val="0"/>
        <w:adjustRightInd w:val="0"/>
        <w:spacing w:line="360" w:lineRule="auto"/>
        <w:jc w:val="both"/>
        <w:rPr>
          <w:sz w:val="22"/>
          <w:szCs w:val="22"/>
          <w:lang w:val="en-US"/>
        </w:rPr>
      </w:pPr>
      <w:r>
        <w:rPr>
          <w:sz w:val="22"/>
          <w:szCs w:val="22"/>
          <w:lang w:val="en-US"/>
        </w:rPr>
        <w:t xml:space="preserve">Flywheels: </w:t>
      </w:r>
      <w:r w:rsidRPr="0012648B">
        <w:rPr>
          <w:sz w:val="22"/>
          <w:szCs w:val="22"/>
          <w:lang w:val="en-US"/>
        </w:rPr>
        <w:t>mechanical devices that harness rotational energy to deliver instantaneous electricity</w:t>
      </w:r>
      <w:r>
        <w:rPr>
          <w:sz w:val="22"/>
          <w:szCs w:val="22"/>
          <w:lang w:val="en-US"/>
        </w:rPr>
        <w:t>.</w:t>
      </w:r>
    </w:p>
    <w:p w14:paraId="2C71CB28" w14:textId="77777777" w:rsidR="009B1FB2" w:rsidRPr="009C792C" w:rsidRDefault="009B1FB2" w:rsidP="009B1FB2">
      <w:pPr>
        <w:pStyle w:val="ListParagraph"/>
        <w:autoSpaceDE w:val="0"/>
        <w:adjustRightInd w:val="0"/>
        <w:spacing w:line="360" w:lineRule="auto"/>
        <w:ind w:left="780"/>
        <w:jc w:val="both"/>
        <w:rPr>
          <w:sz w:val="22"/>
          <w:szCs w:val="22"/>
          <w:lang w:val="en-US"/>
        </w:rPr>
      </w:pPr>
    </w:p>
    <w:p w14:paraId="14252B27" w14:textId="372D02DE" w:rsidR="00917C88" w:rsidRPr="00A9126D" w:rsidRDefault="00F25A65" w:rsidP="00917C88">
      <w:pPr>
        <w:suppressAutoHyphens w:val="0"/>
        <w:autoSpaceDE w:val="0"/>
        <w:adjustRightInd w:val="0"/>
        <w:spacing w:line="360" w:lineRule="auto"/>
        <w:jc w:val="both"/>
        <w:textAlignment w:val="auto"/>
        <w:rPr>
          <w:rFonts w:ascii="Times New Roman" w:eastAsia="Times New Roman" w:hAnsi="Times New Roman"/>
          <w:lang w:val="en-US" w:eastAsia="en-GB"/>
        </w:rPr>
      </w:pPr>
      <w:r>
        <w:rPr>
          <w:rFonts w:ascii="Times New Roman" w:eastAsia="Times New Roman" w:hAnsi="Times New Roman"/>
          <w:lang w:val="en-US" w:eastAsia="en-GB"/>
        </w:rPr>
        <w:t xml:space="preserve">EES </w:t>
      </w:r>
      <w:r w:rsidR="00917C88">
        <w:rPr>
          <w:rFonts w:ascii="Times New Roman" w:eastAsia="Times New Roman" w:hAnsi="Times New Roman"/>
          <w:lang w:val="en-US" w:eastAsia="en-GB"/>
        </w:rPr>
        <w:t xml:space="preserve">can </w:t>
      </w:r>
      <w:r>
        <w:rPr>
          <w:rFonts w:ascii="Times New Roman" w:eastAsia="Times New Roman" w:hAnsi="Times New Roman"/>
          <w:lang w:val="en-US" w:eastAsia="en-GB"/>
        </w:rPr>
        <w:t xml:space="preserve">increase </w:t>
      </w:r>
      <w:r w:rsidR="00917C88">
        <w:rPr>
          <w:rFonts w:ascii="Times New Roman" w:eastAsia="Times New Roman" w:hAnsi="Times New Roman"/>
          <w:lang w:val="en-US" w:eastAsia="en-GB"/>
        </w:rPr>
        <w:t>overall</w:t>
      </w:r>
      <w:r>
        <w:rPr>
          <w:rFonts w:ascii="Times New Roman" w:eastAsia="Times New Roman" w:hAnsi="Times New Roman"/>
          <w:lang w:val="en-US" w:eastAsia="en-GB"/>
        </w:rPr>
        <w:t xml:space="preserve"> system</w:t>
      </w:r>
      <w:r w:rsidR="00917C88">
        <w:rPr>
          <w:rFonts w:ascii="Times New Roman" w:eastAsia="Times New Roman" w:hAnsi="Times New Roman"/>
          <w:lang w:val="en-US" w:eastAsia="en-GB"/>
        </w:rPr>
        <w:t xml:space="preserve"> efficiency, improve system performance and reliability, reduce the cost for better economics, minimize environment</w:t>
      </w:r>
      <w:r>
        <w:rPr>
          <w:rFonts w:ascii="Times New Roman" w:eastAsia="Times New Roman" w:hAnsi="Times New Roman"/>
          <w:lang w:val="en-US" w:eastAsia="en-GB"/>
        </w:rPr>
        <w:t>al</w:t>
      </w:r>
      <w:r w:rsidR="00917C88">
        <w:rPr>
          <w:rFonts w:ascii="Times New Roman" w:eastAsia="Times New Roman" w:hAnsi="Times New Roman"/>
          <w:lang w:val="en-US" w:eastAsia="en-GB"/>
        </w:rPr>
        <w:t xml:space="preserve"> pollution and reduce CO</w:t>
      </w:r>
      <w:r w:rsidR="00917C88">
        <w:rPr>
          <w:rFonts w:ascii="Times New Roman" w:eastAsia="Times New Roman" w:hAnsi="Times New Roman"/>
          <w:vertAlign w:val="subscript"/>
          <w:lang w:val="en-US" w:eastAsia="en-GB"/>
        </w:rPr>
        <w:t>2</w:t>
      </w:r>
      <w:r w:rsidR="00917C88">
        <w:rPr>
          <w:rFonts w:ascii="Times New Roman" w:eastAsia="Times New Roman" w:hAnsi="Times New Roman"/>
          <w:lang w:val="en-US" w:eastAsia="en-GB"/>
        </w:rPr>
        <w:t xml:space="preserve"> emissions</w:t>
      </w:r>
      <w:r>
        <w:rPr>
          <w:rFonts w:ascii="Times New Roman" w:eastAsia="Times New Roman" w:hAnsi="Times New Roman"/>
          <w:lang w:val="en-US" w:eastAsia="en-GB"/>
        </w:rPr>
        <w:t xml:space="preserve"> (Balecom et al, 2015)</w:t>
      </w:r>
      <w:r w:rsidR="00917C88">
        <w:rPr>
          <w:rFonts w:ascii="Times New Roman" w:eastAsia="Times New Roman" w:hAnsi="Times New Roman"/>
          <w:lang w:val="en-US" w:eastAsia="en-GB"/>
        </w:rPr>
        <w:t xml:space="preserve">. </w:t>
      </w:r>
      <w:r>
        <w:rPr>
          <w:rFonts w:ascii="Times New Roman" w:eastAsia="Times New Roman" w:hAnsi="Times New Roman"/>
          <w:lang w:val="en-US" w:eastAsia="en-GB"/>
        </w:rPr>
        <w:t>AV can also</w:t>
      </w:r>
      <w:r w:rsidR="00C148D7">
        <w:rPr>
          <w:rFonts w:ascii="Times New Roman" w:eastAsia="Times New Roman" w:hAnsi="Times New Roman"/>
          <w:lang w:val="en-US" w:eastAsia="en-GB"/>
        </w:rPr>
        <w:t>,</w:t>
      </w:r>
      <w:r>
        <w:rPr>
          <w:rFonts w:ascii="Times New Roman" w:eastAsia="Times New Roman" w:hAnsi="Times New Roman"/>
          <w:lang w:val="en-US" w:eastAsia="en-GB"/>
        </w:rPr>
        <w:t xml:space="preserve"> via </w:t>
      </w:r>
      <w:r w:rsidR="00C148D7">
        <w:rPr>
          <w:rFonts w:ascii="Times New Roman" w:eastAsia="Times New Roman" w:hAnsi="Times New Roman"/>
          <w:lang w:val="en-US" w:eastAsia="en-GB"/>
        </w:rPr>
        <w:t>resistance heating,</w:t>
      </w:r>
      <w:r>
        <w:rPr>
          <w:rFonts w:ascii="Times New Roman" w:eastAsia="Times New Roman" w:hAnsi="Times New Roman"/>
          <w:lang w:val="en-US" w:eastAsia="en-GB"/>
        </w:rPr>
        <w:t xml:space="preserve"> supply a Thermal Energy Storage </w:t>
      </w:r>
      <w:r w:rsidR="00917C88">
        <w:rPr>
          <w:rFonts w:ascii="Times New Roman" w:eastAsia="Times New Roman" w:hAnsi="Times New Roman"/>
          <w:lang w:val="en-US" w:eastAsia="en-GB"/>
        </w:rPr>
        <w:t xml:space="preserve">TES system </w:t>
      </w:r>
      <w:r>
        <w:rPr>
          <w:rFonts w:ascii="Times New Roman" w:eastAsia="Times New Roman" w:hAnsi="Times New Roman"/>
          <w:lang w:val="en-US" w:eastAsia="en-GB"/>
        </w:rPr>
        <w:t xml:space="preserve">which </w:t>
      </w:r>
      <w:r w:rsidR="00917C88">
        <w:rPr>
          <w:rFonts w:ascii="Times New Roman" w:eastAsia="Times New Roman" w:hAnsi="Times New Roman"/>
          <w:lang w:val="en-US" w:eastAsia="en-GB"/>
        </w:rPr>
        <w:t>has similar steps in many applications. First the energy is supplied to the TES systems (charging), and then it will be stored (storage)</w:t>
      </w:r>
      <w:r w:rsidR="00917C88" w:rsidRPr="00D45AE0">
        <w:rPr>
          <w:rFonts w:ascii="Times New Roman" w:eastAsia="Times New Roman" w:hAnsi="Times New Roman"/>
          <w:lang w:val="en-US" w:eastAsia="en-GB"/>
        </w:rPr>
        <w:t xml:space="preserve"> and finally it will be removed from the TES for a later use (discharging)</w:t>
      </w:r>
      <w:r w:rsidR="00917C88">
        <w:rPr>
          <w:rFonts w:ascii="Times New Roman" w:eastAsia="Times New Roman" w:hAnsi="Times New Roman"/>
          <w:lang w:val="en-US" w:eastAsia="en-GB"/>
        </w:rPr>
        <w:t xml:space="preserve"> </w:t>
      </w:r>
      <w:r w:rsidR="00917C88">
        <w:rPr>
          <w:rFonts w:ascii="Times New Roman" w:eastAsia="Times New Roman" w:hAnsi="Times New Roman"/>
          <w:lang w:val="en-US" w:eastAsia="en-GB"/>
        </w:rPr>
        <w:fldChar w:fldCharType="begin" w:fldLock="1"/>
      </w:r>
      <w:r w:rsidR="00917C88">
        <w:rPr>
          <w:rFonts w:ascii="Times New Roman" w:eastAsia="Times New Roman" w:hAnsi="Times New Roman"/>
          <w:lang w:val="en-US" w:eastAsia="en-GB"/>
        </w:rPr>
        <w:instrText>ADDIN CSL_CITATION { "citationItems" : [ { "id" : "ITEM-1", "itemData" : { "DOI" : "10.1007/978-3-540-68557-9", "ISBN" : "354068557X", "ISSN" : "1860-4846", "PMID" : "15302894", "abstract" : "The years 2006 and 2007 mark a dramatic change of peoples view regarding c- mate change and energy consumption. The new IPCC report makes clear that - mankind plays a dominant role on climate change due to CO emissions from en- 2 ergy consumption, and that a significant reduction in CO emissions is necessary 2 within decades. At the same time, the supply of fossil energy sources like coal, oil, and natural gas becomes less reliable. In spring 2008, the oil price rose beyond 100 $/barrel for the first time in history. It is commonly accepted today that we have to reduce the use of fossil fuels to cut down the dependency on the supply countries and to reduce CO emissions. The use of renewable energy sources and 2 increased energy efficiency are the main strategies to achieve this goal. In both strategies, heat and cold storage will play an important role. People use energy in different forms, as heat, as mechanical energy, and as light. With the discovery of fire, humankind was the first time able to supply heat and light when needed. About 2000 years ago, the Romans started to use ceramic tiles to store heat in under floor heating systems. Even when the fire was out, the room stayed warm. Since ancient times, people also know how to cool food with ice as cold storage.", "author" : [ { "dropping-particle" : "", "family" : "Mehling", "given" : "Harald", "non-dropping-particle" : "", "parse-names" : false, "suffix" : "" }, { "dropping-particle" : "", "family" : "Cabeza", "given" : "Luisa F.", "non-dropping-particle" : "", "parse-names" : false, "suffix" : "" } ], "container-title" : "Heat and cold storage with PCM: an up to date introduction into basics nd applications", "id" : "ITEM-1", "issued" : { "date-parts" : [ [ "2008" ] ] }, "number-of-pages" : "11-55", "title" : "Heat and cold storage with PCM: an up to date introduction into basics and applications", "type" : "book" }, "uris" : [ "http://www.mendeley.com/documents/?uuid=d3373484-18e6-4715-9c5b-6d9687d8f6a5" ] }, { "id" : "ITEM-2", "itemData" : { "DOI" : "10.1016/B978-0-08-087872-0.00307-3", "ISBN" : "9780080878737", "ISSN" : "0142-5919", "abstract" : "Thermal energy storage (TES) allows the storage of heat and cold to be used later. TES is also known as heat or cold storage. TES can aid in the efficient use and provision of thermal energy whenever there is a mismatch between energy generation and use. This mismatch can be in terms of time, temperature, power, or site. Different methods for TES are defined and discussed - sensible (air, water, and underground thermal energy storage), latent (with phase change materials), and thermochemical (chemical reactions and sorption systems) energy storage. At the end of the chapter, seven case studies are discussed in detail. \u00a9 2012 Elsevier Ltd All rights reserved.", "author" : [ { "dropping-particle" : "", "family" : "Cabeza", "given" : "L.F.", "non-dropping-particle" : "", "parse-names" : false, "suffix" : "" } ], "container-title" : "Comprehensive Renewable Energy", "id" : "ITEM-2", "issued" : { "date-parts" : [ [ "2012" ] ] }, "page" : "211-253", "title" : "Thermal Energy Storage", "type" : "chapter" }, "uris" : [ "http://www.mendeley.com/documents/?uuid=33e365e4-49d1-4308-98c0-2223db2814b1" ] }, { "id" : "ITEM-3", "itemData" : { "DOI" : "10.1002/9780470970751.ch3", "ISBN" : "9780470970751", "abstract" : "This chapter contains sections titled:\\n* Introduction * Thermal Energy * Thermal Energy Storage * Solar Energy and TES * TES Methods * Sensible TES * Latent TES * Cold Thermal Energy Storage (CTES) * Seasonal TES * Concluding Remarks * References", "author" : [ { "dropping-particle" : "", "family" : "Din\u00e7er", "given" : "\u0130brahim", "non-dropping-particle" : "", "parse-names" : false, "suffix" : "" }, { "dropping-particle" : "", "family" : "Rosen", "given" : "Marc A", "non-dropping-particle" : "", "parse-names" : false, "suffix" : "" } ], "container-title" : "Thermal Energy Storage", "id" : "ITEM-3", "issued" : { "date-parts" : [ [ "2010" ] ] }, "page" : "83-190", "title" : "Thermal Energy Storage (TES) Methods", "type" : "chapter" }, "uris" : [ "http://www.mendeley.com/documents/?uuid=f7313ea6-9cbc-41f1-8a7c-a4b1abee8020" ] } ], "mendeley" : { "formattedCitation" : "(Cabeza, 2012; Din\u00e7er &amp; Rosen, 2010; Mehling &amp; Cabeza, 2008)", "plainTextFormattedCitation" : "(Cabeza, 2012; Din\u00e7er &amp; Rosen, 2010; Mehling &amp; Cabeza, 2008)", "previouslyFormattedCitation" : "(Cabeza, 2012; Din\u00e7er &amp; Rosen, 2010; Mehling &amp; Cabeza, 2008)" }, "properties" : { "noteIndex" : 0 }, "schema" : "https://github.com/citation-style-language/schema/raw/master/csl-citation.json" }</w:instrText>
      </w:r>
      <w:r w:rsidR="00917C88">
        <w:rPr>
          <w:rFonts w:ascii="Times New Roman" w:eastAsia="Times New Roman" w:hAnsi="Times New Roman"/>
          <w:lang w:val="en-US" w:eastAsia="en-GB"/>
        </w:rPr>
        <w:fldChar w:fldCharType="separate"/>
      </w:r>
      <w:r w:rsidR="00917C88" w:rsidRPr="0080581D">
        <w:rPr>
          <w:rFonts w:ascii="Times New Roman" w:eastAsia="Times New Roman" w:hAnsi="Times New Roman"/>
          <w:noProof/>
          <w:lang w:val="en-US" w:eastAsia="en-GB"/>
        </w:rPr>
        <w:t>(Cabeza, 2012; Dinçer &amp; Rosen, 2010; Mehling &amp; Cabeza, 2008)</w:t>
      </w:r>
      <w:r w:rsidR="00917C88">
        <w:rPr>
          <w:rFonts w:ascii="Times New Roman" w:eastAsia="Times New Roman" w:hAnsi="Times New Roman"/>
          <w:lang w:val="en-US" w:eastAsia="en-GB"/>
        </w:rPr>
        <w:fldChar w:fldCharType="end"/>
      </w:r>
      <w:r w:rsidR="00917C88">
        <w:rPr>
          <w:rFonts w:ascii="Times New Roman" w:eastAsia="Times New Roman" w:hAnsi="Times New Roman"/>
          <w:lang w:val="en-US" w:eastAsia="en-GB"/>
        </w:rPr>
        <w:t xml:space="preserve">. </w:t>
      </w:r>
      <w:r w:rsidR="00917C88" w:rsidRPr="00A50553">
        <w:rPr>
          <w:rFonts w:ascii="Times New Roman" w:eastAsia="Times New Roman" w:hAnsi="Times New Roman"/>
          <w:lang w:val="en-US" w:eastAsia="en-GB"/>
        </w:rPr>
        <w:t>There are three different type</w:t>
      </w:r>
      <w:r w:rsidR="00A50553" w:rsidRPr="00A50553">
        <w:rPr>
          <w:rFonts w:ascii="Times New Roman" w:eastAsia="Times New Roman" w:hAnsi="Times New Roman"/>
          <w:lang w:val="en-US" w:eastAsia="en-GB"/>
        </w:rPr>
        <w:t>s</w:t>
      </w:r>
      <w:r w:rsidR="00917C88" w:rsidRPr="00A9126D">
        <w:rPr>
          <w:rFonts w:ascii="Times New Roman" w:eastAsia="Times New Roman" w:hAnsi="Times New Roman"/>
          <w:lang w:val="en-US" w:eastAsia="en-GB"/>
        </w:rPr>
        <w:t xml:space="preserve"> of thermal energy storage:</w:t>
      </w:r>
    </w:p>
    <w:p w14:paraId="70F541B8" w14:textId="77777777" w:rsidR="00917C88" w:rsidRPr="00822C70" w:rsidRDefault="00917C88" w:rsidP="003B24EF">
      <w:pPr>
        <w:pStyle w:val="ListParagraph"/>
        <w:numPr>
          <w:ilvl w:val="0"/>
          <w:numId w:val="14"/>
        </w:numPr>
        <w:suppressAutoHyphens w:val="0"/>
        <w:autoSpaceDE w:val="0"/>
        <w:adjustRightInd w:val="0"/>
        <w:spacing w:line="360" w:lineRule="auto"/>
        <w:jc w:val="both"/>
        <w:textAlignment w:val="auto"/>
        <w:rPr>
          <w:sz w:val="22"/>
          <w:szCs w:val="22"/>
          <w:lang w:val="en-US"/>
        </w:rPr>
      </w:pPr>
      <w:r w:rsidRPr="00822C70">
        <w:rPr>
          <w:sz w:val="22"/>
          <w:szCs w:val="22"/>
          <w:lang w:val="en-US"/>
        </w:rPr>
        <w:t>Thermochemical energy storage;</w:t>
      </w:r>
    </w:p>
    <w:p w14:paraId="0BE725C9" w14:textId="77777777" w:rsidR="00917C88" w:rsidRPr="00822C70" w:rsidRDefault="00917C88" w:rsidP="003B24EF">
      <w:pPr>
        <w:pStyle w:val="ListParagraph"/>
        <w:numPr>
          <w:ilvl w:val="0"/>
          <w:numId w:val="14"/>
        </w:numPr>
        <w:suppressAutoHyphens w:val="0"/>
        <w:autoSpaceDE w:val="0"/>
        <w:adjustRightInd w:val="0"/>
        <w:spacing w:line="360" w:lineRule="auto"/>
        <w:jc w:val="both"/>
        <w:textAlignment w:val="auto"/>
        <w:rPr>
          <w:sz w:val="22"/>
          <w:szCs w:val="22"/>
          <w:lang w:val="en-US"/>
        </w:rPr>
      </w:pPr>
      <w:r w:rsidRPr="00822C70">
        <w:rPr>
          <w:sz w:val="22"/>
          <w:szCs w:val="22"/>
          <w:lang w:val="en-US"/>
        </w:rPr>
        <w:t>Sensible heat storage;</w:t>
      </w:r>
    </w:p>
    <w:p w14:paraId="3DA13FE6" w14:textId="1146CA16" w:rsidR="00917C88" w:rsidRDefault="00917C88" w:rsidP="003B24EF">
      <w:pPr>
        <w:pStyle w:val="ListParagraph"/>
        <w:numPr>
          <w:ilvl w:val="0"/>
          <w:numId w:val="13"/>
        </w:numPr>
        <w:suppressAutoHyphens w:val="0"/>
        <w:autoSpaceDE w:val="0"/>
        <w:adjustRightInd w:val="0"/>
        <w:spacing w:line="360" w:lineRule="auto"/>
        <w:jc w:val="both"/>
        <w:textAlignment w:val="auto"/>
        <w:rPr>
          <w:sz w:val="22"/>
          <w:szCs w:val="22"/>
          <w:lang w:val="en-US"/>
        </w:rPr>
      </w:pPr>
      <w:r w:rsidRPr="00822C70">
        <w:rPr>
          <w:sz w:val="22"/>
          <w:szCs w:val="22"/>
          <w:lang w:val="en-US"/>
        </w:rPr>
        <w:t>Latent heat storage.</w:t>
      </w:r>
    </w:p>
    <w:p w14:paraId="3DA16CF6" w14:textId="0BCF2A31" w:rsidR="00F25A65" w:rsidRDefault="00F25A65" w:rsidP="00F25A65">
      <w:pPr>
        <w:suppressAutoHyphens w:val="0"/>
        <w:autoSpaceDE w:val="0"/>
        <w:adjustRightInd w:val="0"/>
        <w:spacing w:line="360" w:lineRule="auto"/>
        <w:jc w:val="both"/>
        <w:textAlignment w:val="auto"/>
        <w:rPr>
          <w:rFonts w:ascii="Times New Roman" w:eastAsia="Times New Roman" w:hAnsi="Times New Roman"/>
          <w:noProof/>
          <w:lang w:val="en-US" w:eastAsia="en-GB"/>
        </w:rPr>
      </w:pPr>
      <w:r w:rsidRPr="00F25A65">
        <w:rPr>
          <w:rFonts w:ascii="Times New Roman" w:eastAsia="Times New Roman" w:hAnsi="Times New Roman"/>
          <w:noProof/>
          <w:lang w:val="en-US" w:eastAsia="en-GB"/>
        </w:rPr>
        <w:t xml:space="preserve">The intended </w:t>
      </w:r>
      <w:r>
        <w:rPr>
          <w:rFonts w:ascii="Times New Roman" w:eastAsia="Times New Roman" w:hAnsi="Times New Roman"/>
          <w:noProof/>
          <w:lang w:val="en-US" w:eastAsia="en-GB"/>
        </w:rPr>
        <w:t xml:space="preserve">end-use determines the most appropriate energy storage medium for PV generated electricity as shown in Figure 1.  For both AC and DC electrical end-uses batteries are suitable.  However if the end-use is heat then direct conversion of the electrical output to heat would be an efficient option.  For other water pumps </w:t>
      </w:r>
      <w:r w:rsidR="002170A5">
        <w:rPr>
          <w:rFonts w:ascii="Times New Roman" w:eastAsia="Times New Roman" w:hAnsi="Times New Roman"/>
          <w:noProof/>
          <w:lang w:val="en-US" w:eastAsia="en-GB"/>
        </w:rPr>
        <w:t xml:space="preserve">to continue to </w:t>
      </w:r>
      <w:r w:rsidR="002170A5" w:rsidRPr="00C148D7">
        <w:rPr>
          <w:rFonts w:ascii="Times New Roman" w:eastAsia="Times New Roman" w:hAnsi="Times New Roman"/>
          <w:noProof/>
          <w:lang w:val="en-US" w:eastAsia="en-GB"/>
        </w:rPr>
        <w:t>supply w</w:t>
      </w:r>
      <w:r w:rsidR="00C148D7">
        <w:rPr>
          <w:rFonts w:ascii="Times New Roman" w:eastAsia="Times New Roman" w:hAnsi="Times New Roman"/>
          <w:noProof/>
          <w:lang w:val="en-US" w:eastAsia="en-GB"/>
        </w:rPr>
        <w:t>ell</w:t>
      </w:r>
      <w:r w:rsidR="002170A5">
        <w:rPr>
          <w:rFonts w:ascii="Times New Roman" w:eastAsia="Times New Roman" w:hAnsi="Times New Roman"/>
          <w:noProof/>
          <w:lang w:val="en-US" w:eastAsia="en-GB"/>
        </w:rPr>
        <w:t xml:space="preserve"> water at night it obviates the need to include unnecessary electrical storage when the pumped water is is stored during the day for nightime use (Oden et al, 2006, Bakelli et al, 2011).  Such water storage is usually placed at a height tha can provide sufficient pressure to achieve an adequate discharge rate. This can potentially be used for small scale hydropower (Manolakos et al, 2004, Ma et al, 2015) </w:t>
      </w:r>
    </w:p>
    <w:p w14:paraId="10BA4549" w14:textId="77777777" w:rsidR="00D925E1" w:rsidRDefault="00D925E1" w:rsidP="00F25A65">
      <w:pPr>
        <w:suppressAutoHyphens w:val="0"/>
        <w:autoSpaceDE w:val="0"/>
        <w:adjustRightInd w:val="0"/>
        <w:spacing w:line="360" w:lineRule="auto"/>
        <w:jc w:val="both"/>
        <w:textAlignment w:val="auto"/>
        <w:rPr>
          <w:rFonts w:ascii="Times New Roman" w:eastAsia="Times New Roman" w:hAnsi="Times New Roman"/>
          <w:noProof/>
          <w:lang w:val="en-US" w:eastAsia="en-GB"/>
        </w:rPr>
      </w:pPr>
    </w:p>
    <w:p w14:paraId="5500AFAD" w14:textId="6D83E4FF" w:rsidR="00D925E1" w:rsidRDefault="00D925E1" w:rsidP="00D925E1">
      <w:pPr>
        <w:suppressAutoHyphens w:val="0"/>
        <w:autoSpaceDE w:val="0"/>
        <w:adjustRightInd w:val="0"/>
        <w:spacing w:line="360" w:lineRule="auto"/>
        <w:jc w:val="center"/>
        <w:textAlignment w:val="auto"/>
        <w:rPr>
          <w:rFonts w:ascii="Times New Roman" w:eastAsia="Times New Roman" w:hAnsi="Times New Roman"/>
          <w:noProof/>
          <w:lang w:val="en-US" w:eastAsia="en-GB"/>
        </w:rPr>
      </w:pPr>
      <w:r>
        <w:rPr>
          <w:noProof/>
          <w:lang w:val="es-PY" w:eastAsia="es-PY"/>
        </w:rPr>
        <w:drawing>
          <wp:inline distT="0" distB="0" distL="0" distR="0" wp14:anchorId="77F4F9E7" wp14:editId="0C240915">
            <wp:extent cx="4139193" cy="279898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6458" cy="2810663"/>
                    </a:xfrm>
                    <a:prstGeom prst="rect">
                      <a:avLst/>
                    </a:prstGeom>
                    <a:noFill/>
                  </pic:spPr>
                </pic:pic>
              </a:graphicData>
            </a:graphic>
          </wp:inline>
        </w:drawing>
      </w:r>
    </w:p>
    <w:p w14:paraId="611715AE" w14:textId="77777777" w:rsidR="00D925E1" w:rsidRPr="00D925E1" w:rsidRDefault="00D925E1" w:rsidP="00D925E1">
      <w:pPr>
        <w:suppressAutoHyphens w:val="0"/>
        <w:autoSpaceDE w:val="0"/>
        <w:adjustRightInd w:val="0"/>
        <w:spacing w:line="360" w:lineRule="auto"/>
        <w:ind w:left="573"/>
        <w:jc w:val="both"/>
        <w:textAlignment w:val="auto"/>
        <w:rPr>
          <w:rFonts w:ascii="Times New Roman" w:eastAsia="Times New Roman" w:hAnsi="Times New Roman"/>
          <w:noProof/>
          <w:lang w:val="en-GB" w:eastAsia="en-GB"/>
        </w:rPr>
      </w:pPr>
      <w:r w:rsidRPr="00D925E1">
        <w:rPr>
          <w:rFonts w:ascii="Times New Roman" w:eastAsia="Times New Roman" w:hAnsi="Times New Roman"/>
          <w:noProof/>
          <w:lang w:val="en-GB" w:eastAsia="en-GB"/>
        </w:rPr>
        <w:t>Figure 1. PV Energy Storage Systems</w:t>
      </w:r>
    </w:p>
    <w:p w14:paraId="63C3709A" w14:textId="03FC5DBD" w:rsidR="00532F8A" w:rsidRDefault="00532F8A" w:rsidP="00D925E1">
      <w:pPr>
        <w:pStyle w:val="ListParagraph"/>
        <w:suppressAutoHyphens w:val="0"/>
        <w:autoSpaceDE w:val="0"/>
        <w:adjustRightInd w:val="0"/>
        <w:spacing w:line="360" w:lineRule="auto"/>
        <w:textAlignment w:val="auto"/>
        <w:rPr>
          <w:lang w:val="en-US"/>
        </w:rPr>
      </w:pPr>
    </w:p>
    <w:p w14:paraId="09CEC5CA" w14:textId="68919A19" w:rsidR="00706BFD" w:rsidRPr="00B256D7" w:rsidRDefault="003F4D6C" w:rsidP="003B24EF">
      <w:pPr>
        <w:pStyle w:val="ListParagraph"/>
        <w:numPr>
          <w:ilvl w:val="0"/>
          <w:numId w:val="7"/>
        </w:numPr>
        <w:spacing w:after="200" w:line="360" w:lineRule="auto"/>
        <w:jc w:val="both"/>
        <w:rPr>
          <w:b/>
          <w:lang w:val="en-US"/>
        </w:rPr>
      </w:pPr>
      <w:r>
        <w:rPr>
          <w:b/>
          <w:lang w:val="en-US"/>
        </w:rPr>
        <w:t>Energy S</w:t>
      </w:r>
      <w:r w:rsidR="00706BFD" w:rsidRPr="00B256D7">
        <w:rPr>
          <w:b/>
          <w:lang w:val="en-US"/>
        </w:rPr>
        <w:t>torage</w:t>
      </w:r>
      <w:r>
        <w:rPr>
          <w:b/>
          <w:lang w:val="en-US"/>
        </w:rPr>
        <w:t xml:space="preserve"> for PV</w:t>
      </w:r>
    </w:p>
    <w:p w14:paraId="40B065EE" w14:textId="77777777" w:rsidR="002A76A5" w:rsidRPr="00F045A3" w:rsidRDefault="571305A8" w:rsidP="003B24EF">
      <w:pPr>
        <w:pStyle w:val="ListParagraph"/>
        <w:numPr>
          <w:ilvl w:val="1"/>
          <w:numId w:val="7"/>
        </w:numPr>
        <w:spacing w:after="200" w:line="360" w:lineRule="auto"/>
        <w:jc w:val="both"/>
        <w:rPr>
          <w:lang w:val="en-US"/>
        </w:rPr>
      </w:pPr>
      <w:r w:rsidRPr="00F045A3">
        <w:rPr>
          <w:lang w:val="en-US"/>
        </w:rPr>
        <w:t>Electrical</w:t>
      </w:r>
      <w:r w:rsidR="00ED4B09" w:rsidRPr="00F045A3">
        <w:rPr>
          <w:lang w:val="en-US"/>
        </w:rPr>
        <w:t xml:space="preserve"> Energy Storage (EES)</w:t>
      </w:r>
    </w:p>
    <w:p w14:paraId="0970F69B" w14:textId="4AC28B69" w:rsidR="0095132B" w:rsidRPr="006E4CF7" w:rsidRDefault="006E4CF7" w:rsidP="006E4CF7">
      <w:pPr>
        <w:spacing w:after="200" w:line="360" w:lineRule="auto"/>
        <w:jc w:val="both"/>
        <w:rPr>
          <w:rFonts w:ascii="Times New Roman" w:eastAsia="Times New Roman" w:hAnsi="Times New Roman"/>
          <w:lang w:val="en-US" w:eastAsia="en-GB"/>
        </w:rPr>
      </w:pPr>
      <w:r w:rsidRPr="006E4CF7">
        <w:rPr>
          <w:rFonts w:ascii="Times New Roman" w:eastAsia="Times New Roman" w:hAnsi="Times New Roman"/>
          <w:lang w:val="en-US" w:eastAsia="en-GB"/>
        </w:rPr>
        <w:t xml:space="preserve">The conjunction of PV systems with storage batteries allows a further increase of self- consumed PV electricity. With a battery system, the excess PV electricity during the day is buffered and later used at night. In this way, households equipped with a PV battery system can reduce the energy drawn from the grid and therefore increase their self-sufficiency </w:t>
      </w:r>
      <w:r w:rsidR="0095132B">
        <w:rPr>
          <w:rFonts w:ascii="Times New Roman" w:eastAsia="Times New Roman" w:hAnsi="Times New Roman"/>
          <w:lang w:val="en-US" w:eastAsia="en-GB"/>
        </w:rPr>
        <w:fldChar w:fldCharType="begin" w:fldLock="1"/>
      </w:r>
      <w:r w:rsidR="0095132B">
        <w:rPr>
          <w:rFonts w:ascii="Times New Roman" w:eastAsia="Times New Roman" w:hAnsi="Times New Roman"/>
          <w:lang w:val="en-US" w:eastAsia="en-GB"/>
        </w:rPr>
        <w:instrText>ADDIN CSL_CITATION { "citationItems" : [ { "id" : "ITEM-1", "itemData" : { "DOI" : "10.1016/j.egypro.2014.01.160", "ISBN" : "4930501948364", "ISSN" : "18766102", "abstract" : "This paper analyses residential PV battery systems in order to gain insights into their sizing. For this purpose a simulation model was developed and system simulations on a timescale of one minute were performed. Furthermore, a sensitivity analysis was conducted varying the PV system and battery size to identify appropriate system configurations. Based on the simulation results, an economic assessment of PV battery systems was carried out and the cost-optimal configurations for various cost scenarios were determined. The results show that in the considered long-term scenario the conjunction of PV systems with batteries will be not only profitable but also the most economical solution. \u00a9 2014 The Authors.", "author" : [ { "dropping-particle" : "", "family" : "Weniger", "given" : "Johannes", "non-dropping-particle" : "", "parse-names" : false, "suffix" : "" }, { "dropping-particle" : "", "family" : "Tjaden", "given" : "Tjarko", "non-dropping-particle" : "", "parse-names" : false, "suffix" : "" }, { "dropping-particle" : "", "family" : "Quaschning", "given" : "Volker", "non-dropping-particle" : "", "parse-names" : false, "suffix" : "" } ], "container-title" : "Energy Procedia", "id" : "ITEM-1", "issued" : { "date-parts" : [ [ "2014" ] ] }, "page" : "78-87", "title" : "Sizing of residential PV battery systems", "type" : "paper-conference", "volume" : "46" }, "uris" : [ "http://www.mendeley.com/documents/?uuid=0ba8536d-2bf6-400d-863a-19bbe051364f" ] } ], "mendeley" : { "formattedCitation" : "(Weniger, Tjaden, &amp; Quaschning, 2014)", "plainTextFormattedCitation" : "(Weniger, Tjaden, &amp; Quaschning, 2014)", "previouslyFormattedCitation" : "(Weniger, Tjaden, &amp; Quaschning, 2014)" }, "properties" : { "noteIndex" : 0 }, "schema" : "https://github.com/citation-style-language/schema/raw/master/csl-citation.json" }</w:instrText>
      </w:r>
      <w:r w:rsidR="0095132B">
        <w:rPr>
          <w:rFonts w:ascii="Times New Roman" w:eastAsia="Times New Roman" w:hAnsi="Times New Roman"/>
          <w:lang w:val="en-US" w:eastAsia="en-GB"/>
        </w:rPr>
        <w:fldChar w:fldCharType="separate"/>
      </w:r>
      <w:r w:rsidR="0095132B" w:rsidRPr="0095132B">
        <w:rPr>
          <w:rFonts w:ascii="Times New Roman" w:eastAsia="Times New Roman" w:hAnsi="Times New Roman"/>
          <w:noProof/>
          <w:lang w:val="en-US" w:eastAsia="en-GB"/>
        </w:rPr>
        <w:t>(Weniger, Tjaden, &amp; Quaschning, 2014)</w:t>
      </w:r>
      <w:r w:rsidR="0095132B">
        <w:rPr>
          <w:rFonts w:ascii="Times New Roman" w:eastAsia="Times New Roman" w:hAnsi="Times New Roman"/>
          <w:lang w:val="en-US" w:eastAsia="en-GB"/>
        </w:rPr>
        <w:fldChar w:fldCharType="end"/>
      </w:r>
      <w:r w:rsidRPr="006E4CF7">
        <w:rPr>
          <w:rFonts w:ascii="Times New Roman" w:eastAsia="Times New Roman" w:hAnsi="Times New Roman"/>
          <w:lang w:val="en-US" w:eastAsia="en-GB"/>
        </w:rPr>
        <w:t>, therefore PV battery systems of various sizes could reduce the dependence of residential customers on the central grid and their impact on CO</w:t>
      </w:r>
      <w:r w:rsidRPr="00F42A51">
        <w:rPr>
          <w:rFonts w:ascii="Times New Roman" w:eastAsia="Times New Roman" w:hAnsi="Times New Roman"/>
          <w:vertAlign w:val="subscript"/>
          <w:lang w:val="en-US" w:eastAsia="en-GB"/>
        </w:rPr>
        <w:t>2</w:t>
      </w:r>
      <w:r w:rsidRPr="006E4CF7">
        <w:rPr>
          <w:rFonts w:ascii="Times New Roman" w:eastAsia="Times New Roman" w:hAnsi="Times New Roman"/>
          <w:lang w:val="en-US" w:eastAsia="en-GB"/>
        </w:rPr>
        <w:t xml:space="preserve"> emissions.</w:t>
      </w:r>
    </w:p>
    <w:p w14:paraId="6561DAFD" w14:textId="779AAAB6" w:rsidR="002A76A5" w:rsidRPr="0019763E" w:rsidRDefault="00ED4B09" w:rsidP="003B24EF">
      <w:pPr>
        <w:pStyle w:val="ListParagraph"/>
        <w:numPr>
          <w:ilvl w:val="2"/>
          <w:numId w:val="7"/>
        </w:numPr>
        <w:spacing w:after="200" w:line="360" w:lineRule="auto"/>
        <w:jc w:val="both"/>
        <w:rPr>
          <w:sz w:val="22"/>
          <w:szCs w:val="22"/>
          <w:lang w:val="en-US"/>
        </w:rPr>
      </w:pPr>
      <w:r w:rsidRPr="0019763E">
        <w:rPr>
          <w:sz w:val="22"/>
          <w:szCs w:val="22"/>
          <w:lang w:val="en-US"/>
        </w:rPr>
        <w:t>Challenge of using EES for PV</w:t>
      </w:r>
    </w:p>
    <w:p w14:paraId="70F42876" w14:textId="7B6CF61B" w:rsidR="0052023B" w:rsidRPr="002170A5" w:rsidRDefault="0052023B" w:rsidP="002170A5">
      <w:pPr>
        <w:spacing w:after="200" w:line="360" w:lineRule="auto"/>
        <w:jc w:val="both"/>
        <w:rPr>
          <w:rFonts w:ascii="Times New Roman" w:eastAsia="Times New Roman" w:hAnsi="Times New Roman"/>
          <w:lang w:val="en-US" w:eastAsia="en-GB"/>
        </w:rPr>
      </w:pPr>
      <w:r w:rsidRPr="002170A5">
        <w:rPr>
          <w:rFonts w:ascii="Times New Roman" w:eastAsia="Times New Roman" w:hAnsi="Times New Roman"/>
          <w:lang w:val="en-US" w:eastAsia="en-GB"/>
        </w:rPr>
        <w:t xml:space="preserve">Electrical Energy Storage (EES) refers to a process of converting electrical energy into a form that can be stored for converting back to electrical energy when needed. Such a process enables electricity to be produced at times of either low demand, low generation cost or from intermittent energy sources and to be used at times of high demand, high generation cost or when no other generation means is </w:t>
      </w:r>
      <w:r w:rsidR="002170A5">
        <w:rPr>
          <w:rFonts w:ascii="Times New Roman" w:eastAsia="Times New Roman" w:hAnsi="Times New Roman"/>
          <w:lang w:val="en-US" w:eastAsia="en-GB"/>
        </w:rPr>
        <w:t>un</w:t>
      </w:r>
      <w:r w:rsidRPr="002170A5">
        <w:rPr>
          <w:rFonts w:ascii="Times New Roman" w:eastAsia="Times New Roman" w:hAnsi="Times New Roman"/>
          <w:lang w:val="en-US" w:eastAsia="en-GB"/>
        </w:rPr>
        <w:t xml:space="preserve">available </w:t>
      </w:r>
      <w:r w:rsidRPr="002170A5">
        <w:rPr>
          <w:rFonts w:ascii="Times New Roman" w:eastAsia="Times New Roman" w:hAnsi="Times New Roman"/>
          <w:lang w:val="en-US" w:eastAsia="en-GB"/>
        </w:rPr>
        <w:fldChar w:fldCharType="begin" w:fldLock="1"/>
      </w:r>
      <w:r w:rsidRPr="002170A5">
        <w:rPr>
          <w:rFonts w:ascii="Times New Roman" w:eastAsia="Times New Roman" w:hAnsi="Times New Roman"/>
          <w:lang w:val="en-US" w:eastAsia="en-GB"/>
        </w:rPr>
        <w:instrText>ADDIN CSL_CITATION { "citationItems" : [ { "id" : "ITEM-1", "itemData" : { "DOI" : "10.1109/EPEC.2012.6474985", "ISBN" : "9781467320801", "author" : [ { "dropping-particle" : "", "family" : "Ibrahim", "given" : "H.", "non-dropping-particle" : "", "parse-names" : false, "suffix" : "" }, { "dropping-particle" : "", "family" : "Beguenane", "given" : "R.", "non-dropping-particle" : "", "parse-names" : false, "suffix" : "" }, { "dropping-particle" : "", "family" : "Merabet", "given" : "A.", "non-dropping-particle" : "", "parse-names" : false, "suffix" : "" } ], "container-title" : "2012 IEEE Electrical Power and Energy Conference, EPEC 2012", "id" : "ITEM-1", "issued" : { "date-parts" : [ [ "2012" ] ] }, "page" : "86-91", "title" : "Technical and financial benefits of electrical energy storage", "type" : "paper-conference" }, "uris" : [ "http://www.mendeley.com/documents/?uuid=86678c49-c32d-48d2-822a-6b06946a060a" ] } ], "mendeley" : { "formattedCitation" : "(Ibrahim et al., 2012)", "plainTextFormattedCitation" : "(Ibrahim et al., 2012)", "previouslyFormattedCitation" : "(Ibrahim et al., 2012)" }, "properties" : { "noteIndex" : 1 }, "schema" : "https://github.com/citation-style-language/schema/raw/master/csl-citation.json" }</w:instrText>
      </w:r>
      <w:r w:rsidRPr="002170A5">
        <w:rPr>
          <w:rFonts w:ascii="Times New Roman" w:eastAsia="Times New Roman" w:hAnsi="Times New Roman"/>
          <w:lang w:val="en-US" w:eastAsia="en-GB"/>
        </w:rPr>
        <w:fldChar w:fldCharType="separate"/>
      </w:r>
      <w:r w:rsidRPr="002170A5">
        <w:rPr>
          <w:rFonts w:ascii="Times New Roman" w:eastAsia="Times New Roman" w:hAnsi="Times New Roman"/>
          <w:lang w:val="en-US" w:eastAsia="en-GB"/>
        </w:rPr>
        <w:t>(Ibrahim et al., 2012)</w:t>
      </w:r>
      <w:r w:rsidRPr="002170A5">
        <w:rPr>
          <w:rFonts w:ascii="Times New Roman" w:eastAsia="Times New Roman" w:hAnsi="Times New Roman"/>
          <w:lang w:val="en-US" w:eastAsia="en-GB"/>
        </w:rPr>
        <w:fldChar w:fldCharType="end"/>
      </w:r>
      <w:r w:rsidRPr="002170A5">
        <w:rPr>
          <w:rFonts w:ascii="Times New Roman" w:eastAsia="Times New Roman" w:hAnsi="Times New Roman"/>
          <w:lang w:val="en-US" w:eastAsia="en-GB"/>
        </w:rPr>
        <w:t xml:space="preserve">. From Fig. </w:t>
      </w:r>
      <w:r w:rsidR="002170A5">
        <w:rPr>
          <w:rFonts w:ascii="Times New Roman" w:eastAsia="Times New Roman" w:hAnsi="Times New Roman"/>
          <w:lang w:val="en-US" w:eastAsia="en-GB"/>
        </w:rPr>
        <w:t>2</w:t>
      </w:r>
      <w:r w:rsidRPr="002170A5">
        <w:rPr>
          <w:rFonts w:ascii="Times New Roman" w:eastAsia="Times New Roman" w:hAnsi="Times New Roman"/>
          <w:lang w:val="en-US" w:eastAsia="en-GB"/>
        </w:rPr>
        <w:t xml:space="preserve"> it can be seen how storage is charged from baseload generation plant at early hours in the morning and late hours in the night. This storage energy is used to counter demand in peak hours (around 6 pm). In addition, the </w:t>
      </w:r>
      <w:r w:rsidRPr="002170A5">
        <w:rPr>
          <w:rFonts w:ascii="Times New Roman" w:eastAsia="Times New Roman" w:hAnsi="Times New Roman"/>
          <w:lang w:val="en-US" w:eastAsia="en-GB"/>
        </w:rPr>
        <w:lastRenderedPageBreak/>
        <w:t>storage energy between 6 am and 6 pm maintain frequency and voltage by balancing supply and demand.</w:t>
      </w:r>
    </w:p>
    <w:p w14:paraId="51EFC499" w14:textId="0A935D03" w:rsidR="00F42A51" w:rsidRPr="004F03A9" w:rsidRDefault="00F42A51" w:rsidP="004F03A9">
      <w:pPr>
        <w:pStyle w:val="ListParagraph"/>
        <w:spacing w:line="360" w:lineRule="auto"/>
        <w:ind w:left="360"/>
        <w:jc w:val="both"/>
        <w:rPr>
          <w:lang w:val="en-US"/>
        </w:rPr>
      </w:pPr>
      <w:r>
        <w:rPr>
          <w:noProof/>
          <w:lang w:val="es-PY" w:eastAsia="es-PY"/>
        </w:rPr>
        <w:drawing>
          <wp:anchor distT="0" distB="0" distL="114300" distR="114300" simplePos="0" relativeHeight="251665408" behindDoc="1" locked="0" layoutInCell="1" allowOverlap="1" wp14:anchorId="7F392134" wp14:editId="105011ED">
            <wp:simplePos x="0" y="0"/>
            <wp:positionH relativeFrom="margin">
              <wp:posOffset>201295</wp:posOffset>
            </wp:positionH>
            <wp:positionV relativeFrom="paragraph">
              <wp:posOffset>282575</wp:posOffset>
            </wp:positionV>
            <wp:extent cx="4886325" cy="3305175"/>
            <wp:effectExtent l="0" t="0" r="9525" b="9525"/>
            <wp:wrapTight wrapText="bothSides">
              <wp:wrapPolygon edited="0">
                <wp:start x="0" y="0"/>
                <wp:lineTo x="0" y="21538"/>
                <wp:lineTo x="21558" y="21538"/>
                <wp:lineTo x="21558" y="0"/>
                <wp:lineTo x="0" y="0"/>
              </wp:wrapPolygon>
            </wp:wrapTight>
            <wp:docPr id="7" name="Picture 7" descr="C:\Users\ANITA\Dropbox\1_Anita Ortega\1_Datos Master TCD\4_Intership\Paper Dr. Hoda\Graph\Fundamental idea of the energy sto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Dropbox\1_Anita Ortega\1_Datos Master TCD\4_Intership\Paper Dr. Hoda\Graph\Fundamental idea of the energy stor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632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A012A" w14:textId="77777777" w:rsidR="004F03A9" w:rsidRDefault="004F03A9" w:rsidP="00F42A51">
      <w:pPr>
        <w:pStyle w:val="ListParagraph"/>
        <w:spacing w:line="360" w:lineRule="auto"/>
        <w:ind w:left="360"/>
        <w:jc w:val="center"/>
        <w:rPr>
          <w:rFonts w:ascii="Times-Roman" w:hAnsi="Times-Roman" w:cs="Times-Roman"/>
          <w:sz w:val="20"/>
          <w:szCs w:val="20"/>
          <w:lang w:val="en-US"/>
        </w:rPr>
      </w:pPr>
    </w:p>
    <w:p w14:paraId="32D0A965" w14:textId="11673293" w:rsidR="004F03A9" w:rsidRPr="0052023B" w:rsidRDefault="0043721A" w:rsidP="0052023B">
      <w:pPr>
        <w:pStyle w:val="ListParagraph"/>
        <w:spacing w:line="360" w:lineRule="auto"/>
        <w:ind w:left="360"/>
        <w:jc w:val="center"/>
        <w:rPr>
          <w:rFonts w:ascii="Times-Roman" w:hAnsi="Times-Roman" w:cs="Times-Roman"/>
          <w:sz w:val="20"/>
          <w:szCs w:val="20"/>
          <w:lang w:val="en-US"/>
        </w:rPr>
      </w:pPr>
      <w:r>
        <w:rPr>
          <w:rFonts w:ascii="Times-Roman" w:hAnsi="Times-Roman" w:cs="Times-Roman"/>
          <w:sz w:val="20"/>
          <w:szCs w:val="20"/>
          <w:lang w:val="en-US"/>
        </w:rPr>
        <w:t>Fig.</w:t>
      </w:r>
      <w:r w:rsidR="00F42A51" w:rsidRPr="00F42A51">
        <w:rPr>
          <w:rFonts w:ascii="Times-Roman" w:hAnsi="Times-Roman" w:cs="Times-Roman"/>
          <w:sz w:val="20"/>
          <w:szCs w:val="20"/>
          <w:lang w:val="en-US"/>
        </w:rPr>
        <w:t xml:space="preserve"> </w:t>
      </w:r>
      <w:r w:rsidR="00F045A3">
        <w:rPr>
          <w:rFonts w:ascii="Times-Roman" w:hAnsi="Times-Roman" w:cs="Times-Roman"/>
          <w:sz w:val="20"/>
          <w:szCs w:val="20"/>
          <w:lang w:val="en-US"/>
        </w:rPr>
        <w:t>1</w:t>
      </w:r>
      <w:r w:rsidR="00F42A51" w:rsidRPr="00F42A51">
        <w:rPr>
          <w:rFonts w:ascii="Times-Roman" w:hAnsi="Times-Roman" w:cs="Times-Roman"/>
          <w:sz w:val="20"/>
          <w:szCs w:val="20"/>
          <w:lang w:val="en-US"/>
        </w:rPr>
        <w:t xml:space="preserve">. Fundamental idea of the energy storage </w:t>
      </w:r>
      <w:r w:rsidR="00F42A51" w:rsidRPr="00F42A51">
        <w:rPr>
          <w:rFonts w:ascii="Times-Roman" w:hAnsi="Times-Roman" w:cs="Times-Roman"/>
          <w:sz w:val="20"/>
          <w:szCs w:val="20"/>
          <w:lang w:val="en-US"/>
        </w:rPr>
        <w:fldChar w:fldCharType="begin" w:fldLock="1"/>
      </w:r>
      <w:r w:rsidR="00D03089">
        <w:rPr>
          <w:rFonts w:ascii="Times-Roman" w:hAnsi="Times-Roman" w:cs="Times-Roman"/>
          <w:sz w:val="20"/>
          <w:szCs w:val="20"/>
          <w:lang w:val="en-US"/>
        </w:rPr>
        <w:instrText>ADDIN CSL_CITATION { "citationItems" : [ { "id" : "ITEM-1", "itemData" : { "DOI" : "10.1109/EPEC.2012.6474985", "ISBN" : "9781467320801", "author" : [ { "dropping-particle" : "", "family" : "Ibrahim", "given" : "H.", "non-dropping-particle" : "", "parse-names" : false, "suffix" : "" }, { "dropping-particle" : "", "family" : "Beguenane", "given" : "R.", "non-dropping-particle" : "", "parse-names" : false, "suffix" : "" }, { "dropping-particle" : "", "family" : "Merabet", "given" : "A.", "non-dropping-particle" : "", "parse-names" : false, "suffix" : "" } ], "container-title" : "2012 IEEE Electrical Power and Energy Conference, EPEC 2012", "id" : "ITEM-1", "issued" : { "date-parts" : [ [ "2012" ] ] }, "page" : "86-91", "title" : "Technical and financial benefits of electrical energy storage", "type" : "paper-conference" }, "uris" : [ "http://www.mendeley.com/documents/?uuid=121fa559-8b1f-4baa-8b7f-2c69a60042a2" ] } ], "mendeley" : { "formattedCitation" : "(Ibrahim et al., 2012)", "plainTextFormattedCitation" : "(Ibrahim et al., 2012)", "previouslyFormattedCitation" : "(Ibrahim et al., 2012)" }, "properties" : { "noteIndex" : 2 }, "schema" : "https://github.com/citation-style-language/schema/raw/master/csl-citation.json" }</w:instrText>
      </w:r>
      <w:r w:rsidR="00F42A51" w:rsidRPr="00F42A51">
        <w:rPr>
          <w:rFonts w:ascii="Times-Roman" w:hAnsi="Times-Roman" w:cs="Times-Roman"/>
          <w:sz w:val="20"/>
          <w:szCs w:val="20"/>
          <w:lang w:val="en-US"/>
        </w:rPr>
        <w:fldChar w:fldCharType="separate"/>
      </w:r>
      <w:r w:rsidR="00F42A51" w:rsidRPr="00F42A51">
        <w:rPr>
          <w:rFonts w:ascii="Times-Roman" w:hAnsi="Times-Roman" w:cs="Times-Roman"/>
          <w:noProof/>
          <w:sz w:val="20"/>
          <w:szCs w:val="20"/>
          <w:lang w:val="en-US"/>
        </w:rPr>
        <w:t>(Ibrahim et al., 2012)</w:t>
      </w:r>
      <w:r w:rsidR="00F42A51" w:rsidRPr="00F42A51">
        <w:rPr>
          <w:rFonts w:ascii="Times-Roman" w:hAnsi="Times-Roman" w:cs="Times-Roman"/>
          <w:sz w:val="20"/>
          <w:szCs w:val="20"/>
          <w:lang w:val="en-US"/>
        </w:rPr>
        <w:fldChar w:fldCharType="end"/>
      </w:r>
    </w:p>
    <w:p w14:paraId="74EA13D8" w14:textId="7FC45E02" w:rsidR="004F03A9" w:rsidRDefault="004F03A9" w:rsidP="00F42A51">
      <w:pPr>
        <w:pStyle w:val="ListParagraph"/>
        <w:spacing w:line="360" w:lineRule="auto"/>
        <w:ind w:left="360"/>
        <w:jc w:val="center"/>
        <w:rPr>
          <w:rFonts w:ascii="Times-Roman" w:hAnsi="Times-Roman" w:cs="Times-Roman"/>
          <w:sz w:val="20"/>
          <w:szCs w:val="20"/>
          <w:lang w:val="en-US"/>
        </w:rPr>
      </w:pPr>
    </w:p>
    <w:p w14:paraId="2B5765AB" w14:textId="62A19B0C" w:rsidR="004F03A9" w:rsidRPr="0052023B" w:rsidRDefault="0052023B" w:rsidP="0052023B">
      <w:pPr>
        <w:spacing w:line="360" w:lineRule="auto"/>
        <w:jc w:val="both"/>
        <w:rPr>
          <w:rFonts w:ascii="Times New Roman" w:eastAsia="Times New Roman" w:hAnsi="Times New Roman"/>
          <w:lang w:val="en-US" w:eastAsia="en-GB"/>
        </w:rPr>
      </w:pPr>
      <w:r w:rsidRPr="00F32F74">
        <w:rPr>
          <w:rFonts w:ascii="Times New Roman" w:eastAsia="Times New Roman" w:hAnsi="Times New Roman"/>
          <w:lang w:val="en-US" w:eastAsia="en-GB"/>
        </w:rPr>
        <w:t>EES can be divided in a range of categories, including mechanical, thermal and chemical storage. Each of these broad categories has a unique set of parameters to measure cost and performance. Table 1 summarizes th</w:t>
      </w:r>
      <w:r w:rsidR="00996052">
        <w:rPr>
          <w:rFonts w:ascii="Times New Roman" w:eastAsia="Times New Roman" w:hAnsi="Times New Roman"/>
          <w:lang w:val="en-US" w:eastAsia="en-GB"/>
        </w:rPr>
        <w:t>e technical characteristics of different</w:t>
      </w:r>
      <w:r w:rsidRPr="00F32F74">
        <w:rPr>
          <w:rFonts w:ascii="Times New Roman" w:eastAsia="Times New Roman" w:hAnsi="Times New Roman"/>
          <w:lang w:val="en-US" w:eastAsia="en-GB"/>
        </w:rPr>
        <w:t xml:space="preserve"> EES</w:t>
      </w:r>
      <w:r w:rsidR="00996052">
        <w:rPr>
          <w:rFonts w:ascii="Times New Roman" w:eastAsia="Times New Roman" w:hAnsi="Times New Roman"/>
          <w:lang w:val="en-US" w:eastAsia="en-GB"/>
        </w:rPr>
        <w:t xml:space="preserve"> technologies</w:t>
      </w:r>
      <w:r w:rsidRPr="00F32F74">
        <w:rPr>
          <w:rFonts w:ascii="Times New Roman" w:eastAsia="Times New Roman" w:hAnsi="Times New Roman"/>
          <w:lang w:val="en-US" w:eastAsia="en-GB"/>
        </w:rPr>
        <w:t>.</w:t>
      </w:r>
      <w:r>
        <w:rPr>
          <w:rFonts w:ascii="Times New Roman" w:eastAsia="Times New Roman" w:hAnsi="Times New Roman"/>
          <w:lang w:val="en-US" w:eastAsia="en-GB"/>
        </w:rPr>
        <w:t xml:space="preserve"> </w:t>
      </w:r>
    </w:p>
    <w:p w14:paraId="32206765" w14:textId="35338A1A" w:rsidR="004F03A9" w:rsidRDefault="004F03A9" w:rsidP="00F42A51">
      <w:pPr>
        <w:pStyle w:val="ListParagraph"/>
        <w:spacing w:line="360" w:lineRule="auto"/>
        <w:ind w:left="360"/>
        <w:jc w:val="center"/>
        <w:rPr>
          <w:rFonts w:ascii="Times-Roman" w:hAnsi="Times-Roman" w:cs="Times-Roman"/>
          <w:sz w:val="20"/>
          <w:szCs w:val="20"/>
          <w:lang w:val="en-US"/>
        </w:rPr>
      </w:pPr>
    </w:p>
    <w:p w14:paraId="749D7ECD"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591661D4"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4AB3D676"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70373B8A"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11F412B3"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5B7E105A"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0E4636CC" w14:textId="77777777" w:rsidR="0089624A" w:rsidRDefault="0089624A" w:rsidP="00F42A51">
      <w:pPr>
        <w:pStyle w:val="ListParagraph"/>
        <w:spacing w:line="360" w:lineRule="auto"/>
        <w:ind w:left="360"/>
        <w:jc w:val="center"/>
        <w:rPr>
          <w:rFonts w:ascii="Times-Roman" w:hAnsi="Times-Roman" w:cs="Times-Roman"/>
          <w:sz w:val="20"/>
          <w:szCs w:val="20"/>
          <w:lang w:val="en-US"/>
        </w:rPr>
      </w:pPr>
    </w:p>
    <w:p w14:paraId="1545CF74" w14:textId="1E8B942D" w:rsidR="004F03A9" w:rsidRDefault="004F03A9" w:rsidP="00F42A51">
      <w:pPr>
        <w:pStyle w:val="ListParagraph"/>
        <w:spacing w:line="360" w:lineRule="auto"/>
        <w:ind w:left="360"/>
        <w:jc w:val="center"/>
        <w:rPr>
          <w:rFonts w:ascii="Times-Roman" w:hAnsi="Times-Roman" w:cs="Times-Roman"/>
          <w:sz w:val="20"/>
          <w:szCs w:val="20"/>
          <w:lang w:val="en-US"/>
        </w:rPr>
      </w:pPr>
    </w:p>
    <w:p w14:paraId="299F0A94" w14:textId="422F35EB" w:rsidR="00F42A51" w:rsidRPr="00F42A51" w:rsidRDefault="00F42A51" w:rsidP="004F03A9">
      <w:pPr>
        <w:spacing w:after="0" w:line="240" w:lineRule="auto"/>
        <w:jc w:val="both"/>
        <w:rPr>
          <w:rFonts w:ascii="Times New Roman" w:eastAsia="Times New Roman" w:hAnsi="Times New Roman"/>
          <w:lang w:val="en-US" w:eastAsia="en-GB"/>
        </w:rPr>
      </w:pPr>
      <w:r w:rsidRPr="00F42A51">
        <w:rPr>
          <w:rFonts w:ascii="Times New Roman" w:eastAsia="Times New Roman" w:hAnsi="Times New Roman"/>
          <w:lang w:val="en-US" w:eastAsia="en-GB"/>
        </w:rPr>
        <w:t xml:space="preserve">Table </w:t>
      </w:r>
      <w:r w:rsidR="00F045A3">
        <w:rPr>
          <w:rFonts w:ascii="Times New Roman" w:eastAsia="Times New Roman" w:hAnsi="Times New Roman"/>
          <w:lang w:val="en-US" w:eastAsia="en-GB"/>
        </w:rPr>
        <w:t>1</w:t>
      </w:r>
      <w:r w:rsidRPr="00F42A51">
        <w:rPr>
          <w:rFonts w:ascii="Times New Roman" w:eastAsia="Times New Roman" w:hAnsi="Times New Roman"/>
          <w:lang w:val="en-US" w:eastAsia="en-GB"/>
        </w:rPr>
        <w:t xml:space="preserve">. Comparison of technical characteristics of EES </w:t>
      </w:r>
      <w:r w:rsidRPr="00F42A51">
        <w:rPr>
          <w:rFonts w:ascii="Times New Roman" w:eastAsia="Times New Roman" w:hAnsi="Times New Roman"/>
          <w:lang w:val="en-US" w:eastAsia="en-GB"/>
        </w:rPr>
        <w:fldChar w:fldCharType="begin" w:fldLock="1"/>
      </w:r>
      <w:r w:rsidR="00D03089">
        <w:rPr>
          <w:rFonts w:ascii="Times New Roman" w:eastAsia="Times New Roman" w:hAnsi="Times New Roman"/>
          <w:lang w:val="en-US" w:eastAsia="en-GB"/>
        </w:rPr>
        <w:instrText>ADDIN CSL_CITATION { "citationItems" : [ { "id" : "ITEM-1", "itemData" : { "DOI" : "10.1109/EPEC.2012.6474985", "ISBN" : "9781467320801", "author" : [ { "dropping-particle" : "", "family" : "Ibrahim", "given" : "H.", "non-dropping-particle" : "", "parse-names" : false, "suffix" : "" }, { "dropping-particle" : "", "family" : "Beguenane", "given" : "R.", "non-dropping-particle" : "", "parse-names" : false, "suffix" : "" }, { "dropping-particle" : "", "family" : "Merabet", "given" : "A.", "non-dropping-particle" : "", "parse-names" : false, "suffix" : "" } ], "container-title" : "2012 IEEE Electrical Power and Energy Conference, EPEC 2012", "id" : "ITEM-1", "issued" : { "date-parts" : [ [ "2012" ] ] }, "page" : "86-91", "title" : "Technical and financial benefits of electrical energy storage", "type" : "paper-conference" }, "uris" : [ "http://www.mendeley.com/documents/?uuid=121fa559-8b1f-4baa-8b7f-2c69a60042a2" ] } ], "mendeley" : { "formattedCitation" : "(Ibrahim et al., 2012)", "plainTextFormattedCitation" : "(Ibrahim et al., 2012)", "previouslyFormattedCitation" : "(Ibrahim et al., 2012)" }, "properties" : { "noteIndex" : 2 }, "schema" : "https://github.com/citation-style-language/schema/raw/master/csl-citation.json" }</w:instrText>
      </w:r>
      <w:r w:rsidRPr="00F42A51">
        <w:rPr>
          <w:rFonts w:ascii="Times New Roman" w:eastAsia="Times New Roman" w:hAnsi="Times New Roman"/>
          <w:lang w:val="en-US" w:eastAsia="en-GB"/>
        </w:rPr>
        <w:fldChar w:fldCharType="separate"/>
      </w:r>
      <w:r w:rsidRPr="00F42A51">
        <w:rPr>
          <w:rFonts w:ascii="Times New Roman" w:eastAsia="Times New Roman" w:hAnsi="Times New Roman"/>
          <w:noProof/>
          <w:lang w:val="en-US" w:eastAsia="en-GB"/>
        </w:rPr>
        <w:t>(Ibrahim et al., 2012)</w:t>
      </w:r>
      <w:r w:rsidRPr="00F42A51">
        <w:rPr>
          <w:rFonts w:ascii="Times New Roman" w:eastAsia="Times New Roman" w:hAnsi="Times New Roman"/>
          <w:lang w:val="en-US" w:eastAsia="en-GB"/>
        </w:rPr>
        <w:fldChar w:fldCharType="end"/>
      </w:r>
      <w:r w:rsidRPr="00F42A51">
        <w:rPr>
          <w:rFonts w:ascii="Times New Roman" w:eastAsia="Times New Roman" w:hAnsi="Times New Roman"/>
          <w:lang w:val="en-US" w:eastAsia="en-GB"/>
        </w:rPr>
        <w:t>.</w:t>
      </w:r>
    </w:p>
    <w:tbl>
      <w:tblPr>
        <w:tblStyle w:val="PlainTable21"/>
        <w:tblW w:w="10380" w:type="dxa"/>
        <w:jc w:val="center"/>
        <w:tblLook w:val="0620" w:firstRow="1" w:lastRow="0" w:firstColumn="0" w:lastColumn="0" w:noHBand="1" w:noVBand="1"/>
      </w:tblPr>
      <w:tblGrid>
        <w:gridCol w:w="1960"/>
        <w:gridCol w:w="1920"/>
        <w:gridCol w:w="2920"/>
        <w:gridCol w:w="2200"/>
        <w:gridCol w:w="1380"/>
      </w:tblGrid>
      <w:tr w:rsidR="00F42A51" w:rsidRPr="003D2B93" w14:paraId="3AD671A9" w14:textId="77777777" w:rsidTr="007A2976">
        <w:trPr>
          <w:cnfStyle w:val="100000000000" w:firstRow="1" w:lastRow="0" w:firstColumn="0" w:lastColumn="0" w:oddVBand="0" w:evenVBand="0" w:oddHBand="0" w:evenHBand="0" w:firstRowFirstColumn="0" w:firstRowLastColumn="0" w:lastRowFirstColumn="0" w:lastRowLastColumn="0"/>
          <w:trHeight w:val="300"/>
          <w:jc w:val="center"/>
        </w:trPr>
        <w:tc>
          <w:tcPr>
            <w:tcW w:w="1960" w:type="dxa"/>
            <w:noWrap/>
            <w:hideMark/>
          </w:tcPr>
          <w:p w14:paraId="5565863D" w14:textId="77777777" w:rsidR="00F42A51" w:rsidRPr="00496E1C"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496E1C">
              <w:rPr>
                <w:rFonts w:ascii="Times New Roman" w:eastAsia="Times New Roman" w:hAnsi="Times New Roman"/>
                <w:b w:val="0"/>
                <w:color w:val="000000"/>
                <w:lang w:val="es-PY" w:eastAsia="es-PY"/>
              </w:rPr>
              <w:t>Storage Technology</w:t>
            </w:r>
          </w:p>
        </w:tc>
        <w:tc>
          <w:tcPr>
            <w:tcW w:w="1920" w:type="dxa"/>
            <w:noWrap/>
            <w:hideMark/>
          </w:tcPr>
          <w:p w14:paraId="32DBAE06" w14:textId="77777777" w:rsidR="00F42A51" w:rsidRPr="00496E1C" w:rsidRDefault="00F42A51" w:rsidP="007A2976">
            <w:pPr>
              <w:suppressAutoHyphens w:val="0"/>
              <w:autoSpaceDN/>
              <w:textAlignment w:val="auto"/>
              <w:rPr>
                <w:rFonts w:ascii="Times New Roman" w:eastAsia="Times New Roman" w:hAnsi="Times New Roman"/>
                <w:b w:val="0"/>
                <w:color w:val="000000"/>
                <w:lang w:val="es-PY" w:eastAsia="es-PY"/>
              </w:rPr>
            </w:pPr>
            <w:r w:rsidRPr="00496E1C">
              <w:rPr>
                <w:rFonts w:ascii="Times New Roman" w:eastAsia="Times New Roman" w:hAnsi="Times New Roman"/>
                <w:b w:val="0"/>
                <w:color w:val="000000"/>
                <w:lang w:val="es-PY" w:eastAsia="es-PY"/>
              </w:rPr>
              <w:t>Power rating (MW)</w:t>
            </w:r>
          </w:p>
        </w:tc>
        <w:tc>
          <w:tcPr>
            <w:tcW w:w="2920" w:type="dxa"/>
            <w:noWrap/>
            <w:hideMark/>
          </w:tcPr>
          <w:p w14:paraId="30AFEA2E" w14:textId="77777777" w:rsidR="00F42A51" w:rsidRPr="00496E1C"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496E1C">
              <w:rPr>
                <w:rFonts w:ascii="Times New Roman" w:eastAsia="Times New Roman" w:hAnsi="Times New Roman"/>
                <w:b w:val="0"/>
                <w:color w:val="000000"/>
                <w:lang w:val="es-PY" w:eastAsia="es-PY"/>
              </w:rPr>
              <w:t>Discharge time</w:t>
            </w:r>
          </w:p>
        </w:tc>
        <w:tc>
          <w:tcPr>
            <w:tcW w:w="2200" w:type="dxa"/>
            <w:noWrap/>
            <w:hideMark/>
          </w:tcPr>
          <w:p w14:paraId="67B7C3EB" w14:textId="77777777" w:rsidR="00F42A51" w:rsidRPr="00496E1C" w:rsidRDefault="00F42A51" w:rsidP="007A2976">
            <w:pPr>
              <w:suppressAutoHyphens w:val="0"/>
              <w:autoSpaceDN/>
              <w:textAlignment w:val="auto"/>
              <w:rPr>
                <w:rFonts w:ascii="Times New Roman" w:eastAsia="Times New Roman" w:hAnsi="Times New Roman"/>
                <w:b w:val="0"/>
                <w:color w:val="000000"/>
                <w:lang w:val="es-PY" w:eastAsia="es-PY"/>
              </w:rPr>
            </w:pPr>
            <w:r w:rsidRPr="00496E1C">
              <w:rPr>
                <w:rFonts w:ascii="Times New Roman" w:eastAsia="Times New Roman" w:hAnsi="Times New Roman"/>
                <w:b w:val="0"/>
                <w:color w:val="000000"/>
                <w:lang w:val="es-PY" w:eastAsia="es-PY"/>
              </w:rPr>
              <w:t>Capital cost (USD/KW)</w:t>
            </w:r>
          </w:p>
        </w:tc>
        <w:tc>
          <w:tcPr>
            <w:tcW w:w="1380" w:type="dxa"/>
            <w:noWrap/>
            <w:hideMark/>
          </w:tcPr>
          <w:p w14:paraId="0FE40D14" w14:textId="77777777" w:rsidR="00F42A51" w:rsidRPr="00496E1C"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496E1C">
              <w:rPr>
                <w:rFonts w:ascii="Times New Roman" w:eastAsia="Times New Roman" w:hAnsi="Times New Roman"/>
                <w:b w:val="0"/>
                <w:color w:val="000000"/>
                <w:lang w:val="es-PY" w:eastAsia="es-PY"/>
              </w:rPr>
              <w:t>Efficiency (%)</w:t>
            </w:r>
          </w:p>
        </w:tc>
      </w:tr>
      <w:tr w:rsidR="00F42A51" w:rsidRPr="000E1F7B" w14:paraId="6DB1A3E4" w14:textId="77777777" w:rsidTr="007A2976">
        <w:trPr>
          <w:trHeight w:val="300"/>
          <w:jc w:val="center"/>
        </w:trPr>
        <w:tc>
          <w:tcPr>
            <w:tcW w:w="1960" w:type="dxa"/>
            <w:noWrap/>
            <w:hideMark/>
          </w:tcPr>
          <w:p w14:paraId="4FD33F7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lastRenderedPageBreak/>
              <w:t>SMES</w:t>
            </w:r>
          </w:p>
        </w:tc>
        <w:tc>
          <w:tcPr>
            <w:tcW w:w="1920" w:type="dxa"/>
            <w:noWrap/>
            <w:hideMark/>
          </w:tcPr>
          <w:p w14:paraId="7637186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0.1-10</w:t>
            </w:r>
          </w:p>
        </w:tc>
        <w:tc>
          <w:tcPr>
            <w:tcW w:w="2920" w:type="dxa"/>
            <w:noWrap/>
            <w:hideMark/>
          </w:tcPr>
          <w:p w14:paraId="3AB0865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ms to 8s</w:t>
            </w:r>
          </w:p>
        </w:tc>
        <w:tc>
          <w:tcPr>
            <w:tcW w:w="2200" w:type="dxa"/>
            <w:noWrap/>
            <w:hideMark/>
          </w:tcPr>
          <w:p w14:paraId="211E2D0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200-500</w:t>
            </w:r>
          </w:p>
        </w:tc>
        <w:tc>
          <w:tcPr>
            <w:tcW w:w="1380" w:type="dxa"/>
            <w:noWrap/>
            <w:hideMark/>
          </w:tcPr>
          <w:p w14:paraId="1DB2C163"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80-90</w:t>
            </w:r>
          </w:p>
        </w:tc>
      </w:tr>
      <w:tr w:rsidR="00F42A51" w:rsidRPr="003D2B93" w14:paraId="655B9407" w14:textId="77777777" w:rsidTr="007A2976">
        <w:trPr>
          <w:trHeight w:val="300"/>
          <w:jc w:val="center"/>
        </w:trPr>
        <w:tc>
          <w:tcPr>
            <w:tcW w:w="1960" w:type="dxa"/>
            <w:noWrap/>
            <w:hideMark/>
          </w:tcPr>
          <w:p w14:paraId="52E9531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Flywheels</w:t>
            </w:r>
          </w:p>
        </w:tc>
        <w:tc>
          <w:tcPr>
            <w:tcW w:w="1920" w:type="dxa"/>
            <w:noWrap/>
            <w:hideMark/>
          </w:tcPr>
          <w:p w14:paraId="5C269850"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0-10</w:t>
            </w:r>
          </w:p>
        </w:tc>
        <w:tc>
          <w:tcPr>
            <w:tcW w:w="2920" w:type="dxa"/>
            <w:noWrap/>
            <w:hideMark/>
          </w:tcPr>
          <w:p w14:paraId="4FAE1CE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ms to 40s</w:t>
            </w:r>
          </w:p>
        </w:tc>
        <w:tc>
          <w:tcPr>
            <w:tcW w:w="2200" w:type="dxa"/>
            <w:noWrap/>
            <w:hideMark/>
          </w:tcPr>
          <w:p w14:paraId="65980D67"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250-450</w:t>
            </w:r>
          </w:p>
        </w:tc>
        <w:tc>
          <w:tcPr>
            <w:tcW w:w="1380" w:type="dxa"/>
            <w:noWrap/>
            <w:hideMark/>
          </w:tcPr>
          <w:p w14:paraId="154724CD"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90-95</w:t>
            </w:r>
          </w:p>
        </w:tc>
      </w:tr>
      <w:tr w:rsidR="00F42A51" w:rsidRPr="000E1F7B" w14:paraId="60B0205E" w14:textId="77777777" w:rsidTr="007A2976">
        <w:trPr>
          <w:trHeight w:val="300"/>
          <w:jc w:val="center"/>
        </w:trPr>
        <w:tc>
          <w:tcPr>
            <w:tcW w:w="1960" w:type="dxa"/>
            <w:noWrap/>
            <w:hideMark/>
          </w:tcPr>
          <w:p w14:paraId="054ABC4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Capacitor</w:t>
            </w:r>
          </w:p>
        </w:tc>
        <w:tc>
          <w:tcPr>
            <w:tcW w:w="1920" w:type="dxa"/>
            <w:noWrap/>
            <w:hideMark/>
          </w:tcPr>
          <w:p w14:paraId="1F26445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0-0.05</w:t>
            </w:r>
          </w:p>
        </w:tc>
        <w:tc>
          <w:tcPr>
            <w:tcW w:w="2920" w:type="dxa"/>
            <w:noWrap/>
            <w:hideMark/>
          </w:tcPr>
          <w:p w14:paraId="1A1989B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ms to 60s</w:t>
            </w:r>
          </w:p>
        </w:tc>
        <w:tc>
          <w:tcPr>
            <w:tcW w:w="2200" w:type="dxa"/>
            <w:noWrap/>
            <w:hideMark/>
          </w:tcPr>
          <w:p w14:paraId="60C3FFF9"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200-500</w:t>
            </w:r>
          </w:p>
        </w:tc>
        <w:tc>
          <w:tcPr>
            <w:tcW w:w="1380" w:type="dxa"/>
            <w:noWrap/>
            <w:hideMark/>
          </w:tcPr>
          <w:p w14:paraId="5A3FE7E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60-75</w:t>
            </w:r>
          </w:p>
        </w:tc>
      </w:tr>
      <w:tr w:rsidR="00F42A51" w:rsidRPr="003D2B93" w14:paraId="5A434457" w14:textId="77777777" w:rsidTr="007A2976">
        <w:trPr>
          <w:trHeight w:val="300"/>
          <w:jc w:val="center"/>
        </w:trPr>
        <w:tc>
          <w:tcPr>
            <w:tcW w:w="1960" w:type="dxa"/>
            <w:noWrap/>
            <w:hideMark/>
          </w:tcPr>
          <w:p w14:paraId="5FD6B0B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Supercapacitor</w:t>
            </w:r>
          </w:p>
        </w:tc>
        <w:tc>
          <w:tcPr>
            <w:tcW w:w="1920" w:type="dxa"/>
            <w:noWrap/>
            <w:hideMark/>
          </w:tcPr>
          <w:p w14:paraId="4A46D61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0-0.3</w:t>
            </w:r>
          </w:p>
        </w:tc>
        <w:tc>
          <w:tcPr>
            <w:tcW w:w="2920" w:type="dxa"/>
            <w:noWrap/>
            <w:hideMark/>
          </w:tcPr>
          <w:p w14:paraId="1A8F25B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ms to 60s</w:t>
            </w:r>
          </w:p>
        </w:tc>
        <w:tc>
          <w:tcPr>
            <w:tcW w:w="2200" w:type="dxa"/>
            <w:noWrap/>
            <w:hideMark/>
          </w:tcPr>
          <w:p w14:paraId="00A79C28"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100-500</w:t>
            </w:r>
          </w:p>
        </w:tc>
        <w:tc>
          <w:tcPr>
            <w:tcW w:w="1380" w:type="dxa"/>
            <w:noWrap/>
            <w:hideMark/>
          </w:tcPr>
          <w:p w14:paraId="391E4B80"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90-100</w:t>
            </w:r>
          </w:p>
        </w:tc>
      </w:tr>
      <w:tr w:rsidR="00F42A51" w:rsidRPr="000E1F7B" w14:paraId="146EA640" w14:textId="77777777" w:rsidTr="007A2976">
        <w:trPr>
          <w:trHeight w:val="300"/>
          <w:jc w:val="center"/>
        </w:trPr>
        <w:tc>
          <w:tcPr>
            <w:tcW w:w="1960" w:type="dxa"/>
            <w:noWrap/>
            <w:hideMark/>
          </w:tcPr>
          <w:p w14:paraId="61A1B6E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Batt-ZEBRA</w:t>
            </w:r>
          </w:p>
        </w:tc>
        <w:tc>
          <w:tcPr>
            <w:tcW w:w="1920" w:type="dxa"/>
            <w:noWrap/>
            <w:hideMark/>
          </w:tcPr>
          <w:p w14:paraId="13F30BC6"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0-0.3</w:t>
            </w:r>
          </w:p>
        </w:tc>
        <w:tc>
          <w:tcPr>
            <w:tcW w:w="2920" w:type="dxa"/>
            <w:noWrap/>
            <w:hideMark/>
          </w:tcPr>
          <w:p w14:paraId="6E17597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hours</w:t>
            </w:r>
          </w:p>
        </w:tc>
        <w:tc>
          <w:tcPr>
            <w:tcW w:w="2200" w:type="dxa"/>
            <w:noWrap/>
            <w:hideMark/>
          </w:tcPr>
          <w:p w14:paraId="10CFD5F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150-300</w:t>
            </w:r>
          </w:p>
        </w:tc>
        <w:tc>
          <w:tcPr>
            <w:tcW w:w="1380" w:type="dxa"/>
            <w:noWrap/>
            <w:hideMark/>
          </w:tcPr>
          <w:p w14:paraId="105127C0"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85-90</w:t>
            </w:r>
          </w:p>
        </w:tc>
      </w:tr>
      <w:tr w:rsidR="00F42A51" w:rsidRPr="003D2B93" w14:paraId="15627615" w14:textId="77777777" w:rsidTr="007A2976">
        <w:trPr>
          <w:trHeight w:val="300"/>
          <w:jc w:val="center"/>
        </w:trPr>
        <w:tc>
          <w:tcPr>
            <w:tcW w:w="1960" w:type="dxa"/>
            <w:noWrap/>
            <w:hideMark/>
          </w:tcPr>
          <w:p w14:paraId="73ECB33F"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Batt-NaS</w:t>
            </w:r>
          </w:p>
        </w:tc>
        <w:tc>
          <w:tcPr>
            <w:tcW w:w="1920" w:type="dxa"/>
            <w:noWrap/>
            <w:hideMark/>
          </w:tcPr>
          <w:p w14:paraId="5AA57B76"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0.05-50</w:t>
            </w:r>
          </w:p>
        </w:tc>
        <w:tc>
          <w:tcPr>
            <w:tcW w:w="2920" w:type="dxa"/>
            <w:noWrap/>
            <w:hideMark/>
          </w:tcPr>
          <w:p w14:paraId="197E3636"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hours</w:t>
            </w:r>
          </w:p>
        </w:tc>
        <w:tc>
          <w:tcPr>
            <w:tcW w:w="2200" w:type="dxa"/>
            <w:noWrap/>
            <w:hideMark/>
          </w:tcPr>
          <w:p w14:paraId="19F26F0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600-3000</w:t>
            </w:r>
          </w:p>
        </w:tc>
        <w:tc>
          <w:tcPr>
            <w:tcW w:w="1380" w:type="dxa"/>
            <w:noWrap/>
            <w:hideMark/>
          </w:tcPr>
          <w:p w14:paraId="0499A52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75-90</w:t>
            </w:r>
          </w:p>
        </w:tc>
      </w:tr>
      <w:tr w:rsidR="00F42A51" w:rsidRPr="000E1F7B" w14:paraId="44C6A6F4" w14:textId="77777777" w:rsidTr="007A2976">
        <w:trPr>
          <w:trHeight w:val="300"/>
          <w:jc w:val="center"/>
        </w:trPr>
        <w:tc>
          <w:tcPr>
            <w:tcW w:w="1960" w:type="dxa"/>
            <w:noWrap/>
            <w:hideMark/>
          </w:tcPr>
          <w:p w14:paraId="7D58C916"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Batt-Lead acid</w:t>
            </w:r>
          </w:p>
        </w:tc>
        <w:tc>
          <w:tcPr>
            <w:tcW w:w="1920" w:type="dxa"/>
            <w:noWrap/>
            <w:hideMark/>
          </w:tcPr>
          <w:p w14:paraId="5227397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0-20</w:t>
            </w:r>
          </w:p>
        </w:tc>
        <w:tc>
          <w:tcPr>
            <w:tcW w:w="2920" w:type="dxa"/>
            <w:noWrap/>
            <w:hideMark/>
          </w:tcPr>
          <w:p w14:paraId="45D385F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hours</w:t>
            </w:r>
          </w:p>
        </w:tc>
        <w:tc>
          <w:tcPr>
            <w:tcW w:w="2200" w:type="dxa"/>
            <w:noWrap/>
            <w:hideMark/>
          </w:tcPr>
          <w:p w14:paraId="5EC7D788"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300-800</w:t>
            </w:r>
          </w:p>
        </w:tc>
        <w:tc>
          <w:tcPr>
            <w:tcW w:w="1380" w:type="dxa"/>
            <w:noWrap/>
            <w:hideMark/>
          </w:tcPr>
          <w:p w14:paraId="33A4651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70-80</w:t>
            </w:r>
          </w:p>
        </w:tc>
      </w:tr>
      <w:tr w:rsidR="00F42A51" w:rsidRPr="003D2B93" w14:paraId="11A8706D" w14:textId="77777777" w:rsidTr="007A2976">
        <w:trPr>
          <w:trHeight w:val="300"/>
          <w:jc w:val="center"/>
        </w:trPr>
        <w:tc>
          <w:tcPr>
            <w:tcW w:w="1960" w:type="dxa"/>
            <w:noWrap/>
            <w:hideMark/>
          </w:tcPr>
          <w:p w14:paraId="13FFADB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Batt-NiCd</w:t>
            </w:r>
          </w:p>
        </w:tc>
        <w:tc>
          <w:tcPr>
            <w:tcW w:w="1920" w:type="dxa"/>
            <w:noWrap/>
            <w:hideMark/>
          </w:tcPr>
          <w:p w14:paraId="52B72AF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0-40</w:t>
            </w:r>
          </w:p>
        </w:tc>
        <w:tc>
          <w:tcPr>
            <w:tcW w:w="2920" w:type="dxa"/>
            <w:noWrap/>
            <w:hideMark/>
          </w:tcPr>
          <w:p w14:paraId="57F8A43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hours</w:t>
            </w:r>
          </w:p>
        </w:tc>
        <w:tc>
          <w:tcPr>
            <w:tcW w:w="2200" w:type="dxa"/>
            <w:noWrap/>
            <w:hideMark/>
          </w:tcPr>
          <w:p w14:paraId="78BFD0CD"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500-1500</w:t>
            </w:r>
          </w:p>
        </w:tc>
        <w:tc>
          <w:tcPr>
            <w:tcW w:w="1380" w:type="dxa"/>
            <w:noWrap/>
            <w:hideMark/>
          </w:tcPr>
          <w:p w14:paraId="71BA42F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60-70</w:t>
            </w:r>
          </w:p>
        </w:tc>
      </w:tr>
      <w:tr w:rsidR="00F42A51" w:rsidRPr="000E1F7B" w14:paraId="30F93381" w14:textId="77777777" w:rsidTr="007A2976">
        <w:trPr>
          <w:trHeight w:val="300"/>
          <w:jc w:val="center"/>
        </w:trPr>
        <w:tc>
          <w:tcPr>
            <w:tcW w:w="1960" w:type="dxa"/>
            <w:noWrap/>
            <w:hideMark/>
          </w:tcPr>
          <w:p w14:paraId="05EDC5F7"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Flow-ZnBr</w:t>
            </w:r>
          </w:p>
        </w:tc>
        <w:tc>
          <w:tcPr>
            <w:tcW w:w="1920" w:type="dxa"/>
            <w:noWrap/>
            <w:hideMark/>
          </w:tcPr>
          <w:p w14:paraId="0DD0495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0.05-2</w:t>
            </w:r>
          </w:p>
        </w:tc>
        <w:tc>
          <w:tcPr>
            <w:tcW w:w="2920" w:type="dxa"/>
            <w:noWrap/>
            <w:hideMark/>
          </w:tcPr>
          <w:p w14:paraId="0A9A08FD"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10 hours</w:t>
            </w:r>
          </w:p>
        </w:tc>
        <w:tc>
          <w:tcPr>
            <w:tcW w:w="2200" w:type="dxa"/>
            <w:noWrap/>
            <w:hideMark/>
          </w:tcPr>
          <w:p w14:paraId="525793D9"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600-2500</w:t>
            </w:r>
          </w:p>
        </w:tc>
        <w:tc>
          <w:tcPr>
            <w:tcW w:w="1380" w:type="dxa"/>
            <w:noWrap/>
            <w:hideMark/>
          </w:tcPr>
          <w:p w14:paraId="04CFBFA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65-75</w:t>
            </w:r>
          </w:p>
        </w:tc>
      </w:tr>
      <w:tr w:rsidR="00F42A51" w:rsidRPr="003D2B93" w14:paraId="4A156EAB" w14:textId="77777777" w:rsidTr="007A2976">
        <w:trPr>
          <w:trHeight w:val="300"/>
          <w:jc w:val="center"/>
        </w:trPr>
        <w:tc>
          <w:tcPr>
            <w:tcW w:w="1960" w:type="dxa"/>
            <w:noWrap/>
            <w:hideMark/>
          </w:tcPr>
          <w:p w14:paraId="6339A5A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Flow-VRB</w:t>
            </w:r>
          </w:p>
        </w:tc>
        <w:tc>
          <w:tcPr>
            <w:tcW w:w="1920" w:type="dxa"/>
            <w:noWrap/>
            <w:hideMark/>
          </w:tcPr>
          <w:p w14:paraId="359567BD"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0.03-7</w:t>
            </w:r>
          </w:p>
        </w:tc>
        <w:tc>
          <w:tcPr>
            <w:tcW w:w="2920" w:type="dxa"/>
            <w:noWrap/>
            <w:hideMark/>
          </w:tcPr>
          <w:p w14:paraId="3FB9969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10 hours</w:t>
            </w:r>
          </w:p>
        </w:tc>
        <w:tc>
          <w:tcPr>
            <w:tcW w:w="2200" w:type="dxa"/>
            <w:noWrap/>
            <w:hideMark/>
          </w:tcPr>
          <w:p w14:paraId="4DD35CB9"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600-2500</w:t>
            </w:r>
          </w:p>
        </w:tc>
        <w:tc>
          <w:tcPr>
            <w:tcW w:w="1380" w:type="dxa"/>
            <w:noWrap/>
            <w:hideMark/>
          </w:tcPr>
          <w:p w14:paraId="409909B0"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75-90</w:t>
            </w:r>
          </w:p>
        </w:tc>
      </w:tr>
      <w:tr w:rsidR="00F42A51" w:rsidRPr="000E1F7B" w14:paraId="71E3B878" w14:textId="77777777" w:rsidTr="007A2976">
        <w:trPr>
          <w:trHeight w:val="300"/>
          <w:jc w:val="center"/>
        </w:trPr>
        <w:tc>
          <w:tcPr>
            <w:tcW w:w="1960" w:type="dxa"/>
            <w:noWrap/>
            <w:hideMark/>
          </w:tcPr>
          <w:p w14:paraId="334365C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Flow-PSB</w:t>
            </w:r>
          </w:p>
        </w:tc>
        <w:tc>
          <w:tcPr>
            <w:tcW w:w="1920" w:type="dxa"/>
            <w:noWrap/>
            <w:hideMark/>
          </w:tcPr>
          <w:p w14:paraId="3BA413A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1.0-15</w:t>
            </w:r>
          </w:p>
        </w:tc>
        <w:tc>
          <w:tcPr>
            <w:tcW w:w="2920" w:type="dxa"/>
            <w:noWrap/>
            <w:hideMark/>
          </w:tcPr>
          <w:p w14:paraId="2091D1E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seconds to 10 hours</w:t>
            </w:r>
          </w:p>
        </w:tc>
        <w:tc>
          <w:tcPr>
            <w:tcW w:w="2200" w:type="dxa"/>
            <w:noWrap/>
            <w:hideMark/>
          </w:tcPr>
          <w:p w14:paraId="152DFFD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600-2500</w:t>
            </w:r>
          </w:p>
        </w:tc>
        <w:tc>
          <w:tcPr>
            <w:tcW w:w="1380" w:type="dxa"/>
            <w:noWrap/>
            <w:hideMark/>
          </w:tcPr>
          <w:p w14:paraId="20BC465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60-70</w:t>
            </w:r>
          </w:p>
        </w:tc>
      </w:tr>
      <w:tr w:rsidR="00F42A51" w:rsidRPr="003D2B93" w14:paraId="40818820" w14:textId="77777777" w:rsidTr="007A2976">
        <w:trPr>
          <w:trHeight w:val="300"/>
          <w:jc w:val="center"/>
        </w:trPr>
        <w:tc>
          <w:tcPr>
            <w:tcW w:w="1960" w:type="dxa"/>
            <w:noWrap/>
            <w:hideMark/>
          </w:tcPr>
          <w:p w14:paraId="4828C243"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Metal-air</w:t>
            </w:r>
          </w:p>
        </w:tc>
        <w:tc>
          <w:tcPr>
            <w:tcW w:w="1920" w:type="dxa"/>
            <w:noWrap/>
            <w:hideMark/>
          </w:tcPr>
          <w:p w14:paraId="5EB1691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0-0.01</w:t>
            </w:r>
          </w:p>
        </w:tc>
        <w:tc>
          <w:tcPr>
            <w:tcW w:w="2920" w:type="dxa"/>
            <w:noWrap/>
            <w:hideMark/>
          </w:tcPr>
          <w:p w14:paraId="571A8980"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r w:rsidRPr="003D2B93">
              <w:rPr>
                <w:rFonts w:ascii="Times New Roman" w:eastAsia="Times New Roman" w:hAnsi="Times New Roman"/>
                <w:color w:val="000000"/>
                <w:lang w:val="en-US" w:eastAsia="es-PY"/>
              </w:rPr>
              <w:t>seconds to 24 hours and more</w:t>
            </w:r>
          </w:p>
        </w:tc>
        <w:tc>
          <w:tcPr>
            <w:tcW w:w="2200" w:type="dxa"/>
            <w:noWrap/>
            <w:hideMark/>
          </w:tcPr>
          <w:p w14:paraId="3019D907"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100-250</w:t>
            </w:r>
          </w:p>
        </w:tc>
        <w:tc>
          <w:tcPr>
            <w:tcW w:w="1380" w:type="dxa"/>
            <w:noWrap/>
            <w:hideMark/>
          </w:tcPr>
          <w:p w14:paraId="6AA7C01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30-50</w:t>
            </w:r>
          </w:p>
        </w:tc>
      </w:tr>
      <w:tr w:rsidR="00F42A51" w:rsidRPr="000E1F7B" w14:paraId="3861589A" w14:textId="77777777" w:rsidTr="007A2976">
        <w:trPr>
          <w:trHeight w:val="300"/>
          <w:jc w:val="center"/>
        </w:trPr>
        <w:tc>
          <w:tcPr>
            <w:tcW w:w="1960" w:type="dxa"/>
            <w:noWrap/>
            <w:hideMark/>
          </w:tcPr>
          <w:p w14:paraId="445015E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 xml:space="preserve">Fuel cells </w:t>
            </w:r>
          </w:p>
        </w:tc>
        <w:tc>
          <w:tcPr>
            <w:tcW w:w="1920" w:type="dxa"/>
            <w:noWrap/>
            <w:hideMark/>
          </w:tcPr>
          <w:p w14:paraId="4F66314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0-50</w:t>
            </w:r>
          </w:p>
        </w:tc>
        <w:tc>
          <w:tcPr>
            <w:tcW w:w="2920" w:type="dxa"/>
            <w:noWrap/>
            <w:hideMark/>
          </w:tcPr>
          <w:p w14:paraId="1E7DB7F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r w:rsidRPr="003D2B93">
              <w:rPr>
                <w:rFonts w:ascii="Times New Roman" w:eastAsia="Times New Roman" w:hAnsi="Times New Roman"/>
                <w:color w:val="000000"/>
                <w:lang w:val="en-US" w:eastAsia="es-PY"/>
              </w:rPr>
              <w:t>seconds to 24 hours and more</w:t>
            </w:r>
          </w:p>
        </w:tc>
        <w:tc>
          <w:tcPr>
            <w:tcW w:w="2200" w:type="dxa"/>
            <w:noWrap/>
            <w:hideMark/>
          </w:tcPr>
          <w:p w14:paraId="5806DDD6"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p>
        </w:tc>
        <w:tc>
          <w:tcPr>
            <w:tcW w:w="1380" w:type="dxa"/>
            <w:noWrap/>
            <w:hideMark/>
          </w:tcPr>
          <w:p w14:paraId="1A793E8D"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20-50</w:t>
            </w:r>
          </w:p>
        </w:tc>
      </w:tr>
      <w:tr w:rsidR="00F42A51" w:rsidRPr="003D2B93" w14:paraId="13C04F67" w14:textId="77777777" w:rsidTr="007A2976">
        <w:trPr>
          <w:trHeight w:val="300"/>
          <w:jc w:val="center"/>
        </w:trPr>
        <w:tc>
          <w:tcPr>
            <w:tcW w:w="1960" w:type="dxa"/>
            <w:noWrap/>
            <w:hideMark/>
          </w:tcPr>
          <w:p w14:paraId="0990DA53"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Batt-Li-ion</w:t>
            </w:r>
          </w:p>
        </w:tc>
        <w:tc>
          <w:tcPr>
            <w:tcW w:w="1920" w:type="dxa"/>
            <w:noWrap/>
            <w:hideMark/>
          </w:tcPr>
          <w:p w14:paraId="1514557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0-0.1</w:t>
            </w:r>
          </w:p>
        </w:tc>
        <w:tc>
          <w:tcPr>
            <w:tcW w:w="2920" w:type="dxa"/>
            <w:noWrap/>
            <w:hideMark/>
          </w:tcPr>
          <w:p w14:paraId="4820136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minutes to hours</w:t>
            </w:r>
          </w:p>
        </w:tc>
        <w:tc>
          <w:tcPr>
            <w:tcW w:w="2200" w:type="dxa"/>
            <w:noWrap/>
            <w:hideMark/>
          </w:tcPr>
          <w:p w14:paraId="1195D18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1200-4000</w:t>
            </w:r>
          </w:p>
        </w:tc>
        <w:tc>
          <w:tcPr>
            <w:tcW w:w="1380" w:type="dxa"/>
            <w:noWrap/>
            <w:hideMark/>
          </w:tcPr>
          <w:p w14:paraId="3B930F57"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85-100</w:t>
            </w:r>
          </w:p>
        </w:tc>
      </w:tr>
      <w:tr w:rsidR="00F42A51" w:rsidRPr="000E1F7B" w14:paraId="6F738ADB" w14:textId="77777777" w:rsidTr="007A2976">
        <w:trPr>
          <w:trHeight w:val="300"/>
          <w:jc w:val="center"/>
        </w:trPr>
        <w:tc>
          <w:tcPr>
            <w:tcW w:w="1960" w:type="dxa"/>
            <w:noWrap/>
            <w:hideMark/>
          </w:tcPr>
          <w:p w14:paraId="53B2F13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AL-TES</w:t>
            </w:r>
          </w:p>
        </w:tc>
        <w:tc>
          <w:tcPr>
            <w:tcW w:w="1920" w:type="dxa"/>
            <w:noWrap/>
            <w:hideMark/>
          </w:tcPr>
          <w:p w14:paraId="12DDB4A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0-5</w:t>
            </w:r>
          </w:p>
        </w:tc>
        <w:tc>
          <w:tcPr>
            <w:tcW w:w="2920" w:type="dxa"/>
            <w:noWrap/>
            <w:hideMark/>
          </w:tcPr>
          <w:p w14:paraId="5E6888C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1h to 8 hours</w:t>
            </w:r>
          </w:p>
        </w:tc>
        <w:tc>
          <w:tcPr>
            <w:tcW w:w="2200" w:type="dxa"/>
            <w:noWrap/>
            <w:hideMark/>
          </w:tcPr>
          <w:p w14:paraId="6B53AB15"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p>
        </w:tc>
        <w:tc>
          <w:tcPr>
            <w:tcW w:w="1380" w:type="dxa"/>
            <w:noWrap/>
            <w:hideMark/>
          </w:tcPr>
          <w:p w14:paraId="03D72358"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40-60</w:t>
            </w:r>
          </w:p>
        </w:tc>
      </w:tr>
      <w:tr w:rsidR="00F42A51" w:rsidRPr="003D2B93" w14:paraId="1D394BFE" w14:textId="77777777" w:rsidTr="007A2976">
        <w:trPr>
          <w:trHeight w:val="300"/>
          <w:jc w:val="center"/>
        </w:trPr>
        <w:tc>
          <w:tcPr>
            <w:tcW w:w="1960" w:type="dxa"/>
            <w:noWrap/>
            <w:hideMark/>
          </w:tcPr>
          <w:p w14:paraId="3EA2F3FC"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CES</w:t>
            </w:r>
          </w:p>
        </w:tc>
        <w:tc>
          <w:tcPr>
            <w:tcW w:w="1920" w:type="dxa"/>
            <w:noWrap/>
            <w:hideMark/>
          </w:tcPr>
          <w:p w14:paraId="0C76F147"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0.1-300</w:t>
            </w:r>
          </w:p>
        </w:tc>
        <w:tc>
          <w:tcPr>
            <w:tcW w:w="2920" w:type="dxa"/>
            <w:noWrap/>
            <w:hideMark/>
          </w:tcPr>
          <w:p w14:paraId="4A12E56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1h to 8 hours</w:t>
            </w:r>
          </w:p>
        </w:tc>
        <w:tc>
          <w:tcPr>
            <w:tcW w:w="2200" w:type="dxa"/>
            <w:noWrap/>
            <w:hideMark/>
          </w:tcPr>
          <w:p w14:paraId="51F71ACC"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200-300</w:t>
            </w:r>
          </w:p>
        </w:tc>
        <w:tc>
          <w:tcPr>
            <w:tcW w:w="1380" w:type="dxa"/>
            <w:noWrap/>
            <w:hideMark/>
          </w:tcPr>
          <w:p w14:paraId="0FCBEC6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40-50</w:t>
            </w:r>
          </w:p>
        </w:tc>
      </w:tr>
      <w:tr w:rsidR="00F42A51" w:rsidRPr="000E1F7B" w14:paraId="0A78BD81" w14:textId="77777777" w:rsidTr="007A2976">
        <w:trPr>
          <w:trHeight w:val="300"/>
          <w:jc w:val="center"/>
        </w:trPr>
        <w:tc>
          <w:tcPr>
            <w:tcW w:w="1960" w:type="dxa"/>
            <w:noWrap/>
            <w:hideMark/>
          </w:tcPr>
          <w:p w14:paraId="3A250C9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Solar fuel</w:t>
            </w:r>
          </w:p>
        </w:tc>
        <w:tc>
          <w:tcPr>
            <w:tcW w:w="1920" w:type="dxa"/>
            <w:noWrap/>
            <w:hideMark/>
          </w:tcPr>
          <w:p w14:paraId="3A5FE07B"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0-10</w:t>
            </w:r>
          </w:p>
        </w:tc>
        <w:tc>
          <w:tcPr>
            <w:tcW w:w="2920" w:type="dxa"/>
            <w:noWrap/>
            <w:hideMark/>
          </w:tcPr>
          <w:p w14:paraId="0B33A54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r w:rsidRPr="003D2B93">
              <w:rPr>
                <w:rFonts w:ascii="Times New Roman" w:eastAsia="Times New Roman" w:hAnsi="Times New Roman"/>
                <w:color w:val="000000"/>
                <w:lang w:val="en-US" w:eastAsia="es-PY"/>
              </w:rPr>
              <w:t>1h to 24 hours and more</w:t>
            </w:r>
          </w:p>
        </w:tc>
        <w:tc>
          <w:tcPr>
            <w:tcW w:w="2200" w:type="dxa"/>
            <w:noWrap/>
            <w:hideMark/>
          </w:tcPr>
          <w:p w14:paraId="575953E9"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p>
        </w:tc>
        <w:tc>
          <w:tcPr>
            <w:tcW w:w="1380" w:type="dxa"/>
            <w:noWrap/>
            <w:hideMark/>
          </w:tcPr>
          <w:p w14:paraId="18F502C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20-30</w:t>
            </w:r>
          </w:p>
        </w:tc>
      </w:tr>
      <w:tr w:rsidR="00F42A51" w:rsidRPr="003D2B93" w14:paraId="44BDD5AA" w14:textId="77777777" w:rsidTr="007A2976">
        <w:trPr>
          <w:trHeight w:val="300"/>
          <w:jc w:val="center"/>
        </w:trPr>
        <w:tc>
          <w:tcPr>
            <w:tcW w:w="1960" w:type="dxa"/>
            <w:noWrap/>
            <w:hideMark/>
          </w:tcPr>
          <w:p w14:paraId="550AA13A"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HT-TES</w:t>
            </w:r>
          </w:p>
        </w:tc>
        <w:tc>
          <w:tcPr>
            <w:tcW w:w="1920" w:type="dxa"/>
            <w:noWrap/>
            <w:hideMark/>
          </w:tcPr>
          <w:p w14:paraId="13D82416"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0-60</w:t>
            </w:r>
          </w:p>
        </w:tc>
        <w:tc>
          <w:tcPr>
            <w:tcW w:w="2920" w:type="dxa"/>
            <w:noWrap/>
            <w:hideMark/>
          </w:tcPr>
          <w:p w14:paraId="65ED16B0"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r w:rsidRPr="003D2B93">
              <w:rPr>
                <w:rFonts w:ascii="Times New Roman" w:eastAsia="Times New Roman" w:hAnsi="Times New Roman"/>
                <w:color w:val="000000"/>
                <w:lang w:val="en-US" w:eastAsia="es-PY"/>
              </w:rPr>
              <w:t>1h to 24 hours and more</w:t>
            </w:r>
          </w:p>
        </w:tc>
        <w:tc>
          <w:tcPr>
            <w:tcW w:w="2200" w:type="dxa"/>
            <w:noWrap/>
            <w:hideMark/>
          </w:tcPr>
          <w:p w14:paraId="538C4EB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p>
        </w:tc>
        <w:tc>
          <w:tcPr>
            <w:tcW w:w="1380" w:type="dxa"/>
            <w:noWrap/>
            <w:hideMark/>
          </w:tcPr>
          <w:p w14:paraId="48B4376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30-60</w:t>
            </w:r>
          </w:p>
        </w:tc>
      </w:tr>
      <w:tr w:rsidR="00F42A51" w:rsidRPr="000E1F7B" w14:paraId="64836EDC" w14:textId="77777777" w:rsidTr="007A2976">
        <w:trPr>
          <w:trHeight w:val="300"/>
          <w:jc w:val="center"/>
        </w:trPr>
        <w:tc>
          <w:tcPr>
            <w:tcW w:w="1960" w:type="dxa"/>
            <w:noWrap/>
            <w:hideMark/>
          </w:tcPr>
          <w:p w14:paraId="41BAA889"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CAES</w:t>
            </w:r>
          </w:p>
        </w:tc>
        <w:tc>
          <w:tcPr>
            <w:tcW w:w="1920" w:type="dxa"/>
            <w:noWrap/>
            <w:hideMark/>
          </w:tcPr>
          <w:p w14:paraId="30E05814"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5-300</w:t>
            </w:r>
          </w:p>
        </w:tc>
        <w:tc>
          <w:tcPr>
            <w:tcW w:w="2920" w:type="dxa"/>
            <w:noWrap/>
            <w:hideMark/>
          </w:tcPr>
          <w:p w14:paraId="299FB59C"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r w:rsidRPr="003D2B93">
              <w:rPr>
                <w:rFonts w:ascii="Times New Roman" w:eastAsia="Times New Roman" w:hAnsi="Times New Roman"/>
                <w:color w:val="000000"/>
                <w:lang w:val="en-US" w:eastAsia="es-PY"/>
              </w:rPr>
              <w:t>1h to 24 hours and more</w:t>
            </w:r>
          </w:p>
        </w:tc>
        <w:tc>
          <w:tcPr>
            <w:tcW w:w="2200" w:type="dxa"/>
            <w:noWrap/>
            <w:hideMark/>
          </w:tcPr>
          <w:p w14:paraId="6F06D9F1"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400-1350</w:t>
            </w:r>
          </w:p>
        </w:tc>
        <w:tc>
          <w:tcPr>
            <w:tcW w:w="1380" w:type="dxa"/>
            <w:noWrap/>
            <w:hideMark/>
          </w:tcPr>
          <w:p w14:paraId="74E3DC32"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70-80</w:t>
            </w:r>
          </w:p>
        </w:tc>
      </w:tr>
      <w:tr w:rsidR="00F42A51" w:rsidRPr="000E1F7B" w14:paraId="0F2E17AD" w14:textId="77777777" w:rsidTr="007A2976">
        <w:trPr>
          <w:trHeight w:val="300"/>
          <w:jc w:val="center"/>
        </w:trPr>
        <w:tc>
          <w:tcPr>
            <w:tcW w:w="1960" w:type="dxa"/>
            <w:noWrap/>
            <w:hideMark/>
          </w:tcPr>
          <w:p w14:paraId="2140E223"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PHS</w:t>
            </w:r>
          </w:p>
        </w:tc>
        <w:tc>
          <w:tcPr>
            <w:tcW w:w="1920" w:type="dxa"/>
            <w:noWrap/>
            <w:hideMark/>
          </w:tcPr>
          <w:p w14:paraId="513027FD"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100-5000</w:t>
            </w:r>
          </w:p>
        </w:tc>
        <w:tc>
          <w:tcPr>
            <w:tcW w:w="2920" w:type="dxa"/>
            <w:noWrap/>
            <w:hideMark/>
          </w:tcPr>
          <w:p w14:paraId="3F7AF57E"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n-US" w:eastAsia="es-PY"/>
              </w:rPr>
            </w:pPr>
            <w:r w:rsidRPr="003D2B93">
              <w:rPr>
                <w:rFonts w:ascii="Times New Roman" w:eastAsia="Times New Roman" w:hAnsi="Times New Roman"/>
                <w:color w:val="000000"/>
                <w:lang w:val="en-US" w:eastAsia="es-PY"/>
              </w:rPr>
              <w:t>1h to 24 hours and more</w:t>
            </w:r>
          </w:p>
        </w:tc>
        <w:tc>
          <w:tcPr>
            <w:tcW w:w="2200" w:type="dxa"/>
            <w:noWrap/>
            <w:hideMark/>
          </w:tcPr>
          <w:p w14:paraId="6B28C1C8"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600-2000</w:t>
            </w:r>
          </w:p>
        </w:tc>
        <w:tc>
          <w:tcPr>
            <w:tcW w:w="1380" w:type="dxa"/>
            <w:noWrap/>
            <w:hideMark/>
          </w:tcPr>
          <w:p w14:paraId="159EFBC9" w14:textId="77777777" w:rsidR="00F42A51" w:rsidRPr="003D2B93" w:rsidRDefault="00F42A51" w:rsidP="007A2976">
            <w:pPr>
              <w:suppressAutoHyphens w:val="0"/>
              <w:autoSpaceDN/>
              <w:jc w:val="center"/>
              <w:textAlignment w:val="auto"/>
              <w:rPr>
                <w:rFonts w:ascii="Times New Roman" w:eastAsia="Times New Roman" w:hAnsi="Times New Roman"/>
                <w:color w:val="000000"/>
                <w:lang w:val="es-PY" w:eastAsia="es-PY"/>
              </w:rPr>
            </w:pPr>
            <w:r w:rsidRPr="003D2B93">
              <w:rPr>
                <w:rFonts w:ascii="Times New Roman" w:eastAsia="Times New Roman" w:hAnsi="Times New Roman"/>
                <w:color w:val="000000"/>
                <w:lang w:val="es-PY" w:eastAsia="es-PY"/>
              </w:rPr>
              <w:t>70-85</w:t>
            </w:r>
          </w:p>
        </w:tc>
      </w:tr>
    </w:tbl>
    <w:p w14:paraId="764F1086" w14:textId="77777777" w:rsidR="00F42A51" w:rsidRPr="00F42A51" w:rsidRDefault="00F42A51" w:rsidP="00F42A51">
      <w:pPr>
        <w:pStyle w:val="ListParagraph"/>
        <w:spacing w:after="200" w:line="360" w:lineRule="auto"/>
        <w:ind w:left="360"/>
        <w:rPr>
          <w:lang w:val="en-US"/>
        </w:rPr>
      </w:pPr>
    </w:p>
    <w:p w14:paraId="43D333E9" w14:textId="25925BBD" w:rsidR="006E4CF7" w:rsidRPr="006E4CF7" w:rsidRDefault="00996052" w:rsidP="006E4CF7">
      <w:pPr>
        <w:spacing w:after="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D</w:t>
      </w:r>
      <w:r w:rsidR="006E4CF7" w:rsidRPr="006E4CF7">
        <w:rPr>
          <w:rFonts w:ascii="Times New Roman" w:eastAsia="Times New Roman" w:hAnsi="Times New Roman"/>
          <w:lang w:val="en-US" w:eastAsia="en-GB"/>
        </w:rPr>
        <w:t xml:space="preserve">istributed solar PV-battery systems </w:t>
      </w:r>
      <w:r>
        <w:rPr>
          <w:rFonts w:ascii="Times New Roman" w:eastAsia="Times New Roman" w:hAnsi="Times New Roman"/>
          <w:lang w:val="en-US" w:eastAsia="en-GB"/>
        </w:rPr>
        <w:t xml:space="preserve">are installed </w:t>
      </w:r>
      <w:r w:rsidR="006E4CF7" w:rsidRPr="006E4CF7">
        <w:rPr>
          <w:rFonts w:ascii="Times New Roman" w:eastAsia="Times New Roman" w:hAnsi="Times New Roman"/>
          <w:lang w:val="en-US" w:eastAsia="en-GB"/>
        </w:rPr>
        <w:t xml:space="preserve">for </w:t>
      </w:r>
      <w:r>
        <w:rPr>
          <w:rFonts w:ascii="Times New Roman" w:eastAsia="Times New Roman" w:hAnsi="Times New Roman"/>
          <w:lang w:val="en-US" w:eastAsia="en-GB"/>
        </w:rPr>
        <w:t xml:space="preserve">many reasons, these can be altruistic rather an economic and/or relate to achieving local security of supply.  </w:t>
      </w:r>
      <w:r w:rsidR="006E4CF7" w:rsidRPr="006E4CF7">
        <w:rPr>
          <w:rFonts w:ascii="Times New Roman" w:eastAsia="Times New Roman" w:hAnsi="Times New Roman"/>
          <w:lang w:val="en-US" w:eastAsia="en-GB"/>
        </w:rPr>
        <w:t xml:space="preserve">PV-battery systems can immediately </w:t>
      </w:r>
      <w:r>
        <w:rPr>
          <w:rFonts w:ascii="Times New Roman" w:eastAsia="Times New Roman" w:hAnsi="Times New Roman"/>
          <w:lang w:val="en-US" w:eastAsia="en-GB"/>
        </w:rPr>
        <w:t xml:space="preserve">provide </w:t>
      </w:r>
      <w:r w:rsidR="006E4CF7" w:rsidRPr="006E4CF7">
        <w:rPr>
          <w:rFonts w:ascii="Times New Roman" w:eastAsia="Times New Roman" w:hAnsi="Times New Roman"/>
          <w:lang w:val="en-US" w:eastAsia="en-GB"/>
        </w:rPr>
        <w:t xml:space="preserve">lower electricity bills </w:t>
      </w:r>
      <w:r>
        <w:rPr>
          <w:rFonts w:ascii="Times New Roman" w:eastAsia="Times New Roman" w:hAnsi="Times New Roman"/>
          <w:lang w:val="en-US" w:eastAsia="en-GB"/>
        </w:rPr>
        <w:t>where</w:t>
      </w:r>
      <w:r w:rsidR="006E4CF7" w:rsidRPr="006E4CF7">
        <w:rPr>
          <w:rFonts w:ascii="Times New Roman" w:eastAsia="Times New Roman" w:hAnsi="Times New Roman"/>
          <w:lang w:val="en-US" w:eastAsia="en-GB"/>
        </w:rPr>
        <w:t xml:space="preserve"> favorable policies, including net metering, feed-in tariffs, tax credits, and particular rate structures</w:t>
      </w:r>
      <w:r>
        <w:rPr>
          <w:rFonts w:ascii="Times New Roman" w:eastAsia="Times New Roman" w:hAnsi="Times New Roman"/>
          <w:lang w:val="en-US" w:eastAsia="en-GB"/>
        </w:rPr>
        <w:t xml:space="preserve"> </w:t>
      </w:r>
      <w:r w:rsidR="00C148D7">
        <w:rPr>
          <w:rFonts w:ascii="Times New Roman" w:eastAsia="Times New Roman" w:hAnsi="Times New Roman"/>
          <w:lang w:val="en-US" w:eastAsia="en-GB"/>
        </w:rPr>
        <w:t>are in place</w:t>
      </w:r>
      <w:r w:rsidR="006E4CF7" w:rsidRPr="006E4CF7">
        <w:rPr>
          <w:rFonts w:ascii="Times New Roman" w:eastAsia="Times New Roman" w:hAnsi="Times New Roman"/>
          <w:lang w:val="en-US" w:eastAsia="en-GB"/>
        </w:rPr>
        <w:t xml:space="preserve">. </w:t>
      </w:r>
    </w:p>
    <w:p w14:paraId="187B3E26" w14:textId="0A13063A" w:rsidR="006E4CF7" w:rsidRPr="006E4CF7" w:rsidRDefault="006E4CF7" w:rsidP="006E4CF7">
      <w:pPr>
        <w:spacing w:after="0" w:line="360" w:lineRule="auto"/>
        <w:jc w:val="both"/>
        <w:rPr>
          <w:rFonts w:ascii="Times New Roman" w:eastAsia="Times New Roman" w:hAnsi="Times New Roman"/>
          <w:lang w:val="en-US" w:eastAsia="en-GB"/>
        </w:rPr>
      </w:pPr>
      <w:r w:rsidRPr="006E4CF7">
        <w:rPr>
          <w:rFonts w:ascii="Times New Roman" w:eastAsia="Times New Roman" w:hAnsi="Times New Roman"/>
          <w:lang w:val="en-US" w:eastAsia="en-GB"/>
        </w:rPr>
        <w:t>PV-battery systems can confer societal benefits, particularly the reduction of CO</w:t>
      </w:r>
      <w:r w:rsidRPr="004F03A9">
        <w:rPr>
          <w:rFonts w:ascii="Times New Roman" w:eastAsia="Times New Roman" w:hAnsi="Times New Roman"/>
          <w:vertAlign w:val="subscript"/>
          <w:lang w:val="en-US" w:eastAsia="en-GB"/>
        </w:rPr>
        <w:t>2</w:t>
      </w:r>
      <w:r w:rsidRPr="006E4CF7">
        <w:rPr>
          <w:rFonts w:ascii="Times New Roman" w:eastAsia="Times New Roman" w:hAnsi="Times New Roman"/>
          <w:lang w:val="en-US" w:eastAsia="en-GB"/>
        </w:rPr>
        <w:t xml:space="preserve"> emissions. Solar PV reduces system level CO</w:t>
      </w:r>
      <w:r w:rsidRPr="004F03A9">
        <w:rPr>
          <w:rFonts w:ascii="Times New Roman" w:eastAsia="Times New Roman" w:hAnsi="Times New Roman"/>
          <w:vertAlign w:val="subscript"/>
          <w:lang w:val="en-US" w:eastAsia="en-GB"/>
        </w:rPr>
        <w:t>2</w:t>
      </w:r>
      <w:r w:rsidRPr="006E4CF7">
        <w:rPr>
          <w:rFonts w:ascii="Times New Roman" w:eastAsia="Times New Roman" w:hAnsi="Times New Roman"/>
          <w:lang w:val="en-US" w:eastAsia="en-GB"/>
        </w:rPr>
        <w:t xml:space="preserve"> emissions if it offsets generation from fossil fuels. CO</w:t>
      </w:r>
      <w:r w:rsidRPr="004F03A9">
        <w:rPr>
          <w:rFonts w:ascii="Times New Roman" w:eastAsia="Times New Roman" w:hAnsi="Times New Roman"/>
          <w:vertAlign w:val="subscript"/>
          <w:lang w:val="en-US" w:eastAsia="en-GB"/>
        </w:rPr>
        <w:t>2</w:t>
      </w:r>
      <w:r w:rsidRPr="006E4CF7">
        <w:rPr>
          <w:rFonts w:ascii="Times New Roman" w:eastAsia="Times New Roman" w:hAnsi="Times New Roman"/>
          <w:lang w:val="en-US" w:eastAsia="en-GB"/>
        </w:rPr>
        <w:t xml:space="preserve"> reduction benefits are an important motivator for many customers installing PV systems, even though the benefits accrue to society at large. In addition, PV-battery systems can provide grid-level benefits that improve the overall efficiency of the electricity grid and reduce system-level costs</w:t>
      </w:r>
      <w:r w:rsidR="0095132B">
        <w:rPr>
          <w:rFonts w:ascii="Times New Roman" w:eastAsia="Times New Roman" w:hAnsi="Times New Roman"/>
          <w:lang w:val="en-US" w:eastAsia="en-GB"/>
        </w:rPr>
        <w:t xml:space="preserve"> </w:t>
      </w:r>
      <w:r w:rsidR="0095132B">
        <w:rPr>
          <w:rFonts w:ascii="Times New Roman" w:eastAsia="Times New Roman" w:hAnsi="Times New Roman"/>
          <w:lang w:val="en-US" w:eastAsia="en-GB"/>
        </w:rPr>
        <w:fldChar w:fldCharType="begin" w:fldLock="1"/>
      </w:r>
      <w:r w:rsidR="0095132B">
        <w:rPr>
          <w:rFonts w:ascii="Times New Roman" w:eastAsia="Times New Roman" w:hAnsi="Times New Roman"/>
          <w:lang w:val="en-US" w:eastAsia="en-GB"/>
        </w:rPr>
        <w:instrText>ADDIN CSL_CITATION { "citationItems" : [ { "id" : "ITEM-1", "itemData" : { "DOI" : "10.1016/j.jup.2017.03.004", "ISSN" : "09571787", "abstract" : "The advent of low-cost solar photovoltaics (PV) and battery electricity storage has the potential to bring about fundamental shifts in the structure of the power sector in the United States. We analyze how PV-battery systems of various sizes could reduce the dependence of residential customers on the central grid and their impact on CO2 emissions. We further analyze how the costs of such systems change as customers attempt to decrease their dependence on the grid, considering the installed cost of PV-battery systems and the cost of electricity under a net-energy metered rate structure. We analyze these relationships for residential customers in five locations across the U.S. We find that fully disconnecting from the grid with a PV-battery system is impractical for most residential customers without also having dispatchable backup generation. Finally, we estimate how the economics of behind-the-meter PV-battery systems may change if the costs of PV systems continue to fall.", "author" : [ { "dropping-particle" : "", "family" : "Hanser", "given" : "Philip", "non-dropping-particle" : "", "parse-names" : false, "suffix" : "" }, { "dropping-particle" : "", "family" : "Lueken", "given" : "Roger", "non-dropping-particle" : "", "parse-names" : false, "suffix" : "" }, { "dropping-particle" : "", "family" : "Gorman", "given" : "Will", "non-dropping-particle" : "", "parse-names" : false, "suffix" : "" }, { "dropping-particle" : "", "family" : "Mashal", "given" : "James", "non-dropping-particle" : "", "parse-names" : false, "suffix" : "" } ], "container-title" : "Utilities Policy", "id" : "ITEM-1", "issued" : { "date-parts" : [ [ "2017" ] ] }, "page" : "22-32", "title" : "The practicality of distributed PV-battery systems to reduce household grid reliance", "type" : "article-journal", "volume" : "46" }, "uris" : [ "http://www.mendeley.com/documents/?uuid=8a6fb1a7-79a7-43fc-9909-70fbcb5d687a" ] } ], "mendeley" : { "formattedCitation" : "(Hanser, Lueken, Gorman, &amp; Mashal, 2017)", "plainTextFormattedCitation" : "(Hanser, Lueken, Gorman, &amp; Mashal, 2017)", "previouslyFormattedCitation" : "(Hanser, Lueken, Gorman, &amp; Mashal, 2017)" }, "properties" : { "noteIndex" : 0 }, "schema" : "https://github.com/citation-style-language/schema/raw/master/csl-citation.json" }</w:instrText>
      </w:r>
      <w:r w:rsidR="0095132B">
        <w:rPr>
          <w:rFonts w:ascii="Times New Roman" w:eastAsia="Times New Roman" w:hAnsi="Times New Roman"/>
          <w:lang w:val="en-US" w:eastAsia="en-GB"/>
        </w:rPr>
        <w:fldChar w:fldCharType="separate"/>
      </w:r>
      <w:r w:rsidR="0095132B" w:rsidRPr="0095132B">
        <w:rPr>
          <w:rFonts w:ascii="Times New Roman" w:eastAsia="Times New Roman" w:hAnsi="Times New Roman"/>
          <w:noProof/>
          <w:lang w:val="en-US" w:eastAsia="en-GB"/>
        </w:rPr>
        <w:t xml:space="preserve">(Hanser, </w:t>
      </w:r>
      <w:r w:rsidR="00D00034">
        <w:rPr>
          <w:rFonts w:ascii="Times New Roman" w:eastAsia="Times New Roman" w:hAnsi="Times New Roman"/>
          <w:noProof/>
          <w:lang w:val="en-US" w:eastAsia="en-GB"/>
        </w:rPr>
        <w:t>et al</w:t>
      </w:r>
      <w:r w:rsidR="0095132B" w:rsidRPr="0095132B">
        <w:rPr>
          <w:rFonts w:ascii="Times New Roman" w:eastAsia="Times New Roman" w:hAnsi="Times New Roman"/>
          <w:noProof/>
          <w:lang w:val="en-US" w:eastAsia="en-GB"/>
        </w:rPr>
        <w:t>, 2017)</w:t>
      </w:r>
      <w:r w:rsidR="0095132B">
        <w:rPr>
          <w:rFonts w:ascii="Times New Roman" w:eastAsia="Times New Roman" w:hAnsi="Times New Roman"/>
          <w:lang w:val="en-US" w:eastAsia="en-GB"/>
        </w:rPr>
        <w:fldChar w:fldCharType="end"/>
      </w:r>
      <w:r w:rsidRPr="006E4CF7">
        <w:rPr>
          <w:rFonts w:ascii="Times New Roman" w:eastAsia="Times New Roman" w:hAnsi="Times New Roman"/>
          <w:lang w:val="en-US" w:eastAsia="en-GB"/>
        </w:rPr>
        <w:t>.</w:t>
      </w:r>
    </w:p>
    <w:p w14:paraId="0B8EE0AA" w14:textId="0F45EEA4" w:rsidR="00F42A51" w:rsidRDefault="006E4CF7" w:rsidP="00F42A51">
      <w:pPr>
        <w:spacing w:after="0" w:line="360" w:lineRule="auto"/>
        <w:jc w:val="both"/>
        <w:rPr>
          <w:rFonts w:ascii="Times New Roman" w:eastAsia="Times New Roman" w:hAnsi="Times New Roman"/>
          <w:lang w:val="en-US" w:eastAsia="en-GB"/>
        </w:rPr>
      </w:pPr>
      <w:r w:rsidRPr="006E4CF7">
        <w:rPr>
          <w:rFonts w:ascii="Times New Roman" w:eastAsia="Times New Roman" w:hAnsi="Times New Roman"/>
          <w:lang w:val="en-US" w:eastAsia="en-GB"/>
        </w:rPr>
        <w:t>Benefits of PV-battery systems include the ability</w:t>
      </w:r>
      <w:r w:rsidR="00D00034">
        <w:rPr>
          <w:rFonts w:ascii="Times New Roman" w:eastAsia="Times New Roman" w:hAnsi="Times New Roman"/>
          <w:lang w:val="en-US" w:eastAsia="en-GB"/>
        </w:rPr>
        <w:t xml:space="preserve"> of pv generated electricity to be used to</w:t>
      </w:r>
      <w:r w:rsidRPr="006E4CF7">
        <w:rPr>
          <w:rFonts w:ascii="Times New Roman" w:eastAsia="Times New Roman" w:hAnsi="Times New Roman"/>
          <w:lang w:val="en-US" w:eastAsia="en-GB"/>
        </w:rPr>
        <w:t xml:space="preserve">: </w:t>
      </w:r>
    </w:p>
    <w:p w14:paraId="785CD0E8" w14:textId="4C978BFF" w:rsidR="00F42A51" w:rsidRPr="006E4CF7" w:rsidRDefault="00F42A51" w:rsidP="003B24EF">
      <w:pPr>
        <w:pStyle w:val="ListParagraph"/>
        <w:numPr>
          <w:ilvl w:val="0"/>
          <w:numId w:val="8"/>
        </w:numPr>
        <w:spacing w:line="360" w:lineRule="auto"/>
        <w:jc w:val="both"/>
        <w:rPr>
          <w:sz w:val="22"/>
          <w:szCs w:val="22"/>
          <w:lang w:val="en-US"/>
        </w:rPr>
      </w:pPr>
      <w:r w:rsidRPr="006E4CF7">
        <w:rPr>
          <w:sz w:val="22"/>
          <w:szCs w:val="22"/>
          <w:lang w:val="en-US"/>
        </w:rPr>
        <w:t xml:space="preserve">offset generation from more expensive </w:t>
      </w:r>
      <w:r w:rsidR="00A9126D">
        <w:rPr>
          <w:sz w:val="22"/>
          <w:szCs w:val="22"/>
          <w:lang w:val="en-US"/>
        </w:rPr>
        <w:t>generators</w:t>
      </w:r>
      <w:r w:rsidRPr="006E4CF7">
        <w:rPr>
          <w:sz w:val="22"/>
          <w:szCs w:val="22"/>
          <w:lang w:val="en-US"/>
        </w:rPr>
        <w:t xml:space="preserve">; </w:t>
      </w:r>
    </w:p>
    <w:p w14:paraId="1BC75D1A" w14:textId="01475A7A" w:rsidR="00F42A51" w:rsidRPr="006E4CF7" w:rsidRDefault="00F42A51" w:rsidP="003B24EF">
      <w:pPr>
        <w:pStyle w:val="ListParagraph"/>
        <w:numPr>
          <w:ilvl w:val="0"/>
          <w:numId w:val="8"/>
        </w:numPr>
        <w:spacing w:line="360" w:lineRule="auto"/>
        <w:jc w:val="both"/>
        <w:rPr>
          <w:sz w:val="22"/>
          <w:szCs w:val="22"/>
          <w:lang w:val="en-US"/>
        </w:rPr>
      </w:pPr>
      <w:r w:rsidRPr="006E4CF7">
        <w:rPr>
          <w:sz w:val="22"/>
          <w:szCs w:val="22"/>
          <w:lang w:val="en-US"/>
        </w:rPr>
        <w:t xml:space="preserve">reduce congestion on </w:t>
      </w:r>
      <w:r w:rsidR="00A9126D" w:rsidRPr="006E4CF7">
        <w:rPr>
          <w:sz w:val="22"/>
          <w:szCs w:val="22"/>
          <w:lang w:val="en-US"/>
        </w:rPr>
        <w:t>transmi</w:t>
      </w:r>
      <w:r w:rsidR="00A9126D">
        <w:rPr>
          <w:sz w:val="22"/>
          <w:szCs w:val="22"/>
          <w:lang w:val="en-US"/>
        </w:rPr>
        <w:t>ss</w:t>
      </w:r>
      <w:r w:rsidR="00A9126D" w:rsidRPr="006E4CF7">
        <w:rPr>
          <w:sz w:val="22"/>
          <w:szCs w:val="22"/>
          <w:lang w:val="en-US"/>
        </w:rPr>
        <w:t xml:space="preserve">ion </w:t>
      </w:r>
      <w:r w:rsidRPr="006E4CF7">
        <w:rPr>
          <w:sz w:val="22"/>
          <w:szCs w:val="22"/>
          <w:lang w:val="en-US"/>
        </w:rPr>
        <w:t xml:space="preserve">and distribution systems; </w:t>
      </w:r>
    </w:p>
    <w:p w14:paraId="4A4B7BFF" w14:textId="77777777" w:rsidR="00F42A51" w:rsidRPr="006E4CF7" w:rsidRDefault="00F42A51" w:rsidP="003B24EF">
      <w:pPr>
        <w:pStyle w:val="ListParagraph"/>
        <w:numPr>
          <w:ilvl w:val="0"/>
          <w:numId w:val="8"/>
        </w:numPr>
        <w:spacing w:line="360" w:lineRule="auto"/>
        <w:jc w:val="both"/>
        <w:rPr>
          <w:sz w:val="22"/>
          <w:szCs w:val="22"/>
          <w:lang w:val="en-US"/>
        </w:rPr>
      </w:pPr>
      <w:r w:rsidRPr="006E4CF7">
        <w:rPr>
          <w:sz w:val="22"/>
          <w:szCs w:val="22"/>
          <w:lang w:val="en-US"/>
        </w:rPr>
        <w:t xml:space="preserve">stabilize local electricity flow; </w:t>
      </w:r>
    </w:p>
    <w:p w14:paraId="4CE0BF66" w14:textId="77777777" w:rsidR="00F42A51" w:rsidRPr="00794ED0" w:rsidRDefault="00F42A51" w:rsidP="003B24EF">
      <w:pPr>
        <w:pStyle w:val="ListParagraph"/>
        <w:numPr>
          <w:ilvl w:val="0"/>
          <w:numId w:val="8"/>
        </w:numPr>
        <w:spacing w:line="360" w:lineRule="auto"/>
        <w:jc w:val="both"/>
        <w:rPr>
          <w:sz w:val="22"/>
          <w:szCs w:val="22"/>
          <w:lang w:val="en-US"/>
        </w:rPr>
      </w:pPr>
      <w:r w:rsidRPr="006E4CF7">
        <w:rPr>
          <w:sz w:val="22"/>
          <w:szCs w:val="22"/>
          <w:lang w:val="en-US"/>
        </w:rPr>
        <w:t xml:space="preserve">control local voltage fluctuations; and </w:t>
      </w:r>
    </w:p>
    <w:p w14:paraId="651B9D1F" w14:textId="54AFB907" w:rsidR="00F42A51" w:rsidRDefault="00D00034" w:rsidP="003B24EF">
      <w:pPr>
        <w:pStyle w:val="ListParagraph"/>
        <w:numPr>
          <w:ilvl w:val="0"/>
          <w:numId w:val="8"/>
        </w:numPr>
        <w:spacing w:line="360" w:lineRule="auto"/>
        <w:jc w:val="both"/>
        <w:rPr>
          <w:sz w:val="22"/>
          <w:szCs w:val="22"/>
          <w:lang w:val="en-US"/>
        </w:rPr>
      </w:pPr>
      <w:r>
        <w:rPr>
          <w:sz w:val="22"/>
          <w:szCs w:val="22"/>
          <w:lang w:val="en-US"/>
        </w:rPr>
        <w:t>enable</w:t>
      </w:r>
      <w:r w:rsidR="00F42A51" w:rsidRPr="006E4CF7">
        <w:rPr>
          <w:sz w:val="22"/>
          <w:szCs w:val="22"/>
          <w:lang w:val="en-US"/>
        </w:rPr>
        <w:t xml:space="preserve"> </w:t>
      </w:r>
      <w:r w:rsidR="00A9126D" w:rsidRPr="006E4CF7">
        <w:rPr>
          <w:sz w:val="22"/>
          <w:szCs w:val="22"/>
          <w:lang w:val="en-US"/>
        </w:rPr>
        <w:t>transmi</w:t>
      </w:r>
      <w:r w:rsidR="00A9126D">
        <w:rPr>
          <w:sz w:val="22"/>
          <w:szCs w:val="22"/>
          <w:lang w:val="en-US"/>
        </w:rPr>
        <w:t>ss</w:t>
      </w:r>
      <w:r w:rsidR="00A9126D" w:rsidRPr="006E4CF7">
        <w:rPr>
          <w:sz w:val="22"/>
          <w:szCs w:val="22"/>
          <w:lang w:val="en-US"/>
        </w:rPr>
        <w:t xml:space="preserve">ion </w:t>
      </w:r>
      <w:r w:rsidR="00F42A51" w:rsidRPr="006E4CF7">
        <w:rPr>
          <w:sz w:val="22"/>
          <w:szCs w:val="22"/>
          <w:lang w:val="en-US"/>
        </w:rPr>
        <w:t>and distribution system upgrades</w:t>
      </w:r>
      <w:r>
        <w:rPr>
          <w:sz w:val="22"/>
          <w:szCs w:val="22"/>
          <w:lang w:val="en-US"/>
        </w:rPr>
        <w:t xml:space="preserve"> to be avoided or deferred</w:t>
      </w:r>
      <w:r w:rsidR="00F42A51" w:rsidRPr="006E4CF7">
        <w:rPr>
          <w:sz w:val="22"/>
          <w:szCs w:val="22"/>
          <w:lang w:val="en-US"/>
        </w:rPr>
        <w:t>.</w:t>
      </w:r>
    </w:p>
    <w:p w14:paraId="4A14C73A" w14:textId="77777777" w:rsidR="001D318D" w:rsidRDefault="001D318D" w:rsidP="001D318D">
      <w:pPr>
        <w:pStyle w:val="ListParagraph"/>
        <w:spacing w:line="360" w:lineRule="auto"/>
        <w:jc w:val="both"/>
        <w:rPr>
          <w:sz w:val="22"/>
          <w:szCs w:val="22"/>
          <w:lang w:val="en-US"/>
        </w:rPr>
      </w:pPr>
    </w:p>
    <w:p w14:paraId="144344F2" w14:textId="119E5ED3" w:rsidR="00F42A51" w:rsidRDefault="00F42A51" w:rsidP="003B24EF">
      <w:pPr>
        <w:pStyle w:val="ListParagraph"/>
        <w:numPr>
          <w:ilvl w:val="2"/>
          <w:numId w:val="7"/>
        </w:numPr>
        <w:spacing w:after="200" w:line="360" w:lineRule="auto"/>
        <w:jc w:val="both"/>
        <w:rPr>
          <w:lang w:val="en-US"/>
        </w:rPr>
      </w:pPr>
      <w:r w:rsidRPr="002A76A5">
        <w:rPr>
          <w:lang w:val="en-US"/>
        </w:rPr>
        <w:lastRenderedPageBreak/>
        <w:t>Type</w:t>
      </w:r>
      <w:r w:rsidR="00A9126D">
        <w:rPr>
          <w:lang w:val="en-US"/>
        </w:rPr>
        <w:t>s</w:t>
      </w:r>
      <w:r w:rsidRPr="002A76A5">
        <w:rPr>
          <w:lang w:val="en-US"/>
        </w:rPr>
        <w:t xml:space="preserve"> of E</w:t>
      </w:r>
      <w:r>
        <w:rPr>
          <w:lang w:val="en-US"/>
        </w:rPr>
        <w:t xml:space="preserve">lectrical </w:t>
      </w:r>
      <w:r w:rsidRPr="002A76A5">
        <w:rPr>
          <w:lang w:val="en-US"/>
        </w:rPr>
        <w:t>E</w:t>
      </w:r>
      <w:r>
        <w:rPr>
          <w:lang w:val="en-US"/>
        </w:rPr>
        <w:t xml:space="preserve">nergy </w:t>
      </w:r>
      <w:r w:rsidRPr="002A76A5">
        <w:rPr>
          <w:lang w:val="en-US"/>
        </w:rPr>
        <w:t>S</w:t>
      </w:r>
      <w:r>
        <w:rPr>
          <w:lang w:val="en-US"/>
        </w:rPr>
        <w:t>torage</w:t>
      </w:r>
      <w:r w:rsidR="0019763E">
        <w:rPr>
          <w:lang w:val="en-US"/>
        </w:rPr>
        <w:t xml:space="preserve"> for PV</w:t>
      </w:r>
    </w:p>
    <w:p w14:paraId="7FDD1B31" w14:textId="4C0EA86E" w:rsidR="006E4CF7" w:rsidRPr="000D325C" w:rsidRDefault="00D00034" w:rsidP="006E4CF7">
      <w:pPr>
        <w:spacing w:after="200" w:line="360" w:lineRule="auto"/>
        <w:jc w:val="both"/>
        <w:rPr>
          <w:rFonts w:ascii="Times New Roman" w:hAnsi="Times New Roman"/>
          <w:lang w:val="en-US"/>
        </w:rPr>
      </w:pPr>
      <w:r>
        <w:rPr>
          <w:rFonts w:ascii="Times New Roman" w:hAnsi="Times New Roman"/>
          <w:lang w:val="en-US"/>
        </w:rPr>
        <w:t xml:space="preserve">A </w:t>
      </w:r>
      <w:r w:rsidR="00A9126D">
        <w:rPr>
          <w:rFonts w:ascii="Times New Roman" w:hAnsi="Times New Roman"/>
          <w:lang w:val="en-US"/>
        </w:rPr>
        <w:t>b</w:t>
      </w:r>
      <w:r w:rsidR="006E4CF7" w:rsidRPr="000D325C">
        <w:rPr>
          <w:rFonts w:ascii="Times New Roman" w:hAnsi="Times New Roman"/>
          <w:lang w:val="en-US"/>
        </w:rPr>
        <w:t xml:space="preserve">attery which stores electricity </w:t>
      </w:r>
      <w:r>
        <w:rPr>
          <w:rFonts w:ascii="Times New Roman" w:hAnsi="Times New Roman"/>
          <w:lang w:val="en-US"/>
        </w:rPr>
        <w:t>in the form of chemical energy</w:t>
      </w:r>
      <w:r w:rsidR="006E4CF7" w:rsidRPr="000D325C">
        <w:rPr>
          <w:rFonts w:ascii="Times New Roman" w:hAnsi="Times New Roman"/>
          <w:lang w:val="en-US"/>
        </w:rPr>
        <w:t xml:space="preserve"> </w:t>
      </w:r>
      <w:r w:rsidR="00A9126D">
        <w:rPr>
          <w:rFonts w:ascii="Times New Roman" w:hAnsi="Times New Roman"/>
          <w:lang w:val="en-US"/>
        </w:rPr>
        <w:t xml:space="preserve">is </w:t>
      </w:r>
      <w:r w:rsidR="006E4CF7" w:rsidRPr="000D325C">
        <w:rPr>
          <w:rFonts w:ascii="Times New Roman" w:hAnsi="Times New Roman"/>
          <w:lang w:val="en-US"/>
        </w:rPr>
        <w:t xml:space="preserve">comprised of one or more electrochemical cells </w:t>
      </w:r>
      <w:r>
        <w:rPr>
          <w:rFonts w:ascii="Times New Roman" w:hAnsi="Times New Roman"/>
          <w:lang w:val="en-US"/>
        </w:rPr>
        <w:t>where</w:t>
      </w:r>
      <w:r w:rsidR="006E4CF7" w:rsidRPr="000D325C">
        <w:rPr>
          <w:rFonts w:ascii="Times New Roman" w:hAnsi="Times New Roman"/>
          <w:lang w:val="en-US"/>
        </w:rPr>
        <w:t xml:space="preserve"> each cell consists of a liquid, paste, or solid electrolyte together with a positive electrode (anode) and a negative electrode (cathode). During discharge, electrochemical reactions occur at the two electrodes generating a flow of electrons through an external circuit. The reactions are reversible, allowing the battery to be recharged by applying an external voltage across the electrodes</w:t>
      </w:r>
      <w:r w:rsidR="0095132B">
        <w:rPr>
          <w:rFonts w:ascii="Times New Roman" w:hAnsi="Times New Roman"/>
          <w:lang w:val="en-US"/>
        </w:rPr>
        <w:t xml:space="preserve"> </w:t>
      </w:r>
      <w:r w:rsidR="0095132B">
        <w:rPr>
          <w:rFonts w:ascii="Times New Roman" w:hAnsi="Times New Roman"/>
          <w:lang w:val="en-US"/>
        </w:rPr>
        <w:fldChar w:fldCharType="begin" w:fldLock="1"/>
      </w:r>
      <w:r w:rsidR="0095132B">
        <w:rPr>
          <w:rFonts w:ascii="Times New Roman" w:hAnsi="Times New Roman"/>
          <w:lang w:val="en-US"/>
        </w:rPr>
        <w:instrText>ADDIN CSL_CITATION { "citationItems" : [ { "id" : "ITEM-1", "itemData" : { "DOI" : "10.1016/j.pnsc.2008.07.014", "ISBN" : "1002-0071", "ISSN" : "10020071", "abstract" : "Electrical energy storage technologies for stationary applications are reviewed. Particular attention is paid to pumped hydroelectric storage, compressed air energy storage, battery, flow battery, fuel cell, solar fuel, superconducting magnetic energy storage, flywheel, capacitor/supercapacitor, and thermal energy storage. Comparison is made among these technologies in terms of technical characteristics, applications and deployment status. \u00a9 2008 National Natural Science Foundation of China and Chinese Academy of Sciences. Published by Elsevier Limited and Science in China Press. All rights reserved.", "author" : [ { "dropping-particle" : "", "family" : "Chen", "given" : "Haisheng", "non-dropping-particle" : "", "parse-names" : false, "suffix" : "" }, { "dropping-particle" : "", "family" : "Cong", "given" : "Thang Ngoc", "non-dropping-particle" : "", "parse-names" : false, "suffix" : "" }, { "dropping-particle" : "", "family" : "Yang", "given" : "Wei", "non-dropping-particle" : "", "parse-names" : false, "suffix" : "" }, { "dropping-particle" : "", "family" : "Tan", "given" : "Chunqing", "non-dropping-particle" : "", "parse-names" : false, "suffix" : "" }, { "dropping-particle" : "", "family" : "Li", "given" : "Yongliang", "non-dropping-particle" : "", "parse-names" : false, "suffix" : "" }, { "dropping-particle" : "", "family" : "Ding", "given" : "Yulong", "non-dropping-particle" : "", "parse-names" : false, "suffix" : "" } ], "container-title" : "Progress in Natural Science", "id" : "ITEM-1", "issue" : "3", "issued" : { "date-parts" : [ [ "2009" ] ] }, "page" : "291-312", "title" : "Progress in electrical energy storage system: A critical review", "type" : "article-journal", "volume" : "19" }, "uris" : [ "http://www.mendeley.com/documents/?uuid=091661a7-6d45-442d-b115-75d48f2de590" ] } ], "mendeley" : { "formattedCitation" : "(Chen et al., 2009)", "plainTextFormattedCitation" : "(Chen et al., 2009)", "previouslyFormattedCitation" : "(Chen et al., 2009)" }, "properties" : { "noteIndex" : 0 }, "schema" : "https://github.com/citation-style-language/schema/raw/master/csl-citation.json" }</w:instrText>
      </w:r>
      <w:r w:rsidR="0095132B">
        <w:rPr>
          <w:rFonts w:ascii="Times New Roman" w:hAnsi="Times New Roman"/>
          <w:lang w:val="en-US"/>
        </w:rPr>
        <w:fldChar w:fldCharType="separate"/>
      </w:r>
      <w:r w:rsidR="0095132B" w:rsidRPr="0095132B">
        <w:rPr>
          <w:rFonts w:ascii="Times New Roman" w:hAnsi="Times New Roman"/>
          <w:noProof/>
          <w:lang w:val="en-US"/>
        </w:rPr>
        <w:t>(Chen et al., 2009)</w:t>
      </w:r>
      <w:r w:rsidR="0095132B">
        <w:rPr>
          <w:rFonts w:ascii="Times New Roman" w:hAnsi="Times New Roman"/>
          <w:lang w:val="en-US"/>
        </w:rPr>
        <w:fldChar w:fldCharType="end"/>
      </w:r>
      <w:r w:rsidR="006E4CF7" w:rsidRPr="000D325C">
        <w:rPr>
          <w:rFonts w:ascii="Times New Roman" w:hAnsi="Times New Roman"/>
          <w:lang w:val="en-US"/>
        </w:rPr>
        <w:t>.</w:t>
      </w:r>
    </w:p>
    <w:p w14:paraId="01AD33D5" w14:textId="63C498E0" w:rsidR="0052023B" w:rsidRDefault="0052023B" w:rsidP="0052023B">
      <w:pPr>
        <w:autoSpaceDE w:val="0"/>
        <w:adjustRightInd w:val="0"/>
        <w:spacing w:after="0" w:line="360" w:lineRule="auto"/>
        <w:jc w:val="both"/>
        <w:rPr>
          <w:rFonts w:ascii="Times New Roman" w:hAnsi="Times New Roman"/>
          <w:lang w:val="en-US"/>
        </w:rPr>
      </w:pPr>
      <w:r w:rsidRPr="000D325C">
        <w:rPr>
          <w:rFonts w:ascii="Times New Roman" w:hAnsi="Times New Roman"/>
          <w:lang w:val="en-US"/>
        </w:rPr>
        <w:t xml:space="preserve">Currently various </w:t>
      </w:r>
      <w:r w:rsidR="00D00034">
        <w:rPr>
          <w:rFonts w:ascii="Times New Roman" w:hAnsi="Times New Roman"/>
          <w:lang w:val="en-US"/>
        </w:rPr>
        <w:t xml:space="preserve">batteries are used </w:t>
      </w:r>
      <w:r w:rsidRPr="000D325C">
        <w:rPr>
          <w:rFonts w:ascii="Times New Roman" w:hAnsi="Times New Roman"/>
          <w:lang w:val="en-US"/>
        </w:rPr>
        <w:t xml:space="preserve">for the application </w:t>
      </w:r>
      <w:r w:rsidR="00D00034">
        <w:rPr>
          <w:rFonts w:ascii="Times New Roman" w:hAnsi="Times New Roman"/>
          <w:lang w:val="en-US"/>
        </w:rPr>
        <w:t>with pv systems</w:t>
      </w:r>
    </w:p>
    <w:p w14:paraId="5638F735" w14:textId="012CC66E" w:rsidR="0052023B" w:rsidRPr="0012648B" w:rsidRDefault="0052023B" w:rsidP="0052023B">
      <w:pPr>
        <w:pStyle w:val="ListParagraph"/>
        <w:numPr>
          <w:ilvl w:val="0"/>
          <w:numId w:val="15"/>
        </w:numPr>
        <w:autoSpaceDE w:val="0"/>
        <w:adjustRightInd w:val="0"/>
        <w:spacing w:line="360" w:lineRule="auto"/>
        <w:jc w:val="both"/>
        <w:rPr>
          <w:sz w:val="22"/>
          <w:szCs w:val="22"/>
          <w:lang w:val="en-US"/>
        </w:rPr>
      </w:pPr>
      <w:r w:rsidRPr="0012648B">
        <w:rPr>
          <w:sz w:val="22"/>
          <w:szCs w:val="22"/>
          <w:lang w:val="en-US"/>
        </w:rPr>
        <w:t xml:space="preserve">Flow batteries (ZnBr, VRB and PSB):  batteries where the energy is stored directly in the electrolyte solution for longer cycle life, and </w:t>
      </w:r>
      <w:r w:rsidR="00D00034">
        <w:rPr>
          <w:sz w:val="22"/>
          <w:szCs w:val="22"/>
          <w:lang w:val="en-US"/>
        </w:rPr>
        <w:t>rapid</w:t>
      </w:r>
      <w:r w:rsidRPr="0012648B">
        <w:rPr>
          <w:sz w:val="22"/>
          <w:szCs w:val="22"/>
          <w:lang w:val="en-US"/>
        </w:rPr>
        <w:t xml:space="preserve"> response times</w:t>
      </w:r>
      <w:r>
        <w:rPr>
          <w:sz w:val="22"/>
          <w:szCs w:val="22"/>
          <w:lang w:val="en-US"/>
        </w:rPr>
        <w:t>.</w:t>
      </w:r>
    </w:p>
    <w:p w14:paraId="62708857" w14:textId="7F7FB26A" w:rsidR="0052023B" w:rsidRPr="00F846C4" w:rsidRDefault="0052023B" w:rsidP="0052023B">
      <w:pPr>
        <w:pStyle w:val="ListParagraph"/>
        <w:numPr>
          <w:ilvl w:val="0"/>
          <w:numId w:val="15"/>
        </w:numPr>
        <w:autoSpaceDE w:val="0"/>
        <w:adjustRightInd w:val="0"/>
        <w:spacing w:line="360" w:lineRule="auto"/>
        <w:jc w:val="both"/>
        <w:rPr>
          <w:sz w:val="22"/>
          <w:szCs w:val="22"/>
          <w:lang w:val="en-US"/>
        </w:rPr>
      </w:pPr>
      <w:r w:rsidRPr="00F846C4">
        <w:rPr>
          <w:sz w:val="22"/>
          <w:szCs w:val="22"/>
          <w:lang w:val="en-US"/>
        </w:rPr>
        <w:t>S</w:t>
      </w:r>
      <w:r>
        <w:rPr>
          <w:sz w:val="22"/>
          <w:szCs w:val="22"/>
          <w:lang w:val="en-US"/>
        </w:rPr>
        <w:t>odium–sulfur batteries (NaS):</w:t>
      </w:r>
      <w:r w:rsidRPr="0012648B">
        <w:rPr>
          <w:sz w:val="22"/>
          <w:szCs w:val="22"/>
          <w:lang w:val="en-US"/>
        </w:rPr>
        <w:t xml:space="preserve"> </w:t>
      </w:r>
    </w:p>
    <w:p w14:paraId="122B5484" w14:textId="77777777" w:rsidR="0052023B" w:rsidRPr="00F846C4" w:rsidRDefault="0052023B" w:rsidP="0052023B">
      <w:pPr>
        <w:pStyle w:val="ListParagraph"/>
        <w:numPr>
          <w:ilvl w:val="0"/>
          <w:numId w:val="15"/>
        </w:numPr>
        <w:autoSpaceDE w:val="0"/>
        <w:adjustRightInd w:val="0"/>
        <w:spacing w:line="360" w:lineRule="auto"/>
        <w:jc w:val="both"/>
        <w:rPr>
          <w:sz w:val="22"/>
          <w:szCs w:val="22"/>
          <w:lang w:val="en-US"/>
        </w:rPr>
      </w:pPr>
      <w:r>
        <w:rPr>
          <w:sz w:val="22"/>
          <w:szCs w:val="22"/>
          <w:lang w:val="en-US"/>
        </w:rPr>
        <w:t xml:space="preserve">Lithium–ion batteries (Li–ion): </w:t>
      </w:r>
      <w:r w:rsidRPr="0012648B">
        <w:rPr>
          <w:sz w:val="22"/>
          <w:szCs w:val="22"/>
          <w:lang w:val="en-US"/>
        </w:rPr>
        <w:t>Li-ion batteries have been deployed in a wide range of energy-storage applications, ranging from energy-type batteries of a few kilowatt-hours in residential systems with rooftop photovoltaic arrays to multi-megawatt containerized batteries for the provision of grid ancillary services</w:t>
      </w:r>
      <w:r>
        <w:rPr>
          <w:sz w:val="22"/>
          <w:szCs w:val="22"/>
          <w:lang w:val="en-US"/>
        </w:rPr>
        <w:t>.</w:t>
      </w:r>
    </w:p>
    <w:p w14:paraId="2355F671" w14:textId="126E44D9" w:rsidR="0052023B" w:rsidRPr="00F846C4" w:rsidRDefault="0052023B" w:rsidP="0052023B">
      <w:pPr>
        <w:pStyle w:val="ListParagraph"/>
        <w:numPr>
          <w:ilvl w:val="0"/>
          <w:numId w:val="15"/>
        </w:numPr>
        <w:autoSpaceDE w:val="0"/>
        <w:adjustRightInd w:val="0"/>
        <w:spacing w:line="360" w:lineRule="auto"/>
        <w:jc w:val="both"/>
        <w:rPr>
          <w:sz w:val="22"/>
          <w:szCs w:val="22"/>
          <w:lang w:val="en-US"/>
        </w:rPr>
      </w:pPr>
      <w:r w:rsidRPr="00F846C4">
        <w:rPr>
          <w:sz w:val="22"/>
          <w:szCs w:val="22"/>
          <w:lang w:val="en-US"/>
        </w:rPr>
        <w:t>Ni</w:t>
      </w:r>
      <w:r>
        <w:rPr>
          <w:sz w:val="22"/>
          <w:szCs w:val="22"/>
          <w:lang w:val="en-US"/>
        </w:rPr>
        <w:t>ckel–cadmium batteries (Ni–Cd):</w:t>
      </w:r>
      <w:r w:rsidR="00D00034">
        <w:rPr>
          <w:sz w:val="22"/>
          <w:szCs w:val="22"/>
          <w:lang w:val="en-US"/>
        </w:rPr>
        <w:t xml:space="preserve"> can</w:t>
      </w:r>
      <w:r w:rsidRPr="0012648B">
        <w:rPr>
          <w:sz w:val="22"/>
          <w:szCs w:val="22"/>
          <w:lang w:val="en-US"/>
        </w:rPr>
        <w:t xml:space="preserve"> provid</w:t>
      </w:r>
      <w:r w:rsidR="00D00034">
        <w:rPr>
          <w:sz w:val="22"/>
          <w:szCs w:val="22"/>
          <w:lang w:val="en-US"/>
        </w:rPr>
        <w:t>e</w:t>
      </w:r>
      <w:r w:rsidRPr="0012648B">
        <w:rPr>
          <w:sz w:val="22"/>
          <w:szCs w:val="22"/>
          <w:lang w:val="en-US"/>
        </w:rPr>
        <w:t xml:space="preserve"> long life and reliable service.</w:t>
      </w:r>
    </w:p>
    <w:p w14:paraId="33DC0027" w14:textId="6DC013C0" w:rsidR="0052023B" w:rsidRPr="00F846C4" w:rsidRDefault="0052023B" w:rsidP="0052023B">
      <w:pPr>
        <w:pStyle w:val="ListParagraph"/>
        <w:numPr>
          <w:ilvl w:val="0"/>
          <w:numId w:val="15"/>
        </w:numPr>
        <w:autoSpaceDE w:val="0"/>
        <w:adjustRightInd w:val="0"/>
        <w:spacing w:line="360" w:lineRule="auto"/>
        <w:jc w:val="both"/>
        <w:rPr>
          <w:sz w:val="22"/>
          <w:szCs w:val="22"/>
          <w:lang w:val="en-US"/>
        </w:rPr>
      </w:pPr>
      <w:r>
        <w:rPr>
          <w:sz w:val="22"/>
          <w:szCs w:val="22"/>
          <w:lang w:val="en-US"/>
        </w:rPr>
        <w:t xml:space="preserve">Lead–acid batteries: </w:t>
      </w:r>
      <w:r w:rsidRPr="009C792C">
        <w:rPr>
          <w:sz w:val="22"/>
          <w:szCs w:val="22"/>
          <w:lang w:val="en-US"/>
        </w:rPr>
        <w:t xml:space="preserve">provide a cost-competitive and proven </w:t>
      </w:r>
      <w:r w:rsidR="00D00034">
        <w:rPr>
          <w:sz w:val="22"/>
          <w:szCs w:val="22"/>
          <w:lang w:val="en-US"/>
        </w:rPr>
        <w:t>energy</w:t>
      </w:r>
      <w:r w:rsidRPr="009C792C">
        <w:rPr>
          <w:sz w:val="22"/>
          <w:szCs w:val="22"/>
          <w:lang w:val="en-US"/>
        </w:rPr>
        <w:t xml:space="preserve"> storage </w:t>
      </w:r>
      <w:r w:rsidR="00D00034">
        <w:rPr>
          <w:sz w:val="22"/>
          <w:szCs w:val="22"/>
          <w:lang w:val="en-US"/>
        </w:rPr>
        <w:t xml:space="preserve">but </w:t>
      </w:r>
      <w:r w:rsidRPr="009C792C">
        <w:rPr>
          <w:sz w:val="22"/>
          <w:szCs w:val="22"/>
          <w:lang w:val="en-US"/>
        </w:rPr>
        <w:t>have relatively limited cycle life, low-energy density and a resulting large footprint</w:t>
      </w:r>
      <w:r w:rsidR="00D00034">
        <w:rPr>
          <w:sz w:val="22"/>
          <w:szCs w:val="22"/>
          <w:lang w:val="en-US"/>
        </w:rPr>
        <w:t xml:space="preserve"> </w:t>
      </w:r>
      <w:r>
        <w:rPr>
          <w:sz w:val="22"/>
          <w:szCs w:val="22"/>
          <w:lang w:val="en-US"/>
        </w:rPr>
        <w:fldChar w:fldCharType="begin" w:fldLock="1"/>
      </w:r>
      <w:r>
        <w:rPr>
          <w:sz w:val="22"/>
          <w:szCs w:val="22"/>
          <w:lang w:val="en-US"/>
        </w:rPr>
        <w:instrText>ADDIN CSL_CITATION { "citationItems" : [ { "id" : "ITEM-1", "itemData" : { "DOI" : "10.1016/j.enpol.2008.09.040", "ISBN" : "0301-4215", "ISSN" : "03014215", "abstract" : "Energy storage technologies may be electrical or thermal. Electrical energy stores have an electrical input and output to connect them to the system of which they form part, while thermal stores have a thermal input and output. The principal electrical energy storage technologies described are electrochemical systems (batteries and flow cells), kinetic energy storage (flywheels) and potential energy storage, in the form of pumped hydro and compressed air. Complementary thermal storage technologies include those based on the sensible and latent heat capacity of materials, which include bulk and smaller-capacity hot and cold water storage systems, ice storage, phase change materials and specific bespoke thermal storage media. For the majority of the storage technologies considered here, the potential for fundamental step changes in performance is limited. For electrochemical systems, basic chemistry suggests that lithium-based technologies represent the pinnacle of cell development. This means that the greatest potential for technological advances probably lies in the incremental development of existing technologies, facilitated by advances in materials science, engineering, processing and fabrication. These considerations are applicable to both electrical and thermal storage. Such incremental developments in the core storage technologies are likely to be complemented and supported by advances in systems integration and engineering. Future energy storage technologies may be expected to offer improved energy and power densities, although, in practice, gains in reliability, longevity, cycle life expectancy and cost may be more significant than increases in energy/powerdensity per se. ?? 2008 Queen's Printer and Controller of HMSO.", "author" : [ { "dropping-particle" : "", "family" : "Baker", "given" : "John", "non-dropping-particle" : "", "parse-names" : false, "suffix" : "" } ], "container-title" : "Energy Policy", "id" : "ITEM-1", "issue" : "12", "issued" : { "date-parts" : [ [ "2008" ] ] }, "page" : "4368-4373", "title" : "New technology and possible advances in energy storage", "type" : "article-journal", "volume" : "36" }, "uris" : [ "http://www.mendeley.com/documents/?uuid=c1861e00-98d6-4d99-a8eb-e94732db35fa" ] } ], "mendeley" : { "formattedCitation" : "(Baker, 2008)", "plainTextFormattedCitation" : "(Baker, 2008)", "previouslyFormattedCitation" : "(Baker, 2008)" }, "properties" : { "noteIndex" : 7 }, "schema" : "https://github.com/citation-style-language/schema/raw/master/csl-citation.json" }</w:instrText>
      </w:r>
      <w:r>
        <w:rPr>
          <w:sz w:val="22"/>
          <w:szCs w:val="22"/>
          <w:lang w:val="en-US"/>
        </w:rPr>
        <w:fldChar w:fldCharType="separate"/>
      </w:r>
      <w:r w:rsidRPr="009C792C">
        <w:rPr>
          <w:noProof/>
          <w:sz w:val="22"/>
          <w:szCs w:val="22"/>
          <w:lang w:val="en-US"/>
        </w:rPr>
        <w:t>(Baker, 2008)</w:t>
      </w:r>
      <w:r>
        <w:rPr>
          <w:sz w:val="22"/>
          <w:szCs w:val="22"/>
          <w:lang w:val="en-US"/>
        </w:rPr>
        <w:fldChar w:fldCharType="end"/>
      </w:r>
      <w:r>
        <w:rPr>
          <w:sz w:val="22"/>
          <w:szCs w:val="22"/>
          <w:lang w:val="en-US"/>
        </w:rPr>
        <w:t>.</w:t>
      </w:r>
    </w:p>
    <w:p w14:paraId="19FEAD5D" w14:textId="7CC29AAB" w:rsidR="0052023B" w:rsidRPr="00D3041C" w:rsidRDefault="0052023B" w:rsidP="0052023B">
      <w:pPr>
        <w:pStyle w:val="ListParagraph"/>
        <w:numPr>
          <w:ilvl w:val="0"/>
          <w:numId w:val="15"/>
        </w:numPr>
        <w:autoSpaceDE w:val="0"/>
        <w:adjustRightInd w:val="0"/>
        <w:spacing w:line="360" w:lineRule="auto"/>
        <w:jc w:val="both"/>
        <w:rPr>
          <w:sz w:val="22"/>
          <w:szCs w:val="22"/>
          <w:lang w:val="en-US"/>
        </w:rPr>
      </w:pPr>
      <w:r w:rsidRPr="009C792C">
        <w:rPr>
          <w:sz w:val="22"/>
          <w:szCs w:val="22"/>
          <w:lang w:val="en-US"/>
        </w:rPr>
        <w:t xml:space="preserve">Metal–air batteries: </w:t>
      </w:r>
      <w:r w:rsidRPr="00D3041C">
        <w:rPr>
          <w:sz w:val="22"/>
          <w:szCs w:val="22"/>
          <w:lang w:val="en-US"/>
        </w:rPr>
        <w:t>consists of the</w:t>
      </w:r>
      <w:r>
        <w:rPr>
          <w:sz w:val="22"/>
          <w:szCs w:val="22"/>
          <w:lang w:val="en-US"/>
        </w:rPr>
        <w:t xml:space="preserve"> </w:t>
      </w:r>
      <w:r w:rsidRPr="00D3041C">
        <w:rPr>
          <w:sz w:val="22"/>
          <w:szCs w:val="22"/>
          <w:lang w:val="en-US"/>
        </w:rPr>
        <w:t>anode made from pure metal and the cathode</w:t>
      </w:r>
      <w:r>
        <w:rPr>
          <w:sz w:val="22"/>
          <w:szCs w:val="22"/>
          <w:lang w:val="en-US"/>
        </w:rPr>
        <w:t xml:space="preserve"> connected to a supply of air </w:t>
      </w:r>
      <w:r>
        <w:rPr>
          <w:sz w:val="22"/>
          <w:szCs w:val="22"/>
          <w:lang w:val="en-US"/>
        </w:rPr>
        <w:fldChar w:fldCharType="begin" w:fldLock="1"/>
      </w:r>
      <w:r>
        <w:rPr>
          <w:sz w:val="22"/>
          <w:szCs w:val="22"/>
          <w:lang w:val="en-US"/>
        </w:rPr>
        <w:instrText>ADDIN CSL_CITATION { "citationItems" : [ { "id" : "ITEM-1", "itemData" : { "DOI" : "93", "ISBN" : "9789211482676", "ISSN" : "0301-0449", "PMID" : "24474255", "abstract" : "Electrical Energy Storage, EES, is one of the key technologies in the areas covered by the IEC. EES techniques have shown unique capabilities in coping with some critical characteristics of electricity, for example hourly variations in demand and price. In the near future EES will become indispensable in emerging IEC-relevant markets in the use of more renewable energy, to achieve CO2 reduction and for Smart Grids. Historically, EES has played three main roles. First, EES reduces electricity costs by storing electricity obtained at off-peak times when its price is lower, for use at peak times instead of electricity bought then at higher prices. Secondly, in order to improve the reliability of the power supply, EES systems support users when power network failures occur due to natural disasters, for example. Their third role is to maintain and improve power quality, frequency and voltage. Regarding emerging market needs, in on-grid areas, EES is expected to solve problems \u2013 such as excessive power fluctuation and undependable power supply \u2013 which are associated with the use of large amounts of renewable energy. In the off-grid domain, electric vehicles with batteries are the most promising technology to replace fossil fuels by electricity from mostly renewable sources. The Smart Grid has no universally accepted definition, but in general it refers to modernizing the electricity grid. It comprises everything related to the electrical system between any point of electricity production and any point of consumption. Through the addition of Smart Grid technologies the grid becomes more flexible and interactive and can provide realtime feedback. For instance, in a Smart Grid, information regarding the price of electricity and the situation of the power system can be exchanged between electricity production and consumption to realize a more efficient and reliable power supply. EES is one of the key elements in developing a Smart Grid. In October 2010, the IEC MSB (Market Strategy Board) decided to establish a project team to plan future IEC activities in EES. This White Paper summarizes present and future market needs for EES technologies, reviews their technological features, and finally presents recommendations for all EES stakeholders.", "author" : [ { "dropping-particle" : "", "family" : "International Electrotechnical Commission", "given" : "", "non-dropping-particle" : "", "parse-names" : false, "suffix" : "" }, { "dropping-particle" : "", "family" : "Commission", "given" : "International Electrotechnical", "non-dropping-particle" : "", "parse-names" : false, "suffix" : "" } ], "container-title" : "US Patent 4,366,216", "id" : "ITEM-1", "issue" : "December", "issued" : { "date-parts" : [ [ "2011" ] ] }, "page" : "91", "title" : "Electrical energy storage", "type" : "article-journal" }, "uris" : [ "http://www.mendeley.com/documents/?uuid=ecdfde61-6a13-401d-9c92-acdb0ed15322" ] } ], "mendeley" : { "formattedCitation" : "(International Electrotechnical Commission and Commission, 2011)", "plainTextFormattedCitation" : "(International Electrotechnical Commission and Commission, 2011)", "previouslyFormattedCitation" : "(International Electrotechnical Commission and Commission, 2011)" }, "properties" : { "noteIndex" : 7 }, "schema" : "https://github.com/citation-style-language/schema/raw/master/csl-citation.json" }</w:instrText>
      </w:r>
      <w:r>
        <w:rPr>
          <w:sz w:val="22"/>
          <w:szCs w:val="22"/>
          <w:lang w:val="en-US"/>
        </w:rPr>
        <w:fldChar w:fldCharType="separate"/>
      </w:r>
      <w:r w:rsidRPr="001C052A">
        <w:rPr>
          <w:noProof/>
          <w:sz w:val="22"/>
          <w:szCs w:val="22"/>
          <w:lang w:val="en-US"/>
        </w:rPr>
        <w:t>(International Electrotechnical Commission and Commission, 2011)</w:t>
      </w:r>
      <w:r>
        <w:rPr>
          <w:sz w:val="22"/>
          <w:szCs w:val="22"/>
          <w:lang w:val="en-US"/>
        </w:rPr>
        <w:fldChar w:fldCharType="end"/>
      </w:r>
      <w:r>
        <w:rPr>
          <w:sz w:val="22"/>
          <w:szCs w:val="22"/>
          <w:lang w:val="en-US"/>
        </w:rPr>
        <w:t>.</w:t>
      </w:r>
    </w:p>
    <w:p w14:paraId="029758B3" w14:textId="5860566C" w:rsidR="00F42A51" w:rsidRDefault="00F42A51" w:rsidP="006E4CF7">
      <w:pPr>
        <w:autoSpaceDE w:val="0"/>
        <w:adjustRightInd w:val="0"/>
        <w:spacing w:after="0" w:line="360" w:lineRule="auto"/>
        <w:jc w:val="both"/>
        <w:rPr>
          <w:rFonts w:ascii="Times New Roman" w:hAnsi="Times New Roman"/>
          <w:lang w:val="en-US"/>
        </w:rPr>
      </w:pPr>
    </w:p>
    <w:p w14:paraId="4BF1562A" w14:textId="08FF2874" w:rsidR="00F42A51" w:rsidRPr="00BE77EC" w:rsidRDefault="0043721A" w:rsidP="00F42A51">
      <w:pPr>
        <w:autoSpaceDE w:val="0"/>
        <w:adjustRightInd w:val="0"/>
        <w:spacing w:after="0" w:line="360" w:lineRule="auto"/>
        <w:jc w:val="both"/>
        <w:rPr>
          <w:rFonts w:ascii="Times New Roman" w:hAnsi="Times New Roman"/>
          <w:lang w:val="en-US"/>
        </w:rPr>
      </w:pPr>
      <w:r>
        <w:rPr>
          <w:rFonts w:ascii="Times New Roman" w:hAnsi="Times New Roman"/>
          <w:lang w:val="en-US"/>
        </w:rPr>
        <w:t>Fig.</w:t>
      </w:r>
      <w:r w:rsidR="00F42A51" w:rsidRPr="00F045A3">
        <w:rPr>
          <w:rFonts w:ascii="Times New Roman" w:hAnsi="Times New Roman"/>
          <w:lang w:val="en-US"/>
        </w:rPr>
        <w:t xml:space="preserve"> </w:t>
      </w:r>
      <w:r w:rsidR="00F84A27">
        <w:rPr>
          <w:rFonts w:ascii="Times New Roman" w:hAnsi="Times New Roman"/>
          <w:lang w:val="en-US"/>
        </w:rPr>
        <w:t>3</w:t>
      </w:r>
      <w:r w:rsidR="00F045A3">
        <w:rPr>
          <w:rFonts w:ascii="Times New Roman" w:hAnsi="Times New Roman"/>
          <w:lang w:val="en-US"/>
        </w:rPr>
        <w:t>,</w:t>
      </w:r>
      <w:r w:rsidR="00F42A51" w:rsidRPr="00BE77EC">
        <w:rPr>
          <w:rFonts w:ascii="Times New Roman" w:hAnsi="Times New Roman"/>
          <w:lang w:val="en-US"/>
        </w:rPr>
        <w:t xml:space="preserve"> </w:t>
      </w:r>
      <w:r w:rsidR="00F42A51">
        <w:rPr>
          <w:rFonts w:ascii="Times New Roman" w:hAnsi="Times New Roman"/>
          <w:lang w:val="en-US"/>
        </w:rPr>
        <w:t xml:space="preserve">shows </w:t>
      </w:r>
      <w:r w:rsidR="00F42A51" w:rsidRPr="00BE77EC">
        <w:rPr>
          <w:rFonts w:ascii="Times New Roman" w:hAnsi="Times New Roman"/>
          <w:lang w:val="en-US"/>
        </w:rPr>
        <w:t>applications of energy sto</w:t>
      </w:r>
      <w:r w:rsidR="00F42A51">
        <w:rPr>
          <w:rFonts w:ascii="Times New Roman" w:hAnsi="Times New Roman"/>
          <w:lang w:val="en-US"/>
        </w:rPr>
        <w:t xml:space="preserve">rage systems in accordance with discharge time and rated power. </w:t>
      </w:r>
      <w:r w:rsidR="00F42A51" w:rsidRPr="00F045A3">
        <w:rPr>
          <w:rFonts w:ascii="Times New Roman" w:hAnsi="Times New Roman"/>
          <w:lang w:val="en-US"/>
        </w:rPr>
        <w:t xml:space="preserve">Table </w:t>
      </w:r>
      <w:r w:rsidR="00F045A3" w:rsidRPr="00F045A3">
        <w:rPr>
          <w:rFonts w:ascii="Times New Roman" w:hAnsi="Times New Roman"/>
          <w:lang w:val="en-US"/>
        </w:rPr>
        <w:t>2</w:t>
      </w:r>
      <w:r w:rsidR="00F045A3">
        <w:rPr>
          <w:rFonts w:ascii="Times New Roman" w:hAnsi="Times New Roman"/>
          <w:lang w:val="en-US"/>
        </w:rPr>
        <w:t>,</w:t>
      </w:r>
      <w:r w:rsidR="00F42A51">
        <w:rPr>
          <w:rFonts w:ascii="Times New Roman" w:hAnsi="Times New Roman"/>
          <w:lang w:val="en-US"/>
        </w:rPr>
        <w:t xml:space="preserve"> shows a resume of different battery storage technologies system installed and </w:t>
      </w:r>
      <w:r w:rsidR="00F42A51" w:rsidRPr="00F045A3">
        <w:rPr>
          <w:rFonts w:ascii="Times New Roman" w:hAnsi="Times New Roman"/>
          <w:lang w:val="en-US"/>
        </w:rPr>
        <w:t xml:space="preserve">Table </w:t>
      </w:r>
      <w:r w:rsidR="00F045A3" w:rsidRPr="00F045A3">
        <w:rPr>
          <w:rFonts w:ascii="Times New Roman" w:hAnsi="Times New Roman"/>
          <w:lang w:val="en-US"/>
        </w:rPr>
        <w:t>3</w:t>
      </w:r>
      <w:r w:rsidR="00F045A3">
        <w:rPr>
          <w:rFonts w:ascii="Times New Roman" w:hAnsi="Times New Roman"/>
          <w:lang w:val="en-US"/>
        </w:rPr>
        <w:t>,</w:t>
      </w:r>
      <w:r w:rsidR="00F42A51">
        <w:rPr>
          <w:rFonts w:ascii="Times New Roman" w:hAnsi="Times New Roman"/>
          <w:lang w:val="en-US"/>
        </w:rPr>
        <w:t xml:space="preserve"> shows batteries</w:t>
      </w:r>
      <w:r w:rsidR="00F42A51" w:rsidRPr="00514C83">
        <w:rPr>
          <w:rFonts w:ascii="Times New Roman" w:hAnsi="Times New Roman"/>
          <w:lang w:val="en-US"/>
        </w:rPr>
        <w:t xml:space="preserve"> storage for utility transmission and distribution grid support</w:t>
      </w:r>
      <w:r w:rsidR="00F42A51">
        <w:rPr>
          <w:rFonts w:ascii="Times New Roman" w:hAnsi="Times New Roman"/>
          <w:lang w:val="en-US"/>
        </w:rPr>
        <w:t>.</w:t>
      </w:r>
      <w:r w:rsidR="00A9126D">
        <w:rPr>
          <w:rFonts w:ascii="Times New Roman" w:hAnsi="Times New Roman"/>
          <w:lang w:val="en-US"/>
        </w:rPr>
        <w:t xml:space="preserve"> </w:t>
      </w:r>
    </w:p>
    <w:p w14:paraId="3EB659BD" w14:textId="77777777" w:rsidR="0089624A" w:rsidRDefault="0089624A" w:rsidP="00F42A51">
      <w:pPr>
        <w:autoSpaceDE w:val="0"/>
        <w:adjustRightInd w:val="0"/>
        <w:spacing w:after="0" w:line="360" w:lineRule="auto"/>
        <w:jc w:val="both"/>
        <w:rPr>
          <w:rFonts w:ascii="Times New Roman" w:hAnsi="Times New Roman"/>
          <w:lang w:val="en-US"/>
        </w:rPr>
      </w:pPr>
    </w:p>
    <w:p w14:paraId="048378D4" w14:textId="7411BE88" w:rsidR="00F42A51" w:rsidRDefault="0052023B" w:rsidP="00F42A51">
      <w:pPr>
        <w:autoSpaceDE w:val="0"/>
        <w:adjustRightInd w:val="0"/>
        <w:spacing w:after="0" w:line="360" w:lineRule="auto"/>
        <w:jc w:val="both"/>
        <w:rPr>
          <w:rFonts w:ascii="Times New Roman" w:hAnsi="Times New Roman"/>
          <w:lang w:val="en-US"/>
        </w:rPr>
      </w:pPr>
      <w:r>
        <w:rPr>
          <w:noProof/>
          <w:lang w:val="es-PY" w:eastAsia="es-PY"/>
        </w:rPr>
        <w:lastRenderedPageBreak/>
        <w:drawing>
          <wp:anchor distT="0" distB="0" distL="114300" distR="114300" simplePos="0" relativeHeight="251671552" behindDoc="1" locked="0" layoutInCell="1" allowOverlap="1" wp14:anchorId="2C27BA78" wp14:editId="50EDF71E">
            <wp:simplePos x="0" y="0"/>
            <wp:positionH relativeFrom="column">
              <wp:posOffset>318135</wp:posOffset>
            </wp:positionH>
            <wp:positionV relativeFrom="paragraph">
              <wp:posOffset>238760</wp:posOffset>
            </wp:positionV>
            <wp:extent cx="4472305" cy="3286125"/>
            <wp:effectExtent l="0" t="0" r="4445" b="9525"/>
            <wp:wrapTight wrapText="bothSides">
              <wp:wrapPolygon edited="0">
                <wp:start x="0" y="0"/>
                <wp:lineTo x="0" y="21537"/>
                <wp:lineTo x="21529" y="21537"/>
                <wp:lineTo x="21529" y="0"/>
                <wp:lineTo x="0" y="0"/>
              </wp:wrapPolygon>
            </wp:wrapTight>
            <wp:docPr id="6" name="Picture 6" descr="C:\Users\ANITA\Dropbox\1_Anita Ortega\1_Datos Master TCD\4_Intership\Paper Dr. Hoda\Graph\Application of energy storage systems in terms of discharge time and 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ropbox\1_Anita Ortega\1_Datos Master TCD\4_Intership\Paper Dr. Hoda\Graph\Application of energy storage systems in terms of discharge time and rat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230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F2240" w14:textId="058901AB" w:rsidR="00F42A51" w:rsidRDefault="00F42A51" w:rsidP="00F42A51">
      <w:pPr>
        <w:autoSpaceDE w:val="0"/>
        <w:adjustRightInd w:val="0"/>
        <w:spacing w:after="0" w:line="360" w:lineRule="auto"/>
        <w:jc w:val="center"/>
        <w:rPr>
          <w:rFonts w:ascii="Times New Roman" w:hAnsi="Times New Roman"/>
          <w:lang w:val="en-US"/>
        </w:rPr>
      </w:pPr>
    </w:p>
    <w:p w14:paraId="08BFC097"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2515D354"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3C970D99"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06792279"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2D2624F9"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4F2A21BC"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5E56361A"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5EA0D001"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5C669025"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30FF1432"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51E9C07C"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5293F57D"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2DE3BB21"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0741A740"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4651EFBC"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6A47F3AE"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7AB8308E"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5E3265E4"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4EFCCB41" w14:textId="77777777" w:rsidR="004F03A9" w:rsidRDefault="004F03A9"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4B4727A9" w14:textId="77777777" w:rsidR="0052023B" w:rsidRDefault="0052023B"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49AE37E7" w14:textId="77777777" w:rsidR="0052023B" w:rsidRDefault="0052023B"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3991C4CC" w14:textId="3633BAE1" w:rsidR="00F42A51" w:rsidRDefault="0043721A" w:rsidP="00F42A51">
      <w:pPr>
        <w:suppressAutoHyphens w:val="0"/>
        <w:autoSpaceDE w:val="0"/>
        <w:adjustRightInd w:val="0"/>
        <w:spacing w:after="0" w:line="240" w:lineRule="auto"/>
        <w:jc w:val="center"/>
        <w:textAlignment w:val="auto"/>
        <w:rPr>
          <w:rFonts w:ascii="Times New Roman" w:hAnsi="Times New Roman"/>
          <w:sz w:val="20"/>
          <w:szCs w:val="20"/>
          <w:lang w:val="en-US"/>
        </w:rPr>
      </w:pPr>
      <w:r>
        <w:rPr>
          <w:rFonts w:ascii="Times New Roman" w:hAnsi="Times New Roman"/>
          <w:sz w:val="20"/>
          <w:szCs w:val="20"/>
          <w:lang w:val="en-US"/>
        </w:rPr>
        <w:t>Fig.</w:t>
      </w:r>
      <w:r w:rsidR="00F42A51" w:rsidRPr="00F045A3">
        <w:rPr>
          <w:rFonts w:ascii="Times New Roman" w:hAnsi="Times New Roman"/>
          <w:sz w:val="20"/>
          <w:szCs w:val="20"/>
          <w:lang w:val="en-US"/>
        </w:rPr>
        <w:t xml:space="preserve"> </w:t>
      </w:r>
      <w:r w:rsidR="00F84A27">
        <w:rPr>
          <w:rFonts w:ascii="Times New Roman" w:hAnsi="Times New Roman"/>
          <w:sz w:val="20"/>
          <w:szCs w:val="20"/>
          <w:lang w:val="en-US"/>
        </w:rPr>
        <w:t>3</w:t>
      </w:r>
      <w:r w:rsidR="00F42A51" w:rsidRPr="00F045A3">
        <w:rPr>
          <w:rFonts w:ascii="Times New Roman" w:hAnsi="Times New Roman"/>
          <w:sz w:val="20"/>
          <w:szCs w:val="20"/>
          <w:lang w:val="en-US"/>
        </w:rPr>
        <w:t>.</w:t>
      </w:r>
      <w:r w:rsidR="00F42A51" w:rsidRPr="0095132B">
        <w:rPr>
          <w:rFonts w:ascii="Times New Roman" w:hAnsi="Times New Roman"/>
          <w:sz w:val="20"/>
          <w:szCs w:val="20"/>
          <w:lang w:val="en-US"/>
        </w:rPr>
        <w:t xml:space="preserve"> </w:t>
      </w:r>
      <w:r w:rsidR="00F42A51" w:rsidRPr="00BE77EC">
        <w:rPr>
          <w:rFonts w:ascii="Times New Roman" w:hAnsi="Times New Roman"/>
          <w:sz w:val="20"/>
          <w:szCs w:val="20"/>
          <w:lang w:val="en-US"/>
        </w:rPr>
        <w:t>Application of energy storage systems in terms of discharge time and rated</w:t>
      </w:r>
      <w:r w:rsidR="00F42A51">
        <w:rPr>
          <w:rFonts w:ascii="Times New Roman" w:hAnsi="Times New Roman"/>
          <w:sz w:val="20"/>
          <w:szCs w:val="20"/>
          <w:lang w:val="en-US"/>
        </w:rPr>
        <w:t xml:space="preserve"> power </w:t>
      </w:r>
      <w:r w:rsidR="00F42A51">
        <w:rPr>
          <w:rFonts w:ascii="Times New Roman" w:hAnsi="Times New Roman"/>
          <w:sz w:val="20"/>
          <w:szCs w:val="20"/>
          <w:lang w:val="en-US"/>
        </w:rPr>
        <w:fldChar w:fldCharType="begin" w:fldLock="1"/>
      </w:r>
      <w:r w:rsidR="00D03089">
        <w:rPr>
          <w:rFonts w:ascii="Times New Roman" w:hAnsi="Times New Roman"/>
          <w:sz w:val="20"/>
          <w:szCs w:val="20"/>
          <w:lang w:val="en-US"/>
        </w:rPr>
        <w:instrText>ADDIN CSL_CITATION { "citationItems" : [ { "id" : "ITEM-1", "itemData" : { "DOI" : "10.1016/j.rser.2009.08.007", "ISBN" : "1364-0321", "ISSN" : "13640321", "abstract" : "Currently, in the field of operation and planning of electrical power systems, a new challenge is growing which includes with the increase in the level of distributed generation from new energy sources, especially renewable sources. The question of load redistribution for better energetic usage is of vital importance since these new renewable energy sources are often intermittent. Therefore, new systems must be proposed which ally energy storage with renewable energy generators for reestablishment of grid reliability. This work presents a review of energy storage and redistribution associated with photovoltaic energy, proposing a distributed micro-generation complex connected to the electrical power grid using energy storage systems, with an emphasis placed on the use of NaS batteries. These systems aim to improve the load factor, considering supply side management, and the offer of backup energy, in the case of demand side management. \u00a9 2009 Elsevier Ltd. All rights reserved.", "author" : [ { "dropping-particle" : "", "family" : "Toledo", "given" : "Olga Moraes", "non-dropping-particle" : "", "parse-names" : false, "suffix" : "" }, { "dropping-particle" : "", "family" : "Oliveira Filho", "given" : "Delly", "non-dropping-particle" : "", "parse-names" : false, "suffix" : "" }, { "dropping-particle" : "", "family" : "Diniz", "given" : "Ant\u00f4nia S\u00f4nia Alves Cardoso", "non-dropping-particle" : "", "parse-names" : false, "suffix" : "" } ], "container-title" : "Renewable and Sustainable Energy Reviews", "id" : "ITEM-1", "issue" : "1", "issued" : { "date-parts" : [ [ "2010" ] ] }, "page" : "506-511", "title" : "Distributed photovoltaic generation and energy storage systems: A review", "type" : "article", "volume" : "14" }, "uris" : [ "http://www.mendeley.com/documents/?uuid=046d2625-a300-41e9-a7db-e4a056b84ea5" ] } ], "mendeley" : { "formattedCitation" : "(Toledo, Oliveira Filho, &amp; Diniz, 2010)", "plainTextFormattedCitation" : "(Toledo, Oliveira Filho, &amp; Diniz, 2010)", "previouslyFormattedCitation" : "(Toledo, Oliveira Filho, &amp; Diniz, 2010)" }, "properties" : { "noteIndex" : 2 }, "schema" : "https://github.com/citation-style-language/schema/raw/master/csl-citation.json" }</w:instrText>
      </w:r>
      <w:r w:rsidR="00F42A51">
        <w:rPr>
          <w:rFonts w:ascii="Times New Roman" w:hAnsi="Times New Roman"/>
          <w:sz w:val="20"/>
          <w:szCs w:val="20"/>
          <w:lang w:val="en-US"/>
        </w:rPr>
        <w:fldChar w:fldCharType="separate"/>
      </w:r>
      <w:r w:rsidR="00D03089" w:rsidRPr="00D03089">
        <w:rPr>
          <w:rFonts w:ascii="Times New Roman" w:hAnsi="Times New Roman"/>
          <w:noProof/>
          <w:sz w:val="20"/>
          <w:szCs w:val="20"/>
          <w:lang w:val="en-US"/>
        </w:rPr>
        <w:t>(Toledo, Oliveira Filho, &amp; Diniz, 2010)</w:t>
      </w:r>
      <w:r w:rsidR="00F42A51">
        <w:rPr>
          <w:rFonts w:ascii="Times New Roman" w:hAnsi="Times New Roman"/>
          <w:sz w:val="20"/>
          <w:szCs w:val="20"/>
          <w:lang w:val="en-US"/>
        </w:rPr>
        <w:fldChar w:fldCharType="end"/>
      </w:r>
      <w:r w:rsidR="00F42A51">
        <w:rPr>
          <w:rFonts w:ascii="Times New Roman" w:hAnsi="Times New Roman"/>
          <w:sz w:val="20"/>
          <w:szCs w:val="20"/>
          <w:lang w:val="en-US"/>
        </w:rPr>
        <w:t>.</w:t>
      </w:r>
    </w:p>
    <w:p w14:paraId="36B0EB61" w14:textId="77777777" w:rsidR="0089624A" w:rsidRPr="0095132B" w:rsidRDefault="0089624A" w:rsidP="00F42A51">
      <w:pPr>
        <w:suppressAutoHyphens w:val="0"/>
        <w:autoSpaceDE w:val="0"/>
        <w:adjustRightInd w:val="0"/>
        <w:spacing w:after="0" w:line="240" w:lineRule="auto"/>
        <w:jc w:val="center"/>
        <w:textAlignment w:val="auto"/>
        <w:rPr>
          <w:rFonts w:ascii="Times New Roman" w:hAnsi="Times New Roman"/>
          <w:sz w:val="20"/>
          <w:szCs w:val="20"/>
          <w:lang w:val="en-US"/>
        </w:rPr>
      </w:pPr>
    </w:p>
    <w:p w14:paraId="764B3E1D" w14:textId="4A618697" w:rsidR="00F42A51" w:rsidRPr="00F848B8" w:rsidRDefault="00F42A51" w:rsidP="004F03A9">
      <w:pPr>
        <w:spacing w:after="0" w:line="240" w:lineRule="auto"/>
        <w:jc w:val="both"/>
        <w:rPr>
          <w:rFonts w:ascii="Times New Roman" w:hAnsi="Times New Roman"/>
          <w:lang w:val="en-US"/>
        </w:rPr>
      </w:pPr>
      <w:r w:rsidRPr="00F045A3">
        <w:rPr>
          <w:rFonts w:ascii="Times New Roman" w:hAnsi="Times New Roman"/>
          <w:lang w:val="en-US"/>
        </w:rPr>
        <w:t xml:space="preserve">Table </w:t>
      </w:r>
      <w:r w:rsidR="00F045A3" w:rsidRPr="00F045A3">
        <w:rPr>
          <w:rFonts w:ascii="Times New Roman" w:hAnsi="Times New Roman"/>
          <w:lang w:val="en-US"/>
        </w:rPr>
        <w:t>2</w:t>
      </w:r>
      <w:r w:rsidRPr="00F848B8">
        <w:rPr>
          <w:rFonts w:ascii="Times New Roman" w:hAnsi="Times New Roman"/>
          <w:lang w:val="en-US"/>
        </w:rPr>
        <w:t xml:space="preserve">. Battery technologies characteristics and commercial units used in electric utilities </w:t>
      </w:r>
      <w:r w:rsidRPr="00F848B8">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"10.1016/j.epsr.2008.09.017", "ISBN" : "0378-7796", "ISSN" : "03787796", "PMID" : "12705676", "abstract" : "The penetration of renewable sources (particularly wind power) in to the power system network has been increasing in the recent years. As a result of this, there have been serious concerns over reliable and satisfactory operation of the power systems. One of the solutions being proposed to improve the reliability and performance of these systems is to integrate energy storage devices into the power system network. Further, in the present deregulated markets these storage devices could also be used to increase the profit margins of wind farm owners and even provide arbitrage. This paper discusses the present status of battery energy storage technology and methods of assessing their economic viability and impact on power system operation. Further, a discussion on the role of battery storage systems of electric hybrid vehicles in power system storage technologies had been made. Finally, the paper suggests a likely future outlook for the battery technologies and the electric hybrid vehicles in the context of power system applications. ?? 2008 Elsevier B.V. All rights reserved.", "author" : [ { "dropping-particle" : "", "family" : "Divya", "given" : "K.C.", "non-dropping-particle" : "", "parse-names" : false, "suffix" : "" }, { "dropping-particle" : "", "family" : "\u00d8stergaard", "given" : "Jacob", "non-dropping-particle" : "", "parse-names" : false, "suffix" : "" } ], "container-title" : "Electric Power Systems Research", "id" : "ITEM-1", "issue" : "4", "issued" : { "date-parts" : [ [ "2009" ] ] }, "page" : "511-520", "title" : "Battery energy storage technology for power systems\u2014An overview", "type" : "article-journal", "volume" : "79" }, "uris" : [ "http://www.mendeley.com/documents/?uuid=6b55d04c-a990-4d4f-906c-86379a61f6b3" ] } ], "mendeley" : { "formattedCitation" : "(Divya &amp; \u00d8stergaard, 2009)", "plainTextFormattedCitation" : "(Divya &amp; \u00d8stergaard, 2009)", "previouslyFormattedCitation" : "(Divya &amp; \u00d8stergaard, 2009)" }, "properties" : { "noteIndex" : 3 }, "schema" : "https://github.com/citation-style-language/schema/raw/master/csl-citation.json" }</w:instrText>
      </w:r>
      <w:r w:rsidRPr="00F848B8">
        <w:rPr>
          <w:rFonts w:ascii="Times New Roman" w:hAnsi="Times New Roman"/>
          <w:lang w:val="en-US"/>
        </w:rPr>
        <w:fldChar w:fldCharType="separate"/>
      </w:r>
      <w:r w:rsidR="00D03089" w:rsidRPr="00D03089">
        <w:rPr>
          <w:rFonts w:ascii="Times New Roman" w:hAnsi="Times New Roman"/>
          <w:noProof/>
          <w:lang w:val="en-US"/>
        </w:rPr>
        <w:t>(Divya &amp; Østergaard, 2009)</w:t>
      </w:r>
      <w:r w:rsidRPr="00F848B8">
        <w:rPr>
          <w:rFonts w:ascii="Times New Roman" w:hAnsi="Times New Roman"/>
          <w:lang w:val="en-US"/>
        </w:rPr>
        <w:fldChar w:fldCharType="end"/>
      </w:r>
      <w:r w:rsidRPr="00F848B8">
        <w:rPr>
          <w:rFonts w:ascii="Times New Roman" w:hAnsi="Times New Roman"/>
          <w:lang w:val="en-US"/>
        </w:rPr>
        <w:t>.</w:t>
      </w:r>
    </w:p>
    <w:tbl>
      <w:tblPr>
        <w:tblStyle w:val="PlainTable21"/>
        <w:tblW w:w="9240" w:type="dxa"/>
        <w:jc w:val="center"/>
        <w:tblLook w:val="06A0" w:firstRow="1" w:lastRow="0" w:firstColumn="1" w:lastColumn="0" w:noHBand="1" w:noVBand="1"/>
      </w:tblPr>
      <w:tblGrid>
        <w:gridCol w:w="2740"/>
        <w:gridCol w:w="1799"/>
        <w:gridCol w:w="1380"/>
        <w:gridCol w:w="1680"/>
        <w:gridCol w:w="1660"/>
      </w:tblGrid>
      <w:tr w:rsidR="00F42A51" w:rsidRPr="00CD744B" w14:paraId="0B9A7EE0" w14:textId="77777777" w:rsidTr="004F03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3F9ADA04"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Battery Type</w:t>
            </w:r>
          </w:p>
        </w:tc>
        <w:tc>
          <w:tcPr>
            <w:tcW w:w="1780" w:type="dxa"/>
            <w:noWrap/>
            <w:hideMark/>
          </w:tcPr>
          <w:p w14:paraId="32AAB27B" w14:textId="77777777" w:rsidR="00F42A51" w:rsidRPr="00CD744B" w:rsidRDefault="00F42A51" w:rsidP="007A2976">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Largest capacity</w:t>
            </w:r>
          </w:p>
        </w:tc>
        <w:tc>
          <w:tcPr>
            <w:tcW w:w="1380" w:type="dxa"/>
            <w:noWrap/>
            <w:hideMark/>
          </w:tcPr>
          <w:p w14:paraId="598DE928" w14:textId="77777777" w:rsidR="00F42A51" w:rsidRPr="00CD744B" w:rsidRDefault="00F42A51" w:rsidP="007A2976">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Efficiency (%)</w:t>
            </w:r>
          </w:p>
        </w:tc>
        <w:tc>
          <w:tcPr>
            <w:tcW w:w="1680" w:type="dxa"/>
            <w:noWrap/>
            <w:hideMark/>
          </w:tcPr>
          <w:p w14:paraId="34368085" w14:textId="77777777" w:rsidR="00F42A51" w:rsidRPr="00CD744B" w:rsidRDefault="00F42A51" w:rsidP="007A2976">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Cost (euro/KWh)</w:t>
            </w:r>
          </w:p>
        </w:tc>
        <w:tc>
          <w:tcPr>
            <w:tcW w:w="1660" w:type="dxa"/>
            <w:noWrap/>
            <w:hideMark/>
          </w:tcPr>
          <w:p w14:paraId="29ED31C1" w14:textId="77777777" w:rsidR="00F42A51" w:rsidRPr="00CD744B" w:rsidRDefault="00F42A51" w:rsidP="007A2976">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life span (cycles)</w:t>
            </w:r>
          </w:p>
        </w:tc>
      </w:tr>
      <w:tr w:rsidR="00F42A51" w:rsidRPr="00CD744B" w14:paraId="545F588D"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41020EF9"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Lead acid (flooded type)</w:t>
            </w:r>
          </w:p>
        </w:tc>
        <w:tc>
          <w:tcPr>
            <w:tcW w:w="1780" w:type="dxa"/>
            <w:noWrap/>
            <w:hideMark/>
          </w:tcPr>
          <w:p w14:paraId="070537C2"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10MW/40MWh</w:t>
            </w:r>
          </w:p>
        </w:tc>
        <w:tc>
          <w:tcPr>
            <w:tcW w:w="1380" w:type="dxa"/>
            <w:noWrap/>
            <w:hideMark/>
          </w:tcPr>
          <w:p w14:paraId="6E38C406"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72-78</w:t>
            </w:r>
          </w:p>
        </w:tc>
        <w:tc>
          <w:tcPr>
            <w:tcW w:w="1680" w:type="dxa"/>
            <w:noWrap/>
            <w:hideMark/>
          </w:tcPr>
          <w:p w14:paraId="12C4FD03"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50-150</w:t>
            </w:r>
          </w:p>
        </w:tc>
        <w:tc>
          <w:tcPr>
            <w:tcW w:w="1660" w:type="dxa"/>
            <w:noWrap/>
            <w:hideMark/>
          </w:tcPr>
          <w:p w14:paraId="2A2B260C"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1000-2000</w:t>
            </w:r>
          </w:p>
        </w:tc>
      </w:tr>
      <w:tr w:rsidR="00F42A51" w:rsidRPr="00CD744B" w14:paraId="112A97FA"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68D4E9EB"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Lead acid (valve regulated)</w:t>
            </w:r>
          </w:p>
        </w:tc>
        <w:tc>
          <w:tcPr>
            <w:tcW w:w="1780" w:type="dxa"/>
            <w:noWrap/>
            <w:hideMark/>
          </w:tcPr>
          <w:p w14:paraId="4B1ECE43"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300KW/580KWh</w:t>
            </w:r>
          </w:p>
        </w:tc>
        <w:tc>
          <w:tcPr>
            <w:tcW w:w="1380" w:type="dxa"/>
            <w:noWrap/>
            <w:hideMark/>
          </w:tcPr>
          <w:p w14:paraId="77DBBDC6"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72-78</w:t>
            </w:r>
          </w:p>
        </w:tc>
        <w:tc>
          <w:tcPr>
            <w:tcW w:w="1680" w:type="dxa"/>
            <w:noWrap/>
            <w:hideMark/>
          </w:tcPr>
          <w:p w14:paraId="440C422D"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50-150</w:t>
            </w:r>
          </w:p>
        </w:tc>
        <w:tc>
          <w:tcPr>
            <w:tcW w:w="1660" w:type="dxa"/>
            <w:noWrap/>
            <w:hideMark/>
          </w:tcPr>
          <w:p w14:paraId="25538BE5"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200-300</w:t>
            </w:r>
          </w:p>
        </w:tc>
      </w:tr>
      <w:tr w:rsidR="00F42A51" w:rsidRPr="00CD744B" w14:paraId="5AC33DCD"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2A1505BF"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Nickel Cadmium (NiCd)</w:t>
            </w:r>
          </w:p>
        </w:tc>
        <w:tc>
          <w:tcPr>
            <w:tcW w:w="1780" w:type="dxa"/>
            <w:noWrap/>
            <w:hideMark/>
          </w:tcPr>
          <w:p w14:paraId="038A4582"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27MW/6.75MWh</w:t>
            </w:r>
          </w:p>
        </w:tc>
        <w:tc>
          <w:tcPr>
            <w:tcW w:w="1380" w:type="dxa"/>
            <w:noWrap/>
            <w:hideMark/>
          </w:tcPr>
          <w:p w14:paraId="6A994CE3"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72-78</w:t>
            </w:r>
          </w:p>
        </w:tc>
        <w:tc>
          <w:tcPr>
            <w:tcW w:w="1680" w:type="dxa"/>
            <w:noWrap/>
            <w:hideMark/>
          </w:tcPr>
          <w:p w14:paraId="1627974E"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200-600</w:t>
            </w:r>
          </w:p>
        </w:tc>
        <w:tc>
          <w:tcPr>
            <w:tcW w:w="1660" w:type="dxa"/>
            <w:noWrap/>
            <w:hideMark/>
          </w:tcPr>
          <w:p w14:paraId="07E441F6"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3000</w:t>
            </w:r>
          </w:p>
        </w:tc>
      </w:tr>
      <w:tr w:rsidR="00F42A51" w:rsidRPr="00CD744B" w14:paraId="779DE33C"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0F26CD99"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Sodium Sulphur (NaS)</w:t>
            </w:r>
          </w:p>
        </w:tc>
        <w:tc>
          <w:tcPr>
            <w:tcW w:w="1780" w:type="dxa"/>
            <w:noWrap/>
            <w:hideMark/>
          </w:tcPr>
          <w:p w14:paraId="5EAA1E2D"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9.6MW/64MWh</w:t>
            </w:r>
          </w:p>
        </w:tc>
        <w:tc>
          <w:tcPr>
            <w:tcW w:w="1380" w:type="dxa"/>
            <w:noWrap/>
            <w:hideMark/>
          </w:tcPr>
          <w:p w14:paraId="3F549C02"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89</w:t>
            </w:r>
          </w:p>
        </w:tc>
        <w:tc>
          <w:tcPr>
            <w:tcW w:w="1680" w:type="dxa"/>
            <w:noWrap/>
            <w:hideMark/>
          </w:tcPr>
          <w:p w14:paraId="2BF1D5A4"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p>
        </w:tc>
        <w:tc>
          <w:tcPr>
            <w:tcW w:w="1660" w:type="dxa"/>
            <w:noWrap/>
            <w:hideMark/>
          </w:tcPr>
          <w:p w14:paraId="779DB10B"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2500</w:t>
            </w:r>
          </w:p>
        </w:tc>
      </w:tr>
      <w:tr w:rsidR="00F42A51" w:rsidRPr="00CD744B" w14:paraId="5FCE04B6"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7F2378E4"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Lithium ion</w:t>
            </w:r>
          </w:p>
        </w:tc>
        <w:tc>
          <w:tcPr>
            <w:tcW w:w="1780" w:type="dxa"/>
            <w:noWrap/>
            <w:hideMark/>
          </w:tcPr>
          <w:p w14:paraId="0EE1CC06"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p>
        </w:tc>
        <w:tc>
          <w:tcPr>
            <w:tcW w:w="1380" w:type="dxa"/>
            <w:noWrap/>
            <w:hideMark/>
          </w:tcPr>
          <w:p w14:paraId="075CCC23"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100</w:t>
            </w:r>
          </w:p>
        </w:tc>
        <w:tc>
          <w:tcPr>
            <w:tcW w:w="1680" w:type="dxa"/>
            <w:noWrap/>
            <w:hideMark/>
          </w:tcPr>
          <w:p w14:paraId="0E1018E9"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700-1000</w:t>
            </w:r>
          </w:p>
        </w:tc>
        <w:tc>
          <w:tcPr>
            <w:tcW w:w="1660" w:type="dxa"/>
            <w:noWrap/>
            <w:hideMark/>
          </w:tcPr>
          <w:p w14:paraId="1A984CFB"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3000</w:t>
            </w:r>
          </w:p>
        </w:tc>
      </w:tr>
      <w:tr w:rsidR="00F42A51" w:rsidRPr="00CD744B" w14:paraId="52A306BC"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7D97978D"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Vanadium redox (VRB)</w:t>
            </w:r>
          </w:p>
        </w:tc>
        <w:tc>
          <w:tcPr>
            <w:tcW w:w="1780" w:type="dxa"/>
            <w:noWrap/>
            <w:hideMark/>
          </w:tcPr>
          <w:p w14:paraId="3B9DE978"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1.5MW/1.5MWh</w:t>
            </w:r>
          </w:p>
        </w:tc>
        <w:tc>
          <w:tcPr>
            <w:tcW w:w="1380" w:type="dxa"/>
            <w:noWrap/>
            <w:hideMark/>
          </w:tcPr>
          <w:p w14:paraId="34127424"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85</w:t>
            </w:r>
          </w:p>
        </w:tc>
        <w:tc>
          <w:tcPr>
            <w:tcW w:w="1680" w:type="dxa"/>
            <w:noWrap/>
            <w:hideMark/>
          </w:tcPr>
          <w:p w14:paraId="42FE50DC"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360-1000</w:t>
            </w:r>
          </w:p>
        </w:tc>
        <w:tc>
          <w:tcPr>
            <w:tcW w:w="1660" w:type="dxa"/>
            <w:noWrap/>
            <w:hideMark/>
          </w:tcPr>
          <w:p w14:paraId="3170E236"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10000</w:t>
            </w:r>
          </w:p>
        </w:tc>
      </w:tr>
      <w:tr w:rsidR="00F42A51" w:rsidRPr="00CD744B" w14:paraId="1CBBECF1"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53464153"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Zinc Bromine</w:t>
            </w:r>
          </w:p>
        </w:tc>
        <w:tc>
          <w:tcPr>
            <w:tcW w:w="1780" w:type="dxa"/>
            <w:noWrap/>
            <w:hideMark/>
          </w:tcPr>
          <w:p w14:paraId="4944DDA0"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1MW/4MWh</w:t>
            </w:r>
          </w:p>
        </w:tc>
        <w:tc>
          <w:tcPr>
            <w:tcW w:w="1380" w:type="dxa"/>
            <w:noWrap/>
            <w:hideMark/>
          </w:tcPr>
          <w:p w14:paraId="71F7201C"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75</w:t>
            </w:r>
          </w:p>
        </w:tc>
        <w:tc>
          <w:tcPr>
            <w:tcW w:w="1680" w:type="dxa"/>
            <w:noWrap/>
            <w:hideMark/>
          </w:tcPr>
          <w:p w14:paraId="3097BBF9"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360-1000</w:t>
            </w:r>
          </w:p>
        </w:tc>
        <w:tc>
          <w:tcPr>
            <w:tcW w:w="1660" w:type="dxa"/>
            <w:noWrap/>
            <w:hideMark/>
          </w:tcPr>
          <w:p w14:paraId="48130537"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p>
        </w:tc>
      </w:tr>
      <w:tr w:rsidR="00F42A51" w:rsidRPr="00CD744B" w14:paraId="65E6AD3F"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707DAAD8"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Metal air</w:t>
            </w:r>
          </w:p>
        </w:tc>
        <w:tc>
          <w:tcPr>
            <w:tcW w:w="1780" w:type="dxa"/>
            <w:noWrap/>
            <w:hideMark/>
          </w:tcPr>
          <w:p w14:paraId="201023BF"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p>
        </w:tc>
        <w:tc>
          <w:tcPr>
            <w:tcW w:w="1380" w:type="dxa"/>
            <w:noWrap/>
            <w:hideMark/>
          </w:tcPr>
          <w:p w14:paraId="263812DB"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50</w:t>
            </w:r>
          </w:p>
        </w:tc>
        <w:tc>
          <w:tcPr>
            <w:tcW w:w="1680" w:type="dxa"/>
            <w:noWrap/>
            <w:hideMark/>
          </w:tcPr>
          <w:p w14:paraId="50382570"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50-200</w:t>
            </w:r>
          </w:p>
        </w:tc>
        <w:tc>
          <w:tcPr>
            <w:tcW w:w="1660" w:type="dxa"/>
            <w:noWrap/>
            <w:hideMark/>
          </w:tcPr>
          <w:p w14:paraId="15011747"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100</w:t>
            </w:r>
          </w:p>
        </w:tc>
      </w:tr>
      <w:tr w:rsidR="00F42A51" w:rsidRPr="00CD744B" w14:paraId="739D36A2"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2740" w:type="dxa"/>
            <w:noWrap/>
            <w:hideMark/>
          </w:tcPr>
          <w:p w14:paraId="5D913B67" w14:textId="77777777" w:rsidR="00F42A51" w:rsidRPr="00CD744B" w:rsidRDefault="00F42A51" w:rsidP="007A2976">
            <w:pPr>
              <w:suppressAutoHyphens w:val="0"/>
              <w:autoSpaceDN/>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Regenerative fuel cell (PSB)</w:t>
            </w:r>
          </w:p>
        </w:tc>
        <w:tc>
          <w:tcPr>
            <w:tcW w:w="1780" w:type="dxa"/>
            <w:noWrap/>
            <w:hideMark/>
          </w:tcPr>
          <w:p w14:paraId="27A0BF61"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15MW/120MWh</w:t>
            </w:r>
          </w:p>
        </w:tc>
        <w:tc>
          <w:tcPr>
            <w:tcW w:w="1380" w:type="dxa"/>
            <w:noWrap/>
            <w:hideMark/>
          </w:tcPr>
          <w:p w14:paraId="5CDAA15C" w14:textId="77777777" w:rsidR="00F42A51" w:rsidRPr="00CD744B" w:rsidRDefault="00F42A51" w:rsidP="007A2976">
            <w:pPr>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75</w:t>
            </w:r>
          </w:p>
        </w:tc>
        <w:tc>
          <w:tcPr>
            <w:tcW w:w="1680" w:type="dxa"/>
            <w:noWrap/>
            <w:hideMark/>
          </w:tcPr>
          <w:p w14:paraId="4A6D3E4F" w14:textId="77777777" w:rsidR="00F42A51" w:rsidRPr="00CD744B" w:rsidRDefault="00F42A51" w:rsidP="007A2976">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360-1000</w:t>
            </w:r>
          </w:p>
        </w:tc>
        <w:tc>
          <w:tcPr>
            <w:tcW w:w="1660" w:type="dxa"/>
            <w:noWrap/>
            <w:hideMark/>
          </w:tcPr>
          <w:p w14:paraId="5BFC2827"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p>
        </w:tc>
      </w:tr>
    </w:tbl>
    <w:p w14:paraId="1F37F571" w14:textId="2A300A4D" w:rsidR="00F42A51" w:rsidRDefault="00F42A51" w:rsidP="00F42A51">
      <w:pPr>
        <w:autoSpaceDE w:val="0"/>
        <w:adjustRightInd w:val="0"/>
        <w:spacing w:after="0" w:line="360" w:lineRule="auto"/>
        <w:jc w:val="both"/>
        <w:rPr>
          <w:rFonts w:ascii="Times New Roman" w:hAnsi="Times New Roman"/>
          <w:lang w:val="en-US"/>
        </w:rPr>
      </w:pPr>
    </w:p>
    <w:p w14:paraId="3C42B5B7" w14:textId="77777777" w:rsidR="0089624A" w:rsidRDefault="0089624A" w:rsidP="00F42A51">
      <w:pPr>
        <w:autoSpaceDE w:val="0"/>
        <w:adjustRightInd w:val="0"/>
        <w:spacing w:after="0" w:line="360" w:lineRule="auto"/>
        <w:jc w:val="both"/>
        <w:rPr>
          <w:rFonts w:ascii="Times New Roman" w:hAnsi="Times New Roman"/>
          <w:lang w:val="en-US"/>
        </w:rPr>
      </w:pPr>
    </w:p>
    <w:p w14:paraId="66420046" w14:textId="77777777" w:rsidR="0089624A" w:rsidRDefault="0089624A" w:rsidP="00F42A51">
      <w:pPr>
        <w:autoSpaceDE w:val="0"/>
        <w:adjustRightInd w:val="0"/>
        <w:spacing w:after="0" w:line="360" w:lineRule="auto"/>
        <w:jc w:val="both"/>
        <w:rPr>
          <w:rFonts w:ascii="Times New Roman" w:hAnsi="Times New Roman"/>
          <w:lang w:val="en-US"/>
        </w:rPr>
      </w:pPr>
    </w:p>
    <w:p w14:paraId="0D11729F" w14:textId="77777777" w:rsidR="0089624A" w:rsidRDefault="0089624A" w:rsidP="00F42A51">
      <w:pPr>
        <w:autoSpaceDE w:val="0"/>
        <w:adjustRightInd w:val="0"/>
        <w:spacing w:after="0" w:line="360" w:lineRule="auto"/>
        <w:jc w:val="both"/>
        <w:rPr>
          <w:rFonts w:ascii="Times New Roman" w:hAnsi="Times New Roman"/>
          <w:lang w:val="en-US"/>
        </w:rPr>
      </w:pPr>
    </w:p>
    <w:p w14:paraId="7166F488" w14:textId="77777777" w:rsidR="0089624A" w:rsidRDefault="0089624A" w:rsidP="00F42A51">
      <w:pPr>
        <w:autoSpaceDE w:val="0"/>
        <w:adjustRightInd w:val="0"/>
        <w:spacing w:after="0" w:line="360" w:lineRule="auto"/>
        <w:jc w:val="both"/>
        <w:rPr>
          <w:rFonts w:ascii="Times New Roman" w:hAnsi="Times New Roman"/>
          <w:lang w:val="en-US"/>
        </w:rPr>
      </w:pPr>
    </w:p>
    <w:p w14:paraId="15BFFD25" w14:textId="77777777" w:rsidR="0089624A" w:rsidRDefault="0089624A" w:rsidP="00F42A51">
      <w:pPr>
        <w:autoSpaceDE w:val="0"/>
        <w:adjustRightInd w:val="0"/>
        <w:spacing w:after="0" w:line="360" w:lineRule="auto"/>
        <w:jc w:val="both"/>
        <w:rPr>
          <w:rFonts w:ascii="Times New Roman" w:hAnsi="Times New Roman"/>
          <w:lang w:val="en-US"/>
        </w:rPr>
      </w:pPr>
    </w:p>
    <w:p w14:paraId="015F321D" w14:textId="77777777" w:rsidR="0089624A" w:rsidRDefault="0089624A" w:rsidP="00F42A51">
      <w:pPr>
        <w:autoSpaceDE w:val="0"/>
        <w:adjustRightInd w:val="0"/>
        <w:spacing w:after="0" w:line="360" w:lineRule="auto"/>
        <w:jc w:val="both"/>
        <w:rPr>
          <w:rFonts w:ascii="Times New Roman" w:hAnsi="Times New Roman"/>
          <w:lang w:val="en-US"/>
        </w:rPr>
      </w:pPr>
    </w:p>
    <w:p w14:paraId="40CFB476" w14:textId="717D3416" w:rsidR="00F42A51" w:rsidRPr="00514C83" w:rsidRDefault="00F42A51" w:rsidP="004F03A9">
      <w:pPr>
        <w:spacing w:after="0" w:line="240" w:lineRule="auto"/>
        <w:jc w:val="both"/>
        <w:rPr>
          <w:rFonts w:ascii="Times New Roman" w:hAnsi="Times New Roman"/>
          <w:lang w:val="en-US"/>
        </w:rPr>
      </w:pPr>
      <w:r w:rsidRPr="00F045A3">
        <w:rPr>
          <w:rFonts w:ascii="Times New Roman" w:hAnsi="Times New Roman"/>
          <w:lang w:val="en-US"/>
        </w:rPr>
        <w:lastRenderedPageBreak/>
        <w:t xml:space="preserve">Table </w:t>
      </w:r>
      <w:r w:rsidR="00F045A3" w:rsidRPr="00F045A3">
        <w:rPr>
          <w:rFonts w:ascii="Times New Roman" w:hAnsi="Times New Roman"/>
          <w:lang w:val="en-US"/>
        </w:rPr>
        <w:t>3</w:t>
      </w:r>
      <w:r>
        <w:rPr>
          <w:rFonts w:ascii="Times New Roman" w:hAnsi="Times New Roman"/>
          <w:lang w:val="en-US"/>
        </w:rPr>
        <w:t xml:space="preserve">. </w:t>
      </w:r>
      <w:r w:rsidRPr="00514C83">
        <w:rPr>
          <w:rFonts w:ascii="Times New Roman" w:hAnsi="Times New Roman"/>
          <w:lang w:val="en-US"/>
        </w:rPr>
        <w:t>Energy storage for utility transmission and distribution grid support</w:t>
      </w:r>
      <w:r>
        <w:rPr>
          <w:rFonts w:ascii="Times New Roman" w:hAnsi="Times New Roman"/>
          <w:lang w:val="en-US"/>
        </w:rPr>
        <w:t xml:space="preserve"> </w:t>
      </w:r>
      <w:r>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"10.1126/science.1212741", "ISBN" : "0036-8075", "ISSN" : "0036-8075", "PMID" : "22096188", "abstract" : "The increasing interest in energy storage for the grid can be attributed to multiple factors, including the capital costs of managing peak demands, the investments needed for grid reliability, and the integration of renewable energy sources. Although existing energy storage is dominated by pumped hydroelectric, there is the recognition that battery systems can offer a number of high-value opportunities, provided that lower costs can be obtained. The battery systems reviewed here include sodium-sulfur batteries that are commercially available for grid applications, redox-flow batteries that offer low cost, and lithium-ion batteries whose development for commercial electronics and electric vehicles is being applied to grid storage.", "author" : [ { "dropping-particle" : "", "family" : "Dunn", "given" : "B.", "non-dropping-particle" : "", "parse-names" : false, "suffix" : "" }, { "dropping-particle" : "", "family" : "Kamath", "given" : "H.", "non-dropping-particle" : "", "parse-names" : false, "suffix" : "" }, { "dropping-particle" : "", "family" : "Tarascon", "given" : "J.-M.", "non-dropping-particle" : "", "parse-names" : false, "suffix" : "" } ], "container-title" : "Science", "id" : "ITEM-1", "issue" : "6058", "issued" : { "date-parts" : [ [ "2011" ] ] }, "page" : "928-935", "title" : "Electrical Energy Storage for the Grid: A Battery of Choices", "type" : "article-journal", "volume" : "334" }, "uris" : [ "http://www.mendeley.com/documents/?uuid=34f8e846-7516-4630-a047-0daef2d50242" ] } ], "mendeley" : { "formattedCitation" : "(Dunn, Kamath, &amp; Tarascon, 2011)", "plainTextFormattedCitation" : "(Dunn, Kamath, &amp; Tarascon, 2011)", "previouslyFormattedCitation" : "(Dunn, Kamath, &amp; Tarascon, 2011)" }, "properties" : { "noteIndex" : 3 }, "schema" : "https://github.com/citation-style-language/schema/raw/master/csl-citation.json" }</w:instrText>
      </w:r>
      <w:r>
        <w:rPr>
          <w:rFonts w:ascii="Times New Roman" w:hAnsi="Times New Roman"/>
          <w:lang w:val="en-US"/>
        </w:rPr>
        <w:fldChar w:fldCharType="separate"/>
      </w:r>
      <w:r w:rsidR="00D03089" w:rsidRPr="00D03089">
        <w:rPr>
          <w:rFonts w:ascii="Times New Roman" w:hAnsi="Times New Roman"/>
          <w:noProof/>
          <w:lang w:val="en-US"/>
        </w:rPr>
        <w:t>(Dunn, Kamath, &amp; Tarascon, 2011)</w:t>
      </w:r>
      <w:r>
        <w:rPr>
          <w:rFonts w:ascii="Times New Roman" w:hAnsi="Times New Roman"/>
          <w:lang w:val="en-US"/>
        </w:rPr>
        <w:fldChar w:fldCharType="end"/>
      </w:r>
      <w:r>
        <w:rPr>
          <w:rFonts w:ascii="Times New Roman" w:hAnsi="Times New Roman"/>
          <w:lang w:val="en-US"/>
        </w:rPr>
        <w:t>.</w:t>
      </w:r>
    </w:p>
    <w:tbl>
      <w:tblPr>
        <w:tblStyle w:val="PlainTable21"/>
        <w:tblW w:w="9280" w:type="dxa"/>
        <w:jc w:val="center"/>
        <w:tblLook w:val="06A0" w:firstRow="1" w:lastRow="0" w:firstColumn="1" w:lastColumn="0" w:noHBand="1" w:noVBand="1"/>
      </w:tblPr>
      <w:tblGrid>
        <w:gridCol w:w="1240"/>
        <w:gridCol w:w="1720"/>
        <w:gridCol w:w="1280"/>
        <w:gridCol w:w="1600"/>
        <w:gridCol w:w="1280"/>
        <w:gridCol w:w="2160"/>
      </w:tblGrid>
      <w:tr w:rsidR="00F42A51" w:rsidRPr="00CD744B" w14:paraId="6B66C078" w14:textId="77777777" w:rsidTr="004F03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B4AE67C"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Technology</w:t>
            </w:r>
          </w:p>
        </w:tc>
        <w:tc>
          <w:tcPr>
            <w:tcW w:w="1720" w:type="dxa"/>
            <w:noWrap/>
            <w:hideMark/>
          </w:tcPr>
          <w:p w14:paraId="0379182A" w14:textId="77777777" w:rsidR="00F42A51" w:rsidRPr="00CD744B" w:rsidRDefault="00F42A51" w:rsidP="007A2976">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Capacity (MWh)</w:t>
            </w:r>
          </w:p>
        </w:tc>
        <w:tc>
          <w:tcPr>
            <w:tcW w:w="1280" w:type="dxa"/>
            <w:noWrap/>
            <w:hideMark/>
          </w:tcPr>
          <w:p w14:paraId="57A0B323" w14:textId="77777777" w:rsidR="00F42A51" w:rsidRPr="00CD744B" w:rsidRDefault="00F42A51" w:rsidP="007A2976">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Power (MW)</w:t>
            </w:r>
          </w:p>
        </w:tc>
        <w:tc>
          <w:tcPr>
            <w:tcW w:w="1600" w:type="dxa"/>
            <w:noWrap/>
            <w:hideMark/>
          </w:tcPr>
          <w:p w14:paraId="4B05222D" w14:textId="77777777" w:rsidR="00F42A51" w:rsidRPr="00CD744B" w:rsidRDefault="00F42A51" w:rsidP="007A2976">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Duration (Hours)</w:t>
            </w:r>
          </w:p>
        </w:tc>
        <w:tc>
          <w:tcPr>
            <w:tcW w:w="1280" w:type="dxa"/>
            <w:noWrap/>
            <w:hideMark/>
          </w:tcPr>
          <w:p w14:paraId="1EFCF7BC" w14:textId="77777777" w:rsidR="00F42A51" w:rsidRPr="00CD744B" w:rsidRDefault="00F42A51" w:rsidP="007A2976">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Effiiency (%)</w:t>
            </w:r>
          </w:p>
        </w:tc>
        <w:tc>
          <w:tcPr>
            <w:tcW w:w="2160" w:type="dxa"/>
            <w:noWrap/>
            <w:hideMark/>
          </w:tcPr>
          <w:p w14:paraId="69B8A389" w14:textId="77777777" w:rsidR="00F42A51" w:rsidRPr="00CD744B" w:rsidRDefault="00F42A51" w:rsidP="007A2976">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Total cost  (USD/KWh)</w:t>
            </w:r>
          </w:p>
        </w:tc>
      </w:tr>
      <w:tr w:rsidR="00F42A51" w:rsidRPr="00CD744B" w14:paraId="306B5797"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FF2A58A"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CAES</w:t>
            </w:r>
          </w:p>
        </w:tc>
        <w:tc>
          <w:tcPr>
            <w:tcW w:w="1720" w:type="dxa"/>
            <w:noWrap/>
            <w:hideMark/>
          </w:tcPr>
          <w:p w14:paraId="7AC59956"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250</w:t>
            </w:r>
          </w:p>
        </w:tc>
        <w:tc>
          <w:tcPr>
            <w:tcW w:w="1280" w:type="dxa"/>
            <w:noWrap/>
            <w:hideMark/>
          </w:tcPr>
          <w:p w14:paraId="09988244"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50</w:t>
            </w:r>
          </w:p>
        </w:tc>
        <w:tc>
          <w:tcPr>
            <w:tcW w:w="1600" w:type="dxa"/>
            <w:noWrap/>
            <w:hideMark/>
          </w:tcPr>
          <w:p w14:paraId="3ACA0E4B"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w:t>
            </w:r>
          </w:p>
        </w:tc>
        <w:tc>
          <w:tcPr>
            <w:tcW w:w="1280" w:type="dxa"/>
            <w:noWrap/>
            <w:hideMark/>
          </w:tcPr>
          <w:p w14:paraId="749337CC"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p>
        </w:tc>
        <w:tc>
          <w:tcPr>
            <w:tcW w:w="2160" w:type="dxa"/>
            <w:noWrap/>
            <w:hideMark/>
          </w:tcPr>
          <w:p w14:paraId="4ED0842B"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1950-2150</w:t>
            </w:r>
          </w:p>
        </w:tc>
      </w:tr>
      <w:tr w:rsidR="00F42A51" w:rsidRPr="00CD744B" w14:paraId="76094D52"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10BF9E6"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Pb-acid</w:t>
            </w:r>
          </w:p>
        </w:tc>
        <w:tc>
          <w:tcPr>
            <w:tcW w:w="1720" w:type="dxa"/>
            <w:noWrap/>
            <w:hideMark/>
          </w:tcPr>
          <w:p w14:paraId="637EAF50"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3.2-48</w:t>
            </w:r>
          </w:p>
        </w:tc>
        <w:tc>
          <w:tcPr>
            <w:tcW w:w="1280" w:type="dxa"/>
            <w:noWrap/>
            <w:hideMark/>
          </w:tcPr>
          <w:p w14:paraId="0E188A33"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1.0-12</w:t>
            </w:r>
          </w:p>
        </w:tc>
        <w:tc>
          <w:tcPr>
            <w:tcW w:w="1600" w:type="dxa"/>
            <w:noWrap/>
            <w:hideMark/>
          </w:tcPr>
          <w:p w14:paraId="5E7A7CD9"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3.2-4</w:t>
            </w:r>
          </w:p>
        </w:tc>
        <w:tc>
          <w:tcPr>
            <w:tcW w:w="1280" w:type="dxa"/>
            <w:noWrap/>
            <w:hideMark/>
          </w:tcPr>
          <w:p w14:paraId="1C148520"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75-90</w:t>
            </w:r>
          </w:p>
        </w:tc>
        <w:tc>
          <w:tcPr>
            <w:tcW w:w="2160" w:type="dxa"/>
            <w:noWrap/>
            <w:hideMark/>
          </w:tcPr>
          <w:p w14:paraId="5A43CC81"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2000-4600</w:t>
            </w:r>
          </w:p>
        </w:tc>
      </w:tr>
      <w:tr w:rsidR="00F42A51" w:rsidRPr="00CD744B" w14:paraId="204BC164"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DE84889"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NaS</w:t>
            </w:r>
          </w:p>
        </w:tc>
        <w:tc>
          <w:tcPr>
            <w:tcW w:w="1720" w:type="dxa"/>
            <w:noWrap/>
            <w:hideMark/>
          </w:tcPr>
          <w:p w14:paraId="33339274"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7.2</w:t>
            </w:r>
          </w:p>
        </w:tc>
        <w:tc>
          <w:tcPr>
            <w:tcW w:w="1280" w:type="dxa"/>
            <w:noWrap/>
            <w:hideMark/>
          </w:tcPr>
          <w:p w14:paraId="5C862815"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w:t>
            </w:r>
          </w:p>
        </w:tc>
        <w:tc>
          <w:tcPr>
            <w:tcW w:w="1600" w:type="dxa"/>
            <w:noWrap/>
            <w:hideMark/>
          </w:tcPr>
          <w:p w14:paraId="21BC9375"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7.2</w:t>
            </w:r>
          </w:p>
        </w:tc>
        <w:tc>
          <w:tcPr>
            <w:tcW w:w="1280" w:type="dxa"/>
            <w:noWrap/>
            <w:hideMark/>
          </w:tcPr>
          <w:p w14:paraId="5A71C392"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75</w:t>
            </w:r>
          </w:p>
        </w:tc>
        <w:tc>
          <w:tcPr>
            <w:tcW w:w="2160" w:type="dxa"/>
            <w:noWrap/>
            <w:hideMark/>
          </w:tcPr>
          <w:p w14:paraId="5968B099"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3200-4000</w:t>
            </w:r>
          </w:p>
        </w:tc>
      </w:tr>
      <w:tr w:rsidR="00F42A51" w:rsidRPr="00CD744B" w14:paraId="5EE56409"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546CAB5"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Zn/Br flow</w:t>
            </w:r>
          </w:p>
        </w:tc>
        <w:tc>
          <w:tcPr>
            <w:tcW w:w="1720" w:type="dxa"/>
            <w:noWrap/>
            <w:hideMark/>
          </w:tcPr>
          <w:p w14:paraId="57DB5021"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5.0-50</w:t>
            </w:r>
          </w:p>
        </w:tc>
        <w:tc>
          <w:tcPr>
            <w:tcW w:w="1280" w:type="dxa"/>
            <w:noWrap/>
            <w:hideMark/>
          </w:tcPr>
          <w:p w14:paraId="139DDBAE"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1.0-10</w:t>
            </w:r>
          </w:p>
        </w:tc>
        <w:tc>
          <w:tcPr>
            <w:tcW w:w="1600" w:type="dxa"/>
            <w:noWrap/>
            <w:hideMark/>
          </w:tcPr>
          <w:p w14:paraId="2A0165F3"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w:t>
            </w:r>
          </w:p>
        </w:tc>
        <w:tc>
          <w:tcPr>
            <w:tcW w:w="1280" w:type="dxa"/>
            <w:noWrap/>
            <w:hideMark/>
          </w:tcPr>
          <w:p w14:paraId="12B0D68C"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60-65</w:t>
            </w:r>
          </w:p>
        </w:tc>
        <w:tc>
          <w:tcPr>
            <w:tcW w:w="2160" w:type="dxa"/>
            <w:noWrap/>
            <w:hideMark/>
          </w:tcPr>
          <w:p w14:paraId="25238656"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1670-2015</w:t>
            </w:r>
          </w:p>
        </w:tc>
      </w:tr>
      <w:tr w:rsidR="00F42A51" w:rsidRPr="00CD744B" w14:paraId="34D25C40"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13BA276"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V redox</w:t>
            </w:r>
          </w:p>
        </w:tc>
        <w:tc>
          <w:tcPr>
            <w:tcW w:w="1720" w:type="dxa"/>
            <w:noWrap/>
            <w:hideMark/>
          </w:tcPr>
          <w:p w14:paraId="07D43FA5"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4.0-40</w:t>
            </w:r>
          </w:p>
        </w:tc>
        <w:tc>
          <w:tcPr>
            <w:tcW w:w="1280" w:type="dxa"/>
            <w:noWrap/>
            <w:hideMark/>
          </w:tcPr>
          <w:p w14:paraId="749A47F3"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1.0-10</w:t>
            </w:r>
          </w:p>
        </w:tc>
        <w:tc>
          <w:tcPr>
            <w:tcW w:w="1600" w:type="dxa"/>
            <w:noWrap/>
            <w:hideMark/>
          </w:tcPr>
          <w:p w14:paraId="5DC71928"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4</w:t>
            </w:r>
          </w:p>
        </w:tc>
        <w:tc>
          <w:tcPr>
            <w:tcW w:w="1280" w:type="dxa"/>
            <w:noWrap/>
            <w:hideMark/>
          </w:tcPr>
          <w:p w14:paraId="3A1CF251"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65-70</w:t>
            </w:r>
          </w:p>
        </w:tc>
        <w:tc>
          <w:tcPr>
            <w:tcW w:w="2160" w:type="dxa"/>
            <w:noWrap/>
            <w:hideMark/>
          </w:tcPr>
          <w:p w14:paraId="0388DEA7"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3000-3310</w:t>
            </w:r>
          </w:p>
        </w:tc>
      </w:tr>
      <w:tr w:rsidR="00F42A51" w:rsidRPr="00CD744B" w14:paraId="5B2E5B70"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529C3D8"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FeCr flow</w:t>
            </w:r>
          </w:p>
        </w:tc>
        <w:tc>
          <w:tcPr>
            <w:tcW w:w="1720" w:type="dxa"/>
            <w:noWrap/>
            <w:hideMark/>
          </w:tcPr>
          <w:p w14:paraId="2E4AD89D"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4</w:t>
            </w:r>
          </w:p>
        </w:tc>
        <w:tc>
          <w:tcPr>
            <w:tcW w:w="1280" w:type="dxa"/>
            <w:noWrap/>
            <w:hideMark/>
          </w:tcPr>
          <w:p w14:paraId="0864B9C8"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w:t>
            </w:r>
          </w:p>
        </w:tc>
        <w:tc>
          <w:tcPr>
            <w:tcW w:w="1600" w:type="dxa"/>
            <w:noWrap/>
            <w:hideMark/>
          </w:tcPr>
          <w:p w14:paraId="1B37F0B8"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4</w:t>
            </w:r>
          </w:p>
        </w:tc>
        <w:tc>
          <w:tcPr>
            <w:tcW w:w="1280" w:type="dxa"/>
            <w:noWrap/>
            <w:hideMark/>
          </w:tcPr>
          <w:p w14:paraId="4C1A8C20"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75</w:t>
            </w:r>
          </w:p>
        </w:tc>
        <w:tc>
          <w:tcPr>
            <w:tcW w:w="2160" w:type="dxa"/>
            <w:noWrap/>
            <w:hideMark/>
          </w:tcPr>
          <w:p w14:paraId="317E73D4"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1200-1600</w:t>
            </w:r>
          </w:p>
        </w:tc>
      </w:tr>
      <w:tr w:rsidR="00F42A51" w:rsidRPr="00CD744B" w14:paraId="652A390F"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C76C636"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Zn air</w:t>
            </w:r>
          </w:p>
        </w:tc>
        <w:tc>
          <w:tcPr>
            <w:tcW w:w="1720" w:type="dxa"/>
            <w:noWrap/>
            <w:hideMark/>
          </w:tcPr>
          <w:p w14:paraId="139EB606"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5.4</w:t>
            </w:r>
          </w:p>
        </w:tc>
        <w:tc>
          <w:tcPr>
            <w:tcW w:w="1280" w:type="dxa"/>
            <w:noWrap/>
            <w:hideMark/>
          </w:tcPr>
          <w:p w14:paraId="4AB9C4B1"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w:t>
            </w:r>
          </w:p>
        </w:tc>
        <w:tc>
          <w:tcPr>
            <w:tcW w:w="1600" w:type="dxa"/>
            <w:noWrap/>
            <w:hideMark/>
          </w:tcPr>
          <w:p w14:paraId="53BBA333"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5.4</w:t>
            </w:r>
          </w:p>
        </w:tc>
        <w:tc>
          <w:tcPr>
            <w:tcW w:w="1280" w:type="dxa"/>
            <w:noWrap/>
            <w:hideMark/>
          </w:tcPr>
          <w:p w14:paraId="6070C0C1"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75</w:t>
            </w:r>
          </w:p>
        </w:tc>
        <w:tc>
          <w:tcPr>
            <w:tcW w:w="2160" w:type="dxa"/>
            <w:noWrap/>
            <w:hideMark/>
          </w:tcPr>
          <w:p w14:paraId="609F9529"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1750-1900</w:t>
            </w:r>
          </w:p>
        </w:tc>
      </w:tr>
      <w:tr w:rsidR="00F42A51" w:rsidRPr="00CD744B" w14:paraId="3AE21BD6" w14:textId="77777777" w:rsidTr="004F03A9">
        <w:trPr>
          <w:trHeight w:val="30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FDBD542" w14:textId="77777777" w:rsidR="00F42A51" w:rsidRPr="00CD744B" w:rsidRDefault="00F42A51" w:rsidP="007A2976">
            <w:pPr>
              <w:suppressAutoHyphens w:val="0"/>
              <w:autoSpaceDN/>
              <w:jc w:val="center"/>
              <w:textAlignment w:val="auto"/>
              <w:rPr>
                <w:rFonts w:ascii="Times New Roman" w:eastAsia="Times New Roman" w:hAnsi="Times New Roman"/>
                <w:b w:val="0"/>
                <w:color w:val="000000"/>
                <w:lang w:val="es-PY" w:eastAsia="es-PY"/>
              </w:rPr>
            </w:pPr>
            <w:r w:rsidRPr="00CD744B">
              <w:rPr>
                <w:rFonts w:ascii="Times New Roman" w:eastAsia="Times New Roman" w:hAnsi="Times New Roman"/>
                <w:b w:val="0"/>
                <w:color w:val="000000"/>
                <w:lang w:val="es-PY" w:eastAsia="es-PY"/>
              </w:rPr>
              <w:t>Li-iom</w:t>
            </w:r>
          </w:p>
        </w:tc>
        <w:tc>
          <w:tcPr>
            <w:tcW w:w="1720" w:type="dxa"/>
            <w:noWrap/>
            <w:hideMark/>
          </w:tcPr>
          <w:p w14:paraId="4F911287"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4.0-24</w:t>
            </w:r>
          </w:p>
        </w:tc>
        <w:tc>
          <w:tcPr>
            <w:tcW w:w="1280" w:type="dxa"/>
            <w:noWrap/>
            <w:hideMark/>
          </w:tcPr>
          <w:p w14:paraId="0B809ED0"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1.0-10</w:t>
            </w:r>
          </w:p>
        </w:tc>
        <w:tc>
          <w:tcPr>
            <w:tcW w:w="1600" w:type="dxa"/>
            <w:noWrap/>
            <w:hideMark/>
          </w:tcPr>
          <w:p w14:paraId="605935E7"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2.0-4</w:t>
            </w:r>
          </w:p>
        </w:tc>
        <w:tc>
          <w:tcPr>
            <w:tcW w:w="1280" w:type="dxa"/>
            <w:noWrap/>
            <w:hideMark/>
          </w:tcPr>
          <w:p w14:paraId="5975BC6D"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90-94</w:t>
            </w:r>
          </w:p>
        </w:tc>
        <w:tc>
          <w:tcPr>
            <w:tcW w:w="2160" w:type="dxa"/>
            <w:noWrap/>
            <w:hideMark/>
          </w:tcPr>
          <w:p w14:paraId="14CA95D0" w14:textId="77777777" w:rsidR="00F42A51" w:rsidRPr="00CD744B" w:rsidRDefault="00F42A51" w:rsidP="007A2976">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PY" w:eastAsia="es-PY"/>
              </w:rPr>
            </w:pPr>
            <w:r w:rsidRPr="00CD744B">
              <w:rPr>
                <w:rFonts w:ascii="Times New Roman" w:eastAsia="Times New Roman" w:hAnsi="Times New Roman"/>
                <w:color w:val="000000"/>
                <w:lang w:val="es-PY" w:eastAsia="es-PY"/>
              </w:rPr>
              <w:t>1800-4100</w:t>
            </w:r>
          </w:p>
        </w:tc>
      </w:tr>
    </w:tbl>
    <w:p w14:paraId="0F52C154" w14:textId="77777777" w:rsidR="00F42A51" w:rsidRDefault="00F42A51" w:rsidP="00F42A51">
      <w:pPr>
        <w:spacing w:after="200" w:line="360" w:lineRule="auto"/>
        <w:jc w:val="both"/>
        <w:rPr>
          <w:rFonts w:ascii="Times New Roman" w:hAnsi="Times New Roman"/>
          <w:lang w:val="en-US"/>
        </w:rPr>
      </w:pPr>
    </w:p>
    <w:p w14:paraId="74CF6C29" w14:textId="17DF0BF6" w:rsidR="00F42A51" w:rsidRDefault="00F42A51" w:rsidP="00F42A51">
      <w:pPr>
        <w:autoSpaceDE w:val="0"/>
        <w:adjustRightInd w:val="0"/>
        <w:spacing w:after="0" w:line="360" w:lineRule="auto"/>
        <w:jc w:val="both"/>
        <w:rPr>
          <w:rFonts w:ascii="Times New Roman" w:hAnsi="Times New Roman"/>
          <w:lang w:val="en-US"/>
        </w:rPr>
      </w:pPr>
      <w:r w:rsidRPr="00B1282B">
        <w:rPr>
          <w:rFonts w:ascii="Times New Roman" w:hAnsi="Times New Roman"/>
          <w:lang w:val="en-US"/>
        </w:rPr>
        <w:t>Lead acid batteries, invented in 1859, are the oldest and most widely used rechargeable electrochemical devices. A lead acid battery consists of electrodes of lead metal and lead oxide in an electrolyte of about 37% sulphuric acid. In the discharged state both electrodes turn into lead sulphate</w:t>
      </w:r>
      <w:r>
        <w:rPr>
          <w:rFonts w:ascii="Times New Roman" w:hAnsi="Times New Roman"/>
          <w:lang w:val="en-US"/>
        </w:rPr>
        <w:t xml:space="preserve"> and the electrolyte </w:t>
      </w:r>
      <w:r w:rsidRPr="00CD4EE0">
        <w:rPr>
          <w:rFonts w:ascii="Times New Roman" w:hAnsi="Times New Roman"/>
          <w:lang w:val="en-US"/>
        </w:rPr>
        <w:t>loses its dissolved sulph</w:t>
      </w:r>
      <w:r>
        <w:rPr>
          <w:rFonts w:ascii="Times New Roman" w:hAnsi="Times New Roman"/>
          <w:lang w:val="en-US"/>
        </w:rPr>
        <w:t xml:space="preserve">uric acid and becomes primarily </w:t>
      </w:r>
      <w:r w:rsidRPr="00CD4EE0">
        <w:rPr>
          <w:rFonts w:ascii="Times New Roman" w:hAnsi="Times New Roman"/>
          <w:lang w:val="en-US"/>
        </w:rPr>
        <w:t>water.</w:t>
      </w:r>
      <w:r>
        <w:rPr>
          <w:rFonts w:ascii="Times New Roman" w:hAnsi="Times New Roman"/>
          <w:lang w:val="en-US"/>
        </w:rPr>
        <w:t xml:space="preserve"> </w:t>
      </w:r>
      <w:r w:rsidRPr="00CD4EE0">
        <w:rPr>
          <w:rFonts w:ascii="Times New Roman" w:hAnsi="Times New Roman"/>
          <w:lang w:val="en-US"/>
        </w:rPr>
        <w:t>Lead acid battery has a low co</w:t>
      </w:r>
      <w:r>
        <w:rPr>
          <w:rFonts w:ascii="Times New Roman" w:hAnsi="Times New Roman"/>
          <w:lang w:val="en-US"/>
        </w:rPr>
        <w:t xml:space="preserve">st ($300–600/kWh), and a </w:t>
      </w:r>
      <w:r w:rsidRPr="00CD4EE0">
        <w:rPr>
          <w:rFonts w:ascii="Times New Roman" w:hAnsi="Times New Roman"/>
          <w:lang w:val="en-US"/>
        </w:rPr>
        <w:t>high reliability and efficiency (7</w:t>
      </w:r>
      <w:r>
        <w:rPr>
          <w:rFonts w:ascii="Times New Roman" w:hAnsi="Times New Roman"/>
          <w:lang w:val="en-US"/>
        </w:rPr>
        <w:t xml:space="preserve">0–90%). It is a popular storage </w:t>
      </w:r>
      <w:r w:rsidRPr="00CD4EE0">
        <w:rPr>
          <w:rFonts w:ascii="Times New Roman" w:hAnsi="Times New Roman"/>
          <w:lang w:val="en-US"/>
        </w:rPr>
        <w:t>choice for power</w:t>
      </w:r>
      <w:r>
        <w:rPr>
          <w:rFonts w:ascii="Times New Roman" w:hAnsi="Times New Roman"/>
          <w:lang w:val="en-US"/>
        </w:rPr>
        <w:t xml:space="preserve"> quality, UPS and some spinning </w:t>
      </w:r>
      <w:r w:rsidRPr="00CD4EE0">
        <w:rPr>
          <w:rFonts w:ascii="Times New Roman" w:hAnsi="Times New Roman"/>
          <w:lang w:val="en-US"/>
        </w:rPr>
        <w:t>reserve applications. Its app</w:t>
      </w:r>
      <w:r>
        <w:rPr>
          <w:rFonts w:ascii="Times New Roman" w:hAnsi="Times New Roman"/>
          <w:lang w:val="en-US"/>
        </w:rPr>
        <w:t xml:space="preserve">lication for energy management, </w:t>
      </w:r>
      <w:r w:rsidRPr="00CD4EE0">
        <w:rPr>
          <w:rFonts w:ascii="Times New Roman" w:hAnsi="Times New Roman"/>
          <w:lang w:val="en-US"/>
        </w:rPr>
        <w:t>however, has been very</w:t>
      </w:r>
      <w:r>
        <w:rPr>
          <w:rFonts w:ascii="Times New Roman" w:hAnsi="Times New Roman"/>
          <w:lang w:val="en-US"/>
        </w:rPr>
        <w:t xml:space="preserve"> limited due to its short cycle </w:t>
      </w:r>
      <w:r w:rsidRPr="00CD4EE0">
        <w:rPr>
          <w:rFonts w:ascii="Times New Roman" w:hAnsi="Times New Roman"/>
          <w:lang w:val="en-US"/>
        </w:rPr>
        <w:t>life (500–1000 cycles) an</w:t>
      </w:r>
      <w:r>
        <w:rPr>
          <w:rFonts w:ascii="Times New Roman" w:hAnsi="Times New Roman"/>
          <w:lang w:val="en-US"/>
        </w:rPr>
        <w:t>d low energy density (30–50 Wh/</w:t>
      </w:r>
      <w:r w:rsidRPr="00CD4EE0">
        <w:rPr>
          <w:rFonts w:ascii="Times New Roman" w:hAnsi="Times New Roman"/>
          <w:lang w:val="en-US"/>
        </w:rPr>
        <w:t>kg) due to the inherent high densi</w:t>
      </w:r>
      <w:r>
        <w:rPr>
          <w:rFonts w:ascii="Times New Roman" w:hAnsi="Times New Roman"/>
          <w:lang w:val="en-US"/>
        </w:rPr>
        <w:t xml:space="preserve">ty of lead. </w:t>
      </w:r>
      <w:r w:rsidR="00F84A27">
        <w:rPr>
          <w:rFonts w:ascii="Times New Roman" w:hAnsi="Times New Roman"/>
          <w:lang w:val="en-US"/>
        </w:rPr>
        <w:t xml:space="preserve">To overcome the </w:t>
      </w:r>
      <w:r w:rsidRPr="00CD4EE0">
        <w:rPr>
          <w:rFonts w:ascii="Times New Roman" w:hAnsi="Times New Roman"/>
          <w:lang w:val="en-US"/>
        </w:rPr>
        <w:t xml:space="preserve">poor </w:t>
      </w:r>
      <w:r>
        <w:rPr>
          <w:rFonts w:ascii="Times New Roman" w:hAnsi="Times New Roman"/>
          <w:lang w:val="en-US"/>
        </w:rPr>
        <w:t xml:space="preserve">low temperature performance </w:t>
      </w:r>
      <w:r w:rsidR="00F84A27">
        <w:rPr>
          <w:rFonts w:ascii="Times New Roman" w:hAnsi="Times New Roman"/>
          <w:lang w:val="en-US"/>
        </w:rPr>
        <w:t xml:space="preserve">of Lead acid batteries </w:t>
      </w:r>
      <w:r w:rsidRPr="00CD4EE0">
        <w:rPr>
          <w:rFonts w:ascii="Times New Roman" w:hAnsi="Times New Roman"/>
          <w:lang w:val="en-US"/>
        </w:rPr>
        <w:t>require</w:t>
      </w:r>
      <w:r w:rsidR="00F84A27">
        <w:rPr>
          <w:rFonts w:ascii="Times New Roman" w:hAnsi="Times New Roman"/>
          <w:lang w:val="en-US"/>
        </w:rPr>
        <w:t>s</w:t>
      </w:r>
      <w:r w:rsidRPr="00CD4EE0">
        <w:rPr>
          <w:rFonts w:ascii="Times New Roman" w:hAnsi="Times New Roman"/>
          <w:lang w:val="en-US"/>
        </w:rPr>
        <w:t xml:space="preserve"> a thermal m</w:t>
      </w:r>
      <w:r>
        <w:rPr>
          <w:rFonts w:ascii="Times New Roman" w:hAnsi="Times New Roman"/>
          <w:lang w:val="en-US"/>
        </w:rPr>
        <w:t>anagement system</w:t>
      </w:r>
      <w:r w:rsidRPr="00CD4EE0">
        <w:rPr>
          <w:rFonts w:ascii="Times New Roman" w:hAnsi="Times New Roman"/>
          <w:lang w:val="en-US"/>
        </w:rPr>
        <w:t xml:space="preserve"> </w:t>
      </w:r>
      <w:r>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"10.1016/j.pnsc.2008.07.014", "ISBN" : "1002-0071", "ISSN" : "10020071", "abstract" : "Electrical energy storage technologies for stationary applications are reviewed. Particular attention is paid to pumped hydroelectric storage, compressed air energy storage, battery, flow battery, fuel cell, solar fuel, superconducting magnetic energy storage, flywheel, capacitor/supercapacitor, and thermal energy storage. Comparison is made among these technologies in terms of technical characteristics, applications and deployment status. \u00a9 2008 National Natural Science Foundation of China and Chinese Academy of Sciences. Published by Elsevier Limited and Science in China Press. All rights reserved.", "author" : [ { "dropping-particle" : "", "family" : "Chen", "given" : "Haisheng", "non-dropping-particle" : "", "parse-names" : false, "suffix" : "" }, { "dropping-particle" : "", "family" : "Cong", "given" : "Thang Ngoc", "non-dropping-particle" : "", "parse-names" : false, "suffix" : "" }, { "dropping-particle" : "", "family" : "Yang", "given" : "Wei", "non-dropping-particle" : "", "parse-names" : false, "suffix" : "" }, { "dropping-particle" : "", "family" : "Tan", "given" : "Chunqing", "non-dropping-particle" : "", "parse-names" : false, "suffix" : "" }, { "dropping-particle" : "", "family" : "Li", "given" : "Yongliang", "non-dropping-particle" : "", "parse-names" : false, "suffix" : "" }, { "dropping-particle" : "", "family" : "Ding", "given" : "Yulong", "non-dropping-particle" : "", "parse-names" : false, "suffix" : "" } ], "container-title" : "Progress in Natural Science", "id" : "ITEM-1", "issue" : "3", "issued" : { "date-parts" : [ [ "2009" ] ] }, "page" : "291-312", "title" : "Progress in electrical energy storage system: A critical review", "type" : "article-journal", "volume" : "19" }, "uris" : [ "http://www.mendeley.com/documents/?uuid=091661a7-6d45-442d-b115-75d48f2de590" ] } ], "mendeley" : { "formattedCitation" : "(Chen et al., 2009)", "plainTextFormattedCitation" : "(Chen et al., 2009)", "previouslyFormattedCitation" : "(Chen et al., 2009)" }, "properties" : { "noteIndex" : 7 }, "schema" : "https://github.com/citation-style-language/schema/raw/master/csl-citation.json" }</w:instrText>
      </w:r>
      <w:r>
        <w:rPr>
          <w:rFonts w:ascii="Times New Roman" w:hAnsi="Times New Roman"/>
          <w:lang w:val="en-US"/>
        </w:rPr>
        <w:fldChar w:fldCharType="separate"/>
      </w:r>
      <w:r w:rsidRPr="00F47B8B">
        <w:rPr>
          <w:rFonts w:ascii="Times New Roman" w:hAnsi="Times New Roman"/>
          <w:noProof/>
          <w:lang w:val="en-US"/>
        </w:rPr>
        <w:t>(Chen et al., 2009)</w:t>
      </w:r>
      <w:r>
        <w:rPr>
          <w:rFonts w:ascii="Times New Roman" w:hAnsi="Times New Roman"/>
          <w:lang w:val="en-US"/>
        </w:rPr>
        <w:fldChar w:fldCharType="end"/>
      </w:r>
      <w:r>
        <w:rPr>
          <w:rFonts w:ascii="Times New Roman" w:hAnsi="Times New Roman"/>
          <w:lang w:val="en-US"/>
        </w:rPr>
        <w:t>.</w:t>
      </w:r>
    </w:p>
    <w:p w14:paraId="54754705" w14:textId="77777777" w:rsidR="00F42A51" w:rsidRDefault="00F42A51" w:rsidP="00F42A51">
      <w:pPr>
        <w:autoSpaceDE w:val="0"/>
        <w:adjustRightInd w:val="0"/>
        <w:spacing w:after="0" w:line="360" w:lineRule="auto"/>
        <w:jc w:val="both"/>
        <w:rPr>
          <w:rFonts w:ascii="Times New Roman" w:hAnsi="Times New Roman"/>
          <w:lang w:val="en-US"/>
        </w:rPr>
      </w:pPr>
    </w:p>
    <w:p w14:paraId="77B6DE28" w14:textId="69F9D277" w:rsidR="0052023B" w:rsidRDefault="0052023B" w:rsidP="0052023B">
      <w:pPr>
        <w:autoSpaceDE w:val="0"/>
        <w:adjustRightInd w:val="0"/>
        <w:spacing w:after="0" w:line="360" w:lineRule="auto"/>
        <w:jc w:val="both"/>
        <w:rPr>
          <w:rFonts w:ascii="Times New Roman" w:hAnsi="Times New Roman"/>
          <w:lang w:val="en-US"/>
        </w:rPr>
      </w:pPr>
      <w:r w:rsidRPr="00B1282B">
        <w:rPr>
          <w:rFonts w:ascii="Times New Roman" w:hAnsi="Times New Roman"/>
          <w:lang w:val="en-US"/>
        </w:rPr>
        <w:t>NiCd batteries contain a nickel hydroxide positive electrode plate, a cadmium hydroxide negative electrode plate, a separator, and an alkaline electrolyte. NiCd batteries usually have a metal case with a sealing plate equipped</w:t>
      </w:r>
      <w:r w:rsidRPr="00892351">
        <w:rPr>
          <w:rFonts w:ascii="Times New Roman" w:hAnsi="Times New Roman"/>
          <w:lang w:val="en-US"/>
        </w:rPr>
        <w:t xml:space="preserve"> with a self-sealing safety valve. The positive and</w:t>
      </w:r>
      <w:r>
        <w:rPr>
          <w:rFonts w:ascii="Times New Roman" w:hAnsi="Times New Roman"/>
          <w:lang w:val="en-US"/>
        </w:rPr>
        <w:t xml:space="preserve"> </w:t>
      </w:r>
      <w:r w:rsidRPr="00892351">
        <w:rPr>
          <w:rFonts w:ascii="Times New Roman" w:hAnsi="Times New Roman"/>
          <w:lang w:val="en-US"/>
        </w:rPr>
        <w:t>negative electrode plates, isolated from each other by the</w:t>
      </w:r>
      <w:r>
        <w:rPr>
          <w:rFonts w:ascii="Times New Roman" w:hAnsi="Times New Roman"/>
          <w:lang w:val="en-US"/>
        </w:rPr>
        <w:t xml:space="preserve"> </w:t>
      </w:r>
      <w:r w:rsidRPr="00892351">
        <w:rPr>
          <w:rFonts w:ascii="Times New Roman" w:hAnsi="Times New Roman"/>
          <w:lang w:val="en-US"/>
        </w:rPr>
        <w:t>separator, are rolled in a sp</w:t>
      </w:r>
      <w:r>
        <w:rPr>
          <w:rFonts w:ascii="Times New Roman" w:hAnsi="Times New Roman"/>
          <w:lang w:val="en-US"/>
        </w:rPr>
        <w:t xml:space="preserve">iral shape inside </w:t>
      </w:r>
      <w:r w:rsidR="00431EB2">
        <w:rPr>
          <w:rFonts w:ascii="Times New Roman" w:hAnsi="Times New Roman"/>
          <w:lang w:val="en-US"/>
        </w:rPr>
        <w:t>a</w:t>
      </w:r>
      <w:r>
        <w:rPr>
          <w:rFonts w:ascii="Times New Roman" w:hAnsi="Times New Roman"/>
          <w:lang w:val="en-US"/>
        </w:rPr>
        <w:t xml:space="preserve"> case.  </w:t>
      </w:r>
      <w:r w:rsidRPr="00892351">
        <w:rPr>
          <w:rFonts w:ascii="Times New Roman" w:hAnsi="Times New Roman"/>
          <w:lang w:val="en-US"/>
        </w:rPr>
        <w:t>NiCd batteries have a</w:t>
      </w:r>
      <w:r>
        <w:rPr>
          <w:rFonts w:ascii="Times New Roman" w:hAnsi="Times New Roman"/>
          <w:lang w:val="en-US"/>
        </w:rPr>
        <w:t xml:space="preserve"> high energy density (50–75 Wh/</w:t>
      </w:r>
      <w:r w:rsidRPr="00892351">
        <w:rPr>
          <w:rFonts w:ascii="Times New Roman" w:hAnsi="Times New Roman"/>
          <w:lang w:val="en-US"/>
        </w:rPr>
        <w:t>kg), a robust reliability and ver</w:t>
      </w:r>
      <w:r>
        <w:rPr>
          <w:rFonts w:ascii="Times New Roman" w:hAnsi="Times New Roman"/>
          <w:lang w:val="en-US"/>
        </w:rPr>
        <w:t xml:space="preserve">y low maintenance requirements, </w:t>
      </w:r>
      <w:r w:rsidRPr="00892351">
        <w:rPr>
          <w:rFonts w:ascii="Times New Roman" w:hAnsi="Times New Roman"/>
          <w:lang w:val="en-US"/>
        </w:rPr>
        <w:t xml:space="preserve">but relatively </w:t>
      </w:r>
      <w:r w:rsidR="00431EB2">
        <w:rPr>
          <w:rFonts w:ascii="Times New Roman" w:hAnsi="Times New Roman"/>
          <w:lang w:val="en-US"/>
        </w:rPr>
        <w:t>short</w:t>
      </w:r>
      <w:r>
        <w:rPr>
          <w:rFonts w:ascii="Times New Roman" w:hAnsi="Times New Roman"/>
          <w:lang w:val="en-US"/>
        </w:rPr>
        <w:t xml:space="preserve"> cycle life (2000–2500). These </w:t>
      </w:r>
      <w:r w:rsidRPr="00892351">
        <w:rPr>
          <w:rFonts w:ascii="Times New Roman" w:hAnsi="Times New Roman"/>
          <w:lang w:val="en-US"/>
        </w:rPr>
        <w:t>advantages over lead ac</w:t>
      </w:r>
      <w:r>
        <w:rPr>
          <w:rFonts w:ascii="Times New Roman" w:hAnsi="Times New Roman"/>
          <w:lang w:val="en-US"/>
        </w:rPr>
        <w:t xml:space="preserve">id batteries make them favored for </w:t>
      </w:r>
      <w:r w:rsidR="00431EB2">
        <w:rPr>
          <w:rFonts w:ascii="Times New Roman" w:hAnsi="Times New Roman"/>
          <w:lang w:val="en-US"/>
        </w:rPr>
        <w:t>use</w:t>
      </w:r>
      <w:r>
        <w:rPr>
          <w:rFonts w:ascii="Times New Roman" w:hAnsi="Times New Roman"/>
          <w:lang w:val="en-US"/>
        </w:rPr>
        <w:t xml:space="preserve"> in</w:t>
      </w:r>
      <w:r w:rsidRPr="00892351">
        <w:rPr>
          <w:rFonts w:ascii="Times New Roman" w:hAnsi="Times New Roman"/>
          <w:lang w:val="en-US"/>
        </w:rPr>
        <w:t xml:space="preserve"> power tools, portab</w:t>
      </w:r>
      <w:r>
        <w:rPr>
          <w:rFonts w:ascii="Times New Roman" w:hAnsi="Times New Roman"/>
          <w:lang w:val="en-US"/>
        </w:rPr>
        <w:t xml:space="preserve">le devices, emergency lighting, </w:t>
      </w:r>
      <w:r w:rsidRPr="00892351">
        <w:rPr>
          <w:rFonts w:ascii="Times New Roman" w:hAnsi="Times New Roman"/>
          <w:lang w:val="en-US"/>
        </w:rPr>
        <w:t>UPS, telecoms, and genera</w:t>
      </w:r>
      <w:r>
        <w:rPr>
          <w:rFonts w:ascii="Times New Roman" w:hAnsi="Times New Roman"/>
          <w:lang w:val="en-US"/>
        </w:rPr>
        <w:t xml:space="preserve">tor starting. </w:t>
      </w:r>
      <w:r w:rsidRPr="00892351">
        <w:rPr>
          <w:rFonts w:ascii="Times New Roman" w:hAnsi="Times New Roman"/>
          <w:lang w:val="en-US"/>
        </w:rPr>
        <w:t>The main drawback</w:t>
      </w:r>
      <w:r w:rsidR="00431EB2">
        <w:rPr>
          <w:rFonts w:ascii="Times New Roman" w:hAnsi="Times New Roman"/>
          <w:lang w:val="en-US"/>
        </w:rPr>
        <w:t>s</w:t>
      </w:r>
      <w:r w:rsidRPr="00892351">
        <w:rPr>
          <w:rFonts w:ascii="Times New Roman" w:hAnsi="Times New Roman"/>
          <w:lang w:val="en-US"/>
        </w:rPr>
        <w:t xml:space="preserve"> of N</w:t>
      </w:r>
      <w:r>
        <w:rPr>
          <w:rFonts w:ascii="Times New Roman" w:hAnsi="Times New Roman"/>
          <w:lang w:val="en-US"/>
        </w:rPr>
        <w:t xml:space="preserve">iCd </w:t>
      </w:r>
      <w:r w:rsidR="00431EB2">
        <w:rPr>
          <w:rFonts w:ascii="Times New Roman" w:hAnsi="Times New Roman"/>
          <w:lang w:val="en-US"/>
        </w:rPr>
        <w:t xml:space="preserve"> are: (i) the batteries have a </w:t>
      </w:r>
      <w:r>
        <w:rPr>
          <w:rFonts w:ascii="Times New Roman" w:hAnsi="Times New Roman"/>
          <w:lang w:val="en-US"/>
        </w:rPr>
        <w:t xml:space="preserve">relatively high cost </w:t>
      </w:r>
      <w:r w:rsidRPr="00892351">
        <w:rPr>
          <w:rFonts w:ascii="Times New Roman" w:hAnsi="Times New Roman"/>
          <w:lang w:val="en-US"/>
        </w:rPr>
        <w:t>due</w:t>
      </w:r>
      <w:r>
        <w:rPr>
          <w:rFonts w:ascii="Times New Roman" w:hAnsi="Times New Roman"/>
          <w:lang w:val="en-US"/>
        </w:rPr>
        <w:t xml:space="preserve"> to the expensive manufacturing </w:t>
      </w:r>
      <w:r w:rsidRPr="00892351">
        <w:rPr>
          <w:rFonts w:ascii="Times New Roman" w:hAnsi="Times New Roman"/>
          <w:lang w:val="en-US"/>
        </w:rPr>
        <w:t>process</w:t>
      </w:r>
      <w:r w:rsidR="00431EB2">
        <w:rPr>
          <w:rFonts w:ascii="Times New Roman" w:hAnsi="Times New Roman"/>
          <w:lang w:val="en-US"/>
        </w:rPr>
        <w:t xml:space="preserve"> and (ii) c</w:t>
      </w:r>
      <w:r w:rsidRPr="00892351">
        <w:rPr>
          <w:rFonts w:ascii="Times New Roman" w:hAnsi="Times New Roman"/>
          <w:lang w:val="en-US"/>
        </w:rPr>
        <w:t>admium is a toxic heavy met</w:t>
      </w:r>
      <w:r>
        <w:rPr>
          <w:rFonts w:ascii="Times New Roman" w:hAnsi="Times New Roman"/>
          <w:lang w:val="en-US"/>
        </w:rPr>
        <w:t xml:space="preserve">al hence posing </w:t>
      </w:r>
      <w:r w:rsidRPr="00892351">
        <w:rPr>
          <w:rFonts w:ascii="Times New Roman" w:hAnsi="Times New Roman"/>
          <w:lang w:val="en-US"/>
        </w:rPr>
        <w:t>issues associated with the d</w:t>
      </w:r>
      <w:r>
        <w:rPr>
          <w:rFonts w:ascii="Times New Roman" w:hAnsi="Times New Roman"/>
          <w:lang w:val="en-US"/>
        </w:rPr>
        <w:t xml:space="preserve">isposal of NiCd batteries </w:t>
      </w:r>
      <w:r>
        <w:rPr>
          <w:rFonts w:ascii="Times New Roman" w:hAnsi="Times New Roman"/>
          <w:lang w:val="en-US"/>
        </w:rPr>
        <w:fldChar w:fldCharType="begin" w:fldLock="1"/>
      </w:r>
      <w:r>
        <w:rPr>
          <w:rFonts w:ascii="Times New Roman" w:hAnsi="Times New Roman"/>
          <w:lang w:val="en-US"/>
        </w:rPr>
        <w:instrText>ADDIN CSL_CITATION { "citationItems" : [ { "id" : "ITEM-1", "itemData" : { "DOI" : "10.1126/science.1212741", "ISBN" : "0036-8075", "ISSN" : "0036-8075", "PMID" : "22096188", "abstract" : "The increasing interest in energy storage for the grid can be attributed to multiple factors, including the capital costs of managing peak demands, the investments needed for grid reliability, and the integration of renewable energy sources. Although existing energy storage is dominated by pumped hydroelectric, there is the recognition that battery systems can offer a number of high-value opportunities, provided that lower costs can be obtained. The battery systems reviewed here include sodium-sulfur batteries that are commercially available for grid applications, redox-flow batteries that offer low cost, and lithium-ion batteries whose development for commercial electronics and electric vehicles is being applied to grid storage.", "author" : [ { "dropping-particle" : "", "family" : "Dunn", "given" : "B.", "non-dropping-particle" : "", "parse-names" : false, "suffix" : "" }, { "dropping-particle" : "", "family" : "Kamath", "given" : "H.", "non-dropping-particle" : "", "parse-names" : false, "suffix" : "" }, { "dropping-particle" : "", "family" : "Tarascon", "given" : "J.-M.", "non-dropping-particle" : "", "parse-names" : false, "suffix" : "" } ], "container-title" : "Science", "id" : "ITEM-1", "issue" : "6058", "issued" : { "date-parts" : [ [ "2011" ] ] }, "page" : "928-935", "title" : "Electrical Energy Storage for the Grid: A Battery of Choices", "type" : "article-journal", "volume" : "334" }, "uris" : [ "http://www.mendeley.com/documents/?uuid=0b2c8cf1-a4b0-43d7-b92e-704bde7102be" ] } ], "mendeley" : { "formattedCitation" : "(Dunn et al., 2011b)", "plainTextFormattedCitation" : "(Dunn et al., 2011b)", "previouslyFormattedCitation" : "(Dunn et al., 2011b)" }, "properties" : { "noteIndex" : 9 }, "schema" : "https://github.com/citation-style-language/schema/raw/master/csl-citation.json" }</w:instrText>
      </w:r>
      <w:r>
        <w:rPr>
          <w:rFonts w:ascii="Times New Roman" w:hAnsi="Times New Roman"/>
          <w:lang w:val="en-US"/>
        </w:rPr>
        <w:fldChar w:fldCharType="separate"/>
      </w:r>
      <w:r w:rsidRPr="001C052A">
        <w:rPr>
          <w:rFonts w:ascii="Times New Roman" w:hAnsi="Times New Roman"/>
          <w:noProof/>
          <w:lang w:val="en-US"/>
        </w:rPr>
        <w:t>(Dunn et al., 2011b)</w:t>
      </w:r>
      <w:r>
        <w:rPr>
          <w:rFonts w:ascii="Times New Roman" w:hAnsi="Times New Roman"/>
          <w:lang w:val="en-US"/>
        </w:rPr>
        <w:fldChar w:fldCharType="end"/>
      </w:r>
      <w:r>
        <w:rPr>
          <w:rFonts w:ascii="Times New Roman" w:hAnsi="Times New Roman"/>
          <w:lang w:val="en-US"/>
        </w:rPr>
        <w:t xml:space="preserve">. </w:t>
      </w:r>
    </w:p>
    <w:p w14:paraId="559F2C6C" w14:textId="77777777" w:rsidR="00F42A51" w:rsidRDefault="00F42A51" w:rsidP="00F42A51">
      <w:pPr>
        <w:autoSpaceDE w:val="0"/>
        <w:adjustRightInd w:val="0"/>
        <w:spacing w:after="0" w:line="360" w:lineRule="auto"/>
        <w:jc w:val="both"/>
        <w:rPr>
          <w:rFonts w:ascii="Times New Roman" w:hAnsi="Times New Roman"/>
          <w:lang w:val="en-US"/>
        </w:rPr>
      </w:pPr>
    </w:p>
    <w:p w14:paraId="56812EE6" w14:textId="4CAC7FAE" w:rsidR="00F42A51" w:rsidRPr="000D325C" w:rsidRDefault="00F42A51" w:rsidP="00F42A51">
      <w:pPr>
        <w:autoSpaceDE w:val="0"/>
        <w:adjustRightInd w:val="0"/>
        <w:spacing w:after="0" w:line="360" w:lineRule="auto"/>
        <w:jc w:val="both"/>
        <w:rPr>
          <w:rFonts w:ascii="Times New Roman" w:hAnsi="Times New Roman"/>
          <w:lang w:val="en-US"/>
        </w:rPr>
      </w:pPr>
      <w:r w:rsidRPr="00B1282B">
        <w:rPr>
          <w:rFonts w:ascii="Times New Roman" w:hAnsi="Times New Roman"/>
          <w:lang w:val="en-US"/>
        </w:rPr>
        <w:t xml:space="preserve">Sodium-Sulfur batteries consist of a molten sulfur positive electrode and a molten sodium negative electrode separated by a sodium beta alumina ceramic electrolyte as it is shown in </w:t>
      </w:r>
      <w:r w:rsidR="0043721A">
        <w:rPr>
          <w:rFonts w:ascii="Times New Roman" w:hAnsi="Times New Roman"/>
          <w:lang w:val="en-US"/>
        </w:rPr>
        <w:t>Fig.</w:t>
      </w:r>
      <w:r w:rsidRPr="00F045A3">
        <w:rPr>
          <w:rFonts w:ascii="Times New Roman" w:hAnsi="Times New Roman"/>
          <w:lang w:val="en-US"/>
        </w:rPr>
        <w:t xml:space="preserve"> </w:t>
      </w:r>
      <w:r w:rsidR="00431EB2">
        <w:rPr>
          <w:rFonts w:ascii="Times New Roman" w:hAnsi="Times New Roman"/>
          <w:lang w:val="en-US"/>
        </w:rPr>
        <w:lastRenderedPageBreak/>
        <w:t>4</w:t>
      </w:r>
      <w:r w:rsidRPr="00F045A3">
        <w:rPr>
          <w:rFonts w:ascii="Times New Roman" w:hAnsi="Times New Roman"/>
          <w:lang w:val="en-US"/>
        </w:rPr>
        <w:t>.</w:t>
      </w:r>
      <w:r w:rsidRPr="00B1282B">
        <w:rPr>
          <w:rFonts w:ascii="Times New Roman" w:hAnsi="Times New Roman"/>
          <w:lang w:val="en-US"/>
        </w:rPr>
        <w:t xml:space="preserve"> The electrolyte permits that only</w:t>
      </w:r>
      <w:r w:rsidRPr="000D325C">
        <w:rPr>
          <w:rFonts w:ascii="Times New Roman" w:hAnsi="Times New Roman"/>
          <w:lang w:val="en-US"/>
        </w:rPr>
        <w:t xml:space="preserve"> positive sodium ions pass to combine with sodium for the formation of sodium polysulfide. During the discharge process, positive sodium ions flow through the electrolyte and electrons pass through an external circuit generating a voltage of roughly 2 V. This process is reversible; and by using the charge, sodium ions are liberated from the sodium polysulfide and return through the electrolyte to recombine with the sodium </w:t>
      </w:r>
      <w:r w:rsidR="00C14B4F" w:rsidRPr="000D325C">
        <w:rPr>
          <w:rFonts w:ascii="Times New Roman" w:hAnsi="Times New Roman"/>
          <w:lang w:val="en-US"/>
        </w:rPr>
        <w:t xml:space="preserve">element </w:t>
      </w:r>
      <w:r w:rsidR="00C14B4F">
        <w:rPr>
          <w:rFonts w:ascii="Times New Roman" w:hAnsi="Times New Roman"/>
          <w:lang w:val="en-US"/>
        </w:rPr>
        <w:fldChar w:fldCharType="begin" w:fldLock="1"/>
      </w:r>
      <w:r w:rsidR="00C14B4F">
        <w:rPr>
          <w:rFonts w:ascii="Times New Roman" w:hAnsi="Times New Roman"/>
          <w:lang w:val="en-US"/>
        </w:rPr>
        <w:instrText>ADDIN CSL_CITATION { "citationItems" : [ { "id" : "ITEM-1", "itemData" : { "DOI" : "10.1016/j.rser.2009.08.007", "ISBN" : "1364-0321", "ISSN" : "13640321", "abstract" : "Currently, in the field of operation and planning of electrical power systems, a new challenge is growing which includes with the increase in the level of distributed generation from new energy sources, especially renewable sources. The question of load redistribution for better energetic usage is of vital importance since these new renewable energy sources are often intermittent. Therefore, new systems must be proposed which ally energy storage with renewable energy generators for reestablishment of grid reliability. This work presents a review of energy storage and redistribution associated with photovoltaic energy, proposing a distributed micro-generation complex connected to the electrical power grid using energy storage systems, with an emphasis placed on the use of NaS batteries. These systems aim to improve the load factor, considering supply side management, and the offer of backup energy, in the case of demand side management. \u00a9 2009 Elsevier Ltd. All rights reserved.", "author" : [ { "dropping-particle" : "", "family" : "Toledo", "given" : "Olga Moraes", "non-dropping-particle" : "", "parse-names" : false, "suffix" : "" }, { "dropping-particle" : "", "family" : "Oliveira Filho", "given" : "Delly", "non-dropping-particle" : "", "parse-names" : false, "suffix" : "" }, { "dropping-particle" : "", "family" : "Diniz", "given" : "Ant\u00f4nia S\u00f4nia Alves Cardoso", "non-dropping-particle" : "", "parse-names" : false, "suffix" : "" } ], "container-title" : "Renewable and Sustainable Energy Reviews", "id" : "ITEM-1", "issue" : "1", "issued" : { "date-parts" : [ [ "2010" ] ] }, "page" : "506-511", "title" : "Distributed photovoltaic generation and energy storage systems: A review", "type" : "article", "volume" : "14" }, "uris" : [ "http://www.mendeley.com/documents/?uuid=a5f54dbd-acfb-4ce6-897c-73ddd0b28ea7", "http://www.mendeley.com/documents/?uuid=046d2625-a300-41e9-a7db-e4a056b84ea5" ] } ], "mendeley" : { "formattedCitation" : "(Toledo et al., 2010)", "plainTextFormattedCitation" : "(Toledo et al., 2010)", "previouslyFormattedCitation" : "(Toledo et al., 2010)" }, "properties" : { "noteIndex" : 0 }, "schema" : "https://github.com/citation-style-language/schema/raw/master/csl-citation.json" }</w:instrText>
      </w:r>
      <w:r w:rsidR="00C14B4F">
        <w:rPr>
          <w:rFonts w:ascii="Times New Roman" w:hAnsi="Times New Roman"/>
          <w:lang w:val="en-US"/>
        </w:rPr>
        <w:fldChar w:fldCharType="separate"/>
      </w:r>
      <w:r w:rsidR="00C14B4F" w:rsidRPr="00786DF9">
        <w:rPr>
          <w:rFonts w:ascii="Times New Roman" w:hAnsi="Times New Roman"/>
          <w:noProof/>
          <w:lang w:val="en-US"/>
        </w:rPr>
        <w:t>(Toledo et al., 2010)</w:t>
      </w:r>
      <w:r w:rsidR="00C14B4F">
        <w:rPr>
          <w:rFonts w:ascii="Times New Roman" w:hAnsi="Times New Roman"/>
          <w:lang w:val="en-US"/>
        </w:rPr>
        <w:fldChar w:fldCharType="end"/>
      </w:r>
      <w:r w:rsidR="00C14B4F">
        <w:rPr>
          <w:rFonts w:ascii="Times New Roman" w:hAnsi="Times New Roman"/>
          <w:lang w:val="en-US"/>
        </w:rPr>
        <w:t>.</w:t>
      </w:r>
      <w:r w:rsidR="00431EB2">
        <w:rPr>
          <w:rFonts w:ascii="Times New Roman" w:hAnsi="Times New Roman"/>
          <w:lang w:val="en-US"/>
        </w:rPr>
        <w:t xml:space="preserve"> </w:t>
      </w:r>
      <w:r w:rsidRPr="000D325C">
        <w:rPr>
          <w:rFonts w:ascii="Times New Roman" w:hAnsi="Times New Roman"/>
          <w:lang w:val="en-US"/>
        </w:rPr>
        <w:t xml:space="preserve">Characteristics of NaS batteries include: </w:t>
      </w:r>
    </w:p>
    <w:p w14:paraId="34F11914" w14:textId="10AB0ACF"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 xml:space="preserve">expected </w:t>
      </w:r>
      <w:r w:rsidR="00431EB2">
        <w:rPr>
          <w:rFonts w:eastAsiaTheme="minorHAnsi"/>
          <w:sz w:val="22"/>
          <w:szCs w:val="22"/>
          <w:lang w:val="en-US" w:eastAsia="en-US"/>
        </w:rPr>
        <w:t xml:space="preserve">operational </w:t>
      </w:r>
      <w:r w:rsidRPr="000D325C">
        <w:rPr>
          <w:rFonts w:eastAsiaTheme="minorHAnsi"/>
          <w:sz w:val="22"/>
          <w:szCs w:val="22"/>
          <w:lang w:val="en-US" w:eastAsia="en-US"/>
        </w:rPr>
        <w:t xml:space="preserve">duration of 15 years considering 2500 cycles (charge and discharge) for a 100% depth of discharge (DOD), 4500 cycles for a 90% DOD or 6500 cycles for a 65% DOD; </w:t>
      </w:r>
    </w:p>
    <w:p w14:paraId="205BE0D8" w14:textId="77777777"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 xml:space="preserve">output voltage (CC) of 64 or 128 V for peak-shaving application modules and 640 V for energy quality application modules power of 50 kW; </w:t>
      </w:r>
    </w:p>
    <w:p w14:paraId="7FCD8A5E" w14:textId="77777777"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 xml:space="preserve">energy of 430 kWJ for application in peak-shaving and 360 kWh for application in energy quality; rapid response time, complete discharge in 1 ms if necessary; </w:t>
      </w:r>
    </w:p>
    <w:p w14:paraId="0B42386E" w14:textId="77777777"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 xml:space="preserve">high energy density, three to five times that of a lead–acid battery; </w:t>
      </w:r>
    </w:p>
    <w:p w14:paraId="067B863E" w14:textId="109F5DAD"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 xml:space="preserve">unaffected by ambient temperatures (operates </w:t>
      </w:r>
      <w:r w:rsidR="00431EB2">
        <w:rPr>
          <w:rFonts w:eastAsiaTheme="minorHAnsi"/>
          <w:sz w:val="22"/>
          <w:szCs w:val="22"/>
          <w:lang w:val="en-US" w:eastAsia="en-US"/>
        </w:rPr>
        <w:t xml:space="preserve">from </w:t>
      </w:r>
      <w:r w:rsidRPr="000D325C">
        <w:rPr>
          <w:rFonts w:eastAsiaTheme="minorHAnsi"/>
          <w:sz w:val="22"/>
          <w:szCs w:val="22"/>
          <w:lang w:val="en-US" w:eastAsia="en-US"/>
        </w:rPr>
        <w:t>290–360 8</w:t>
      </w:r>
      <w:r w:rsidR="00431EB2">
        <w:rPr>
          <w:rFonts w:eastAsiaTheme="minorHAnsi"/>
          <w:sz w:val="22"/>
          <w:szCs w:val="22"/>
          <w:lang w:val="en-US" w:eastAsia="en-US"/>
        </w:rPr>
        <w:t xml:space="preserve"> </w:t>
      </w:r>
      <w:r w:rsidRPr="000D325C">
        <w:rPr>
          <w:rFonts w:eastAsiaTheme="minorHAnsi"/>
          <w:sz w:val="22"/>
          <w:szCs w:val="22"/>
          <w:lang w:val="en-US" w:eastAsia="en-US"/>
        </w:rPr>
        <w:t xml:space="preserve">C); </w:t>
      </w:r>
    </w:p>
    <w:p w14:paraId="4BD9A76E" w14:textId="77777777"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allows for remote operation and monitoring with minimal maintenance;</w:t>
      </w:r>
    </w:p>
    <w:p w14:paraId="4CD96E31" w14:textId="77777777" w:rsidR="00431EB2"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no emissions or vibrations, low noise compared to other energy conversion systems</w:t>
      </w:r>
    </w:p>
    <w:p w14:paraId="77F8F58F" w14:textId="3A7E7F67" w:rsidR="00F42A51" w:rsidRPr="000D325C" w:rsidRDefault="00F42A51" w:rsidP="003B24EF">
      <w:pPr>
        <w:pStyle w:val="ListParagraph"/>
        <w:numPr>
          <w:ilvl w:val="0"/>
          <w:numId w:val="9"/>
        </w:numPr>
        <w:autoSpaceDE w:val="0"/>
        <w:adjustRightInd w:val="0"/>
        <w:spacing w:line="360" w:lineRule="auto"/>
        <w:jc w:val="both"/>
        <w:rPr>
          <w:rFonts w:eastAsiaTheme="minorHAnsi"/>
          <w:sz w:val="22"/>
          <w:szCs w:val="22"/>
          <w:lang w:val="en-US" w:eastAsia="en-US"/>
        </w:rPr>
      </w:pPr>
      <w:r w:rsidRPr="000D325C">
        <w:rPr>
          <w:rFonts w:eastAsiaTheme="minorHAnsi"/>
          <w:sz w:val="22"/>
          <w:szCs w:val="22"/>
          <w:lang w:val="en-US" w:eastAsia="en-US"/>
        </w:rPr>
        <w:t xml:space="preserve">98% of the material utilized in the NaS batteries can be recycled, only </w:t>
      </w:r>
      <w:r w:rsidR="00431EB2">
        <w:rPr>
          <w:rFonts w:eastAsiaTheme="minorHAnsi"/>
          <w:sz w:val="22"/>
          <w:szCs w:val="22"/>
          <w:lang w:val="en-US" w:eastAsia="en-US"/>
        </w:rPr>
        <w:t xml:space="preserve">the </w:t>
      </w:r>
      <w:r w:rsidRPr="000D325C">
        <w:rPr>
          <w:rFonts w:eastAsiaTheme="minorHAnsi"/>
          <w:sz w:val="22"/>
          <w:szCs w:val="22"/>
          <w:lang w:val="en-US" w:eastAsia="en-US"/>
        </w:rPr>
        <w:t>sodium cannot be reused.</w:t>
      </w:r>
    </w:p>
    <w:p w14:paraId="24F15D8C" w14:textId="77777777" w:rsidR="00F42A51" w:rsidRPr="000D325C" w:rsidRDefault="00F42A51" w:rsidP="00F42A51">
      <w:pPr>
        <w:pStyle w:val="ListParagraph"/>
        <w:spacing w:after="200" w:line="360" w:lineRule="auto"/>
        <w:ind w:left="0"/>
        <w:jc w:val="both"/>
        <w:rPr>
          <w:sz w:val="22"/>
          <w:szCs w:val="22"/>
          <w:lang w:val="en-US"/>
        </w:rPr>
      </w:pPr>
    </w:p>
    <w:p w14:paraId="5A9E7B3B" w14:textId="77777777" w:rsidR="00F42A51" w:rsidRPr="000D325C" w:rsidRDefault="00F42A51" w:rsidP="00F42A51">
      <w:pPr>
        <w:pStyle w:val="ListParagraph"/>
        <w:spacing w:after="200" w:line="360" w:lineRule="auto"/>
        <w:ind w:left="2088"/>
        <w:rPr>
          <w:sz w:val="22"/>
          <w:szCs w:val="22"/>
          <w:lang w:val="en-US"/>
        </w:rPr>
      </w:pPr>
      <w:r w:rsidRPr="000D325C">
        <w:rPr>
          <w:noProof/>
          <w:sz w:val="22"/>
          <w:szCs w:val="22"/>
          <w:lang w:val="es-PY" w:eastAsia="es-PY"/>
        </w:rPr>
        <w:drawing>
          <wp:inline distT="0" distB="0" distL="0" distR="0" wp14:anchorId="054E360B" wp14:editId="247BF36D">
            <wp:extent cx="3333225" cy="212272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500" cy="2130539"/>
                    </a:xfrm>
                    <a:prstGeom prst="rect">
                      <a:avLst/>
                    </a:prstGeom>
                    <a:noFill/>
                    <a:ln>
                      <a:noFill/>
                    </a:ln>
                  </pic:spPr>
                </pic:pic>
              </a:graphicData>
            </a:graphic>
          </wp:inline>
        </w:drawing>
      </w:r>
    </w:p>
    <w:p w14:paraId="0CEA6931" w14:textId="375C67C4" w:rsidR="00F42A51" w:rsidRPr="0095132B" w:rsidRDefault="0043721A" w:rsidP="00F42A51">
      <w:pPr>
        <w:autoSpaceDE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Fig.</w:t>
      </w:r>
      <w:r w:rsidR="00F42A51" w:rsidRPr="00F045A3">
        <w:rPr>
          <w:rFonts w:ascii="Times New Roman" w:hAnsi="Times New Roman"/>
          <w:sz w:val="20"/>
          <w:szCs w:val="20"/>
          <w:lang w:val="en-US"/>
        </w:rPr>
        <w:t xml:space="preserve"> </w:t>
      </w:r>
      <w:r w:rsidR="00431EB2">
        <w:rPr>
          <w:rFonts w:ascii="Times New Roman" w:hAnsi="Times New Roman"/>
          <w:sz w:val="20"/>
          <w:szCs w:val="20"/>
          <w:lang w:val="en-US"/>
        </w:rPr>
        <w:t>4</w:t>
      </w:r>
      <w:r w:rsidR="00F42A51" w:rsidRPr="00F045A3">
        <w:rPr>
          <w:rFonts w:ascii="Times New Roman" w:hAnsi="Times New Roman"/>
          <w:sz w:val="20"/>
          <w:szCs w:val="20"/>
          <w:lang w:val="en-US"/>
        </w:rPr>
        <w:t>.</w:t>
      </w:r>
      <w:r w:rsidR="00F42A51" w:rsidRPr="0095132B">
        <w:rPr>
          <w:rFonts w:ascii="Times New Roman" w:hAnsi="Times New Roman"/>
          <w:sz w:val="20"/>
          <w:szCs w:val="20"/>
          <w:lang w:val="en-US"/>
        </w:rPr>
        <w:t xml:space="preserve"> Schematic of the NaS battery </w:t>
      </w:r>
      <w:r w:rsidR="00F42A51">
        <w:rPr>
          <w:rFonts w:ascii="Times New Roman" w:hAnsi="Times New Roman"/>
          <w:sz w:val="20"/>
          <w:szCs w:val="20"/>
          <w:lang w:val="en-US"/>
        </w:rPr>
        <w:fldChar w:fldCharType="begin" w:fldLock="1"/>
      </w:r>
      <w:r w:rsidR="00D03089">
        <w:rPr>
          <w:rFonts w:ascii="Times New Roman" w:hAnsi="Times New Roman"/>
          <w:sz w:val="20"/>
          <w:szCs w:val="20"/>
          <w:lang w:val="en-US"/>
        </w:rPr>
        <w:instrText>ADDIN CSL_CITATION { "citationItems" : [ { "id" : "ITEM-1", "itemData" : { "DOI" : "10.1126/science.1212741", "ISBN" : "0036-8075", "ISSN" : "0036-8075", "PMID" : "22096188", "abstract" : "The increasing interest in energy storage for the grid can be attributed to multiple factors, including the capital costs of managing peak demands, the investments needed for grid reliability, and the integration of renewable energy sources. Although existing energy storage is dominated by pumped hydroelectric, there is the recognition that battery systems can offer a number of high-value opportunities, provided that lower costs can be obtained. The battery systems reviewed here include sodium-sulfur batteries that are commercially available for grid applications, redox-flow batteries that offer low cost, and lithium-ion batteries whose development for commercial electronics and electric vehicles is being applied to grid storage.", "author" : [ { "dropping-particle" : "", "family" : "Dunn", "given" : "B.", "non-dropping-particle" : "", "parse-names" : false, "suffix" : "" }, { "dropping-particle" : "", "family" : "Kamath", "given" : "H.", "non-dropping-particle" : "", "parse-names" : false, "suffix" : "" }, { "dropping-particle" : "", "family" : "Tarascon", "given" : "J.-M.", "non-dropping-particle" : "", "parse-names" : false, "suffix" : "" } ], "container-title" : "Science", "id" : "ITEM-1", "issue" : "6058", "issued" : { "date-parts" : [ [ "2011" ] ] }, "page" : "928-935", "title" : "Electrical Energy Storage for the Grid: A Battery of Choices", "type" : "article-journal", "volume" : "334" }, "uris" : [ "http://www.mendeley.com/documents/?uuid=34f8e846-7516-4630-a047-0daef2d50242", "http://www.mendeley.com/documents/?uuid=49637642-341a-43ae-aff7-780eeb273d39" ] } ], "mendeley" : { "formattedCitation" : "(Dunn, Kamath, &amp; Tarascon, 2011)", "plainTextFormattedCitation" : "(Dunn, Kamath, &amp; Tarascon, 2011)", "previouslyFormattedCitation" : "(Dunn, Kamath, &amp; Tarascon, 2011)" }, "properties" : { "noteIndex" : 0 }, "schema" : "https://github.com/citation-style-language/schema/raw/master/csl-citation.json" }</w:instrText>
      </w:r>
      <w:r w:rsidR="00F42A51">
        <w:rPr>
          <w:rFonts w:ascii="Times New Roman" w:hAnsi="Times New Roman"/>
          <w:sz w:val="20"/>
          <w:szCs w:val="20"/>
          <w:lang w:val="en-US"/>
        </w:rPr>
        <w:fldChar w:fldCharType="separate"/>
      </w:r>
      <w:r w:rsidR="00D03089" w:rsidRPr="00D03089">
        <w:rPr>
          <w:rFonts w:ascii="Times New Roman" w:hAnsi="Times New Roman"/>
          <w:noProof/>
          <w:sz w:val="20"/>
          <w:szCs w:val="20"/>
          <w:lang w:val="en-US"/>
        </w:rPr>
        <w:t>(Dunn, Kamath, &amp; Tarascon, 2011)</w:t>
      </w:r>
      <w:r w:rsidR="00F42A51">
        <w:rPr>
          <w:rFonts w:ascii="Times New Roman" w:hAnsi="Times New Roman"/>
          <w:sz w:val="20"/>
          <w:szCs w:val="20"/>
          <w:lang w:val="en-US"/>
        </w:rPr>
        <w:fldChar w:fldCharType="end"/>
      </w:r>
    </w:p>
    <w:p w14:paraId="17D23FB7" w14:textId="77777777" w:rsidR="00F42A51" w:rsidRDefault="00F42A51" w:rsidP="00F42A51">
      <w:pPr>
        <w:spacing w:after="200" w:line="360" w:lineRule="auto"/>
        <w:jc w:val="both"/>
        <w:rPr>
          <w:rFonts w:ascii="Times New Roman" w:hAnsi="Times New Roman"/>
          <w:lang w:val="en-US"/>
        </w:rPr>
      </w:pPr>
    </w:p>
    <w:p w14:paraId="77E30AD2" w14:textId="2FA6A8F9" w:rsidR="00F42A51" w:rsidRPr="00126A8E" w:rsidRDefault="00F42A51" w:rsidP="00F42A51">
      <w:pPr>
        <w:spacing w:after="200" w:line="360" w:lineRule="auto"/>
        <w:jc w:val="both"/>
        <w:rPr>
          <w:rFonts w:ascii="Times New Roman" w:hAnsi="Times New Roman"/>
          <w:lang w:val="en-US"/>
        </w:rPr>
      </w:pPr>
      <w:r w:rsidRPr="00B1282B">
        <w:rPr>
          <w:rFonts w:ascii="Times New Roman" w:hAnsi="Times New Roman"/>
          <w:lang w:val="en-US"/>
        </w:rPr>
        <w:t xml:space="preserve">In lithium-ion batteries, the cathode is a lithiated metal oxide and the anode is made of graphitic carbon with a layering structure. The electrolyte is made up of lithium salts dissolved in organic </w:t>
      </w:r>
      <w:r w:rsidRPr="00B1282B">
        <w:rPr>
          <w:rFonts w:ascii="Times New Roman" w:hAnsi="Times New Roman"/>
          <w:lang w:val="en-US"/>
        </w:rPr>
        <w:lastRenderedPageBreak/>
        <w:t>carbonates. When the battery is charged, the lithium atoms in the cathode become ions and migrate through</w:t>
      </w:r>
      <w:r w:rsidRPr="00CD4EE0">
        <w:rPr>
          <w:rFonts w:ascii="Times New Roman" w:hAnsi="Times New Roman"/>
          <w:lang w:val="en-US"/>
        </w:rPr>
        <w:t xml:space="preserve"> the electrolyte toward the carbon anode where they combine with external electrons and are deposited between the carbon layers as lithium atoms. This process is reversed during the discharge process. The efficiency of L</w:t>
      </w:r>
      <w:r>
        <w:rPr>
          <w:rFonts w:ascii="Times New Roman" w:hAnsi="Times New Roman"/>
          <w:lang w:val="en-US"/>
        </w:rPr>
        <w:t>i-ion batteries is almost 100%</w:t>
      </w:r>
      <w:r w:rsidRPr="00CD4EE0">
        <w:rPr>
          <w:rFonts w:ascii="Times New Roman" w:hAnsi="Times New Roman"/>
          <w:lang w:val="en-US"/>
        </w:rPr>
        <w:t xml:space="preserve"> another important advantage over other batteries. Although Li-ion batteries take over 50% of the small portable devices market, the</w:t>
      </w:r>
      <w:r w:rsidR="00431EB2">
        <w:rPr>
          <w:rFonts w:ascii="Times New Roman" w:hAnsi="Times New Roman"/>
          <w:lang w:val="en-US"/>
        </w:rPr>
        <w:t xml:space="preserve"> </w:t>
      </w:r>
      <w:r w:rsidRPr="00CD4EE0">
        <w:rPr>
          <w:rFonts w:ascii="Times New Roman" w:hAnsi="Times New Roman"/>
          <w:lang w:val="en-US"/>
        </w:rPr>
        <w:t>challenge for making large-scale Li-ion batteries is the</w:t>
      </w:r>
      <w:r w:rsidR="00431EB2">
        <w:rPr>
          <w:rFonts w:ascii="Times New Roman" w:hAnsi="Times New Roman"/>
          <w:lang w:val="en-US"/>
        </w:rPr>
        <w:t>ir</w:t>
      </w:r>
      <w:r w:rsidRPr="00CD4EE0">
        <w:rPr>
          <w:rFonts w:ascii="Times New Roman" w:hAnsi="Times New Roman"/>
          <w:lang w:val="en-US"/>
        </w:rPr>
        <w:t xml:space="preserve"> high cost (&gt;$600/kWh) due to special packaging and internal overcharge protection circuits </w:t>
      </w:r>
      <w:r w:rsidRPr="00CD4EE0">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"10.1016/j.pnsc.2008.07.014", "ISBN" : "1002-0071", "ISSN" : "10020071", "abstract" : "Electrical energy storage technologies for stationary applications are reviewed. Particular attention is paid to pumped hydroelectric storage, compressed air energy storage, battery, flow battery, fuel cell, solar fuel, superconducting magnetic energy storage, flywheel, capacitor/supercapacitor, and thermal energy storage. Comparison is made among these technologies in terms of technical characteristics, applications and deployment status. \u00a9 2008 National Natural Science Foundation of China and Chinese Academy of Sciences. Published by Elsevier Limited and Science in China Press. All rights reserved.", "author" : [ { "dropping-particle" : "", "family" : "Chen", "given" : "Haisheng", "non-dropping-particle" : "", "parse-names" : false, "suffix" : "" }, { "dropping-particle" : "", "family" : "Cong", "given" : "Thang Ngoc", "non-dropping-particle" : "", "parse-names" : false, "suffix" : "" }, { "dropping-particle" : "", "family" : "Yang", "given" : "Wei", "non-dropping-particle" : "", "parse-names" : false, "suffix" : "" }, { "dropping-particle" : "", "family" : "Tan", "given" : "Chunqing", "non-dropping-particle" : "", "parse-names" : false, "suffix" : "" }, { "dropping-particle" : "", "family" : "Li", "given" : "Yongliang", "non-dropping-particle" : "", "parse-names" : false, "suffix" : "" }, { "dropping-particle" : "", "family" : "Ding", "given" : "Yulong", "non-dropping-particle" : "", "parse-names" : false, "suffix" : "" } ], "container-title" : "Progress in Natural Science", "id" : "ITEM-1", "issue" : "3", "issued" : { "date-parts" : [ [ "2009" ] ] }, "page" : "291-312", "title" : "Progress in electrical energy storage system: A critical review", "type" : "article-journal", "volume" : "19" }, "uris" : [ "http://www.mendeley.com/documents/?uuid=091661a7-6d45-442d-b115-75d48f2de590" ] } ], "mendeley" : { "formattedCitation" : "(Chen et al., 2009)", "plainTextFormattedCitation" : "(Chen et al., 2009)", "previouslyFormattedCitation" : "(Chen et al., 2009)" }, "properties" : { "noteIndex" : 5 }, "schema" : "https://github.com/citation-style-language/schema/raw/master/csl-citation.json" }</w:instrText>
      </w:r>
      <w:r w:rsidRPr="00CD4EE0">
        <w:rPr>
          <w:rFonts w:ascii="Times New Roman" w:hAnsi="Times New Roman"/>
          <w:lang w:val="en-US"/>
        </w:rPr>
        <w:fldChar w:fldCharType="separate"/>
      </w:r>
      <w:r w:rsidRPr="00CD4EE0">
        <w:rPr>
          <w:rFonts w:ascii="Times New Roman" w:hAnsi="Times New Roman"/>
          <w:noProof/>
          <w:lang w:val="en-US"/>
        </w:rPr>
        <w:t>(Chen et al., 2009)</w:t>
      </w:r>
      <w:r w:rsidRPr="00CD4EE0">
        <w:rPr>
          <w:rFonts w:ascii="Times New Roman" w:hAnsi="Times New Roman"/>
          <w:lang w:val="en-US"/>
        </w:rPr>
        <w:fldChar w:fldCharType="end"/>
      </w:r>
      <w:r w:rsidRPr="00CD4EE0">
        <w:rPr>
          <w:rFonts w:ascii="Times New Roman" w:hAnsi="Times New Roman"/>
          <w:lang w:val="en-US"/>
        </w:rPr>
        <w:t xml:space="preserve">. </w:t>
      </w:r>
    </w:p>
    <w:p w14:paraId="7D52C81D" w14:textId="62466194" w:rsidR="00C14B4F" w:rsidRDefault="00C14B4F" w:rsidP="00C14B4F">
      <w:pPr>
        <w:suppressAutoHyphens w:val="0"/>
        <w:autoSpaceDE w:val="0"/>
        <w:adjustRightInd w:val="0"/>
        <w:spacing w:after="0" w:line="360" w:lineRule="auto"/>
        <w:jc w:val="both"/>
        <w:textAlignment w:val="auto"/>
        <w:rPr>
          <w:rFonts w:ascii="Times New Roman" w:hAnsi="Times New Roman"/>
          <w:lang w:val="en-US"/>
        </w:rPr>
      </w:pPr>
      <w:r w:rsidRPr="004F66F3">
        <w:rPr>
          <w:rFonts w:ascii="Times New Roman" w:hAnsi="Times New Roman"/>
          <w:lang w:val="en-US"/>
        </w:rPr>
        <w:t>M</w:t>
      </w:r>
      <w:r>
        <w:rPr>
          <w:rFonts w:ascii="Times New Roman" w:hAnsi="Times New Roman"/>
          <w:lang w:val="en-US"/>
        </w:rPr>
        <w:t xml:space="preserve">etal-Air batteries are the most </w:t>
      </w:r>
      <w:r w:rsidRPr="004F66F3">
        <w:rPr>
          <w:rFonts w:ascii="Times New Roman" w:hAnsi="Times New Roman"/>
          <w:lang w:val="en-US"/>
        </w:rPr>
        <w:t>compact and, potentially, the least expensive b</w:t>
      </w:r>
      <w:r>
        <w:rPr>
          <w:rFonts w:ascii="Times New Roman" w:hAnsi="Times New Roman"/>
          <w:lang w:val="en-US"/>
        </w:rPr>
        <w:t xml:space="preserve">atteries </w:t>
      </w:r>
      <w:r>
        <w:rPr>
          <w:rFonts w:ascii="Times New Roman" w:hAnsi="Times New Roman"/>
          <w:lang w:val="en-US"/>
        </w:rPr>
        <w:fldChar w:fldCharType="begin" w:fldLock="1"/>
      </w:r>
      <w:r>
        <w:rPr>
          <w:rFonts w:ascii="Times New Roman" w:hAnsi="Times New Roman"/>
          <w:lang w:val="en-US"/>
        </w:rPr>
        <w:instrText>ADDIN CSL_CITATION { "citationItems" : [ { "id" : "ITEM-1", "itemData" : { "DOI" : "10.1016/j.pnsc.2008.07.014", "ISBN" : "1002-0071", "ISSN" : "10020071", "abstract" : "Electrical energy storage technologies for stationary applications are reviewed. Particular attention is paid to pumped hydroelectric storage, compressed air energy storage, battery, flow battery, fuel cell, solar fuel, superconducting magnetic energy storage, flywheel, capacitor/supercapacitor, and thermal energy storage. Comparison is made among these technologies in terms of technical characteristics, applications and deployment status. \u00a9 2008 National Natural Science Foundation of China and Chinese Academy of Sciences. Published by Elsevier Limited and Science in China Press. All rights reserved.", "author" : [ { "dropping-particle" : "", "family" : "Chen", "given" : "Haisheng", "non-dropping-particle" : "", "parse-names" : false, "suffix" : "" }, { "dropping-particle" : "", "family" : "Cong", "given" : "Thang Ngoc", "non-dropping-particle" : "", "parse-names" : false, "suffix" : "" }, { "dropping-particle" : "", "family" : "Yang", "given" : "Wei", "non-dropping-particle" : "", "parse-names" : false, "suffix" : "" }, { "dropping-particle" : "", "family" : "Tan", "given" : "Chunqing", "non-dropping-particle" : "", "parse-names" : false, "suffix" : "" }, { "dropping-particle" : "", "family" : "Li", "given" : "Yongliang", "non-dropping-particle" : "", "parse-names" : false, "suffix" : "" }, { "dropping-particle" : "", "family" : "Ding", "given" : "Yulong", "non-dropping-particle" : "", "parse-names" : false, "suffix" : "" } ], "container-title" : "Progress in Natural Science", "id" : "ITEM-1", "issue" : "3", "issued" : { "date-parts" : [ [ "2009" ] ] }, "page" : "291-312", "title" : "Progress in electrical energy storage system: A critical review", "type" : "article-journal", "volume" : "19" }, "uris" : [ "http://www.mendeley.com/documents/?uuid=452df4b8-18d6-4dd3-86e5-c6949fda915d" ] } ], "mendeley" : { "formattedCitation" : "(Chen et al., 2009)", "plainTextFormattedCitation" : "(Chen et al., 2009)", "previouslyFormattedCitation" : "(Chen et al., 2009)" }, "properties" : { "noteIndex" : 11 }, "schema" : "https://github.com/citation-style-language/schema/raw/master/csl-citation.json" }</w:instrText>
      </w:r>
      <w:r>
        <w:rPr>
          <w:rFonts w:ascii="Times New Roman" w:hAnsi="Times New Roman"/>
          <w:lang w:val="en-US"/>
        </w:rPr>
        <w:fldChar w:fldCharType="separate"/>
      </w:r>
      <w:r w:rsidRPr="00786DF9">
        <w:rPr>
          <w:rFonts w:ascii="Times New Roman" w:hAnsi="Times New Roman"/>
          <w:noProof/>
          <w:lang w:val="en-US"/>
        </w:rPr>
        <w:t>(Chen et al., 2009)</w:t>
      </w:r>
      <w:r>
        <w:rPr>
          <w:rFonts w:ascii="Times New Roman" w:hAnsi="Times New Roman"/>
          <w:lang w:val="en-US"/>
        </w:rPr>
        <w:fldChar w:fldCharType="end"/>
      </w:r>
      <w:r>
        <w:rPr>
          <w:rFonts w:ascii="Times New Roman" w:hAnsi="Times New Roman"/>
          <w:lang w:val="en-US"/>
        </w:rPr>
        <w:t xml:space="preserve">. </w:t>
      </w:r>
      <w:r w:rsidRPr="00D3041C">
        <w:rPr>
          <w:rFonts w:ascii="Times New Roman" w:hAnsi="Times New Roman"/>
          <w:lang w:val="en-US"/>
        </w:rPr>
        <w:t>Amon</w:t>
      </w:r>
      <w:r>
        <w:rPr>
          <w:rFonts w:ascii="Times New Roman" w:hAnsi="Times New Roman"/>
          <w:lang w:val="en-US"/>
        </w:rPr>
        <w:t xml:space="preserve">g the various metal air battery </w:t>
      </w:r>
      <w:r w:rsidRPr="00D3041C">
        <w:rPr>
          <w:rFonts w:ascii="Times New Roman" w:hAnsi="Times New Roman"/>
          <w:lang w:val="en-US"/>
        </w:rPr>
        <w:t xml:space="preserve">chemical couples, </w:t>
      </w:r>
      <w:r>
        <w:rPr>
          <w:rFonts w:ascii="Times New Roman" w:hAnsi="Times New Roman"/>
          <w:lang w:val="en-US"/>
        </w:rPr>
        <w:t xml:space="preserve">the lithium air battery is most </w:t>
      </w:r>
      <w:r w:rsidRPr="00D3041C">
        <w:rPr>
          <w:rFonts w:ascii="Times New Roman" w:hAnsi="Times New Roman"/>
          <w:lang w:val="en-US"/>
        </w:rPr>
        <w:t>attractive since i</w:t>
      </w:r>
      <w:r>
        <w:rPr>
          <w:rFonts w:ascii="Times New Roman" w:hAnsi="Times New Roman"/>
          <w:lang w:val="en-US"/>
        </w:rPr>
        <w:t xml:space="preserve">ts theoretical specific energy </w:t>
      </w:r>
      <w:r w:rsidRPr="00D3041C">
        <w:rPr>
          <w:rFonts w:ascii="Times New Roman" w:hAnsi="Times New Roman"/>
          <w:lang w:val="en-US"/>
        </w:rPr>
        <w:t>excluding oxygen is 11.14</w:t>
      </w:r>
      <w:r>
        <w:rPr>
          <w:rFonts w:ascii="Times New Roman" w:hAnsi="Times New Roman"/>
          <w:lang w:val="en-US"/>
        </w:rPr>
        <w:t xml:space="preserve"> kWh/kg, corresponding to about </w:t>
      </w:r>
      <w:r w:rsidRPr="00D3041C">
        <w:rPr>
          <w:rFonts w:ascii="Times New Roman" w:hAnsi="Times New Roman"/>
          <w:lang w:val="en-US"/>
        </w:rPr>
        <w:t>100 times more th</w:t>
      </w:r>
      <w:r>
        <w:rPr>
          <w:rFonts w:ascii="Times New Roman" w:hAnsi="Times New Roman"/>
          <w:lang w:val="en-US"/>
        </w:rPr>
        <w:t xml:space="preserve">an other battery types and even </w:t>
      </w:r>
      <w:r w:rsidRPr="00D3041C">
        <w:rPr>
          <w:rFonts w:ascii="Times New Roman" w:hAnsi="Times New Roman"/>
          <w:lang w:val="en-US"/>
        </w:rPr>
        <w:t>greater than petr</w:t>
      </w:r>
      <w:r>
        <w:rPr>
          <w:rFonts w:ascii="Times New Roman" w:hAnsi="Times New Roman"/>
          <w:lang w:val="en-US"/>
        </w:rPr>
        <w:t xml:space="preserve">ol (10.15 kWh/kg). However, the </w:t>
      </w:r>
      <w:r w:rsidRPr="00D3041C">
        <w:rPr>
          <w:rFonts w:ascii="Times New Roman" w:hAnsi="Times New Roman"/>
          <w:lang w:val="en-US"/>
        </w:rPr>
        <w:t>high reactivity of li</w:t>
      </w:r>
      <w:r>
        <w:rPr>
          <w:rFonts w:ascii="Times New Roman" w:hAnsi="Times New Roman"/>
          <w:lang w:val="en-US"/>
        </w:rPr>
        <w:t>thium with air and humidity can cause fi</w:t>
      </w:r>
      <w:r w:rsidRPr="00D3041C">
        <w:rPr>
          <w:rFonts w:ascii="Times New Roman" w:hAnsi="Times New Roman"/>
          <w:lang w:val="en-US"/>
        </w:rPr>
        <w:t>re, which is a high safety risk</w:t>
      </w:r>
      <w:r>
        <w:rPr>
          <w:rFonts w:ascii="Times New Roman" w:hAnsi="Times New Roman"/>
          <w:lang w:val="en-US"/>
        </w:rPr>
        <w:t xml:space="preserve">. </w:t>
      </w:r>
      <w:r w:rsidRPr="00D3041C">
        <w:rPr>
          <w:rFonts w:ascii="Times New Roman" w:hAnsi="Times New Roman"/>
          <w:lang w:val="en-US"/>
        </w:rPr>
        <w:t>Currently only a zinc</w:t>
      </w:r>
      <w:r>
        <w:rPr>
          <w:rFonts w:ascii="Times New Roman" w:hAnsi="Times New Roman"/>
          <w:lang w:val="en-US"/>
        </w:rPr>
        <w:t xml:space="preserve"> air battery with a theoretical </w:t>
      </w:r>
      <w:r w:rsidRPr="00D3041C">
        <w:rPr>
          <w:rFonts w:ascii="Times New Roman" w:hAnsi="Times New Roman"/>
          <w:lang w:val="en-US"/>
        </w:rPr>
        <w:t>specific energ</w:t>
      </w:r>
      <w:r>
        <w:rPr>
          <w:rFonts w:ascii="Times New Roman" w:hAnsi="Times New Roman"/>
          <w:lang w:val="en-US"/>
        </w:rPr>
        <w:t>y excluding oxygen of 1.35 kWh/</w:t>
      </w:r>
      <w:r w:rsidRPr="00D3041C">
        <w:rPr>
          <w:rFonts w:ascii="Times New Roman" w:hAnsi="Times New Roman"/>
          <w:lang w:val="en-US"/>
        </w:rPr>
        <w:t>kg is technically fe</w:t>
      </w:r>
      <w:r>
        <w:rPr>
          <w:rFonts w:ascii="Times New Roman" w:hAnsi="Times New Roman"/>
          <w:lang w:val="en-US"/>
        </w:rPr>
        <w:t>asible</w:t>
      </w:r>
      <w:r w:rsidR="00053050">
        <w:rPr>
          <w:rFonts w:ascii="Times New Roman" w:hAnsi="Times New Roman"/>
          <w:lang w:val="en-US"/>
        </w:rPr>
        <w:t xml:space="preserve"> (International Electrotechnical Commission and Commission, 2011)</w:t>
      </w:r>
      <w:r>
        <w:rPr>
          <w:rFonts w:ascii="Times New Roman" w:hAnsi="Times New Roman"/>
          <w:lang w:val="en-US"/>
        </w:rPr>
        <w:t>.</w:t>
      </w:r>
      <w:r w:rsidR="00431EB2">
        <w:rPr>
          <w:rFonts w:ascii="Times New Roman" w:hAnsi="Times New Roman"/>
          <w:lang w:val="en-US"/>
        </w:rPr>
        <w:t xml:space="preserve"> </w:t>
      </w:r>
      <w:r>
        <w:rPr>
          <w:rFonts w:ascii="Times New Roman" w:hAnsi="Times New Roman"/>
          <w:lang w:val="en-US"/>
        </w:rPr>
        <w:t xml:space="preserve">Zinc air batteries have </w:t>
      </w:r>
      <w:r w:rsidRPr="00D3041C">
        <w:rPr>
          <w:rFonts w:ascii="Times New Roman" w:hAnsi="Times New Roman"/>
          <w:lang w:val="en-US"/>
        </w:rPr>
        <w:t>some properties</w:t>
      </w:r>
      <w:r>
        <w:rPr>
          <w:rFonts w:ascii="Times New Roman" w:hAnsi="Times New Roman"/>
          <w:lang w:val="en-US"/>
        </w:rPr>
        <w:t xml:space="preserve"> of fuel cells and conventional </w:t>
      </w:r>
      <w:r w:rsidRPr="00D3041C">
        <w:rPr>
          <w:rFonts w:ascii="Times New Roman" w:hAnsi="Times New Roman"/>
          <w:lang w:val="en-US"/>
        </w:rPr>
        <w:t xml:space="preserve">batteries: the zinc is </w:t>
      </w:r>
      <w:r>
        <w:rPr>
          <w:rFonts w:ascii="Times New Roman" w:hAnsi="Times New Roman"/>
          <w:lang w:val="en-US"/>
        </w:rPr>
        <w:t xml:space="preserve">the fuel, the reaction rate can </w:t>
      </w:r>
      <w:r w:rsidRPr="00D3041C">
        <w:rPr>
          <w:rFonts w:ascii="Times New Roman" w:hAnsi="Times New Roman"/>
          <w:lang w:val="en-US"/>
        </w:rPr>
        <w:t>b</w:t>
      </w:r>
      <w:r>
        <w:rPr>
          <w:rFonts w:ascii="Times New Roman" w:hAnsi="Times New Roman"/>
          <w:lang w:val="en-US"/>
        </w:rPr>
        <w:t>e controlled by varying air flow, and oxidized zinc/</w:t>
      </w:r>
      <w:r w:rsidRPr="00D3041C">
        <w:rPr>
          <w:rFonts w:ascii="Times New Roman" w:hAnsi="Times New Roman"/>
          <w:lang w:val="en-US"/>
        </w:rPr>
        <w:t>electrolyte paste ca</w:t>
      </w:r>
      <w:r w:rsidR="00053050">
        <w:rPr>
          <w:rFonts w:ascii="Times New Roman" w:hAnsi="Times New Roman"/>
          <w:lang w:val="en-US"/>
        </w:rPr>
        <w:t xml:space="preserve">n be replaced with fresh paste (Chen et al., 2009). </w:t>
      </w:r>
      <w:r>
        <w:rPr>
          <w:rFonts w:ascii="Times New Roman" w:hAnsi="Times New Roman"/>
          <w:lang w:val="en-US"/>
        </w:rPr>
        <w:t xml:space="preserve">A schematic of metal air battery is can been seen in Fig. </w:t>
      </w:r>
      <w:r w:rsidR="004379B6">
        <w:rPr>
          <w:rFonts w:ascii="Times New Roman" w:hAnsi="Times New Roman"/>
          <w:lang w:val="en-US"/>
        </w:rPr>
        <w:t>5</w:t>
      </w:r>
      <w:r>
        <w:rPr>
          <w:rFonts w:ascii="Times New Roman" w:hAnsi="Times New Roman"/>
          <w:lang w:val="en-US"/>
        </w:rPr>
        <w:t>.</w:t>
      </w:r>
    </w:p>
    <w:p w14:paraId="6FCFB294"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0E02C730"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1BA033D0"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6BF06EF4"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01DD6FEB"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271B45CB"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5C5131CC"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31F040AB"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68EDA6A0" w14:textId="2AB581BC"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001E4569" w14:textId="77777777" w:rsidR="0089624A" w:rsidRDefault="0089624A" w:rsidP="00F42A51">
      <w:pPr>
        <w:suppressAutoHyphens w:val="0"/>
        <w:autoSpaceDE w:val="0"/>
        <w:adjustRightInd w:val="0"/>
        <w:spacing w:after="0" w:line="360" w:lineRule="auto"/>
        <w:jc w:val="both"/>
        <w:textAlignment w:val="auto"/>
        <w:rPr>
          <w:rFonts w:ascii="Times New Roman" w:hAnsi="Times New Roman"/>
          <w:lang w:val="en-US"/>
        </w:rPr>
      </w:pPr>
    </w:p>
    <w:p w14:paraId="67E941A7" w14:textId="5BFF1703" w:rsidR="00F42A51" w:rsidRPr="004F66F3" w:rsidRDefault="00F42A51" w:rsidP="00F42A51">
      <w:pPr>
        <w:suppressAutoHyphens w:val="0"/>
        <w:autoSpaceDE w:val="0"/>
        <w:adjustRightInd w:val="0"/>
        <w:spacing w:after="0" w:line="360" w:lineRule="auto"/>
        <w:jc w:val="both"/>
        <w:textAlignment w:val="auto"/>
        <w:rPr>
          <w:rFonts w:ascii="Times New Roman" w:hAnsi="Times New Roman"/>
          <w:lang w:val="en-US"/>
        </w:rPr>
      </w:pPr>
    </w:p>
    <w:p w14:paraId="48ED2ED5" w14:textId="5A926011" w:rsidR="00F42A51" w:rsidRDefault="00F42A51" w:rsidP="00F42A51">
      <w:pPr>
        <w:spacing w:after="200" w:line="360" w:lineRule="auto"/>
        <w:jc w:val="both"/>
        <w:rPr>
          <w:rFonts w:ascii="Times New Roman" w:hAnsi="Times New Roman"/>
          <w:lang w:val="en-US"/>
        </w:rPr>
      </w:pPr>
    </w:p>
    <w:p w14:paraId="46DE3C70" w14:textId="103ED102" w:rsidR="00F42A51" w:rsidRDefault="0089624A" w:rsidP="00F42A51">
      <w:pPr>
        <w:spacing w:after="200" w:line="360" w:lineRule="auto"/>
        <w:jc w:val="center"/>
        <w:rPr>
          <w:rFonts w:ascii="Times New Roman" w:hAnsi="Times New Roman"/>
          <w:lang w:val="en-US"/>
        </w:rPr>
      </w:pPr>
      <w:r>
        <w:rPr>
          <w:rFonts w:ascii="Times New Roman" w:hAnsi="Times New Roman"/>
          <w:noProof/>
          <w:lang w:val="es-PY" w:eastAsia="es-PY"/>
        </w:rPr>
        <w:lastRenderedPageBreak/>
        <w:drawing>
          <wp:anchor distT="0" distB="0" distL="114300" distR="114300" simplePos="0" relativeHeight="251666432" behindDoc="1" locked="0" layoutInCell="1" allowOverlap="1" wp14:anchorId="71DBCD5C" wp14:editId="1AD75757">
            <wp:simplePos x="0" y="0"/>
            <wp:positionH relativeFrom="column">
              <wp:posOffset>1308735</wp:posOffset>
            </wp:positionH>
            <wp:positionV relativeFrom="paragraph">
              <wp:posOffset>-452755</wp:posOffset>
            </wp:positionV>
            <wp:extent cx="2511425" cy="3067050"/>
            <wp:effectExtent l="0" t="0" r="3175" b="0"/>
            <wp:wrapTight wrapText="bothSides">
              <wp:wrapPolygon edited="0">
                <wp:start x="0" y="0"/>
                <wp:lineTo x="0" y="21466"/>
                <wp:lineTo x="21463" y="21466"/>
                <wp:lineTo x="21463" y="0"/>
                <wp:lineTo x="0" y="0"/>
              </wp:wrapPolygon>
            </wp:wrapTight>
            <wp:docPr id="10" name="Picture 10" descr="C:\Users\ANITA\Dropbox\1_Anita Ortega\1_Datos Master TCD\4_Intership\Paper Dr. Hoda\Graph\Methal air bat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TA\Dropbox\1_Anita Ortega\1_Datos Master TCD\4_Intership\Paper Dr. Hoda\Graph\Methal air batter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142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8472A" w14:textId="254D4591" w:rsidR="00F42A51" w:rsidRDefault="00F42A51" w:rsidP="00F42A51">
      <w:pPr>
        <w:spacing w:after="200" w:line="360" w:lineRule="auto"/>
        <w:jc w:val="center"/>
        <w:rPr>
          <w:rFonts w:ascii="Times New Roman" w:hAnsi="Times New Roman"/>
          <w:lang w:val="en-US"/>
        </w:rPr>
      </w:pPr>
    </w:p>
    <w:p w14:paraId="198F8444" w14:textId="77777777" w:rsidR="00F42A51" w:rsidRDefault="00F42A51" w:rsidP="00F42A51">
      <w:pPr>
        <w:spacing w:after="200" w:line="360" w:lineRule="auto"/>
        <w:jc w:val="center"/>
        <w:rPr>
          <w:rFonts w:ascii="Times New Roman" w:hAnsi="Times New Roman"/>
          <w:lang w:val="en-US"/>
        </w:rPr>
      </w:pPr>
    </w:p>
    <w:p w14:paraId="7F315DA5" w14:textId="77777777" w:rsidR="00F42A51" w:rsidRDefault="00F42A51" w:rsidP="00F42A51">
      <w:pPr>
        <w:spacing w:after="200" w:line="360" w:lineRule="auto"/>
        <w:jc w:val="center"/>
        <w:rPr>
          <w:rFonts w:ascii="Times New Roman" w:hAnsi="Times New Roman"/>
          <w:lang w:val="en-US"/>
        </w:rPr>
      </w:pPr>
    </w:p>
    <w:p w14:paraId="11A21338" w14:textId="5A2C7C16" w:rsidR="00F42A51" w:rsidRDefault="00F42A51" w:rsidP="00F42A51">
      <w:pPr>
        <w:spacing w:after="200" w:line="360" w:lineRule="auto"/>
        <w:jc w:val="center"/>
        <w:rPr>
          <w:rFonts w:ascii="Times New Roman" w:hAnsi="Times New Roman"/>
          <w:lang w:val="en-US"/>
        </w:rPr>
      </w:pPr>
    </w:p>
    <w:p w14:paraId="4E2A778C" w14:textId="5E49C9D8" w:rsidR="00F42A51" w:rsidRDefault="00F42A51" w:rsidP="00F42A51">
      <w:pPr>
        <w:spacing w:after="200" w:line="360" w:lineRule="auto"/>
        <w:jc w:val="center"/>
        <w:rPr>
          <w:rFonts w:ascii="Times New Roman" w:hAnsi="Times New Roman"/>
          <w:lang w:val="en-US"/>
        </w:rPr>
      </w:pPr>
    </w:p>
    <w:p w14:paraId="4FD1416E" w14:textId="287E4F1E" w:rsidR="00F42A51" w:rsidRDefault="00F42A51" w:rsidP="00F42A51">
      <w:pPr>
        <w:spacing w:after="200" w:line="360" w:lineRule="auto"/>
        <w:jc w:val="center"/>
        <w:rPr>
          <w:rFonts w:ascii="Times New Roman" w:hAnsi="Times New Roman"/>
          <w:lang w:val="en-US"/>
        </w:rPr>
      </w:pPr>
    </w:p>
    <w:p w14:paraId="3A4E277C" w14:textId="77777777" w:rsidR="00F42A51" w:rsidRDefault="00F42A51" w:rsidP="00F42A51">
      <w:pPr>
        <w:autoSpaceDE w:val="0"/>
        <w:adjustRightInd w:val="0"/>
        <w:spacing w:after="0" w:line="240" w:lineRule="auto"/>
        <w:jc w:val="center"/>
        <w:rPr>
          <w:rFonts w:ascii="Times New Roman" w:hAnsi="Times New Roman"/>
          <w:sz w:val="20"/>
          <w:szCs w:val="20"/>
          <w:highlight w:val="yellow"/>
          <w:lang w:val="en-US"/>
        </w:rPr>
      </w:pPr>
    </w:p>
    <w:p w14:paraId="4E390B5A" w14:textId="5FA09458" w:rsidR="00F42A51" w:rsidRPr="0095132B" w:rsidRDefault="004379B6" w:rsidP="00F42A51">
      <w:pPr>
        <w:autoSpaceDE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Fig. 5</w:t>
      </w:r>
      <w:r w:rsidR="00F42A51" w:rsidRPr="00F045A3">
        <w:rPr>
          <w:rFonts w:ascii="Times New Roman" w:hAnsi="Times New Roman"/>
          <w:sz w:val="20"/>
          <w:szCs w:val="20"/>
          <w:lang w:val="en-US"/>
        </w:rPr>
        <w:t>.</w:t>
      </w:r>
      <w:r w:rsidR="00F42A51">
        <w:rPr>
          <w:rFonts w:ascii="Times New Roman" w:hAnsi="Times New Roman"/>
          <w:sz w:val="20"/>
          <w:szCs w:val="20"/>
          <w:lang w:val="en-US"/>
        </w:rPr>
        <w:t xml:space="preserve"> Schematic of the metal air battery </w:t>
      </w:r>
      <w:r w:rsidR="00F42A51">
        <w:rPr>
          <w:rFonts w:ascii="Times New Roman" w:hAnsi="Times New Roman"/>
          <w:sz w:val="20"/>
          <w:szCs w:val="20"/>
          <w:lang w:val="en-US"/>
        </w:rPr>
        <w:fldChar w:fldCharType="begin" w:fldLock="1"/>
      </w:r>
      <w:r w:rsidR="00D03089">
        <w:rPr>
          <w:rFonts w:ascii="Times New Roman" w:hAnsi="Times New Roman"/>
          <w:sz w:val="20"/>
          <w:szCs w:val="20"/>
          <w:lang w:val="en-US"/>
        </w:rPr>
        <w:instrText>ADDIN CSL_CITATION { "citationItems" : [ { "id" : "ITEM-1", "itemData" : { "DOI" : "10.1016/j.pnsc.2008.07.014", "ISBN" : "1002-0071", "ISSN" : "10020071", "abstract" : "Electrical energy storage technologies for stationary applications are reviewed. Particular attention is paid to pumped hydroelectric storage, compressed air energy storage, battery, flow battery, fuel cell, solar fuel, superconducting magnetic energy storage, flywheel, capacitor/supercapacitor, and thermal energy storage. Comparison is made among these technologies in terms of technical characteristics, applications and deployment status. \u00a9 2008 National Natural Science Foundation of China and Chinese Academy of Sciences. Published by Elsevier Limited and Science in China Press. All rights reserved.", "author" : [ { "dropping-particle" : "", "family" : "Chen", "given" : "Haisheng", "non-dropping-particle" : "", "parse-names" : false, "suffix" : "" }, { "dropping-particle" : "", "family" : "Cong", "given" : "Thang Ngoc", "non-dropping-particle" : "", "parse-names" : false, "suffix" : "" }, { "dropping-particle" : "", "family" : "Yang", "given" : "Wei", "non-dropping-particle" : "", "parse-names" : false, "suffix" : "" }, { "dropping-particle" : "", "family" : "Tan", "given" : "Chunqing", "non-dropping-particle" : "", "parse-names" : false, "suffix" : "" }, { "dropping-particle" : "", "family" : "Li", "given" : "Yongliang", "non-dropping-particle" : "", "parse-names" : false, "suffix" : "" }, { "dropping-particle" : "", "family" : "Ding", "given" : "Yulong", "non-dropping-particle" : "", "parse-names" : false, "suffix" : "" } ], "container-title" : "Progress in Natural Science", "id" : "ITEM-1", "issue" : "3", "issued" : { "date-parts" : [ [ "2009" ] ] }, "page" : "291-312", "title" : "Progress in electrical energy storage system: A critical review", "type" : "article-journal", "volume" : "19" }, "uris" : [ "http://www.mendeley.com/documents/?uuid=091661a7-6d45-442d-b115-75d48f2de590" ] } ], "mendeley" : { "formattedCitation" : "(Chen et al., 2009)", "plainTextFormattedCitation" : "(Chen et al., 2009)", "previouslyFormattedCitation" : "(Chen et al., 2009)" }, "properties" : { "noteIndex" : 8 }, "schema" : "https://github.com/citation-style-language/schema/raw/master/csl-citation.json" }</w:instrText>
      </w:r>
      <w:r w:rsidR="00F42A51">
        <w:rPr>
          <w:rFonts w:ascii="Times New Roman" w:hAnsi="Times New Roman"/>
          <w:sz w:val="20"/>
          <w:szCs w:val="20"/>
          <w:lang w:val="en-US"/>
        </w:rPr>
        <w:fldChar w:fldCharType="separate"/>
      </w:r>
      <w:r w:rsidR="00F42A51" w:rsidRPr="004F66F3">
        <w:rPr>
          <w:rFonts w:ascii="Times New Roman" w:hAnsi="Times New Roman"/>
          <w:noProof/>
          <w:sz w:val="20"/>
          <w:szCs w:val="20"/>
          <w:lang w:val="en-US"/>
        </w:rPr>
        <w:t>(Chen et al., 2009)</w:t>
      </w:r>
      <w:r w:rsidR="00F42A51">
        <w:rPr>
          <w:rFonts w:ascii="Times New Roman" w:hAnsi="Times New Roman"/>
          <w:sz w:val="20"/>
          <w:szCs w:val="20"/>
          <w:lang w:val="en-US"/>
        </w:rPr>
        <w:fldChar w:fldCharType="end"/>
      </w:r>
      <w:r w:rsidR="00F42A51">
        <w:rPr>
          <w:rFonts w:ascii="Times New Roman" w:hAnsi="Times New Roman"/>
          <w:sz w:val="20"/>
          <w:szCs w:val="20"/>
          <w:lang w:val="en-US"/>
        </w:rPr>
        <w:t>.</w:t>
      </w:r>
    </w:p>
    <w:p w14:paraId="7D755F32" w14:textId="77777777" w:rsidR="00F42A51" w:rsidRDefault="00F42A51" w:rsidP="00F42A51">
      <w:pPr>
        <w:spacing w:after="200" w:line="360" w:lineRule="auto"/>
        <w:jc w:val="both"/>
        <w:rPr>
          <w:rFonts w:ascii="Times New Roman" w:hAnsi="Times New Roman"/>
          <w:lang w:val="en-US"/>
        </w:rPr>
      </w:pPr>
    </w:p>
    <w:p w14:paraId="1AD209C3" w14:textId="068BC0B4" w:rsidR="00F42A51" w:rsidRDefault="00F42A51" w:rsidP="00F42A51">
      <w:pPr>
        <w:suppressAutoHyphens w:val="0"/>
        <w:autoSpaceDE w:val="0"/>
        <w:adjustRightInd w:val="0"/>
        <w:spacing w:after="0" w:line="360" w:lineRule="auto"/>
        <w:jc w:val="both"/>
        <w:textAlignment w:val="auto"/>
        <w:rPr>
          <w:rFonts w:ascii="Times New Roman" w:hAnsi="Times New Roman"/>
          <w:lang w:val="en-US"/>
        </w:rPr>
      </w:pPr>
      <w:r w:rsidRPr="00EE47C1">
        <w:rPr>
          <w:rFonts w:ascii="Times New Roman" w:hAnsi="Times New Roman"/>
          <w:lang w:val="en-US"/>
        </w:rPr>
        <w:t>A flow battery is</w:t>
      </w:r>
      <w:r>
        <w:rPr>
          <w:rFonts w:ascii="Times New Roman" w:hAnsi="Times New Roman"/>
          <w:lang w:val="en-US"/>
        </w:rPr>
        <w:t xml:space="preserve"> a form of a battery </w:t>
      </w:r>
      <w:r w:rsidRPr="00BC4B61">
        <w:rPr>
          <w:rFonts w:ascii="Times New Roman" w:hAnsi="Times New Roman"/>
          <w:lang w:val="en-US"/>
        </w:rPr>
        <w:t>in which the electrolyte</w:t>
      </w:r>
      <w:r>
        <w:rPr>
          <w:rFonts w:ascii="Times New Roman" w:hAnsi="Times New Roman"/>
          <w:lang w:val="en-US"/>
        </w:rPr>
        <w:t xml:space="preserve"> contains one or more dissolved </w:t>
      </w:r>
      <w:r w:rsidRPr="00BC4B61">
        <w:rPr>
          <w:rFonts w:ascii="Times New Roman" w:hAnsi="Times New Roman"/>
          <w:lang w:val="en-US"/>
        </w:rPr>
        <w:t>electroactive species flowi</w:t>
      </w:r>
      <w:r>
        <w:rPr>
          <w:rFonts w:ascii="Times New Roman" w:hAnsi="Times New Roman"/>
          <w:lang w:val="en-US"/>
        </w:rPr>
        <w:t xml:space="preserve">ng through a power cell/reactor </w:t>
      </w:r>
      <w:r w:rsidRPr="00BC4B61">
        <w:rPr>
          <w:rFonts w:ascii="Times New Roman" w:hAnsi="Times New Roman"/>
          <w:lang w:val="en-US"/>
        </w:rPr>
        <w:t>in which the chemical ener</w:t>
      </w:r>
      <w:r>
        <w:rPr>
          <w:rFonts w:ascii="Times New Roman" w:hAnsi="Times New Roman"/>
          <w:lang w:val="en-US"/>
        </w:rPr>
        <w:t xml:space="preserve">gy is converted to electricity. </w:t>
      </w:r>
      <w:r w:rsidRPr="00BC4B61">
        <w:rPr>
          <w:rFonts w:ascii="Times New Roman" w:hAnsi="Times New Roman"/>
          <w:lang w:val="en-US"/>
        </w:rPr>
        <w:t>Additional electrolyte is stored ex</w:t>
      </w:r>
      <w:r>
        <w:rPr>
          <w:rFonts w:ascii="Times New Roman" w:hAnsi="Times New Roman"/>
          <w:lang w:val="en-US"/>
        </w:rPr>
        <w:t xml:space="preserve">ternally, generally in </w:t>
      </w:r>
      <w:r w:rsidRPr="00BC4B61">
        <w:rPr>
          <w:rFonts w:ascii="Times New Roman" w:hAnsi="Times New Roman"/>
          <w:lang w:val="en-US"/>
        </w:rPr>
        <w:t>tanks, and is usually pumped</w:t>
      </w:r>
      <w:r>
        <w:rPr>
          <w:rFonts w:ascii="Times New Roman" w:hAnsi="Times New Roman"/>
          <w:lang w:val="en-US"/>
        </w:rPr>
        <w:t xml:space="preserve"> through the cell of </w:t>
      </w:r>
      <w:r w:rsidRPr="00BC4B61">
        <w:rPr>
          <w:rFonts w:ascii="Times New Roman" w:hAnsi="Times New Roman"/>
          <w:lang w:val="en-US"/>
        </w:rPr>
        <w:t>the reactor</w:t>
      </w:r>
      <w:r>
        <w:rPr>
          <w:rFonts w:ascii="Times New Roman" w:hAnsi="Times New Roman"/>
          <w:lang w:val="en-US"/>
        </w:rPr>
        <w:t xml:space="preserve"> as is shown in </w:t>
      </w:r>
      <w:r w:rsidR="00184D41">
        <w:rPr>
          <w:rFonts w:ascii="Times New Roman" w:hAnsi="Times New Roman"/>
          <w:lang w:val="en-US"/>
        </w:rPr>
        <w:t>Fig.</w:t>
      </w:r>
      <w:r w:rsidRPr="00F045A3">
        <w:rPr>
          <w:rFonts w:ascii="Times New Roman" w:hAnsi="Times New Roman"/>
          <w:lang w:val="en-US"/>
        </w:rPr>
        <w:t xml:space="preserve"> </w:t>
      </w:r>
      <w:r w:rsidR="004379B6">
        <w:rPr>
          <w:rFonts w:ascii="Times New Roman" w:hAnsi="Times New Roman"/>
          <w:lang w:val="en-US"/>
        </w:rPr>
        <w:t>6</w:t>
      </w:r>
      <w:r w:rsidRPr="00F045A3">
        <w:rPr>
          <w:rFonts w:ascii="Times New Roman" w:hAnsi="Times New Roman"/>
          <w:lang w:val="en-US"/>
        </w:rPr>
        <w:t>.</w:t>
      </w:r>
      <w:r w:rsidRPr="00BC4B61">
        <w:rPr>
          <w:rFonts w:ascii="Times New Roman" w:hAnsi="Times New Roman"/>
          <w:lang w:val="en-US"/>
        </w:rPr>
        <w:t xml:space="preserve"> The reaction is </w:t>
      </w:r>
      <w:r>
        <w:rPr>
          <w:rFonts w:ascii="Times New Roman" w:hAnsi="Times New Roman"/>
          <w:lang w:val="en-US"/>
        </w:rPr>
        <w:t xml:space="preserve">reversible allowing the battery </w:t>
      </w:r>
      <w:r w:rsidRPr="00BC4B61">
        <w:rPr>
          <w:rFonts w:ascii="Times New Roman" w:hAnsi="Times New Roman"/>
          <w:lang w:val="en-US"/>
        </w:rPr>
        <w:t>to be charged, discharge</w:t>
      </w:r>
      <w:r>
        <w:rPr>
          <w:rFonts w:ascii="Times New Roman" w:hAnsi="Times New Roman"/>
          <w:lang w:val="en-US"/>
        </w:rPr>
        <w:t xml:space="preserve">d and recharged. In contrast to </w:t>
      </w:r>
      <w:r w:rsidRPr="00BC4B61">
        <w:rPr>
          <w:rFonts w:ascii="Times New Roman" w:hAnsi="Times New Roman"/>
          <w:lang w:val="en-US"/>
        </w:rPr>
        <w:t>conventional batteries, flow batteries store energy in t</w:t>
      </w:r>
      <w:r>
        <w:rPr>
          <w:rFonts w:ascii="Times New Roman" w:hAnsi="Times New Roman"/>
          <w:lang w:val="en-US"/>
        </w:rPr>
        <w:t xml:space="preserve">he </w:t>
      </w:r>
      <w:r w:rsidRPr="00BC4B61">
        <w:rPr>
          <w:rFonts w:ascii="Times New Roman" w:hAnsi="Times New Roman"/>
          <w:lang w:val="en-US"/>
        </w:rPr>
        <w:t>electrolyte solutions. T</w:t>
      </w:r>
      <w:r>
        <w:rPr>
          <w:rFonts w:ascii="Times New Roman" w:hAnsi="Times New Roman"/>
          <w:lang w:val="en-US"/>
        </w:rPr>
        <w:t xml:space="preserve">he power and energy ratings are </w:t>
      </w:r>
      <w:r w:rsidRPr="00BC4B61">
        <w:rPr>
          <w:rFonts w:ascii="Times New Roman" w:hAnsi="Times New Roman"/>
          <w:lang w:val="en-US"/>
        </w:rPr>
        <w:t>independent of the sto</w:t>
      </w:r>
      <w:r>
        <w:rPr>
          <w:rFonts w:ascii="Times New Roman" w:hAnsi="Times New Roman"/>
          <w:lang w:val="en-US"/>
        </w:rPr>
        <w:t xml:space="preserve">rage capacity determined by the </w:t>
      </w:r>
      <w:r w:rsidRPr="00BC4B61">
        <w:rPr>
          <w:rFonts w:ascii="Times New Roman" w:hAnsi="Times New Roman"/>
          <w:lang w:val="en-US"/>
        </w:rPr>
        <w:t>quantity of electrolyte u</w:t>
      </w:r>
      <w:r>
        <w:rPr>
          <w:rFonts w:ascii="Times New Roman" w:hAnsi="Times New Roman"/>
          <w:lang w:val="en-US"/>
        </w:rPr>
        <w:t xml:space="preserve">sed and the power rating by the </w:t>
      </w:r>
      <w:r w:rsidRPr="00BC4B61">
        <w:rPr>
          <w:rFonts w:ascii="Times New Roman" w:hAnsi="Times New Roman"/>
          <w:lang w:val="en-US"/>
        </w:rPr>
        <w:t>active area of the cell st</w:t>
      </w:r>
      <w:r>
        <w:rPr>
          <w:rFonts w:ascii="Times New Roman" w:hAnsi="Times New Roman"/>
          <w:lang w:val="en-US"/>
        </w:rPr>
        <w:t xml:space="preserve">ack. Flow batteries can release </w:t>
      </w:r>
      <w:r w:rsidRPr="00BC4B61">
        <w:rPr>
          <w:rFonts w:ascii="Times New Roman" w:hAnsi="Times New Roman"/>
          <w:lang w:val="en-US"/>
        </w:rPr>
        <w:t>energy continuously at a h</w:t>
      </w:r>
      <w:r>
        <w:rPr>
          <w:rFonts w:ascii="Times New Roman" w:hAnsi="Times New Roman"/>
          <w:lang w:val="en-US"/>
        </w:rPr>
        <w:t xml:space="preserve">igh rate of discharge for up to </w:t>
      </w:r>
      <w:r w:rsidR="00C14B4F">
        <w:rPr>
          <w:rFonts w:ascii="Times New Roman" w:hAnsi="Times New Roman"/>
          <w:lang w:val="en-US"/>
        </w:rPr>
        <w:t>10 h</w:t>
      </w:r>
      <w:r w:rsidR="004379B6">
        <w:rPr>
          <w:rFonts w:ascii="Times New Roman" w:hAnsi="Times New Roman"/>
          <w:lang w:val="en-US"/>
        </w:rPr>
        <w:t>ours</w:t>
      </w:r>
      <w:r w:rsidR="00C14B4F">
        <w:rPr>
          <w:rFonts w:ascii="Times New Roman" w:hAnsi="Times New Roman"/>
          <w:lang w:val="en-US"/>
        </w:rPr>
        <w:t xml:space="preserve"> </w:t>
      </w:r>
      <w:r w:rsidR="00C14B4F">
        <w:rPr>
          <w:rFonts w:ascii="Times New Roman" w:hAnsi="Times New Roman"/>
          <w:lang w:val="en-US"/>
        </w:rPr>
        <w:fldChar w:fldCharType="begin" w:fldLock="1"/>
      </w:r>
      <w:r w:rsidR="00C14B4F">
        <w:rPr>
          <w:rFonts w:ascii="Times New Roman" w:hAnsi="Times New Roman"/>
          <w:lang w:val="en-US"/>
        </w:rPr>
        <w:instrText>ADDIN CSL_CITATION { "citationItems" : [ { "id" : "ITEM-1", "itemData" : { "DOI" : "10.1126/science.1212741", "ISBN" : "0036-8075", "ISSN" : "0036-8075", "PMID" : "22096188", "abstract" : "The increasing interest in energy storage for the grid can be attributed to multiple factors, including the capital costs of managing peak demands, the investments needed for grid reliability, and the integration of renewable energy sources. Although existing energy storage is dominated by pumped hydroelectric, there is the recognition that battery systems can offer a number of high-value opportunities, provided that lower costs can be obtained. The battery systems reviewed here include sodium-sulfur batteries that are commercially available for grid applications, redox-flow batteries that offer low cost, and lithium-ion batteries whose development for commercial electronics and electric vehicles is being applied to grid storage.", "author" : [ { "dropping-particle" : "", "family" : "Dunn", "given" : "B.", "non-dropping-particle" : "", "parse-names" : false, "suffix" : "" }, { "dropping-particle" : "", "family" : "Kamath", "given" : "H.", "non-dropping-particle" : "", "parse-names" : false, "suffix" : "" }, { "dropping-particle" : "", "family" : "Tarascon", "given" : "J.-M.", "non-dropping-particle" : "", "parse-names" : false, "suffix" : "" } ], "container-title" : "Science", "id" : "ITEM-1", "issue" : "6058", "issued" : { "date-parts" : [ [ "2011" ] ] }, "page" : "928-935", "title" : "Electrical Energy Storage for the Grid: A Battery of Choices", "type" : "article-journal", "volume" : "334" }, "uris" : [ "http://www.mendeley.com/documents/?uuid=0b2c8cf1-a4b0-43d7-b92e-704bde7102be" ] } ], "mendeley" : { "formattedCitation" : "(Dunn et al., 2011b)", "plainTextFormattedCitation" : "(Dunn et al., 2011b)", "previouslyFormattedCitation" : "(Dunn et al., 2011b)" }, "properties" : { "noteIndex" : 12 }, "schema" : "https://github.com/citation-style-language/schema/raw/master/csl-citation.json" }</w:instrText>
      </w:r>
      <w:r w:rsidR="00C14B4F">
        <w:rPr>
          <w:rFonts w:ascii="Times New Roman" w:hAnsi="Times New Roman"/>
          <w:lang w:val="en-US"/>
        </w:rPr>
        <w:fldChar w:fldCharType="separate"/>
      </w:r>
      <w:r w:rsidR="00C14B4F" w:rsidRPr="001C052A">
        <w:rPr>
          <w:rFonts w:ascii="Times New Roman" w:hAnsi="Times New Roman"/>
          <w:noProof/>
          <w:lang w:val="en-US"/>
        </w:rPr>
        <w:t>(Dunn et al., 2011b)</w:t>
      </w:r>
      <w:r w:rsidR="00C14B4F">
        <w:rPr>
          <w:rFonts w:ascii="Times New Roman" w:hAnsi="Times New Roman"/>
          <w:lang w:val="en-US"/>
        </w:rPr>
        <w:fldChar w:fldCharType="end"/>
      </w:r>
      <w:r w:rsidR="00C14B4F" w:rsidRPr="00BC4B61">
        <w:rPr>
          <w:rFonts w:ascii="Times New Roman" w:hAnsi="Times New Roman"/>
          <w:lang w:val="en-US"/>
        </w:rPr>
        <w:t>.</w:t>
      </w:r>
    </w:p>
    <w:p w14:paraId="06CD366A" w14:textId="77777777" w:rsidR="00F42A51" w:rsidRDefault="00F42A51" w:rsidP="00F42A51">
      <w:pPr>
        <w:suppressAutoHyphens w:val="0"/>
        <w:autoSpaceDE w:val="0"/>
        <w:adjustRightInd w:val="0"/>
        <w:spacing w:after="0" w:line="360" w:lineRule="auto"/>
        <w:jc w:val="both"/>
        <w:textAlignment w:val="auto"/>
        <w:rPr>
          <w:rFonts w:ascii="Times New Roman" w:hAnsi="Times New Roman"/>
          <w:lang w:val="en-US"/>
        </w:rPr>
      </w:pPr>
    </w:p>
    <w:p w14:paraId="09AD394F" w14:textId="77777777" w:rsidR="00F42A51" w:rsidRDefault="00F42A51" w:rsidP="00F42A51">
      <w:pPr>
        <w:suppressAutoHyphens w:val="0"/>
        <w:autoSpaceDE w:val="0"/>
        <w:adjustRightInd w:val="0"/>
        <w:spacing w:after="0" w:line="360" w:lineRule="auto"/>
        <w:jc w:val="center"/>
        <w:textAlignment w:val="auto"/>
        <w:rPr>
          <w:rFonts w:ascii="Times New Roman" w:hAnsi="Times New Roman"/>
          <w:lang w:val="en-US"/>
        </w:rPr>
      </w:pPr>
      <w:r>
        <w:rPr>
          <w:rFonts w:ascii="Times New Roman" w:hAnsi="Times New Roman"/>
          <w:noProof/>
          <w:lang w:val="es-PY" w:eastAsia="es-PY"/>
        </w:rPr>
        <w:lastRenderedPageBreak/>
        <w:drawing>
          <wp:inline distT="0" distB="0" distL="0" distR="0" wp14:anchorId="5891AE03" wp14:editId="640A8C20">
            <wp:extent cx="4674235" cy="2838450"/>
            <wp:effectExtent l="0" t="0" r="0" b="0"/>
            <wp:docPr id="9" name="Picture 9" descr="C:\Users\ANITA\Dropbox\1_Anita Ortega\1_Datos Master TCD\4_Intership\Paper Dr. Hoda\Graph\Flow bat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ropbox\1_Anita Ortega\1_Datos Master TCD\4_Intership\Paper Dr. Hoda\Graph\Flow batter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9084" cy="2871757"/>
                    </a:xfrm>
                    <a:prstGeom prst="rect">
                      <a:avLst/>
                    </a:prstGeom>
                    <a:noFill/>
                    <a:ln>
                      <a:noFill/>
                    </a:ln>
                  </pic:spPr>
                </pic:pic>
              </a:graphicData>
            </a:graphic>
          </wp:inline>
        </w:drawing>
      </w:r>
    </w:p>
    <w:p w14:paraId="557C3309" w14:textId="56D1DECE" w:rsidR="00F42A51" w:rsidRPr="0095132B" w:rsidRDefault="00184D41" w:rsidP="00F42A51">
      <w:pPr>
        <w:autoSpaceDE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Fig.</w:t>
      </w:r>
      <w:r w:rsidR="00F42A51" w:rsidRPr="00F045A3">
        <w:rPr>
          <w:rFonts w:ascii="Times New Roman" w:hAnsi="Times New Roman"/>
          <w:sz w:val="20"/>
          <w:szCs w:val="20"/>
          <w:lang w:val="en-US"/>
        </w:rPr>
        <w:t xml:space="preserve"> </w:t>
      </w:r>
      <w:r w:rsidR="00781835">
        <w:rPr>
          <w:rFonts w:ascii="Times New Roman" w:hAnsi="Times New Roman"/>
          <w:sz w:val="20"/>
          <w:szCs w:val="20"/>
          <w:lang w:val="en-US"/>
        </w:rPr>
        <w:t>6</w:t>
      </w:r>
      <w:r w:rsidR="00F42A51" w:rsidRPr="00F045A3">
        <w:rPr>
          <w:rFonts w:ascii="Times New Roman" w:hAnsi="Times New Roman"/>
          <w:sz w:val="20"/>
          <w:szCs w:val="20"/>
          <w:lang w:val="en-US"/>
        </w:rPr>
        <w:t>.</w:t>
      </w:r>
      <w:r w:rsidR="00F42A51">
        <w:rPr>
          <w:rFonts w:ascii="Times New Roman" w:hAnsi="Times New Roman"/>
          <w:sz w:val="20"/>
          <w:szCs w:val="20"/>
          <w:lang w:val="en-US"/>
        </w:rPr>
        <w:t xml:space="preserve"> Schematic of flow battery </w:t>
      </w:r>
      <w:r w:rsidR="00F42A51">
        <w:rPr>
          <w:rFonts w:ascii="Times New Roman" w:hAnsi="Times New Roman"/>
          <w:sz w:val="20"/>
          <w:szCs w:val="20"/>
          <w:lang w:val="en-US"/>
        </w:rPr>
        <w:fldChar w:fldCharType="begin" w:fldLock="1"/>
      </w:r>
      <w:r w:rsidR="00D03089">
        <w:rPr>
          <w:rFonts w:ascii="Times New Roman" w:hAnsi="Times New Roman"/>
          <w:sz w:val="20"/>
          <w:szCs w:val="20"/>
          <w:lang w:val="en-US"/>
        </w:rPr>
        <w:instrText>ADDIN CSL_CITATION { "citationItems" : [ { "id" : "ITEM-1", "itemData" : { "DOI" : "10.1016/j.pnsc.2008.07.014", "ISBN" : "1002-0071", "ISSN" : "10020071", "abstract" : "Electrical energy storage technologies for stationary applications are reviewed. Particular attention is paid to pumped hydroelectric storage, compressed air energy storage, battery, flow battery, fuel cell, solar fuel, superconducting magnetic energy storage, flywheel, capacitor/supercapacitor, and thermal energy storage. Comparison is made among these technologies in terms of technical characteristics, applications and deployment status. \u00a9 2008 National Natural Science Foundation of China and Chinese Academy of Sciences. Published by Elsevier Limited and Science in China Press. All rights reserved.", "author" : [ { "dropping-particle" : "", "family" : "Chen", "given" : "Haisheng", "non-dropping-particle" : "", "parse-names" : false, "suffix" : "" }, { "dropping-particle" : "", "family" : "Cong", "given" : "Thang Ngoc", "non-dropping-particle" : "", "parse-names" : false, "suffix" : "" }, { "dropping-particle" : "", "family" : "Yang", "given" : "Wei", "non-dropping-particle" : "", "parse-names" : false, "suffix" : "" }, { "dropping-particle" : "", "family" : "Tan", "given" : "Chunqing", "non-dropping-particle" : "", "parse-names" : false, "suffix" : "" }, { "dropping-particle" : "", "family" : "Li", "given" : "Yongliang", "non-dropping-particle" : "", "parse-names" : false, "suffix" : "" }, { "dropping-particle" : "", "family" : "Ding", "given" : "Yulong", "non-dropping-particle" : "", "parse-names" : false, "suffix" : "" } ], "container-title" : "Progress in Natural Science", "id" : "ITEM-1", "issue" : "3", "issued" : { "date-parts" : [ [ "2009" ] ] }, "page" : "291-312", "title" : "Progress in electrical energy storage system: A critical review", "type" : "article-journal", "volume" : "19" }, "uris" : [ "http://www.mendeley.com/documents/?uuid=091661a7-6d45-442d-b115-75d48f2de590" ] } ], "mendeley" : { "formattedCitation" : "(Chen et al., 2009)", "plainTextFormattedCitation" : "(Chen et al., 2009)", "previouslyFormattedCitation" : "(Chen et al., 2009)" }, "properties" : { "noteIndex" : 8 }, "schema" : "https://github.com/citation-style-language/schema/raw/master/csl-citation.json" }</w:instrText>
      </w:r>
      <w:r w:rsidR="00F42A51">
        <w:rPr>
          <w:rFonts w:ascii="Times New Roman" w:hAnsi="Times New Roman"/>
          <w:sz w:val="20"/>
          <w:szCs w:val="20"/>
          <w:lang w:val="en-US"/>
        </w:rPr>
        <w:fldChar w:fldCharType="separate"/>
      </w:r>
      <w:r w:rsidR="00F42A51" w:rsidRPr="004F66F3">
        <w:rPr>
          <w:rFonts w:ascii="Times New Roman" w:hAnsi="Times New Roman"/>
          <w:noProof/>
          <w:sz w:val="20"/>
          <w:szCs w:val="20"/>
          <w:lang w:val="en-US"/>
        </w:rPr>
        <w:t>(Chen et al., 2009)</w:t>
      </w:r>
      <w:r w:rsidR="00F42A51">
        <w:rPr>
          <w:rFonts w:ascii="Times New Roman" w:hAnsi="Times New Roman"/>
          <w:sz w:val="20"/>
          <w:szCs w:val="20"/>
          <w:lang w:val="en-US"/>
        </w:rPr>
        <w:fldChar w:fldCharType="end"/>
      </w:r>
      <w:r w:rsidR="00F42A51">
        <w:rPr>
          <w:rFonts w:ascii="Times New Roman" w:hAnsi="Times New Roman"/>
          <w:sz w:val="20"/>
          <w:szCs w:val="20"/>
          <w:lang w:val="en-US"/>
        </w:rPr>
        <w:t>.</w:t>
      </w:r>
    </w:p>
    <w:p w14:paraId="18BEC7F9" w14:textId="77777777" w:rsidR="00F42A51" w:rsidRDefault="00F42A51" w:rsidP="00F42A51">
      <w:pPr>
        <w:suppressAutoHyphens w:val="0"/>
        <w:autoSpaceDE w:val="0"/>
        <w:adjustRightInd w:val="0"/>
        <w:spacing w:after="0" w:line="360" w:lineRule="auto"/>
        <w:jc w:val="both"/>
        <w:textAlignment w:val="auto"/>
        <w:rPr>
          <w:rFonts w:ascii="Times New Roman" w:hAnsi="Times New Roman"/>
          <w:lang w:val="en-US"/>
        </w:rPr>
      </w:pPr>
    </w:p>
    <w:p w14:paraId="6A0A5DEB" w14:textId="0372601A" w:rsidR="00F42A51" w:rsidRPr="00DA3196" w:rsidRDefault="00F42A51" w:rsidP="00F42A51">
      <w:pPr>
        <w:spacing w:after="200" w:line="360" w:lineRule="auto"/>
        <w:jc w:val="both"/>
        <w:rPr>
          <w:rFonts w:ascii="Times New Roman" w:hAnsi="Times New Roman"/>
          <w:lang w:val="en-US"/>
        </w:rPr>
      </w:pPr>
      <w:r>
        <w:rPr>
          <w:rFonts w:ascii="Times New Roman" w:hAnsi="Times New Roman"/>
          <w:lang w:val="en-US"/>
        </w:rPr>
        <w:t>Toledo et al.</w:t>
      </w:r>
      <w:r w:rsidR="00781835">
        <w:rPr>
          <w:rFonts w:ascii="Times New Roman" w:hAnsi="Times New Roman"/>
          <w:lang w:val="en-US"/>
        </w:rPr>
        <w:t xml:space="preserve"> (2010)</w:t>
      </w:r>
      <w:r>
        <w:rPr>
          <w:rFonts w:ascii="Times New Roman" w:hAnsi="Times New Roman"/>
          <w:lang w:val="en-US"/>
        </w:rPr>
        <w:t xml:space="preserve"> found that </w:t>
      </w:r>
      <w:r w:rsidR="00781835">
        <w:rPr>
          <w:rFonts w:ascii="Times New Roman" w:hAnsi="Times New Roman"/>
          <w:lang w:val="en-US"/>
        </w:rPr>
        <w:t xml:space="preserve">a </w:t>
      </w:r>
      <w:r>
        <w:rPr>
          <w:rFonts w:ascii="Times New Roman" w:hAnsi="Times New Roman"/>
          <w:lang w:val="en-US"/>
        </w:rPr>
        <w:t xml:space="preserve">photovoltaic </w:t>
      </w:r>
      <w:r w:rsidRPr="00275B91">
        <w:rPr>
          <w:rFonts w:ascii="Times New Roman" w:hAnsi="Times New Roman"/>
          <w:lang w:val="en-US"/>
        </w:rPr>
        <w:t>system with a NaS battery</w:t>
      </w:r>
      <w:r>
        <w:rPr>
          <w:rFonts w:ascii="Times New Roman" w:hAnsi="Times New Roman"/>
          <w:lang w:val="en-US"/>
        </w:rPr>
        <w:t xml:space="preserve"> storage system </w:t>
      </w:r>
      <w:r w:rsidR="00156E70">
        <w:rPr>
          <w:rFonts w:ascii="Times New Roman" w:hAnsi="Times New Roman"/>
          <w:lang w:val="en-US"/>
        </w:rPr>
        <w:t>enable</w:t>
      </w:r>
      <w:r w:rsidR="00781835">
        <w:rPr>
          <w:rFonts w:ascii="Times New Roman" w:hAnsi="Times New Roman"/>
          <w:lang w:val="en-US"/>
        </w:rPr>
        <w:t>s</w:t>
      </w:r>
      <w:r w:rsidR="00156E70">
        <w:rPr>
          <w:rFonts w:ascii="Times New Roman" w:hAnsi="Times New Roman"/>
          <w:lang w:val="en-US"/>
        </w:rPr>
        <w:t xml:space="preserve"> economically viable</w:t>
      </w:r>
      <w:r w:rsidRPr="00275B91">
        <w:rPr>
          <w:rFonts w:ascii="Times New Roman" w:hAnsi="Times New Roman"/>
          <w:lang w:val="en-US"/>
        </w:rPr>
        <w:t xml:space="preserve"> connection t</w:t>
      </w:r>
      <w:r>
        <w:rPr>
          <w:rFonts w:ascii="Times New Roman" w:hAnsi="Times New Roman"/>
          <w:lang w:val="en-US"/>
        </w:rPr>
        <w:t xml:space="preserve">o the energy grid. </w:t>
      </w:r>
      <w:r w:rsidR="009E6F4F">
        <w:rPr>
          <w:rFonts w:ascii="Times New Roman" w:hAnsi="Times New Roman"/>
          <w:lang w:val="en-US"/>
        </w:rPr>
        <w:t>Having</w:t>
      </w:r>
      <w:r w:rsidRPr="00275B91">
        <w:rPr>
          <w:rFonts w:ascii="Times New Roman" w:hAnsi="Times New Roman"/>
          <w:lang w:val="en-US"/>
        </w:rPr>
        <w:t xml:space="preserve"> a long useful life </w:t>
      </w:r>
      <w:r w:rsidR="00741D7F">
        <w:rPr>
          <w:rFonts w:ascii="Times New Roman" w:hAnsi="Times New Roman"/>
          <w:lang w:val="en-US"/>
        </w:rPr>
        <w:t>NaS</w:t>
      </w:r>
      <w:r w:rsidR="003B36D4">
        <w:rPr>
          <w:rFonts w:ascii="Times New Roman" w:hAnsi="Times New Roman"/>
          <w:lang w:val="en-US"/>
        </w:rPr>
        <w:t xml:space="preserve"> batteries have</w:t>
      </w:r>
      <w:r w:rsidRPr="00275B91">
        <w:rPr>
          <w:rFonts w:ascii="Times New Roman" w:hAnsi="Times New Roman"/>
          <w:lang w:val="en-US"/>
        </w:rPr>
        <w:t xml:space="preserve"> high </w:t>
      </w:r>
      <w:r>
        <w:rPr>
          <w:rFonts w:ascii="Times New Roman" w:hAnsi="Times New Roman"/>
          <w:lang w:val="en-US"/>
        </w:rPr>
        <w:t xml:space="preserve">efficiency in relation to other </w:t>
      </w:r>
      <w:r w:rsidRPr="00275B91">
        <w:rPr>
          <w:rFonts w:ascii="Times New Roman" w:hAnsi="Times New Roman"/>
          <w:lang w:val="en-US"/>
        </w:rPr>
        <w:t xml:space="preserve">batteries, </w:t>
      </w:r>
      <w:r w:rsidR="003B36D4">
        <w:rPr>
          <w:rFonts w:ascii="Times New Roman" w:hAnsi="Times New Roman"/>
          <w:lang w:val="en-US"/>
        </w:rPr>
        <w:t xml:space="preserve">thus </w:t>
      </w:r>
      <w:r w:rsidRPr="00275B91">
        <w:rPr>
          <w:rFonts w:ascii="Times New Roman" w:hAnsi="Times New Roman"/>
          <w:lang w:val="en-US"/>
        </w:rPr>
        <w:t xml:space="preserve">requiring </w:t>
      </w:r>
      <w:r w:rsidR="003B36D4">
        <w:rPr>
          <w:rFonts w:ascii="Times New Roman" w:hAnsi="Times New Roman"/>
          <w:lang w:val="en-US"/>
        </w:rPr>
        <w:t>a smaller</w:t>
      </w:r>
      <w:r w:rsidRPr="00275B91">
        <w:rPr>
          <w:rFonts w:ascii="Times New Roman" w:hAnsi="Times New Roman"/>
          <w:lang w:val="en-US"/>
        </w:rPr>
        <w:t xml:space="preserve"> space for</w:t>
      </w:r>
      <w:r w:rsidR="003B36D4">
        <w:rPr>
          <w:rFonts w:ascii="Times New Roman" w:hAnsi="Times New Roman"/>
          <w:lang w:val="en-US"/>
        </w:rPr>
        <w:t xml:space="preserve"> installation. T</w:t>
      </w:r>
      <w:r>
        <w:rPr>
          <w:rFonts w:ascii="Times New Roman" w:hAnsi="Times New Roman"/>
          <w:lang w:val="en-US"/>
        </w:rPr>
        <w:t xml:space="preserve">he installation of </w:t>
      </w:r>
      <w:r w:rsidRPr="00275B91">
        <w:rPr>
          <w:rFonts w:ascii="Times New Roman" w:hAnsi="Times New Roman"/>
          <w:lang w:val="en-US"/>
        </w:rPr>
        <w:t>these systems in dense</w:t>
      </w:r>
      <w:r w:rsidR="005B4250">
        <w:rPr>
          <w:rFonts w:ascii="Times New Roman" w:hAnsi="Times New Roman"/>
          <w:lang w:val="en-US"/>
        </w:rPr>
        <w:t>ly</w:t>
      </w:r>
      <w:r>
        <w:rPr>
          <w:rFonts w:ascii="Times New Roman" w:hAnsi="Times New Roman"/>
          <w:lang w:val="en-US"/>
        </w:rPr>
        <w:t xml:space="preserve">, interconnected to </w:t>
      </w:r>
      <w:r w:rsidRPr="00275B91">
        <w:rPr>
          <w:rFonts w:ascii="Times New Roman" w:hAnsi="Times New Roman"/>
          <w:lang w:val="en-US"/>
        </w:rPr>
        <w:t xml:space="preserve">buildings, </w:t>
      </w:r>
      <w:r w:rsidR="003B36D4">
        <w:rPr>
          <w:rFonts w:ascii="Times New Roman" w:hAnsi="Times New Roman"/>
          <w:lang w:val="en-US"/>
        </w:rPr>
        <w:t xml:space="preserve">renders grid </w:t>
      </w:r>
      <w:r w:rsidRPr="00275B91">
        <w:rPr>
          <w:rFonts w:ascii="Times New Roman" w:hAnsi="Times New Roman"/>
          <w:lang w:val="en-US"/>
        </w:rPr>
        <w:t>tr</w:t>
      </w:r>
      <w:r>
        <w:rPr>
          <w:rFonts w:ascii="Times New Roman" w:hAnsi="Times New Roman"/>
          <w:lang w:val="en-US"/>
        </w:rPr>
        <w:t xml:space="preserve">ansmission lines </w:t>
      </w:r>
      <w:r w:rsidR="003B36D4">
        <w:rPr>
          <w:rFonts w:ascii="Times New Roman" w:hAnsi="Times New Roman"/>
          <w:lang w:val="en-US"/>
        </w:rPr>
        <w:t>un</w:t>
      </w:r>
      <w:r>
        <w:rPr>
          <w:rFonts w:ascii="Times New Roman" w:hAnsi="Times New Roman"/>
          <w:lang w:val="en-US"/>
        </w:rPr>
        <w:t xml:space="preserve">necessary. </w:t>
      </w:r>
      <w:r w:rsidRPr="00275B91">
        <w:rPr>
          <w:rFonts w:ascii="Times New Roman" w:hAnsi="Times New Roman"/>
          <w:lang w:val="en-US"/>
        </w:rPr>
        <w:t xml:space="preserve">Application of photovoltaic systems with NaS batteries </w:t>
      </w:r>
      <w:r>
        <w:rPr>
          <w:rFonts w:ascii="Times New Roman" w:hAnsi="Times New Roman"/>
          <w:lang w:val="en-US"/>
        </w:rPr>
        <w:t xml:space="preserve">for </w:t>
      </w:r>
      <w:r w:rsidRPr="00275B91">
        <w:rPr>
          <w:rFonts w:ascii="Times New Roman" w:hAnsi="Times New Roman"/>
          <w:lang w:val="en-US"/>
        </w:rPr>
        <w:t xml:space="preserve">peak-shaving </w:t>
      </w:r>
      <w:r>
        <w:rPr>
          <w:rFonts w:ascii="Times New Roman" w:hAnsi="Times New Roman"/>
          <w:lang w:val="en-US"/>
        </w:rPr>
        <w:t xml:space="preserve">can be used by utilities to </w:t>
      </w:r>
      <w:r w:rsidRPr="00275B91">
        <w:rPr>
          <w:rFonts w:ascii="Times New Roman" w:hAnsi="Times New Roman"/>
          <w:lang w:val="en-US"/>
        </w:rPr>
        <w:t>increase reliability of their</w:t>
      </w:r>
      <w:r w:rsidR="003B36D4">
        <w:rPr>
          <w:rFonts w:ascii="Times New Roman" w:hAnsi="Times New Roman"/>
          <w:lang w:val="en-US"/>
        </w:rPr>
        <w:t xml:space="preserve"> systems</w:t>
      </w:r>
      <w:r>
        <w:rPr>
          <w:rFonts w:ascii="Times New Roman" w:hAnsi="Times New Roman"/>
          <w:lang w:val="en-US"/>
        </w:rPr>
        <w:t xml:space="preserve"> </w:t>
      </w:r>
      <w:r>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"10.1016/j.rser.2009.08.007", "ISBN" : "1364-0321", "ISSN" : "13640321", "abstract" : "Currently, in the field of operation and planning of electrical power systems, a new challenge is growing which includes with the increase in the level of distributed generation from new energy sources, especially renewable sources. The question of load redistribution for better energetic usage is of vital importance since these new renewable energy sources are often intermittent. Therefore, new systems must be proposed which ally energy storage with renewable energy generators for reestablishment of grid reliability. This work presents a review of energy storage and redistribution associated with photovoltaic energy, proposing a distributed micro-generation complex connected to the electrical power grid using energy storage systems, with an emphasis placed on the use of NaS batteries. These systems aim to improve the load factor, considering supply side management, and the offer of backup energy, in the case of demand side management. \u00a9 2009 Elsevier Ltd. All rights reserved.", "author" : [ { "dropping-particle" : "", "family" : "Toledo", "given" : "Olga Moraes", "non-dropping-particle" : "", "parse-names" : false, "suffix" : "" }, { "dropping-particle" : "", "family" : "Oliveira Filho", "given" : "Delly", "non-dropping-particle" : "", "parse-names" : false, "suffix" : "" }, { "dropping-particle" : "", "family" : "Diniz", "given" : "Ant\u00f4nia S\u00f4nia Alves Cardoso", "non-dropping-particle" : "", "parse-names" : false, "suffix" : "" } ], "container-title" : "Renewable and Sustainable Energy Reviews", "id" : "ITEM-1", "issue" : "1", "issued" : { "date-parts" : [ [ "2010" ] ] }, "page" : "506-511", "title" : "Distributed photovoltaic generation and energy storage systems: A review", "type" : "article", "volume" : "14" }, "uris" : [ "http://www.mendeley.com/documents/?uuid=046d2625-a300-41e9-a7db-e4a056b84ea5" ] } ], "mendeley" : { "formattedCitation" : "(Toledo, Oliveira Filho, &amp; Diniz, 2010)", "plainTextFormattedCitation" : "(Toledo, Oliveira Filho, &amp; Diniz, 2010)", "previouslyFormattedCitation" : "(Toledo, Oliveira Filho, &amp; Diniz, 2010)" }, "properties" : { "noteIndex" : 3 }, "schema" : "https://github.com/citation-style-language/schema/raw/master/csl-citation.json" }</w:instrText>
      </w:r>
      <w:r>
        <w:rPr>
          <w:rFonts w:ascii="Times New Roman" w:hAnsi="Times New Roman"/>
          <w:lang w:val="en-US"/>
        </w:rPr>
        <w:fldChar w:fldCharType="separate"/>
      </w:r>
      <w:r w:rsidR="00D03089" w:rsidRPr="00D03089">
        <w:rPr>
          <w:rFonts w:ascii="Times New Roman" w:hAnsi="Times New Roman"/>
          <w:noProof/>
          <w:lang w:val="en-US"/>
        </w:rPr>
        <w:t>(Toledo</w:t>
      </w:r>
      <w:r w:rsidR="003B36D4">
        <w:rPr>
          <w:rFonts w:ascii="Times New Roman" w:hAnsi="Times New Roman"/>
          <w:noProof/>
          <w:lang w:val="en-US"/>
        </w:rPr>
        <w:t xml:space="preserve"> et al,</w:t>
      </w:r>
      <w:r w:rsidR="00D03089" w:rsidRPr="00D03089">
        <w:rPr>
          <w:rFonts w:ascii="Times New Roman" w:hAnsi="Times New Roman"/>
          <w:noProof/>
          <w:lang w:val="en-US"/>
        </w:rPr>
        <w:t xml:space="preserve"> 2010)</w:t>
      </w:r>
      <w:r>
        <w:rPr>
          <w:rFonts w:ascii="Times New Roman" w:hAnsi="Times New Roman"/>
          <w:lang w:val="en-US"/>
        </w:rPr>
        <w:fldChar w:fldCharType="end"/>
      </w:r>
      <w:r>
        <w:rPr>
          <w:rFonts w:ascii="Times New Roman" w:hAnsi="Times New Roman"/>
          <w:lang w:val="en-US"/>
        </w:rPr>
        <w:t>.</w:t>
      </w:r>
    </w:p>
    <w:p w14:paraId="2AC1DEA2" w14:textId="0F81EEFF" w:rsidR="00F42A51" w:rsidRDefault="00F42A51" w:rsidP="00F42A51">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 xml:space="preserve">Hoppmann et al. </w:t>
      </w:r>
      <w:r w:rsidR="003B36D4">
        <w:rPr>
          <w:rFonts w:ascii="Times New Roman" w:eastAsia="Times New Roman" w:hAnsi="Times New Roman"/>
          <w:lang w:val="en-US" w:eastAsia="en-GB"/>
        </w:rPr>
        <w:t xml:space="preserve">(2014) summarized </w:t>
      </w:r>
      <w:r>
        <w:rPr>
          <w:rFonts w:ascii="Times New Roman" w:eastAsia="Times New Roman" w:hAnsi="Times New Roman"/>
          <w:lang w:val="en-US" w:eastAsia="en-GB"/>
        </w:rPr>
        <w:t>different</w:t>
      </w:r>
      <w:r w:rsidRPr="00BA0ACD">
        <w:rPr>
          <w:rFonts w:ascii="Times New Roman" w:eastAsia="Times New Roman" w:hAnsi="Times New Roman"/>
          <w:lang w:val="en-US" w:eastAsia="en-GB"/>
        </w:rPr>
        <w:t xml:space="preserve"> battery storage for residential solar photovoltaic systems </w:t>
      </w:r>
      <w:r w:rsidRPr="00C261CC">
        <w:rPr>
          <w:rFonts w:ascii="Times New Roman" w:eastAsia="Times New Roman" w:hAnsi="Times New Roman"/>
          <w:lang w:val="en-US" w:eastAsia="en-GB"/>
        </w:rPr>
        <w:t>as show</w:t>
      </w:r>
      <w:r w:rsidR="003B36D4">
        <w:rPr>
          <w:rFonts w:ascii="Times New Roman" w:eastAsia="Times New Roman" w:hAnsi="Times New Roman"/>
          <w:lang w:val="en-US" w:eastAsia="en-GB"/>
        </w:rPr>
        <w:t>n</w:t>
      </w:r>
      <w:r w:rsidRPr="00C261CC">
        <w:rPr>
          <w:rFonts w:ascii="Times New Roman" w:eastAsia="Times New Roman" w:hAnsi="Times New Roman"/>
          <w:lang w:val="en-US" w:eastAsia="en-GB"/>
        </w:rPr>
        <w:t xml:space="preserve"> in </w:t>
      </w:r>
      <w:r w:rsidRPr="00F045A3">
        <w:rPr>
          <w:rFonts w:ascii="Times New Roman" w:eastAsia="Times New Roman" w:hAnsi="Times New Roman"/>
          <w:lang w:val="en-US" w:eastAsia="en-GB"/>
        </w:rPr>
        <w:t xml:space="preserve">Table </w:t>
      </w:r>
      <w:r w:rsidR="00F045A3" w:rsidRPr="00F045A3">
        <w:rPr>
          <w:rFonts w:ascii="Times New Roman" w:eastAsia="Times New Roman" w:hAnsi="Times New Roman"/>
          <w:lang w:val="en-US" w:eastAsia="en-GB"/>
        </w:rPr>
        <w:t>4</w:t>
      </w:r>
      <w:r w:rsidRPr="00C261CC">
        <w:rPr>
          <w:rFonts w:ascii="Times New Roman" w:eastAsia="Times New Roman" w:hAnsi="Times New Roman"/>
          <w:lang w:val="en-US" w:eastAsia="en-GB"/>
        </w:rPr>
        <w:t xml:space="preserve">. </w:t>
      </w:r>
    </w:p>
    <w:p w14:paraId="3F3E5A37" w14:textId="2C9D8962" w:rsidR="00F42A51" w:rsidRDefault="00F42A51" w:rsidP="00F42A51">
      <w:pPr>
        <w:spacing w:after="200" w:line="360" w:lineRule="auto"/>
        <w:jc w:val="both"/>
        <w:rPr>
          <w:rFonts w:ascii="Times New Roman" w:eastAsia="Times New Roman" w:hAnsi="Times New Roman"/>
          <w:lang w:val="en-US" w:eastAsia="en-GB"/>
        </w:rPr>
      </w:pPr>
    </w:p>
    <w:p w14:paraId="32AC3FE8" w14:textId="42CF030C" w:rsidR="00F42A51" w:rsidRDefault="00F42A51" w:rsidP="00F42A51">
      <w:pPr>
        <w:spacing w:after="200" w:line="360" w:lineRule="auto"/>
        <w:jc w:val="both"/>
        <w:rPr>
          <w:rFonts w:ascii="Times New Roman" w:eastAsia="Times New Roman" w:hAnsi="Times New Roman"/>
          <w:lang w:val="en-US" w:eastAsia="en-GB"/>
        </w:rPr>
      </w:pPr>
    </w:p>
    <w:p w14:paraId="1AB4C990" w14:textId="7E1C0B94" w:rsidR="00F42A51" w:rsidRDefault="00F42A51" w:rsidP="00F42A51">
      <w:pPr>
        <w:spacing w:after="200" w:line="360" w:lineRule="auto"/>
        <w:jc w:val="both"/>
        <w:rPr>
          <w:rFonts w:ascii="Times New Roman" w:eastAsia="Times New Roman" w:hAnsi="Times New Roman"/>
          <w:lang w:val="en-US" w:eastAsia="en-GB"/>
        </w:rPr>
      </w:pPr>
    </w:p>
    <w:p w14:paraId="14F533DD" w14:textId="55DD7C24" w:rsidR="00741D7F" w:rsidRDefault="00741D7F">
      <w:pPr>
        <w:suppressAutoHyphens w:val="0"/>
        <w:rPr>
          <w:rFonts w:ascii="Times New Roman" w:eastAsia="Times New Roman" w:hAnsi="Times New Roman"/>
          <w:lang w:val="en-US" w:eastAsia="en-GB"/>
        </w:rPr>
      </w:pPr>
      <w:r>
        <w:rPr>
          <w:rFonts w:ascii="Times New Roman" w:eastAsia="Times New Roman" w:hAnsi="Times New Roman"/>
          <w:lang w:val="en-US" w:eastAsia="en-GB"/>
        </w:rPr>
        <w:br w:type="page"/>
      </w:r>
    </w:p>
    <w:p w14:paraId="6A86B3A8" w14:textId="4F47FB6F" w:rsidR="00F42A51" w:rsidRPr="009A4252" w:rsidRDefault="00F42A51" w:rsidP="0043721A">
      <w:pPr>
        <w:spacing w:after="0" w:line="240" w:lineRule="auto"/>
        <w:jc w:val="both"/>
        <w:rPr>
          <w:rFonts w:ascii="Times New Roman" w:hAnsi="Times New Roman"/>
          <w:lang w:val="en-US"/>
        </w:rPr>
      </w:pPr>
      <w:r w:rsidRPr="00F045A3">
        <w:rPr>
          <w:rFonts w:ascii="Times New Roman" w:hAnsi="Times New Roman"/>
          <w:lang w:val="en-US"/>
        </w:rPr>
        <w:lastRenderedPageBreak/>
        <w:t xml:space="preserve">Table </w:t>
      </w:r>
      <w:r w:rsidR="00F045A3" w:rsidRPr="00F045A3">
        <w:rPr>
          <w:rFonts w:ascii="Times New Roman" w:hAnsi="Times New Roman"/>
          <w:lang w:val="en-US"/>
        </w:rPr>
        <w:t>4</w:t>
      </w:r>
      <w:r w:rsidRPr="00F045A3">
        <w:rPr>
          <w:rFonts w:ascii="Times New Roman" w:hAnsi="Times New Roman"/>
          <w:lang w:val="en-US"/>
        </w:rPr>
        <w:t>.</w:t>
      </w:r>
      <w:r>
        <w:rPr>
          <w:rFonts w:ascii="Times New Roman" w:hAnsi="Times New Roman"/>
          <w:lang w:val="en-US"/>
        </w:rPr>
        <w:t xml:space="preserve"> </w:t>
      </w:r>
      <w:r w:rsidR="003B36D4">
        <w:rPr>
          <w:rFonts w:ascii="Times New Roman" w:hAnsi="Times New Roman"/>
          <w:lang w:val="en-US"/>
        </w:rPr>
        <w:t>Scope of previous s</w:t>
      </w:r>
      <w:r>
        <w:rPr>
          <w:rFonts w:ascii="Times New Roman" w:hAnsi="Times New Roman"/>
          <w:lang w:val="en-US"/>
        </w:rPr>
        <w:t xml:space="preserve">tudies investigating battery storage with PV system </w:t>
      </w:r>
      <w:r>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"10.1016/j.rser.2014.07.068", "ISBN" : "1364-0321", "ISSN" : "13640321", "abstract" : "Battery storage is generally considered an effective means for reducing the intermittency of electricity generated by solar photovoltaic (PV) systems. However, currently it remains unclear when and under which conditions battery storage can be profitably operated in residential PV systems without policy support. Based on a review of previous studies that have examined the economics of integrated PV-battery systems, in this paper we devise a simulation model that investigates the economic viability of battery storage for residential PV in Germany under eight different electricity price scenarios from 2013 to 2022. In contrast to previous forward-looking studies, we assume that no premium is paid for solar photovoltaic power and/or self-consumed electricity. Additionally, we run the model with a large number of different PV and storage capacities to determine the economically optimal configuration in terms of system size. We find that already in 2013 investments in storage solutions were economically viable for small PV systems. Given the assumptions of our model, the optimal size of both residential PV systems and battery storage rises significantly in the future. Higher electricity retail prices, lower electricity wholesale prices or limited access to the electricity wholesale market add to the profitability of storage. We conclude that additional policy incentives to foster investments in battery storage for residential PV in Germany will only be necessary in the short run. At the same time, the impending profitability of integrated PV-storage systems is likely to further spur the ongoing trend toward distributed electricity generation with major implications for the electricity sector. \u00a9 2014 Elsevier Ltd.", "author" : [ { "dropping-particle" : "", "family" : "Hoppmann", "given" : "Joern", "non-dropping-particle" : "", "parse-names" : false, "suffix" : "" }, { "dropping-particle" : "", "family" : "Volland", "given" : "Jonas", "non-dropping-particle" : "", "parse-names" : false, "suffix" : "" }, { "dropping-particle" : "", "family" : "Schmidt", "given" : "Tobias S.", "non-dropping-particle" : "", "parse-names" : false, "suffix" : "" }, { "dropping-particle" : "", "family" : "Hoffmann", "given" : "Volker H.", "non-dropping-particle" : "", "parse-names" : false, "suffix" : "" } ], "container-title" : "Renewable and Sustainable Energy Reviews", "id" : "ITEM-1", "issued" : { "date-parts" : [ [ "2014" ] ] }, "page" : "1101-1118", "title" : "The economic viability of battery storage for residential solar photovoltaic systems - A review and a simulation model", "type" : "article", "volume" : "39" }, "uris" : [ "http://www.mendeley.com/documents/?uuid=8478208b-c4b4-4b4a-aba8-471528c59c78" ] } ], "mendeley" : { "formattedCitation" : "(Hoppmann, Volland, Schmidt, &amp; Hoffmann, 2014)", "plainTextFormattedCitation" : "(Hoppmann, Volland, Schmidt, &amp; Hoffmann, 2014)", "previouslyFormattedCitation" : "(Hoppmann, Volland, Schmidt, &amp; Hoffmann, 2014)" }, "properties" : { "noteIndex" : 5 }, "schema" : "https://github.com/citation-style-language/schema/raw/master/csl-citation.json" }</w:instrText>
      </w:r>
      <w:r>
        <w:rPr>
          <w:rFonts w:ascii="Times New Roman" w:hAnsi="Times New Roman"/>
          <w:lang w:val="en-US"/>
        </w:rPr>
        <w:fldChar w:fldCharType="separate"/>
      </w:r>
      <w:r w:rsidR="00D03089" w:rsidRPr="00D03089">
        <w:rPr>
          <w:rFonts w:ascii="Times New Roman" w:hAnsi="Times New Roman"/>
          <w:noProof/>
          <w:lang w:val="en-US"/>
        </w:rPr>
        <w:t>(Hoppmann</w:t>
      </w:r>
      <w:r w:rsidR="003B36D4">
        <w:rPr>
          <w:rFonts w:ascii="Times New Roman" w:hAnsi="Times New Roman"/>
          <w:noProof/>
          <w:lang w:val="en-US"/>
        </w:rPr>
        <w:t xml:space="preserve"> et al</w:t>
      </w:r>
      <w:r w:rsidR="00D03089" w:rsidRPr="00D03089">
        <w:rPr>
          <w:rFonts w:ascii="Times New Roman" w:hAnsi="Times New Roman"/>
          <w:noProof/>
          <w:lang w:val="en-US"/>
        </w:rPr>
        <w:t>, 2014)</w:t>
      </w:r>
      <w:r>
        <w:rPr>
          <w:rFonts w:ascii="Times New Roman" w:hAnsi="Times New Roman"/>
          <w:lang w:val="en-US"/>
        </w:rPr>
        <w:fldChar w:fldCharType="end"/>
      </w:r>
    </w:p>
    <w:tbl>
      <w:tblPr>
        <w:tblStyle w:val="PlainTable21"/>
        <w:tblW w:w="8719" w:type="dxa"/>
        <w:jc w:val="center"/>
        <w:tblLook w:val="0620" w:firstRow="1" w:lastRow="0" w:firstColumn="0" w:lastColumn="0" w:noHBand="1" w:noVBand="1"/>
      </w:tblPr>
      <w:tblGrid>
        <w:gridCol w:w="2376"/>
        <w:gridCol w:w="1276"/>
        <w:gridCol w:w="1266"/>
        <w:gridCol w:w="1267"/>
        <w:gridCol w:w="1267"/>
        <w:gridCol w:w="1267"/>
      </w:tblGrid>
      <w:tr w:rsidR="004E45C6" w:rsidRPr="000E1F7B" w14:paraId="0034D18F" w14:textId="017AC8CA" w:rsidTr="004E45C6">
        <w:trPr>
          <w:cnfStyle w:val="100000000000" w:firstRow="1" w:lastRow="0" w:firstColumn="0" w:lastColumn="0" w:oddVBand="0" w:evenVBand="0" w:oddHBand="0" w:evenHBand="0" w:firstRowFirstColumn="0" w:firstRowLastColumn="0" w:lastRowFirstColumn="0" w:lastRowLastColumn="0"/>
          <w:trHeight w:val="300"/>
          <w:jc w:val="center"/>
        </w:trPr>
        <w:tc>
          <w:tcPr>
            <w:tcW w:w="2376" w:type="dxa"/>
            <w:noWrap/>
            <w:hideMark/>
          </w:tcPr>
          <w:p w14:paraId="4CA726D2" w14:textId="3162577D" w:rsidR="004E45C6" w:rsidRPr="00053050" w:rsidRDefault="004E45C6" w:rsidP="007A2976">
            <w:pPr>
              <w:suppressAutoHyphens w:val="0"/>
              <w:autoSpaceDN/>
              <w:textAlignment w:val="auto"/>
              <w:rPr>
                <w:rFonts w:ascii="Times New Roman" w:eastAsia="Times New Roman" w:hAnsi="Times New Roman"/>
                <w:b w:val="0"/>
                <w:bCs w:val="0"/>
                <w:color w:val="000000"/>
                <w:lang w:val="en-US" w:eastAsia="es-PY"/>
              </w:rPr>
            </w:pPr>
            <w:r w:rsidRPr="00053050">
              <w:rPr>
                <w:rFonts w:ascii="Times New Roman" w:eastAsia="Times New Roman" w:hAnsi="Times New Roman"/>
                <w:b w:val="0"/>
                <w:bCs w:val="0"/>
                <w:color w:val="000000"/>
                <w:lang w:val="en-US" w:eastAsia="es-PY"/>
              </w:rPr>
              <w:t>Study</w:t>
            </w:r>
          </w:p>
        </w:tc>
        <w:tc>
          <w:tcPr>
            <w:tcW w:w="1276" w:type="dxa"/>
            <w:noWrap/>
            <w:hideMark/>
          </w:tcPr>
          <w:p w14:paraId="43892A9E" w14:textId="6EC89CCD" w:rsidR="004E45C6" w:rsidRPr="00053050" w:rsidRDefault="004E45C6" w:rsidP="007A2976">
            <w:pPr>
              <w:suppressAutoHyphens w:val="0"/>
              <w:autoSpaceDN/>
              <w:textAlignment w:val="auto"/>
              <w:rPr>
                <w:rFonts w:ascii="Times New Roman" w:eastAsia="Times New Roman" w:hAnsi="Times New Roman"/>
                <w:b w:val="0"/>
                <w:bCs w:val="0"/>
                <w:color w:val="000000"/>
                <w:lang w:val="en-US" w:eastAsia="es-PY"/>
              </w:rPr>
            </w:pPr>
            <w:r w:rsidRPr="00053050">
              <w:rPr>
                <w:rFonts w:ascii="Times New Roman" w:eastAsia="Times New Roman" w:hAnsi="Times New Roman"/>
                <w:b w:val="0"/>
                <w:bCs w:val="0"/>
                <w:color w:val="000000"/>
                <w:lang w:val="en-US" w:eastAsia="es-PY"/>
              </w:rPr>
              <w:t>Lead Acid</w:t>
            </w:r>
          </w:p>
        </w:tc>
        <w:tc>
          <w:tcPr>
            <w:tcW w:w="1266" w:type="dxa"/>
          </w:tcPr>
          <w:p w14:paraId="3637911B" w14:textId="21344668" w:rsidR="004E45C6" w:rsidRPr="00053050" w:rsidRDefault="004E45C6" w:rsidP="007A2976">
            <w:pPr>
              <w:suppressAutoHyphens w:val="0"/>
              <w:autoSpaceDN/>
              <w:textAlignment w:val="auto"/>
              <w:rPr>
                <w:rFonts w:ascii="Times New Roman" w:eastAsia="Times New Roman" w:hAnsi="Times New Roman"/>
                <w:b w:val="0"/>
                <w:bCs w:val="0"/>
                <w:color w:val="000000"/>
                <w:lang w:val="en-US" w:eastAsia="es-PY"/>
              </w:rPr>
            </w:pPr>
            <w:r w:rsidRPr="00053050">
              <w:rPr>
                <w:rFonts w:ascii="Times New Roman" w:eastAsia="Times New Roman" w:hAnsi="Times New Roman"/>
                <w:b w:val="0"/>
                <w:bCs w:val="0"/>
                <w:color w:val="000000"/>
                <w:lang w:val="en-US" w:eastAsia="es-PY"/>
              </w:rPr>
              <w:t>Sodium Sulfur</w:t>
            </w:r>
          </w:p>
        </w:tc>
        <w:tc>
          <w:tcPr>
            <w:tcW w:w="1267" w:type="dxa"/>
          </w:tcPr>
          <w:p w14:paraId="5626F837" w14:textId="0821BACD" w:rsidR="004E45C6" w:rsidRPr="00053050" w:rsidRDefault="009849FF" w:rsidP="007A2976">
            <w:pPr>
              <w:suppressAutoHyphens w:val="0"/>
              <w:autoSpaceDN/>
              <w:textAlignment w:val="auto"/>
              <w:rPr>
                <w:rFonts w:ascii="Times New Roman" w:eastAsia="Times New Roman" w:hAnsi="Times New Roman"/>
                <w:b w:val="0"/>
                <w:bCs w:val="0"/>
                <w:color w:val="000000"/>
                <w:lang w:val="en-US" w:eastAsia="es-PY"/>
              </w:rPr>
            </w:pPr>
            <w:r w:rsidRPr="00053050">
              <w:rPr>
                <w:rFonts w:ascii="Times New Roman" w:eastAsia="Times New Roman" w:hAnsi="Times New Roman"/>
                <w:b w:val="0"/>
                <w:bCs w:val="0"/>
                <w:color w:val="000000"/>
                <w:lang w:val="en-US" w:eastAsia="es-PY"/>
              </w:rPr>
              <w:t>Lithium Ion</w:t>
            </w:r>
          </w:p>
        </w:tc>
        <w:tc>
          <w:tcPr>
            <w:tcW w:w="1267" w:type="dxa"/>
          </w:tcPr>
          <w:p w14:paraId="0D448AD4" w14:textId="0D4215C1" w:rsidR="004E45C6" w:rsidRPr="00053050" w:rsidRDefault="004E45C6" w:rsidP="007A2976">
            <w:pPr>
              <w:suppressAutoHyphens w:val="0"/>
              <w:autoSpaceDN/>
              <w:textAlignment w:val="auto"/>
              <w:rPr>
                <w:rFonts w:ascii="Times New Roman" w:eastAsia="Times New Roman" w:hAnsi="Times New Roman"/>
                <w:b w:val="0"/>
                <w:bCs w:val="0"/>
                <w:color w:val="000000"/>
                <w:lang w:val="en-US" w:eastAsia="es-PY"/>
              </w:rPr>
            </w:pPr>
            <w:r w:rsidRPr="00053050">
              <w:rPr>
                <w:rFonts w:ascii="Times New Roman" w:eastAsia="Times New Roman" w:hAnsi="Times New Roman"/>
                <w:b w:val="0"/>
                <w:bCs w:val="0"/>
                <w:color w:val="000000"/>
                <w:lang w:val="en-US" w:eastAsia="es-PY"/>
              </w:rPr>
              <w:t>Nicken Cadmium</w:t>
            </w:r>
          </w:p>
        </w:tc>
        <w:tc>
          <w:tcPr>
            <w:tcW w:w="1267" w:type="dxa"/>
          </w:tcPr>
          <w:p w14:paraId="5E759492" w14:textId="3B4932F4" w:rsidR="004E45C6" w:rsidRPr="00053050" w:rsidRDefault="004E45C6" w:rsidP="007A2976">
            <w:pPr>
              <w:suppressAutoHyphens w:val="0"/>
              <w:autoSpaceDN/>
              <w:textAlignment w:val="auto"/>
              <w:rPr>
                <w:rFonts w:ascii="Times New Roman" w:eastAsia="Times New Roman" w:hAnsi="Times New Roman"/>
                <w:b w:val="0"/>
                <w:bCs w:val="0"/>
                <w:color w:val="000000"/>
                <w:lang w:val="en-US" w:eastAsia="es-PY"/>
              </w:rPr>
            </w:pPr>
            <w:r w:rsidRPr="00053050">
              <w:rPr>
                <w:rFonts w:ascii="Times New Roman" w:eastAsia="Times New Roman" w:hAnsi="Times New Roman"/>
                <w:b w:val="0"/>
                <w:bCs w:val="0"/>
                <w:color w:val="000000"/>
                <w:lang w:val="en-US" w:eastAsia="es-PY"/>
              </w:rPr>
              <w:t>Vanadium Redox Flow</w:t>
            </w:r>
          </w:p>
        </w:tc>
      </w:tr>
      <w:tr w:rsidR="004E45C6" w:rsidRPr="000E1F7B" w14:paraId="6868E3A5" w14:textId="5FD17ECD" w:rsidTr="004E45C6">
        <w:trPr>
          <w:trHeight w:val="300"/>
          <w:jc w:val="center"/>
        </w:trPr>
        <w:tc>
          <w:tcPr>
            <w:tcW w:w="2376" w:type="dxa"/>
            <w:noWrap/>
            <w:hideMark/>
          </w:tcPr>
          <w:p w14:paraId="05580C7B" w14:textId="3D262700" w:rsidR="004E45C6" w:rsidRPr="000E1F7B" w:rsidRDefault="004E45C6" w:rsidP="007A2976">
            <w:pPr>
              <w:suppressAutoHyphens w:val="0"/>
              <w:autoSpaceDN/>
              <w:textAlignment w:val="auto"/>
              <w:rPr>
                <w:rFonts w:ascii="Times New Roman" w:eastAsia="Times New Roman" w:hAnsi="Times New Roman"/>
                <w:color w:val="000000"/>
                <w:lang w:val="es-PY" w:eastAsia="es-PY"/>
              </w:rPr>
            </w:pPr>
            <w:r w:rsidRPr="000E1F7B">
              <w:rPr>
                <w:rFonts w:ascii="Times New Roman" w:eastAsia="Times New Roman" w:hAnsi="Times New Roman"/>
                <w:color w:val="000000"/>
                <w:lang w:val="es-PY" w:eastAsia="es-PY"/>
              </w:rPr>
              <w:fldChar w:fldCharType="begin" w:fldLock="1"/>
            </w:r>
            <w:r>
              <w:rPr>
                <w:rFonts w:ascii="Times New Roman" w:eastAsia="Times New Roman" w:hAnsi="Times New Roman"/>
                <w:color w:val="000000"/>
                <w:lang w:val="en-US" w:eastAsia="es-PY"/>
              </w:rPr>
              <w:instrText>ADDIN CSL_CITATION { "citationItems" : [ { "id" : "ITEM-1", "itemData" : { "DOI" : "10.1243/09576509JPE717", "ISBN" : "0957-6509", "ISSN" : "0957-6509", "abstract" : "A solar energy system is an excellent solution for electrification of remote rural areas where the grid extension is difficult and not economical. This article presents a simple optimization method for calculating the optimum configurations of photovoltaic-battery (PV-bat) systems with high reliability and minimum cost. The proposed method has been applied to design a PV-bat system to supply a typical load requirement in a remote region in Kerman, Iran. To design an optimum stand-alone PV-bat system with high reliability and low costs, the optimization procedure, which is based on the annual electrical demand and solar radiation data, consists of two parts: the model of loss of power supply probability (LPSP) and the model of the levelized cost of energy. For the different desired LPSP requirements at given demand, the optimal numbers of solar array and battery hours of storage are obtained at the minimum system cost.", "author" : [ { "dropping-particle" : "", "family" : "Askari", "given" : "I Baniasad", "non-dropping-particle" : "", "parse-names" : false, "suffix" : "" }, { "dropping-particle" : "", "family" : "Ameri", "given" : "M", "non-dropping-particle" : "", "parse-names" : false, "suffix" : "" } ], "container-title" : "Proceedings of the Institution of Mechanical Engineers, Part A: Journal of Power and Energy", "id" : "ITEM-1", "issue" : "5", "issued" : { "date-parts" : [ [ "2009" ] ] }, "page" : "563-570", "title" : "Optimal sizing of photovoltaic\u2013battery power systems in a remote region in Kerman, Iran", "type" : "article-journal", "volume" : "223" }, "uris" : [ "http://www.mendeley.com/documents/?uuid=49fdf753-d48c-449c-af11-fbea63d5c595" ] } ], "mendeley" : { "formattedCitation" : "(Askari &amp; Ameri, 2009)", "plainTextFormattedCitation" : "(Askari &amp; Ameri, 2009)", "previouslyFormattedCitation" : "(Askari &amp; Ameri, 2009)" }, "properties" : { "noteIndex" : 5 }, "schema" : "https://github.com/citation-style-language/schema/raw/master/csl-citation.json" }</w:instrText>
            </w:r>
            <w:r w:rsidRPr="000E1F7B">
              <w:rPr>
                <w:rFonts w:ascii="Times New Roman" w:eastAsia="Times New Roman" w:hAnsi="Times New Roman"/>
                <w:color w:val="000000"/>
                <w:lang w:val="es-PY" w:eastAsia="es-PY"/>
              </w:rPr>
              <w:fldChar w:fldCharType="separate"/>
            </w:r>
            <w:r w:rsidRPr="00D03089">
              <w:rPr>
                <w:rFonts w:ascii="Times New Roman" w:eastAsia="Times New Roman" w:hAnsi="Times New Roman"/>
                <w:noProof/>
                <w:color w:val="000000"/>
                <w:lang w:val="en-US" w:eastAsia="es-PY"/>
              </w:rPr>
              <w:t>(Askari &amp; Ameri, 2009)</w:t>
            </w:r>
            <w:r w:rsidRPr="000E1F7B">
              <w:rPr>
                <w:rFonts w:ascii="Times New Roman" w:eastAsia="Times New Roman" w:hAnsi="Times New Roman"/>
                <w:color w:val="000000"/>
                <w:lang w:val="es-PY" w:eastAsia="es-PY"/>
              </w:rPr>
              <w:fldChar w:fldCharType="end"/>
            </w:r>
          </w:p>
          <w:p w14:paraId="1DE380A3" w14:textId="77777777" w:rsidR="004E45C6" w:rsidRPr="000E1F7B"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hideMark/>
          </w:tcPr>
          <w:p w14:paraId="3BCAA6AC" w14:textId="56AC2EC5"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6" w:type="dxa"/>
          </w:tcPr>
          <w:p w14:paraId="391CFA2B"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05749704"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110E4B53"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02FA7B02"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0E1F7B" w14:paraId="62E08B7A" w14:textId="5E4DAADB" w:rsidTr="004E45C6">
        <w:trPr>
          <w:trHeight w:val="300"/>
          <w:jc w:val="center"/>
        </w:trPr>
        <w:tc>
          <w:tcPr>
            <w:tcW w:w="2376" w:type="dxa"/>
            <w:noWrap/>
            <w:hideMark/>
          </w:tcPr>
          <w:p w14:paraId="1AF21A4B" w14:textId="2EB5D74C" w:rsidR="004E45C6" w:rsidRPr="000E1F7B" w:rsidRDefault="004E45C6" w:rsidP="007A2976">
            <w:pPr>
              <w:suppressAutoHyphens w:val="0"/>
              <w:autoSpaceDN/>
              <w:textAlignment w:val="auto"/>
              <w:rPr>
                <w:rFonts w:ascii="Times New Roman" w:eastAsia="Times New Roman" w:hAnsi="Times New Roman"/>
                <w:color w:val="000000"/>
                <w:lang w:val="es-PY" w:eastAsia="es-PY"/>
              </w:rPr>
            </w:pPr>
            <w:r w:rsidRPr="000E1F7B">
              <w:rPr>
                <w:rFonts w:ascii="Times New Roman" w:eastAsia="Times New Roman" w:hAnsi="Times New Roman"/>
                <w:color w:val="000000"/>
                <w:lang w:val="es-PY" w:eastAsia="es-PY"/>
              </w:rPr>
              <w:fldChar w:fldCharType="begin" w:fldLock="1"/>
            </w:r>
            <w:r>
              <w:rPr>
                <w:rFonts w:ascii="Times New Roman" w:eastAsia="Times New Roman" w:hAnsi="Times New Roman"/>
                <w:color w:val="000000"/>
                <w:lang w:val="es-PY" w:eastAsia="es-PY"/>
              </w:rPr>
              <w:instrText>ADDIN CSL_CITATION { "citationItems" : [ { "id" : "ITEM-1", "itemData" : { "DOI" : "10.1016/j.energy.2010.07.033", "ISBN" : "0360-5442", "ISSN" : "03605442", "abstract" : "Stand-alone photovoltaic (PV) systems comprise one of the promising electrification solutions to cover the demand of remote consumers, especially when it is coupled with a storage solution that would both increase the productivity of power plants and reduce the areas dedicated to energy production.This paper presents a multi-objective design of weakly connected systems simultaneously minimizing the total levelized cost and the connection to the grid, while fulfilling a constraint of consumer satisfaction.For this task, a multi-objective code based on particle swarm optimization has been used to find the best combination of different energy devices. Both short and mid terms based on forecasts assumptions have been investigated.An application for the site of La Nouvelle in the French overseas island of La R\u00e9union is proposed. It points up a strong cost advantage by using lead-acid (Pb-A) batteries in the short term and a mitigated solution for the mid term between Pb-A batteries and Gaseous hydrogen (GH2). These choices depend on the cost, the occupied area and the local pollution and, of course, legislation. \u00a9 2010 Elsevier Ltd.", "author" : [ { "dropping-particle" : "", "family" : "Avril", "given" : "S.", "non-dropping-particle" : "", "parse-names" : false, "suffix" : "" }, { "dropping-particle" : "", "family" : "Arnaud", "given" : "G.", "non-dropping-particle" : "", "parse-names" : false, "suffix" : "" }, { "dropping-particle" : "", "family" : "Florentin", "given" : "A.", "non-dropping-particle" : "", "parse-names" : false, "suffix" : "" }, { "dropping-particle" : "", "family" : "Vinard", "given" : "M.", "non-dropping-particle" : "", "parse-names" : false, "suffix" : "" } ], "container-title" : "Energy", "id" : "ITEM-1", "issue" : "12", "issued" : { "date-parts" : [ [ "2010" ] ] }, "page" : "5300-5308", "title" : "Multi-objective optimization of batteries and hydrogen storage technologies for remote photovoltaic systems", "type" : "article-journal", "volume" : "35" }, "uris" : [ "http://www.mendeley.com/documents/?uuid=ce5fc808-e39d-4a4b-adbc-6056d1c5d5f9" ] } ], "mendeley" : { "formattedCitation" : "(Avril, Arnaud, Florentin, &amp; Vinard, 2010)", "plainTextFormattedCitation" : "(Avril, Arnaud, Florentin, &amp; Vinard, 2010)", "previouslyFormattedCitation" : "(Avril, Arnaud, Florentin, &amp; Vinard, 2010)" }, "properties" : { "noteIndex" : 5 }, "schema" : "https://github.com/citation-style-language/schema/raw/master/csl-citation.json" }</w:instrText>
            </w:r>
            <w:r w:rsidRPr="000E1F7B">
              <w:rPr>
                <w:rFonts w:ascii="Times New Roman" w:eastAsia="Times New Roman" w:hAnsi="Times New Roman"/>
                <w:color w:val="000000"/>
                <w:lang w:val="es-PY" w:eastAsia="es-PY"/>
              </w:rPr>
              <w:fldChar w:fldCharType="separate"/>
            </w:r>
            <w:r w:rsidRPr="00D03089">
              <w:rPr>
                <w:rFonts w:ascii="Times New Roman" w:eastAsia="Times New Roman" w:hAnsi="Times New Roman"/>
                <w:noProof/>
                <w:color w:val="000000"/>
                <w:lang w:val="es-PY" w:eastAsia="es-PY"/>
              </w:rPr>
              <w:t>(Avril, Arnaud, Florentin, &amp; Vinard, 2010)</w:t>
            </w:r>
            <w:r w:rsidRPr="000E1F7B">
              <w:rPr>
                <w:rFonts w:ascii="Times New Roman" w:eastAsia="Times New Roman" w:hAnsi="Times New Roman"/>
                <w:color w:val="000000"/>
                <w:lang w:val="es-PY" w:eastAsia="es-PY"/>
              </w:rPr>
              <w:fldChar w:fldCharType="end"/>
            </w:r>
          </w:p>
          <w:p w14:paraId="54E7718F" w14:textId="77777777" w:rsidR="004E45C6" w:rsidRPr="000E1F7B" w:rsidRDefault="004E45C6" w:rsidP="007A2976">
            <w:pPr>
              <w:suppressAutoHyphens w:val="0"/>
              <w:autoSpaceDN/>
              <w:textAlignment w:val="auto"/>
              <w:rPr>
                <w:rFonts w:ascii="Times New Roman" w:eastAsia="Times New Roman" w:hAnsi="Times New Roman"/>
                <w:color w:val="000000"/>
                <w:lang w:val="es-PY" w:eastAsia="es-PY"/>
              </w:rPr>
            </w:pPr>
          </w:p>
        </w:tc>
        <w:tc>
          <w:tcPr>
            <w:tcW w:w="1276" w:type="dxa"/>
            <w:noWrap/>
            <w:hideMark/>
          </w:tcPr>
          <w:p w14:paraId="4DFC4B46" w14:textId="52BC30FA"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6" w:type="dxa"/>
          </w:tcPr>
          <w:p w14:paraId="0D9E2BAF"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6D97A407"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16B9F906" w14:textId="5A756ED1"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7" w:type="dxa"/>
          </w:tcPr>
          <w:p w14:paraId="64A07710"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4E45C6" w14:paraId="5ECB9AE5" w14:textId="7B049A0B" w:rsidTr="004E45C6">
        <w:trPr>
          <w:trHeight w:val="300"/>
          <w:jc w:val="center"/>
        </w:trPr>
        <w:tc>
          <w:tcPr>
            <w:tcW w:w="2376" w:type="dxa"/>
            <w:noWrap/>
            <w:hideMark/>
          </w:tcPr>
          <w:p w14:paraId="5B53B95C" w14:textId="303C1D68"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s-PY" w:eastAsia="es-PY"/>
              </w:rPr>
              <w:instrText>ADDIN CSL_CITATION { "citationItems" : [ { "id" : "ITEM-1", "itemData" : { "DOI" : "10.1016/j.rser.2013.04.023", "ISBN" : "1364-0321", "ISSN" : "13640321", "abstract" : "In future electricity systems with a high share of intermittent renewable power generation, battery technologies have the potential to support power quality and security. The growing scientific literature on batteries reflects the high attention that currently rests on these technologies. This paper reviews the existing literature on lifecycle costs of batteries in stationary applications. The primary result of this review is that, despite the current high degree of variance in technological and economic battery data, a systematic assessment of the underlying uncertainty is lacking. The present paper addresses this disparity with an investigation of the impact of uncertainty in input parameters on lifecycle costs of four battery technologies across six electricity system applications. Based on input data collected from literature and via expert interviews, a probabilistic techno-economic model was built that calculates lifecycle costs and systematically addresses uncertainty in input parameters by applying a Monte Carlo simulation. The main conclusion of this paper is that the present uncertainty in cost and technical parameters of batteries exceeds by far the differences in lifecycle costs across technologies. For most electricity storage applications, the absolute differences in mean lifecycle costs across technologies are negligible compared to the uncertainty ranges of the mean lifecycle costs. Therefore, a competition still exists between the four analyzed battery technologies an</w:instrText>
            </w:r>
            <w:r w:rsidRPr="004E45C6">
              <w:rPr>
                <w:rFonts w:ascii="Times New Roman" w:eastAsia="Times New Roman" w:hAnsi="Times New Roman"/>
                <w:color w:val="000000"/>
                <w:lang w:val="en-US" w:eastAsia="es-PY"/>
              </w:rPr>
              <w:instrText>d so far a leading technology has yet to emerge in any of the investigated applications. \u00a9 2013 Elsevier Ltd.", "author" : [ { "dropping-particle" : "", "family" : "Battke", "given" : "Benedikt", "non-dropping-particle" : "", "parse-names" : false, "suffix" : "" }, { "dropping-particle" : "", "family" : "Schmidt", "given" : "Tobias S.", "non-dropping-particle" : "", "parse-names" : false, "suffix" : "" }, { "dropping-particle" : "", "family" : "Grosspietsch", "given" : "David", "non-dropping-particle" : "", "parse-names" : false, "suffix" : "" }, { "dropping-particle" : "", "family" : "Hoffmann", "given" : "Volker H.", "non-dropping-particle" : "", "parse-names" : false, "suffix" : "" } ], "container-title" : "Renewable and Sustainable Energy Reviews", "id" : "ITEM-1", "issued" : { "date-parts" : [ [ "2013" ] ] }, "page" : "240-250", "title" : "A review and probabilistic model of lifecycle costs of stationary batteries in multiple applications", "type" : "article-journal", "volume" : "25" }, "uris" : [ "http://www.mendeley.com/documents/?uuid=4a43a032-4ce2-42db-9b75-fc5df76cbf1c" ] } ], "mendeley" : { "formattedCitation" : "(Battke, Schmidt, Grosspietsch, &amp; Hoffmann, 2013)", "plainTextFormattedCitation" : "(Battke, Schmidt, Grosspietsch, &amp; Hoffmann, 2013)", "previouslyFormattedCitation" : "(Battke, Schmidt, Grosspietsch, &amp; Hoffmann, 2013)"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(Battke, Schmidt, Grosspietsch, &amp; Hoffmann, 2013)</w:t>
            </w:r>
            <w:r w:rsidRPr="004E45C6">
              <w:rPr>
                <w:rFonts w:ascii="Times New Roman" w:eastAsia="Times New Roman" w:hAnsi="Times New Roman"/>
                <w:color w:val="000000"/>
                <w:lang w:val="es-PY" w:eastAsia="es-PY"/>
              </w:rPr>
              <w:fldChar w:fldCharType="end"/>
            </w:r>
          </w:p>
          <w:p w14:paraId="35FAE9CC"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hideMark/>
          </w:tcPr>
          <w:p w14:paraId="75E7F5BF" w14:textId="422890AE"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6" w:type="dxa"/>
          </w:tcPr>
          <w:p w14:paraId="4D4F4960" w14:textId="2CC07F90"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7" w:type="dxa"/>
          </w:tcPr>
          <w:p w14:paraId="5DCB7830" w14:textId="18AFD664"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7" w:type="dxa"/>
          </w:tcPr>
          <w:p w14:paraId="602A4EC1"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7A969426" w14:textId="6FEA8ADB"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r>
      <w:tr w:rsidR="004E45C6" w:rsidRPr="004E45C6" w14:paraId="041B8B23" w14:textId="7DBE7541" w:rsidTr="004E45C6">
        <w:trPr>
          <w:trHeight w:val="300"/>
          <w:jc w:val="center"/>
        </w:trPr>
        <w:tc>
          <w:tcPr>
            <w:tcW w:w="2376" w:type="dxa"/>
            <w:noWrap/>
            <w:hideMark/>
          </w:tcPr>
          <w:p w14:paraId="44021C6E" w14:textId="29ABA5CD" w:rsidR="004E45C6" w:rsidRPr="004E45C6" w:rsidRDefault="004E45C6" w:rsidP="007A2976">
            <w:pPr>
              <w:suppressAutoHyphens w:val="0"/>
              <w:autoSpaceDN/>
              <w:textAlignment w:val="auto"/>
              <w:rPr>
                <w:rFonts w:ascii="Times New Roman" w:eastAsia="Times New Roman" w:hAnsi="Times New Roman"/>
                <w:color w:val="000000"/>
                <w:lang w:val="es-PY"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s-PY" w:eastAsia="es-PY"/>
              </w:rPr>
              <w:instrText>ADDIN CSL_CITATION { "citationItems" : [ { "id" : "ITEM-1", "itemData" : { "DOI" : "10.4229/24thEUPVSEC2009-4BO.11.2", "ISBN" : "9788578110796", "ISSN" : "1098-6596", "PMID" : "25246403", "abstract" : "The new German Renewable Energy Sources Act (EEG) for the year 2009 provides a new tariff option: self-consumption (EEG \u00a733,2). By economically favouring the local consumption of PV energy, the EEG incentivises the owners of PV systems to either shift their consumption to the time of production by load management or use storage options. Massive deployment of such energy management approaches may reduce the impact of PV energy in the grid and thus pave the way for a further rise of the number of installations. For maximizing locally consumed PV energy, a storage system based on lithium-ion batteries is developed in the French- German project Sol-ion. Fraunhofer IWES, INES, ISEA and ZSW developed models to analyse the energy flows in residential PV-battery systems installed in Germany and in France. The models are used to calculate the increase of PV self-consumption. Energy flow simulations show that PV battery systems as developed in the Sol-ion project increase the local consumption of PV energy at the point of common coupling without constraining the user in his consumption habits. Target battery costs were calculated in an economical assessment. The installation of a Sol-ion system will become economically interesting with specific battery costs below 350 \u20ac/kWh as expected by the manufacturers in the medium term. The integration of additional functionalities (e.g. backup power and grid support) can improve the benefit of the Sol-ion system significantly.", "author" : [ { "dropping-particle" : "", "family" : "M. Braun, K. B\u00fcdenbender, D. Magnor", "given" : "A. Jossen", "non-dropping-particle" : "", "parse-names" : false, "suffix" : "" } ], "container-title" : "24th European Photovoltaic Solar Energy Conference, 21-25 September 2009, Hamburg, Germany", "id" : "ITEM-1", "issued" : { "date-parts" : [ [ "2009" ] ] }, "page" : "3121 - 3127", "title" : "Photovoltaic Self-Consumption in Germany - Using Lithium-Ion Storage to Increase Self-Consumed Photovoltaic Energy", "type" : "paper-conference" }, "uris" : [ "http://www.mendeley.com/documents/?uuid=56fbf0de-283d-43ab-9658-e5a4e8bee568" ] } ], "mendeley" : { "formattedCitation" : "(M. Braun, K. B\u00fcdenbender, D. Magnor, 2009)", "plainTextFormattedCitation" : "(M. Braun, K. B\u00fcdenbender, D. Magnor, 2009)", "previouslyFormattedCitation" : "(M. Braun, K. B\u00fcdenbender, D. Magnor, 2009)"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s-PY" w:eastAsia="es-PY"/>
              </w:rPr>
              <w:t>(M. Braun, K. Büdenbender, D. Magnor, 2009)</w:t>
            </w:r>
            <w:r w:rsidRPr="004E45C6">
              <w:rPr>
                <w:rFonts w:ascii="Times New Roman" w:eastAsia="Times New Roman" w:hAnsi="Times New Roman"/>
                <w:color w:val="000000"/>
                <w:lang w:val="es-PY" w:eastAsia="es-PY"/>
              </w:rPr>
              <w:fldChar w:fldCharType="end"/>
            </w:r>
          </w:p>
          <w:p w14:paraId="20098E9D" w14:textId="77777777" w:rsidR="004E45C6" w:rsidRPr="004E45C6" w:rsidRDefault="004E45C6" w:rsidP="007A2976">
            <w:pPr>
              <w:suppressAutoHyphens w:val="0"/>
              <w:autoSpaceDN/>
              <w:textAlignment w:val="auto"/>
              <w:rPr>
                <w:rFonts w:ascii="Times New Roman" w:eastAsia="Times New Roman" w:hAnsi="Times New Roman"/>
                <w:color w:val="000000"/>
                <w:lang w:val="es-PY" w:eastAsia="es-PY"/>
              </w:rPr>
            </w:pPr>
          </w:p>
        </w:tc>
        <w:tc>
          <w:tcPr>
            <w:tcW w:w="1276" w:type="dxa"/>
            <w:noWrap/>
            <w:hideMark/>
          </w:tcPr>
          <w:p w14:paraId="29B0F108" w14:textId="0A1105F9"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6" w:type="dxa"/>
          </w:tcPr>
          <w:p w14:paraId="3156E3F3"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52E143DB" w14:textId="29433855"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7" w:type="dxa"/>
          </w:tcPr>
          <w:p w14:paraId="1BAE2E36"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0EA53DC5"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4E45C6" w14:paraId="08949FAE" w14:textId="743F6B7B" w:rsidTr="004E45C6">
        <w:trPr>
          <w:trHeight w:val="300"/>
          <w:jc w:val="center"/>
        </w:trPr>
        <w:tc>
          <w:tcPr>
            <w:tcW w:w="2376" w:type="dxa"/>
            <w:noWrap/>
            <w:hideMark/>
          </w:tcPr>
          <w:p w14:paraId="2FB57F47" w14:textId="4D87C783" w:rsidR="004E45C6" w:rsidRPr="004E45C6" w:rsidRDefault="004E45C6" w:rsidP="007A2976">
            <w:pPr>
              <w:suppressAutoHyphens w:val="0"/>
              <w:autoSpaceDN/>
              <w:textAlignment w:val="auto"/>
              <w:rPr>
                <w:rFonts w:ascii="Times New Roman" w:eastAsia="Times New Roman" w:hAnsi="Times New Roman"/>
                <w:color w:val="000000"/>
                <w:lang w:val="es-PY"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s-PY" w:eastAsia="es-PY"/>
              </w:rPr>
              <w:instrText>ADDIN CSL_CITATION { "citationItems" : [ { "id" : "ITEM-1", "itemData" : { "DOI" : "10.1002/pip", "ISBN" : "1099-159X", "ISSN" : "10627995",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"Celik", "given" : "A. N.", "non-dropping-particle" : "", "parse-names" : false, "suffix" : "" }, { "dropping-particle" : "", "family" : "Muneer", "given" : "T.", "non-dropping-particle" : "", "parse-names" : false, "suffix" : "" }, { "dropping-particle" : "", "family" : "Clarke", "given" : "P.", "non-dropping-particle" : "", "parse-names" : false, "suffix" : "" } ], "container-title" : "Progress in Photovoltaics: Research and Applications", "id" : "ITEM-1", "issue" : "1", "issued" : { "date-parts" : [ [ "2007" ] ] }, "page" : "6-11", "title" : "Optimal Sizing and Life Cycle Assessment of Residential Photovoltaic Energy Systems With Battery Storage", "type" : "article-journal", "volume" : "20" }, "uris" : [ "http://www.mendeley.com/documents/?uuid=1489cfb3-f139-42dd-87e5-3cbc52062720" ] } ], "mendeley" : { "formattedCitation" : "(Celik, Muneer, &amp; Clarke, 2007)", "plainTextFormattedCitation" : "(Celik, Muneer, &amp; Clarke, 2007)", "previouslyFormattedCitation" : "(Celik, Muneer, &amp; Clarke, 2007)"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s-PY" w:eastAsia="es-PY"/>
              </w:rPr>
              <w:t>(Celik, Muneer, &amp; Clarke, 2007)</w:t>
            </w:r>
            <w:r w:rsidRPr="004E45C6">
              <w:rPr>
                <w:rFonts w:ascii="Times New Roman" w:eastAsia="Times New Roman" w:hAnsi="Times New Roman"/>
                <w:color w:val="000000"/>
                <w:lang w:val="es-PY" w:eastAsia="es-PY"/>
              </w:rPr>
              <w:fldChar w:fldCharType="end"/>
            </w:r>
          </w:p>
          <w:p w14:paraId="60E09E28" w14:textId="77777777" w:rsidR="004E45C6" w:rsidRPr="004E45C6" w:rsidRDefault="004E45C6" w:rsidP="007A2976">
            <w:pPr>
              <w:suppressAutoHyphens w:val="0"/>
              <w:autoSpaceDN/>
              <w:textAlignment w:val="auto"/>
              <w:rPr>
                <w:rFonts w:ascii="Times New Roman" w:eastAsia="Times New Roman" w:hAnsi="Times New Roman"/>
                <w:color w:val="000000"/>
                <w:lang w:val="es-PY" w:eastAsia="es-PY"/>
              </w:rPr>
            </w:pPr>
          </w:p>
        </w:tc>
        <w:tc>
          <w:tcPr>
            <w:tcW w:w="1276" w:type="dxa"/>
            <w:noWrap/>
            <w:hideMark/>
          </w:tcPr>
          <w:p w14:paraId="24205CCB" w14:textId="1C546111" w:rsidR="004E45C6" w:rsidRPr="000D22F5" w:rsidRDefault="000D22F5" w:rsidP="000D22F5">
            <w:pPr>
              <w:suppressAutoHyphens w:val="0"/>
              <w:autoSpaceDN/>
              <w:jc w:val="center"/>
              <w:textAlignment w:val="auto"/>
              <w:rPr>
                <w:rFonts w:ascii="Times New Roman Bold" w:eastAsia="Times New Roman" w:hAnsi="Times New Roman Bold"/>
                <w:b/>
                <w:color w:val="000000"/>
                <w:lang w:val="es-PY" w:eastAsia="es-PY"/>
              </w:rPr>
            </w:pPr>
            <w:r w:rsidRPr="000D22F5">
              <w:rPr>
                <w:rFonts w:ascii="Times New Roman Bold" w:eastAsia="Times New Roman" w:hAnsi="Times New Roman Bold"/>
                <w:b/>
                <w:color w:val="000000"/>
                <w:lang w:val="es-PY" w:eastAsia="es-PY"/>
              </w:rPr>
              <w:t>√</w:t>
            </w:r>
          </w:p>
        </w:tc>
        <w:tc>
          <w:tcPr>
            <w:tcW w:w="1266" w:type="dxa"/>
          </w:tcPr>
          <w:p w14:paraId="07CDAE64"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21E543A8"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2FD3EC3C"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400B4160"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4E45C6" w14:paraId="52C392F8" w14:textId="0AD7C4BD" w:rsidTr="004E45C6">
        <w:trPr>
          <w:trHeight w:val="300"/>
          <w:jc w:val="center"/>
        </w:trPr>
        <w:tc>
          <w:tcPr>
            <w:tcW w:w="2376" w:type="dxa"/>
            <w:noWrap/>
            <w:hideMark/>
          </w:tcPr>
          <w:p w14:paraId="48BE9813" w14:textId="667322AF" w:rsidR="004E45C6" w:rsidRPr="004E45C6" w:rsidRDefault="004E45C6" w:rsidP="007A2976">
            <w:pPr>
              <w:suppressAutoHyphens w:val="0"/>
              <w:autoSpaceDN/>
              <w:textAlignment w:val="auto"/>
              <w:rPr>
                <w:rFonts w:ascii="Times New Roman" w:eastAsia="Times New Roman" w:hAnsi="Times New Roman"/>
                <w:color w:val="000000"/>
                <w:lang w:val="es-PY"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s-PY" w:eastAsia="es-PY"/>
              </w:rPr>
              <w:instrText>ADDIN CSL_CITATION { "citationItems" : [ { "id" : "ITEM-1", "itemData" : { "DOI" : "10.1016/j.enpol.2012.09.023", "ISBN" : "0301-4215", "ISSN" : "03014215", "abstract" : "Spain exhibits a high level of energy dependence and has significant solar energy resources. These two facts have given rise to the prominence that renewable energy, particularly solar photovoltaic technology, has enjoyed in recent years, supported by a favorable regulatory framework. Currently, the Spanish Government is providing new ways in energy policy to enhance and accelerate the development of low-power photovoltaic generation facilities for self-consumption by introducing energy policies for feed-in payments of surplus electricity. Such facilities are an example of distributed electrical generation with important benefits for the environment and the rest of the electrical system because, when properly managed, they can help improve the system's stability and reduce overall losses. By analyzing household demand and solar photovoltaic energy resources, the profitability of such facilities is considered in this article, taking into account the technical and economic impact of storage systems and proposing models for feed-in payments of surplus electricity, in an attempt to assess whether this method of electricity generation versus the method of conventionally supplied power from a grid at a regulated tariff can rival each other economically, in terms of parity. \u00a9 2012 Elsevier Ltd.", "author" : [ { "dropping-particle" : "", "family" : "Colmenar-Santos", "given" : "Antonio", "non-dropping-particle" : "", "parse-names" : false, "suffix" : "" }, { "dropping-particle" : "", "family" : "Camp\u00ed\u00f1ez-Romero", "given" : "Severo", "non-dropping-particle" : "", "parse-names" : false, "suffix" : "" }, { "dropping-particle" : "", "family" : "P\u00e9rez-Molina", "given" : "Clara", "non-dropping-particle" : "", "parse-names" : false, "suffix" : "" }, { "dropping-particle" : "", "family" : "Castro-Gil", "given" : "Manuel", "non-dropping-particle" : "", "parse-names" : false, "suffix" : "" } ], "container-title" : "Energy Policy", "id" : "ITEM-1", "issued" : { "date-parts" : [ [ "2012" ] ] }, "page" : "749-764", "title" : "Profitability analysis of grid-connected photovoltaic facilities for household electricity self-sufficiency", "type" : "article-journal", "volume" : "51" }, "uris" : [ "http://www.mendeley.com/documents/?uuid=ccff0a05-2735-4f46-ac8a-5bb1e9829a47" ] } ], "mendeley" : { "formattedCitation" : "(Colmenar-Santos, Camp\u00ed\u00f1ez-Romero, P\u00e9rez-Molina, &amp; Castro-Gil, 2012)", "plainTextFormattedCitation" : "(Colmenar-Santos, Camp\u00ed\u00f1ez-Romero, P\u00e9rez-Molina, &amp; Castro-Gil, 2012)", "previouslyFormattedCitation" : "(Colmenar-Santos, Camp\u00ed\u00f1ez-Romero, P\u00e9rez-Molina, &amp; Castro-Gil, 2012)"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s-PY" w:eastAsia="es-PY"/>
              </w:rPr>
              <w:t>(Colmenar-Santos, Campíñez-Romero, Pérez-Molina, &amp; Castro-Gil, 2012)</w:t>
            </w:r>
            <w:r w:rsidRPr="004E45C6">
              <w:rPr>
                <w:rFonts w:ascii="Times New Roman" w:eastAsia="Times New Roman" w:hAnsi="Times New Roman"/>
                <w:color w:val="000000"/>
                <w:lang w:val="es-PY" w:eastAsia="es-PY"/>
              </w:rPr>
              <w:fldChar w:fldCharType="end"/>
            </w:r>
          </w:p>
          <w:p w14:paraId="52DCDDC7" w14:textId="77777777" w:rsidR="004E45C6" w:rsidRPr="004E45C6" w:rsidRDefault="004E45C6" w:rsidP="007A2976">
            <w:pPr>
              <w:suppressAutoHyphens w:val="0"/>
              <w:autoSpaceDN/>
              <w:textAlignment w:val="auto"/>
              <w:rPr>
                <w:rFonts w:ascii="Times New Roman" w:eastAsia="Times New Roman" w:hAnsi="Times New Roman"/>
                <w:color w:val="000000"/>
                <w:lang w:val="es-PY" w:eastAsia="es-PY"/>
              </w:rPr>
            </w:pPr>
          </w:p>
        </w:tc>
        <w:tc>
          <w:tcPr>
            <w:tcW w:w="1276" w:type="dxa"/>
            <w:noWrap/>
            <w:hideMark/>
          </w:tcPr>
          <w:p w14:paraId="7E350311" w14:textId="1EA444C9"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6" w:type="dxa"/>
          </w:tcPr>
          <w:p w14:paraId="5B6FE9C9"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7841525B"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43574BA6"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12A3375E"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4E45C6" w14:paraId="71D07A14" w14:textId="1A8FC72D" w:rsidTr="004E45C6">
        <w:trPr>
          <w:trHeight w:val="300"/>
          <w:jc w:val="center"/>
        </w:trPr>
        <w:tc>
          <w:tcPr>
            <w:tcW w:w="2376" w:type="dxa"/>
            <w:noWrap/>
            <w:hideMark/>
          </w:tcPr>
          <w:p w14:paraId="33EA0E3C" w14:textId="6DF4BFFE"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s-PY" w:eastAsia="es-PY"/>
              </w:rPr>
              <w:instrText>ADDIN CSL_CITATION { "citationItems" : [ { "id" : "ITEM-1", "itemData" : { "DOI" : "10.1016/j.energy.2012.02.004", "ISBN" : "0360-5442", "ISSN" : "03605442", "abstract" : "Due to the mismatch between the load demand and the intermittent solar energy, a stand-alone photovoltaic-hydrogen system and an optimal control scheme are designed to maintain the high system efficiency. Based on meteorological and the load demand data, a system sizing technique is proposed to establish the minimum capacity of the system components, which are a photovoltaic (PV) panel, a proton exchange membrane fuel cell (PEMFC), a battery bank and an alkaline electrolyzer (Elz).An accurate energy management scheme that is utilized during power transfer is proposed to meet the economic requirements. Case studies are used to verify the efficiency of the energy management strategy and system sizing technique. Simulation results illustrate a simple solution to the design and processing of stand-alone PV-hydrogen (PV-H2) systems. \u00a9 2012 Elsevier Ltd.", "author" : [ { "dropping-particle" : "", "family" : "Jallouli", "given" : "Rihab", "non-dropping-particle" : "", "parse-names" : false, "suffix" : "" }, { "dropping-particle" : "", "family" : "Krichen", "given" : "Lotfi", "non-dropping-particle" : "", "parse-names" : false, "suffix" : "" } ], "container-title" : "Energy", "id" : "ITEM-1", "issue" : "1", "issued" : { "date-pa</w:instrText>
            </w:r>
            <w:r w:rsidRPr="004E45C6">
              <w:rPr>
                <w:rFonts w:ascii="Times New Roman" w:eastAsia="Times New Roman" w:hAnsi="Times New Roman"/>
                <w:color w:val="000000"/>
                <w:lang w:val="en-US" w:eastAsia="es-PY"/>
              </w:rPr>
              <w:instrText>rts" : [ [ "2012" ] ] }, "page" : "196-209", "title" : "Sizing, techno-economic and generation management analysis of a stand alone photovoltaic power unit including storage devices", "type" : "article-journal", "volume" : "40" }, "uris" : [ "http://www.mendeley.com/documents/?uuid=35b5fcdf-703d-4c1b-833e-8663f93a493b" ] } ], "mendeley" : { "formattedCitation" : "(Jallouli &amp; Krichen, 2012)", "plainTextFormattedCitation" : "(Jallouli &amp; Krichen, 2012)", "previouslyFormattedCitation" : "(Jallouli &amp; Krichen, 2012)"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(Jallouli &amp; Krichen, 2012)</w:t>
            </w:r>
            <w:r w:rsidRPr="004E45C6">
              <w:rPr>
                <w:rFonts w:ascii="Times New Roman" w:eastAsia="Times New Roman" w:hAnsi="Times New Roman"/>
                <w:color w:val="000000"/>
                <w:lang w:val="es-PY" w:eastAsia="es-PY"/>
              </w:rPr>
              <w:fldChar w:fldCharType="end"/>
            </w:r>
          </w:p>
          <w:p w14:paraId="3530DAFB"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hideMark/>
          </w:tcPr>
          <w:p w14:paraId="2E4D9817" w14:textId="6A7F9456"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6" w:type="dxa"/>
          </w:tcPr>
          <w:p w14:paraId="1AB39BA6"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38009529"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5A56FA93"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18D8BB67"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4E45C6" w14:paraId="2F753099" w14:textId="4D9A1EC8" w:rsidTr="004E45C6">
        <w:trPr>
          <w:trHeight w:val="300"/>
          <w:jc w:val="center"/>
        </w:trPr>
        <w:tc>
          <w:tcPr>
            <w:tcW w:w="2376" w:type="dxa"/>
            <w:noWrap/>
            <w:hideMark/>
          </w:tcPr>
          <w:p w14:paraId="65E8354B" w14:textId="50F27AF1"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n-US" w:eastAsia="es-PY"/>
              </w:rPr>
              <w:instrText>ADDIN CSL_CITATION { "citationItems" : [ { "id" : "ITEM-1", "itemData" : { "DOI" : "10.1016/j.renene.2008.09.014", "ISBN" : "0960-1481", "ISSN" : "09601481", "abstract" : "A large number of various sized islands are spread throughout the south-east Mediterranean Sea. Most of these small islands face serious infrastructure problems, like the insufficient power supply and the low quality of electricity available at very high production cost. In an attempt to improve the life quality of all these isolated communities, an investigation concerning the financial viability of an integrated electrification solution based on one or more photovoltaic generators and an appropriate energy storage system is described. The main target of a similar solution is to maximize the contribution of the photovoltaic generator and minimize the life-cycle electricity generation cost of the remote island networks investigated. In addition, special emphasis is given in order to select the most cost-efficient energy storage configuration available. According to the results obtained for high and medium-high solar potential regions, the proposed configuration is found to be more cost-effective than the existing thermal power stations. Several side benefits like the improved electrical network reliability and the minimization of the environmental and macroeconomic impacts resulting from the replacement of the imported oil should also be considered. \u00a9 2008 Elsevier Ltd. All rights reserved.", "author" : [ { "dropping-particle" : "", "family" : "Kaldellis", "given" : "J. K.", "non-dropping-particle" : "", "parse-names" : false, "suffix" : "" }, { "dropping-particle" : "", "family" : "Zafirakis", "given" : "D.", "non-dropping-particle" : "", "parse-names" : false, "suffix" : "" }, { "dropping-particle" : "", "family" : "Kaldelli", "given" : "E. L.", "non-dropping-particle" : "", "parse-names" : false, "suffix" : "" }, { "dropping-particle" : "", "family" : "Kavadias", "given" : "K.", "non-dropping-particle" : "", "parse-names" : false, "suffix" : "" } ], "container-title" : "Renewable Energy", "id" : "ITEM-1", "issue" : "5", "issued" : { "date-parts" : [ [ "2009" ] ] }, "page" : "1299-1311", "title" : "Cost benefit analysis of a photovoltaic-energy storage electrification solution for remote islands", "type" : "article-journal", "volume" : "34" }, "uris" : [ "http://www.mendeley.com/documents/?uuid=174d9c60-3a5a-406f-a4a9-169386446a51" ] } ], "mendeley" : { "formattedCitation" : "(Kaldellis, Zafirakis, Kaldelli, &amp; Kavadias, 2009)", "plainTextFormattedCitation" : "(Kaldellis, Zafirakis, Kaldelli, &amp; Kavadias, 2009)", "previouslyFormattedCitation" : "(Kaldellis, Zafirakis, Kaldelli, &amp; Kavadias, 2009)"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(Kaldellis, Zafirakis, Kaldelli, &amp; Kavadias, 2009)</w:t>
            </w:r>
            <w:r w:rsidRPr="004E45C6">
              <w:rPr>
                <w:rFonts w:ascii="Times New Roman" w:eastAsia="Times New Roman" w:hAnsi="Times New Roman"/>
                <w:color w:val="000000"/>
                <w:lang w:val="es-PY" w:eastAsia="es-PY"/>
              </w:rPr>
              <w:fldChar w:fldCharType="end"/>
            </w:r>
          </w:p>
          <w:p w14:paraId="18516AF8"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hideMark/>
          </w:tcPr>
          <w:p w14:paraId="06817514" w14:textId="066D0A3F"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6" w:type="dxa"/>
          </w:tcPr>
          <w:p w14:paraId="440242B4" w14:textId="3B6A8A13"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7" w:type="dxa"/>
          </w:tcPr>
          <w:p w14:paraId="53254D62"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5188063A"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2C9BB99F"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r>
      <w:tr w:rsidR="004E45C6" w:rsidRPr="004E45C6" w14:paraId="1731A952" w14:textId="6D2CCFDE" w:rsidTr="000D22F5">
        <w:trPr>
          <w:trHeight w:val="300"/>
          <w:jc w:val="center"/>
        </w:trPr>
        <w:tc>
          <w:tcPr>
            <w:tcW w:w="2376" w:type="dxa"/>
            <w:noWrap/>
            <w:hideMark/>
          </w:tcPr>
          <w:p w14:paraId="3DD61721" w14:textId="55DD31FC"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n-US" w:eastAsia="es-PY"/>
              </w:rPr>
              <w:instrText>ADDIN CSL_CITATION { "citationItems" : [ { "id" : "ITEM-1", "itemData" : { "DOI" : "10.1016/S0140-9883(01)00095-0", "ISBN" : "0140-9883", "ISSN" : "01409883", "abstract" : "The economic viability of a stand-alone solar photovoltaic (PV) system with the most likely conventional alternative system, i.e. a diesel-powered system, has been analysed for energy demand through sensitivity analysis using a life-cycle cost computation. The sensitivity analysis allows estimation of the comparative viability of PV against a conventional alternative system based on particular country-specific parameters. The overall PV best and worst case viability, as compared to a conventional diesel-powered system, have been obtained from sensitivity analysis of the energy demand. \u00a9 2002 Elsevier Science B.V. All rights reserved.", "author" : [ { "dropping-particle" : "", "family" : "Kolhe", "given" : "Mohanlal", "non-dropping-particle" : "", "parse-names" : false, "suffix" : "" }, { "dropping-particle" : "", "family" : "Kolhe", "given" : "Sunita", "non-dropping-particle" : "", "parse-names" : false, "suffix" : "" }, { "dropping-particle" : "", "family" : "Joshi", "given" : "J. C.", "non-dropping-particle" : "", "parse-names" : false, "suffix" : "" } ], "container-title" : "Energy Economics", "id" : "ITEM-1", "issue" : "2", "issued" : { "date-parts" : [ [ "2002" ] ] }, "page" : "155-165", "title" : "Economic viability of stand-alone solar photovoltaic system in comparison with diesel-powered system for India", "type" : "article-journal", "volume" : "24" }, "uris" : [ "http://www.mendeley.com/documents/?uuid=13ffd1ca-b54c-4d96-b94e-4a12927370b3" ] } ], "mendeley" : { "formattedCitation" : "(Kolhe, Kolhe, &amp; Joshi, 2002)", "plainTextFormattedCitation" : "(Kolhe, Kolhe, &amp; Joshi, 2002)", "previouslyFormattedCitation" : "(Kolhe, Kolhe, &amp; Joshi, 2002)"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(Kolhe, Kolhe, &amp; Joshi, 2002)</w:t>
            </w:r>
            <w:r w:rsidRPr="004E45C6">
              <w:rPr>
                <w:rFonts w:ascii="Times New Roman" w:eastAsia="Times New Roman" w:hAnsi="Times New Roman"/>
                <w:color w:val="000000"/>
                <w:lang w:val="es-PY" w:eastAsia="es-PY"/>
              </w:rPr>
              <w:fldChar w:fldCharType="end"/>
            </w:r>
          </w:p>
          <w:p w14:paraId="594213A5"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tcPr>
          <w:p w14:paraId="56F885CB" w14:textId="3CBC23A0"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6" w:type="dxa"/>
          </w:tcPr>
          <w:p w14:paraId="30B55E3A"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5151A6CE"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0E4C593C"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6B2F5FF2"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r>
      <w:tr w:rsidR="004E45C6" w:rsidRPr="004E45C6" w14:paraId="2A38EB69" w14:textId="1380C120" w:rsidTr="000D22F5">
        <w:trPr>
          <w:trHeight w:val="300"/>
          <w:jc w:val="center"/>
        </w:trPr>
        <w:tc>
          <w:tcPr>
            <w:tcW w:w="2376" w:type="dxa"/>
            <w:noWrap/>
            <w:hideMark/>
          </w:tcPr>
          <w:p w14:paraId="673969D5" w14:textId="14FD6A35"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n-US" w:eastAsia="es-PY"/>
              </w:rPr>
              <w:instrText>ADDIN CSL_CITATION { "citationItems" : [ { "id" : "ITEM-1", "itemData" : { "DOI" : "10.1016/S0927-0248(00)00005-2", "ISBN" : "0927-0248", "ISSN" : "09270248", "abstract" : "The cost-effective sizing and evaluation of residential stand-alone photovoltaic systems at various European and Mediterranean locations is the subject of this paper. The stand-alone photovoltaic system is serving the energy needs of a medium-sized household inhabited by a typical four member family. A typical energy consumption daily profile is assumed, and the solar array, battery and back-up generator - if necessary - are optimally sized to minimise the system life-cycle cost (LCC). The calculations have been done assuming economic parameters and PV technology costs applicable to years 1998 and 2005.", "author" : [ { "dropping-particle" : "", "family" : "Lazou", "given" : "Athanasia A.", "non-dropping-particle" : "", "parse-names" : false, "suffix" : "" }, { "dropping-particle" : "", "family" : "Papatsoris", "given" : "Anastassios D.", "non-dropping-particle" : "", "parse-names" : false, "suffix" : "" } ], "container-title" : "Solar Energy Materials and Solar Cells", "id" : "ITEM-1", "issue" : "4", "issued" : { "date-parts" : [ [ "2000" ] ] }, "page" : "411-427", "title" : "Economics of photovoltaic stand-alone residential households: A case study for various European and Mediterranean locations", "type" : "article-journal", "volume" : "62" }, "uris" : [ "http://www.mendeley.com/documents/?uuid=8ed39f91-0e31-4b85-a03c-80aaffb80405" ] } ], "mendeley" : { "formattedCitation" : "(Lazou &amp; Papatsoris, 2000)", "plainTextFormattedCitation" : "(Lazou &amp; Papatsoris, 2000)", "previouslyFormattedCitation" : "(Lazou &amp; Papatsoris, 2000)"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(Lazou &amp; Papatsoris, 2000)</w:t>
            </w:r>
            <w:r w:rsidRPr="004E45C6">
              <w:rPr>
                <w:rFonts w:ascii="Times New Roman" w:eastAsia="Times New Roman" w:hAnsi="Times New Roman"/>
                <w:color w:val="000000"/>
                <w:lang w:val="es-PY" w:eastAsia="es-PY"/>
              </w:rPr>
              <w:fldChar w:fldCharType="end"/>
            </w:r>
          </w:p>
          <w:p w14:paraId="209DEF51"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tcPr>
          <w:p w14:paraId="65F2AF38" w14:textId="1EF64416"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6" w:type="dxa"/>
          </w:tcPr>
          <w:p w14:paraId="69F2BBD5"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74914F08"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294CF873"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4D7DA5FE"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4E45C6" w14:paraId="2A277238" w14:textId="6855D20B" w:rsidTr="000D22F5">
        <w:trPr>
          <w:trHeight w:val="300"/>
          <w:jc w:val="center"/>
        </w:trPr>
        <w:tc>
          <w:tcPr>
            <w:tcW w:w="2376" w:type="dxa"/>
            <w:noWrap/>
            <w:hideMark/>
          </w:tcPr>
          <w:p w14:paraId="64ABDC7B" w14:textId="04164E63"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n-US" w:eastAsia="es-PY"/>
              </w:rPr>
              <w:instrText>ADDIN CSL_CITATION { "citationItems" : [ { "id" : "ITEM-1", "itemData" : { "DOI" : "10.1016/j.renene.2008.04.018", "ISBN" : "09601481", "ISSN" : "09601481", "abstract" : "Economic and environmental concerns over fossil fuels encourage the development of photovoltaic (PV) energy systems. Due to the intermittent nature of solar energy, energy storage is needed in a stand-alone PV system for the purpose of ensuring continuous power flow. Three stand-alone photovoltaic power systems using different energy storage technologies are studied in this paper. Key components including PV modules, fuel cells, electrolyzers, compressors, hydrogen tanks and batteries are modeled in a clear way so as to facilitate the evaluation of the power systems. Based on energy storage technology, a method of ascertaining minimal system configuration is designed to perform the sizing optimization and reveal the correlations between the system cost and the system efficiency. The three hybrid power systems, i.e., photovoltaic/battery (PV/Battery) system, photovoltaic/fuel cell (PV/FC) system, and photovoltaic/fuel cell/battery (PV/FC/Battery) system, are optimized, analyzed and compared. The obtained results indicate that maximizing the system efficiency while minimizing system cost is a multi-objective optimization problem. As a trade-off solution to the problem, the proposed PV/FC/Battery hybrid system is found to be the configuration with lower cost, higher efficiency and less PV modules as compared with either single storage system.", "author" : [ { "dropping-particle" : "", "family" : "Li", "given" : "Chun-Hua", "non-dropping-particle" : "", "parse-names" : false, "suffix" : "" }, { "dropping-particle" : "", "family" : "Zhu", "given" : "Xin-Jian", "non-dropping-particle" : "", "parse-names" : false, "suffix" : "" }, { "dropping-particle" : "", "family" : "Cao", "given" : "Guang-Yi", "non-dropping-particle" : "", "parse-names" : false, "suffix" : "" }, { "dropping-particle" : "", "family" : "Sui", "given" : "Sheng", "non-dropping-particle" : "", "parse-names" : false, "suffix" : "" }, { "dropping-particle" : "", "family" : "Hu", "given" : "Ming-Ruo", "non-dropping-particle" : "", "parse-names" : false, "suffix" : "" } ], "container-title" : "Renewable Energy", "id" : "ITEM-1", "issue" : "3", "issued" : { "date-parts" : [ [ "2009" ] ] }, "page" : "815-826", "title" : "Dynamic modeling and sizing optimization of stand-alone photovoltaic power systems using hybrid energy storage technology", "type" : "article-journal", "volume" : "34" }, "uris" : [ "http://www.mendeley.com/documents/?uuid=449540a0-cbdd-4ccf-a3d5-0db42d012f44" ] } ], "mendeley" : { "formattedCitation" : "(Li, Zhu, Cao, Sui, &amp; Hu, 2009)", "plainTextFormattedCitation" : "(Li, Zhu, Cao, Sui, &amp; Hu, 2009)", "previouslyFormattedCitation" : "(Li, Zhu, Cao, Sui, &amp; Hu, 2009)"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(Li, Zhu, Cao, Sui, &amp; Hu, 2009)</w:t>
            </w:r>
            <w:r w:rsidRPr="004E45C6">
              <w:rPr>
                <w:rFonts w:ascii="Times New Roman" w:eastAsia="Times New Roman" w:hAnsi="Times New Roman"/>
                <w:color w:val="000000"/>
                <w:lang w:val="es-PY" w:eastAsia="es-PY"/>
              </w:rPr>
              <w:fldChar w:fldCharType="end"/>
            </w:r>
          </w:p>
          <w:p w14:paraId="30364382"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tcPr>
          <w:p w14:paraId="2CC8B07D" w14:textId="305CBA75"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6" w:type="dxa"/>
          </w:tcPr>
          <w:p w14:paraId="0D481FD3"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464FF349"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2FA95245"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3F67E8DB"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r>
      <w:tr w:rsidR="004E45C6" w:rsidRPr="004E45C6" w14:paraId="259F283A" w14:textId="105CF2E0" w:rsidTr="000D22F5">
        <w:trPr>
          <w:trHeight w:val="300"/>
          <w:jc w:val="center"/>
        </w:trPr>
        <w:tc>
          <w:tcPr>
            <w:tcW w:w="2376" w:type="dxa"/>
            <w:noWrap/>
            <w:hideMark/>
          </w:tcPr>
          <w:p w14:paraId="46559AC5" w14:textId="29EA0B99" w:rsidR="004E45C6" w:rsidRPr="004E45C6" w:rsidRDefault="004E45C6" w:rsidP="007A2976">
            <w:pPr>
              <w:suppressAutoHyphens w:val="0"/>
              <w:autoSpaceDN/>
              <w:textAlignment w:val="auto"/>
              <w:rPr>
                <w:rFonts w:ascii="Times New Roman" w:eastAsia="Times New Roman" w:hAnsi="Times New Roman"/>
                <w:color w:val="000000"/>
                <w:lang w:val="es-PY"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s-PY" w:eastAsia="es-PY"/>
              </w:rPr>
              <w:instrText>ADDIN CSL_CITATION { "citationItems" : [ { "id" : "ITEM-1", "itemData" : { "DOI" : "10.1016/j.renene.2012.02.029", "ISBN" : "0960-1481", "ISSN" : "09601481", "abstract" : "With the environmental advantages of solar energy, the use of solar photovoltaic (PV) in residential electricity generation is encouraged by Australian governments incentives, however, what number of residents benefit from installing a grid-connected PV system and how much electricity generated by such a system is not clearly understood yet. This study aims to investigate the economic, technical and environmental performance of residential PV system running under the Queensland (Australia) climatic conditions, and optimize the size and slope of PV array in the system. The solar irradiation data of the 4 typical climate zones of Queensland, including tropical, sub-tropical, hot arid, and warm temperature zone, are investigated. Using global solar irradiation as solar energy resource data, the price of PV devices, batteries, converters, and grid electricity tariff and sale-back tariff as economic analysis inputs, the system is simulated and optimized by HOMER software. The optimized system not only satisfies the typical residential load of 23 kWh per day but also meets the requirement of minimizing the total costs of system investment and electricity consumption during the system's lifetime. It is found that under the specific climatic conditions of the eleven main cities of Queensland, a PV system is an effective way to decrease electricity bills and mitigate carbon dioxide emission. In particular, a 6 kW PV system in Townsville is able to deal with 61% of the total electricity load and conserves more than 90% of electricity payments and reduce approximately 95% of carbon dioxide emission. It is also found that for all the cities the systems with 20-25 degrees of slope have the best performance including the least cost of energy (COE) and the least carbon dioxide emission. ?? 2012 Elsevier Ltd.", "author" : [ { "dropping-particle" : "", "family" : "Liu", "given" : "Gang", "non-dropping-particle" : "", "parse-names" : false, "suffix" : "" }, { "dropping-particle" : "", "family" : "Rasul", "given" : "M. G.", "non-dropping-particle" : "", "parse-names" : false, "suffix" : "" }, { "dropping-particle" : "", "family" : "Amanullah", "given" : "M. T O", "non-dropping-particle" : "", "parse-names" : false, "suffix" : "" }, { "dropping-particle" : "", "family" : "Khan", "given" : "M. M K", "non-dropping-particle" : "", "parse-names" : false, "suffix" : "" } ], "container-title" : "Renewable Energy", "id" : "ITEM-1", "issued" : { "date-parts" : [ [ "2012" ] ] }, "page" : "146-155", "title" : "Techno-economic simulation and optimization of residential grid-connected PV system for the Queensland climate", "type" : "article-journal", "volume" : "45" }, "uris" : [ "http://www.mendeley.com/documents/?uuid=8a4a10da-a69d-4430-8391-6a6530b21272" ] } ], "mendeley" : { "formattedCitation" : "(Liu, Rasul, Amanullah, &amp; Khan, 2012)", "plainTextFormattedCitation" : "(Liu, Rasul, Amanullah, &amp; Khan, 2012)", "previouslyFormattedCitation" : "(Liu, Rasul, Amanullah, &amp; Khan, 2012)"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s-PY" w:eastAsia="es-PY"/>
              </w:rPr>
              <w:t>(Liu, Rasul, Amanullah, &amp; Khan, 2012)</w:t>
            </w:r>
            <w:r w:rsidRPr="004E45C6">
              <w:rPr>
                <w:rFonts w:ascii="Times New Roman" w:eastAsia="Times New Roman" w:hAnsi="Times New Roman"/>
                <w:color w:val="000000"/>
                <w:lang w:val="es-PY" w:eastAsia="es-PY"/>
              </w:rPr>
              <w:fldChar w:fldCharType="end"/>
            </w:r>
          </w:p>
          <w:p w14:paraId="5D1F5BE5" w14:textId="77777777" w:rsidR="004E45C6" w:rsidRPr="004E45C6" w:rsidRDefault="004E45C6" w:rsidP="007A2976">
            <w:pPr>
              <w:suppressAutoHyphens w:val="0"/>
              <w:autoSpaceDN/>
              <w:textAlignment w:val="auto"/>
              <w:rPr>
                <w:rFonts w:ascii="Times New Roman" w:eastAsia="Times New Roman" w:hAnsi="Times New Roman"/>
                <w:color w:val="000000"/>
                <w:lang w:val="es-PY" w:eastAsia="es-PY"/>
              </w:rPr>
            </w:pPr>
          </w:p>
        </w:tc>
        <w:tc>
          <w:tcPr>
            <w:tcW w:w="1276" w:type="dxa"/>
            <w:noWrap/>
          </w:tcPr>
          <w:p w14:paraId="1715425A" w14:textId="2BA48795" w:rsidR="004E45C6" w:rsidRPr="000D22F5" w:rsidRDefault="000D22F5" w:rsidP="000D22F5">
            <w:pPr>
              <w:suppressAutoHyphens w:val="0"/>
              <w:autoSpaceDN/>
              <w:jc w:val="center"/>
              <w:textAlignment w:val="auto"/>
              <w:rPr>
                <w:rFonts w:ascii="Times New Roman" w:eastAsia="Times New Roman" w:hAnsi="Times New Roman"/>
                <w:color w:val="000000"/>
                <w:lang w:val="es-PY" w:eastAsia="es-PY"/>
              </w:rPr>
            </w:pPr>
            <w:r w:rsidRPr="000D22F5">
              <w:rPr>
                <w:rFonts w:ascii="Times New Roman" w:eastAsia="Times New Roman" w:hAnsi="Times New Roman"/>
                <w:color w:val="000000"/>
                <w:lang w:val="es-PY" w:eastAsia="es-PY"/>
              </w:rPr>
              <w:t>√</w:t>
            </w:r>
          </w:p>
        </w:tc>
        <w:tc>
          <w:tcPr>
            <w:tcW w:w="1266" w:type="dxa"/>
          </w:tcPr>
          <w:p w14:paraId="59D57BF0"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023E2FBA"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7B5A9470"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c>
          <w:tcPr>
            <w:tcW w:w="1267" w:type="dxa"/>
          </w:tcPr>
          <w:p w14:paraId="58DE42A1"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s-PY" w:eastAsia="es-PY"/>
              </w:rPr>
            </w:pPr>
          </w:p>
        </w:tc>
      </w:tr>
      <w:tr w:rsidR="004E45C6" w:rsidRPr="000E1F7B" w14:paraId="30679107" w14:textId="61AF10B9" w:rsidTr="000D22F5">
        <w:trPr>
          <w:trHeight w:val="300"/>
          <w:jc w:val="center"/>
        </w:trPr>
        <w:tc>
          <w:tcPr>
            <w:tcW w:w="2376" w:type="dxa"/>
            <w:noWrap/>
            <w:hideMark/>
          </w:tcPr>
          <w:p w14:paraId="65D6EF04" w14:textId="6352ED61" w:rsidR="004E45C6" w:rsidRPr="004E45C6" w:rsidRDefault="004E45C6" w:rsidP="007A2976">
            <w:pPr>
              <w:suppressAutoHyphens w:val="0"/>
              <w:autoSpaceDN/>
              <w:textAlignment w:val="auto"/>
              <w:rPr>
                <w:rFonts w:ascii="Times New Roman" w:eastAsia="Times New Roman" w:hAnsi="Times New Roman"/>
                <w:color w:val="000000"/>
                <w:lang w:val="en-US" w:eastAsia="es-PY"/>
              </w:rPr>
            </w:pPr>
            <w:r w:rsidRPr="004E45C6">
              <w:rPr>
                <w:rFonts w:ascii="Times New Roman" w:eastAsia="Times New Roman" w:hAnsi="Times New Roman"/>
                <w:color w:val="000000"/>
                <w:lang w:val="es-PY" w:eastAsia="es-PY"/>
              </w:rPr>
              <w:fldChar w:fldCharType="begin" w:fldLock="1"/>
            </w:r>
            <w:r w:rsidRPr="004E45C6">
              <w:rPr>
                <w:rFonts w:ascii="Times New Roman" w:eastAsia="Times New Roman" w:hAnsi="Times New Roman"/>
                <w:color w:val="000000"/>
                <w:lang w:val="en-US" w:eastAsia="es-PY"/>
              </w:rPr>
              <w:instrText>ADDIN CSL_CITATION { "citationItems" : [ { "id" : "ITEM-1", "itemData" : { "DOI" : "10.1016/j.energy.2011.11.036", "ISBN" : "0360-5442", "ISSN" : "03605442", "abstract" : "Solar energy technologies offer a clean and renewable energy source, and are essential components of a sustainable energy future. The current paper presents a method for technical-economic optimization of an autonomous photovoltaic system. The principal objective of this study is to find the optimum characteristics of a photovoltaic system, able to accomplish the energy requirements of a given load distribution, for a specific site.Mathematical models are exploited to analyze the working of the photovoltaic system. These models present an estimation of the recovered solar energy anywhere and anytime, an evaluation of the electric energy produced by a photovoltaic generator and a determination of the storage unit characteristics. Then, the optimizing step is done based on lack of energy to generate probability (LEGP), percentage of the surplus of energy produced (PSEP) and the cost of the kilowatt-hour produced (CkWh).A case study has been presented to determine the optimal system configuration used to satisfy the requirements of a typical residential home located in Sfax, Tunisia. \u00a9 2011 Elsevier Ltd.", "author" : [ { "dropping-particle" : "", "family" : "Wissem", "given" : "Zghal", "non-dropping-particle" : "", "parse-names" : false, "suffix" : "" }, { "dropping-particle" : "", "family" : "Gueorgui", "given" : "Kantchev", "non-dropping-particle" : "", "parse-names" : false, "suffix" : "" }, { "dropping-particle" : "", "family" : "H\u00e9di", "given" : "Kchaou", "non-dropping-particle" : "", "parse-names" : false, "suffix" : "" } ], "container-title" : "Energy", "id" : "ITEM-1", "issue" : "1", "issued" : { "date-parts" : [ [ "2012" ] ] }, "page" : "263-272", "title" : "Modeling and technical-economic optimization of an autonomous photovoltaic system", "type" : "article-journal", "volume" : "37" }, "uris" : [ "http://www.mendeley.com/documents/?uuid=e83173e4-47a2-4b45-8122-7baa1c1e2800" ] } ], "mendeley" : { "formattedCitation" : "(Wissem, Gueorgui, &amp; H\u00e9di, 2012)", "plainTextFormattedCitation" : "(Wissem, Gueorgui, &amp; H\u00e9di, 2012)", "previouslyFormattedCitation" : "(Wissem, Gueorgui, &amp; H\u00e9di, 2012)" }, "properties" : { "noteIndex" : 5 }, "schema" : "https://github.com/citation-style-language/schema/raw/master/csl-citation.json" }</w:instrText>
            </w:r>
            <w:r w:rsidRPr="004E45C6">
              <w:rPr>
                <w:rFonts w:ascii="Times New Roman" w:eastAsia="Times New Roman" w:hAnsi="Times New Roman"/>
                <w:color w:val="000000"/>
                <w:lang w:val="es-PY" w:eastAsia="es-PY"/>
              </w:rPr>
              <w:fldChar w:fldCharType="separate"/>
            </w:r>
            <w:r w:rsidRPr="004E45C6">
              <w:rPr>
                <w:rFonts w:ascii="Times New Roman" w:eastAsia="Times New Roman" w:hAnsi="Times New Roman"/>
                <w:noProof/>
                <w:color w:val="000000"/>
                <w:lang w:val="en-US" w:eastAsia="es-PY"/>
              </w:rPr>
              <w:t>(Wissem, Gueorgui, &amp; Hédi, 2012)</w:t>
            </w:r>
            <w:r w:rsidRPr="004E45C6">
              <w:rPr>
                <w:rFonts w:ascii="Times New Roman" w:eastAsia="Times New Roman" w:hAnsi="Times New Roman"/>
                <w:color w:val="000000"/>
                <w:lang w:val="es-PY" w:eastAsia="es-PY"/>
              </w:rPr>
              <w:fldChar w:fldCharType="end"/>
            </w:r>
          </w:p>
          <w:p w14:paraId="019C6445" w14:textId="77777777" w:rsidR="004E45C6" w:rsidRPr="004E45C6" w:rsidRDefault="004E45C6" w:rsidP="007A2976">
            <w:pPr>
              <w:suppressAutoHyphens w:val="0"/>
              <w:autoSpaceDN/>
              <w:textAlignment w:val="auto"/>
              <w:rPr>
                <w:rFonts w:ascii="Times New Roman" w:eastAsia="Times New Roman" w:hAnsi="Times New Roman"/>
                <w:color w:val="000000"/>
                <w:lang w:val="en-US" w:eastAsia="es-PY"/>
              </w:rPr>
            </w:pPr>
          </w:p>
        </w:tc>
        <w:tc>
          <w:tcPr>
            <w:tcW w:w="1276" w:type="dxa"/>
            <w:noWrap/>
          </w:tcPr>
          <w:p w14:paraId="67BF492F" w14:textId="2235EE26" w:rsidR="004E45C6" w:rsidRPr="000D22F5" w:rsidRDefault="000D22F5" w:rsidP="000D22F5">
            <w:pPr>
              <w:suppressAutoHyphens w:val="0"/>
              <w:autoSpaceDN/>
              <w:jc w:val="center"/>
              <w:textAlignment w:val="auto"/>
              <w:rPr>
                <w:rFonts w:ascii="Times New Roman" w:eastAsia="Times New Roman" w:hAnsi="Times New Roman"/>
                <w:color w:val="000000"/>
                <w:lang w:val="en-US" w:eastAsia="es-PY"/>
              </w:rPr>
            </w:pPr>
            <w:r w:rsidRPr="000D22F5">
              <w:rPr>
                <w:rFonts w:ascii="Times New Roman" w:eastAsia="Times New Roman" w:hAnsi="Times New Roman"/>
                <w:color w:val="000000"/>
                <w:lang w:val="es-PY" w:eastAsia="es-PY"/>
              </w:rPr>
              <w:t>√</w:t>
            </w:r>
          </w:p>
        </w:tc>
        <w:tc>
          <w:tcPr>
            <w:tcW w:w="1266" w:type="dxa"/>
          </w:tcPr>
          <w:p w14:paraId="261988C0"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3D03F670"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05BC9C75"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c>
          <w:tcPr>
            <w:tcW w:w="1267" w:type="dxa"/>
          </w:tcPr>
          <w:p w14:paraId="14217B2D" w14:textId="77777777" w:rsidR="004E45C6" w:rsidRPr="000D22F5" w:rsidRDefault="004E45C6" w:rsidP="000D22F5">
            <w:pPr>
              <w:suppressAutoHyphens w:val="0"/>
              <w:autoSpaceDN/>
              <w:jc w:val="center"/>
              <w:textAlignment w:val="auto"/>
              <w:rPr>
                <w:rFonts w:ascii="Times New Roman" w:eastAsia="Times New Roman" w:hAnsi="Times New Roman"/>
                <w:color w:val="000000"/>
                <w:lang w:val="en-US" w:eastAsia="es-PY"/>
              </w:rPr>
            </w:pPr>
          </w:p>
        </w:tc>
      </w:tr>
    </w:tbl>
    <w:p w14:paraId="10338FA4" w14:textId="77777777" w:rsidR="00F42A51" w:rsidRDefault="00F42A51" w:rsidP="00F42A51">
      <w:pPr>
        <w:autoSpaceDE w:val="0"/>
        <w:adjustRightInd w:val="0"/>
        <w:spacing w:after="0" w:line="360" w:lineRule="auto"/>
        <w:jc w:val="both"/>
        <w:rPr>
          <w:rFonts w:ascii="Times New Roman" w:hAnsi="Times New Roman"/>
          <w:lang w:val="en-US"/>
        </w:rPr>
      </w:pPr>
    </w:p>
    <w:p w14:paraId="4E1E9528" w14:textId="523E609F" w:rsidR="0019763E" w:rsidRDefault="003B36D4" w:rsidP="00CD744B">
      <w:pPr>
        <w:spacing w:after="200" w:line="360" w:lineRule="auto"/>
        <w:jc w:val="both"/>
        <w:rPr>
          <w:rFonts w:ascii="Times New Roman" w:hAnsi="Times New Roman"/>
          <w:lang w:val="en-US"/>
        </w:rPr>
      </w:pPr>
      <w:r>
        <w:rPr>
          <w:rFonts w:ascii="Times New Roman" w:hAnsi="Times New Roman"/>
          <w:lang w:val="en-US"/>
        </w:rPr>
        <w:lastRenderedPageBreak/>
        <w:t>For</w:t>
      </w:r>
      <w:r w:rsidR="00F42A51" w:rsidRPr="00EB5A13">
        <w:rPr>
          <w:rFonts w:ascii="Times New Roman" w:hAnsi="Times New Roman"/>
          <w:lang w:val="en-US"/>
        </w:rPr>
        <w:t xml:space="preserve"> online energy management (OEM) for a lithium-ion battery bank used in PV-based</w:t>
      </w:r>
      <w:r w:rsidR="00F42A51">
        <w:rPr>
          <w:rFonts w:ascii="Times New Roman" w:hAnsi="Times New Roman"/>
          <w:lang w:val="en-US"/>
        </w:rPr>
        <w:t xml:space="preserve"> systems to meet the load demand</w:t>
      </w:r>
      <w:r>
        <w:rPr>
          <w:rFonts w:ascii="Times New Roman" w:hAnsi="Times New Roman"/>
          <w:lang w:val="en-US"/>
        </w:rPr>
        <w:t>, t</w:t>
      </w:r>
      <w:r w:rsidR="00F42A51" w:rsidRPr="005A710E">
        <w:rPr>
          <w:rFonts w:ascii="Times New Roman" w:hAnsi="Times New Roman"/>
          <w:lang w:val="en-US"/>
        </w:rPr>
        <w:t>he capacity fade of</w:t>
      </w:r>
      <w:r w:rsidR="00F42A51">
        <w:rPr>
          <w:rFonts w:ascii="Times New Roman" w:hAnsi="Times New Roman"/>
          <w:lang w:val="en-US"/>
        </w:rPr>
        <w:t xml:space="preserve"> </w:t>
      </w:r>
      <w:r w:rsidR="00F42A51" w:rsidRPr="005A710E">
        <w:rPr>
          <w:rFonts w:ascii="Times New Roman" w:hAnsi="Times New Roman"/>
          <w:lang w:val="en-US"/>
        </w:rPr>
        <w:t xml:space="preserve">the lithium-ion battery is </w:t>
      </w:r>
      <w:r w:rsidR="005437CA">
        <w:rPr>
          <w:rFonts w:ascii="Times New Roman" w:hAnsi="Times New Roman"/>
          <w:lang w:val="en-US"/>
        </w:rPr>
        <w:t>influenced by</w:t>
      </w:r>
      <w:r w:rsidR="00F42A51" w:rsidRPr="005A710E">
        <w:rPr>
          <w:rFonts w:ascii="Times New Roman" w:hAnsi="Times New Roman"/>
          <w:lang w:val="en-US"/>
        </w:rPr>
        <w:t xml:space="preserve"> char</w:t>
      </w:r>
      <w:r w:rsidR="00F42A51">
        <w:rPr>
          <w:rFonts w:ascii="Times New Roman" w:hAnsi="Times New Roman"/>
          <w:lang w:val="en-US"/>
        </w:rPr>
        <w:t>ge/discharge currents</w:t>
      </w:r>
      <w:r w:rsidR="00F42A51" w:rsidRPr="005A710E">
        <w:rPr>
          <w:rFonts w:ascii="Times New Roman" w:hAnsi="Times New Roman"/>
          <w:lang w:val="en-US"/>
        </w:rPr>
        <w:t>, DO</w:t>
      </w:r>
      <w:r w:rsidR="00F42A51">
        <w:rPr>
          <w:rFonts w:ascii="Times New Roman" w:hAnsi="Times New Roman"/>
          <w:lang w:val="en-US"/>
        </w:rPr>
        <w:t xml:space="preserve">D, temperature and cycle </w:t>
      </w:r>
      <w:r w:rsidR="00F42A51" w:rsidRPr="00B1282B">
        <w:rPr>
          <w:rFonts w:ascii="Times New Roman" w:hAnsi="Times New Roman"/>
          <w:lang w:val="en-US"/>
        </w:rPr>
        <w:t xml:space="preserve">number </w:t>
      </w:r>
      <w:r w:rsidR="00F42A51" w:rsidRPr="00B1282B">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"10.1016/j.epsr.2015.08.011", "ISBN" : "0378-7796", "ISSN" : "03787796", "abstract" : "Battery storage has been widely used in renewable energy systems. Due to the high cost and limited life span of batteries, effective energy management is normally needed to optimize the battery usage. This paper proposes an online energy management (OEM) for a lithium-ion battery bank used in PV-based systems to meet the load demand. An electrical model and a capacity fade model of batteries, which have been experimentally calibrated, are combined and incorporated in the online energy management. By considering the different status of individual batteries in the battery bank, the proposed OEM aims to minimize the total capacity fade of the battery bank, as well as to economize the cost of using energy. The performance of the proposed OEM is tested and compared with a baseline method under three different scenarios using field-collected PV generation data, load demand data and the real-time uniform Singapore energy price. The proposed OEM shows significant advantages over the baseline method in terms of lower cost of using energy as well as smaller battery capacity fade.", "author" : [ { "dropping-particle" : "", "family" : "Feng", "given" : "Xue", "non-dropping-particle" : "", "parse-names" : false, "suffix" : "" }, { "dropping-particle" : "", "family" : "Gooi", "given" : "Hoay Beng", "non-dropping-particle" : "", "parse-names" : false, "suffix" : "" }, { "dropping-particle" : "", "family" : "Chen", "given" : "Shuaixun", "non-dropping-particle" : "", "parse-names" : false, "suffix" : "" } ], "container-title" : "Electric Power Systems Research", "id" : "ITEM-1", "issued" : { "date-parts" : [ [ "2015" ] ] }, "page" : "150-159", "title" : "Capacity fade-based energy management for lithium-ion batteries used in PV systems", "type" : "article-journal", "volume" : "129" }, "uris" : [ "http://www.mendeley.com/documents/?uuid=93b51375-8077-475a-8242-75166abaee3b" ] } ], "mendeley" : { "formattedCitation" : "(Feng, Gooi, &amp; Chen, 2015)", "plainTextFormattedCitation" : "(Feng, Gooi, &amp; Chen, 2015)", "previouslyFormattedCitation" : "(Feng, Gooi, &amp; Chen, 2015)" }, "properties" : { "noteIndex" : 5 }, "schema" : "https://github.com/citation-style-language/schema/raw/master/csl-citation.json" }</w:instrText>
      </w:r>
      <w:r w:rsidR="00F42A51" w:rsidRPr="00B1282B">
        <w:rPr>
          <w:rFonts w:ascii="Times New Roman" w:hAnsi="Times New Roman"/>
          <w:lang w:val="en-US"/>
        </w:rPr>
        <w:fldChar w:fldCharType="separate"/>
      </w:r>
      <w:r w:rsidR="00D03089" w:rsidRPr="00D03089">
        <w:rPr>
          <w:rFonts w:ascii="Times New Roman" w:hAnsi="Times New Roman"/>
          <w:noProof/>
          <w:lang w:val="en-US"/>
        </w:rPr>
        <w:t>(Feng</w:t>
      </w:r>
      <w:r w:rsidR="005437CA">
        <w:rPr>
          <w:rFonts w:ascii="Times New Roman" w:hAnsi="Times New Roman"/>
          <w:noProof/>
          <w:lang w:val="en-US"/>
        </w:rPr>
        <w:t xml:space="preserve"> et al</w:t>
      </w:r>
      <w:r w:rsidR="00D03089" w:rsidRPr="00D03089">
        <w:rPr>
          <w:rFonts w:ascii="Times New Roman" w:hAnsi="Times New Roman"/>
          <w:noProof/>
          <w:lang w:val="en-US"/>
        </w:rPr>
        <w:t>, 2015)</w:t>
      </w:r>
      <w:r w:rsidR="00F42A51" w:rsidRPr="00B1282B">
        <w:rPr>
          <w:rFonts w:ascii="Times New Roman" w:hAnsi="Times New Roman"/>
          <w:lang w:val="en-US"/>
        </w:rPr>
        <w:fldChar w:fldCharType="end"/>
      </w:r>
      <w:r w:rsidR="00CD744B">
        <w:rPr>
          <w:rFonts w:ascii="Times New Roman" w:hAnsi="Times New Roman"/>
          <w:lang w:val="en-US"/>
        </w:rPr>
        <w:t>.</w:t>
      </w:r>
    </w:p>
    <w:p w14:paraId="5F320260" w14:textId="77777777" w:rsidR="00F42A51" w:rsidRPr="0019763E" w:rsidRDefault="00F42A51" w:rsidP="003B24EF">
      <w:pPr>
        <w:pStyle w:val="ListParagraph"/>
        <w:numPr>
          <w:ilvl w:val="2"/>
          <w:numId w:val="7"/>
        </w:numPr>
        <w:spacing w:after="200" w:line="360" w:lineRule="auto"/>
        <w:jc w:val="both"/>
        <w:rPr>
          <w:sz w:val="22"/>
          <w:szCs w:val="22"/>
          <w:lang w:val="en-US"/>
        </w:rPr>
      </w:pPr>
      <w:r w:rsidRPr="0019763E">
        <w:rPr>
          <w:sz w:val="22"/>
          <w:szCs w:val="22"/>
          <w:lang w:val="en-US"/>
        </w:rPr>
        <w:t>Advantages of EES for PV</w:t>
      </w:r>
    </w:p>
    <w:p w14:paraId="77641191" w14:textId="3E0DA08F" w:rsidR="00F42A51" w:rsidRPr="00BD3D2B" w:rsidRDefault="00F42A51" w:rsidP="00F42A51">
      <w:pPr>
        <w:autoSpaceDE w:val="0"/>
        <w:adjustRightInd w:val="0"/>
        <w:spacing w:after="0" w:line="360" w:lineRule="auto"/>
        <w:jc w:val="both"/>
        <w:rPr>
          <w:rFonts w:ascii="Times New Roman" w:hAnsi="Times New Roman"/>
          <w:lang w:val="en-US"/>
        </w:rPr>
      </w:pPr>
      <w:r w:rsidRPr="00617EDC">
        <w:rPr>
          <w:rFonts w:ascii="Times New Roman" w:hAnsi="Times New Roman"/>
          <w:lang w:val="en-US"/>
        </w:rPr>
        <w:t xml:space="preserve">Battery storage is an effective means for reducing the intermittency of electricity generated by solar photovoltaic (PV) systems </w:t>
      </w:r>
      <w:r w:rsidRPr="00617EDC">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"10.1016/j.rser.2014.07.068", "ISBN" : "1364-0321", "ISSN" : "13640321", "abstract" : "Battery storage is generally considered an effective means for reducing the intermittency of electricity generated by solar photovoltaic (PV) systems. However, currently it remains unclear when and under which conditions battery storage can be profitably operated in residential PV systems without policy support. Based on a review of previous studies that have examined the economics of integrated PV-battery systems, in this paper we devise a simulation model that investigates the economic viability of battery storage for residential PV in Germany under eight different electricity price scenarios from 2013 to 2022. In contrast to previous forward-looking studies, we assume that no premium is paid for solar photovoltaic power and/or self-consumed electricity. Additionally, we run the model with a large number of different PV and storage capacities to determine the economically optimal configuration in terms of system size. We find that already in 2013 investments in storage solutions were economically viable for small PV systems. Given the assumptions of our model, the optimal size of both residential PV systems and battery storage rises significantly in the future. Higher electricity retail prices, lower electricity wholesale prices or limited access to the electricity wholesale market add to the profitability of storage. We conclude that additional policy incentives to foster investments in battery storage for residential PV in Germany will only be necessary in the short run. At the same time, the impending profitability of integrated PV-storage systems is likely to further spur the ongoing trend toward distributed electricity generation with major implications for the electricity sector. \u00a9 2014 Elsevier Ltd.", "author" : [ { "dropping-particle" : "", "family" : "Hoppmann", "given" : "Joern", "non-dropping-particle" : "", "parse-names" : false, "suffix" : "" }, { "dropping-particle" : "", "family" : "Volland", "given" : "Jonas", "non-dropping-particle" : "", "parse-names" : false, "suffix" : "" }, { "dropping-particle" : "", "family" : "Schmidt", "given" : "Tobias S.", "non-dropping-particle" : "", "parse-names" : false, "suffix" : "" }, { "dropping-particle" : "", "family" : "Hoffmann", "given" : "Volker H.", "non-dropping-particle" : "", "parse-names" : false, "suffix" : "" } ], "container-title" : "Renewable and Sustainable Energy Reviews", "id" : "ITEM-1", "issued" : { "date-parts" : [ [ "2014" ] ] }, "page" : "1101-1118", "title" : "The economic viability of battery storage for residential solar photovoltaic systems - A review and a simulation model", "type" : "article", "volume" : "39" }, "uris" : [ "http://www.mendeley.com/documents/?uuid=8478208b-c4b4-4b4a-aba8-471528c59c78" ] } ], "mendeley" : { "formattedCitation" : "(Hoppmann et al., 2014)", "plainTextFormattedCitation" : "(Hoppmann et al., 2014)", "previouslyFormattedCitation" : "(Hoppmann et al., 2014)" }, "properties" : { "noteIndex" : 5 }, "schema" : "https://github.com/citation-style-language/schema/raw/master/csl-citation.json" }</w:instrText>
      </w:r>
      <w:r w:rsidRPr="00617EDC">
        <w:rPr>
          <w:rFonts w:ascii="Times New Roman" w:hAnsi="Times New Roman"/>
          <w:lang w:val="en-US"/>
        </w:rPr>
        <w:fldChar w:fldCharType="separate"/>
      </w:r>
      <w:r w:rsidRPr="00617EDC">
        <w:rPr>
          <w:rFonts w:ascii="Times New Roman" w:hAnsi="Times New Roman"/>
          <w:noProof/>
          <w:lang w:val="en-US"/>
        </w:rPr>
        <w:t>(Hoppmann et al., 2014)</w:t>
      </w:r>
      <w:r w:rsidRPr="00617EDC">
        <w:rPr>
          <w:rFonts w:ascii="Times New Roman" w:hAnsi="Times New Roman"/>
          <w:lang w:val="en-US"/>
        </w:rPr>
        <w:fldChar w:fldCharType="end"/>
      </w:r>
      <w:r w:rsidR="00CD247C">
        <w:rPr>
          <w:rFonts w:ascii="Times New Roman" w:hAnsi="Times New Roman"/>
          <w:lang w:val="en-US"/>
        </w:rPr>
        <w:t xml:space="preserve"> </w:t>
      </w:r>
      <w:r w:rsidRPr="0075262F">
        <w:rPr>
          <w:rFonts w:ascii="Times New Roman" w:hAnsi="Times New Roman"/>
          <w:lang w:val="en-US"/>
        </w:rPr>
        <w:t>to improve the load factor, considering supply side mana</w:t>
      </w:r>
      <w:r>
        <w:rPr>
          <w:rFonts w:ascii="Times New Roman" w:hAnsi="Times New Roman"/>
          <w:lang w:val="en-US"/>
        </w:rPr>
        <w:t xml:space="preserve">gement, and the offer of backup </w:t>
      </w:r>
      <w:r w:rsidRPr="0075262F">
        <w:rPr>
          <w:rFonts w:ascii="Times New Roman" w:hAnsi="Times New Roman"/>
          <w:lang w:val="en-US"/>
        </w:rPr>
        <w:t xml:space="preserve">energy, </w:t>
      </w:r>
      <w:r w:rsidR="00CD247C">
        <w:rPr>
          <w:rFonts w:ascii="Times New Roman" w:hAnsi="Times New Roman"/>
          <w:lang w:val="en-US"/>
        </w:rPr>
        <w:t>for</w:t>
      </w:r>
      <w:r w:rsidRPr="0075262F">
        <w:rPr>
          <w:rFonts w:ascii="Times New Roman" w:hAnsi="Times New Roman"/>
          <w:lang w:val="en-US"/>
        </w:rPr>
        <w:t xml:space="preserve"> demand side management.</w:t>
      </w:r>
      <w:r w:rsidR="00CD247C">
        <w:rPr>
          <w:rFonts w:ascii="Times New Roman" w:hAnsi="Times New Roman"/>
          <w:lang w:val="en-US"/>
        </w:rPr>
        <w:t xml:space="preserve">  </w:t>
      </w:r>
      <w:r w:rsidRPr="00617EDC">
        <w:rPr>
          <w:rFonts w:ascii="Times New Roman" w:hAnsi="Times New Roman"/>
          <w:lang w:val="en-US"/>
        </w:rPr>
        <w:t xml:space="preserve">PV systems </w:t>
      </w:r>
      <w:r w:rsidR="00CD247C">
        <w:rPr>
          <w:rFonts w:ascii="Times New Roman" w:hAnsi="Times New Roman"/>
          <w:lang w:val="en-US"/>
        </w:rPr>
        <w:t xml:space="preserve">have often been </w:t>
      </w:r>
      <w:r w:rsidRPr="00617EDC">
        <w:rPr>
          <w:rFonts w:ascii="Times New Roman" w:hAnsi="Times New Roman"/>
          <w:lang w:val="en-US"/>
        </w:rPr>
        <w:t>installed to feed the generated electricity into the electricity grid, which was remunerated with feed-in tariffs. However,</w:t>
      </w:r>
      <w:r w:rsidR="00CD247C">
        <w:rPr>
          <w:rFonts w:ascii="Times New Roman" w:hAnsi="Times New Roman"/>
          <w:lang w:val="en-US"/>
        </w:rPr>
        <w:t xml:space="preserve"> this changed</w:t>
      </w:r>
      <w:r w:rsidRPr="00617EDC">
        <w:rPr>
          <w:rFonts w:ascii="Times New Roman" w:hAnsi="Times New Roman"/>
          <w:lang w:val="en-US"/>
        </w:rPr>
        <w:t xml:space="preserve"> in the beginning of 2012, </w:t>
      </w:r>
      <w:r w:rsidR="00CD247C">
        <w:rPr>
          <w:rFonts w:ascii="Times New Roman" w:hAnsi="Times New Roman"/>
          <w:lang w:val="en-US"/>
        </w:rPr>
        <w:t xml:space="preserve">when </w:t>
      </w:r>
      <w:r w:rsidRPr="00617EDC">
        <w:rPr>
          <w:rFonts w:ascii="Times New Roman" w:hAnsi="Times New Roman"/>
          <w:lang w:val="en-US"/>
        </w:rPr>
        <w:t>the feed-in tariffs for PV systems below 10 kWp undercut the retail electricity p</w:t>
      </w:r>
      <w:r>
        <w:rPr>
          <w:rFonts w:ascii="Times New Roman" w:hAnsi="Times New Roman"/>
          <w:lang w:val="en-US"/>
        </w:rPr>
        <w:t xml:space="preserve">rices for households in Germany </w:t>
      </w:r>
      <w:r>
        <w:rPr>
          <w:rFonts w:ascii="Times New Roman" w:hAnsi="Times New Roman"/>
          <w:lang w:val="en-US"/>
        </w:rPr>
        <w:fldChar w:fldCharType="begin" w:fldLock="1"/>
      </w:r>
      <w:r w:rsidR="00D03089">
        <w:rPr>
          <w:rFonts w:ascii="Times New Roman" w:hAnsi="Times New Roman"/>
          <w:lang w:val="en-US"/>
        </w:rPr>
        <w:instrText>ADDIN CSL_CITATION { "citationItems" : [ { "id" : "ITEM-1", "itemData" : { "DOI" : "10.1016/j.egypro.2014.01.160", "ISBN" : "4930501948364", "ISSN" : "18766102", "abstract" : "This paper analyses residential PV battery systems in order to gain insights into their sizing. For this purpose a simulation model was developed and system simulations on a timescale of one minute were performed. Furthermore, a sensitivity analysis was conducted varying the PV system and battery size to identify appropriate system configurations. Based on the simulation results, an economic assessment of PV battery systems was carried out and the cost-optimal configurations for various cost scenarios were determined. The results show that in the considered long-term scenario the conjunction of PV systems with batteries will be not only profitable but also the most economical solution. \u00a9 2014 The Authors.", "author" : [ { "dropping-particle" : "", "family" : "Weniger", "given" : "Johannes", "non-dropping-particle" : "", "parse-names" : false, "suffix" : "" }, { "dropping-particle" : "", "family" : "Tjaden", "given" : "Tjarko", "non-dropping-particle" : "", "parse-names" : false, "suffix" : "" }, { "dropping-particle" : "", "family" : "Quaschning", "given" : "Volker", "non-dropping-particle" : "", "parse-names" : false, "suffix" : "" } ], "container-title" : "Energy Procedia", "id" : "ITEM-1", "issued" : { "date-parts" : [ [ "2014" ] ] }, "page" : "78-87", "title" : "Sizing of residential PV battery systems", "type" : "paper-conference", "volume" : "46" }, "uris" : [ "http://www.mendeley.com/documents/?uuid=0ba8536d-2bf6-400d-863a-19bbe051364f" ] } ], "mendeley" : { "formattedCitation" : "(Weniger, Tjaden, &amp; Quaschning, 2014)", "plainTextFormattedCitation" : "(Weniger, Tjaden, &amp; Quaschning, 2014)", "previouslyFormattedCitation" : "(Weniger, Tjaden, &amp; Quaschning, 2014)" }, "properties" : { "noteIndex" : 9 }, "schema" : "https://github.com/citation-style-language/schema/raw/master/csl-citation.json" }</w:instrText>
      </w:r>
      <w:r>
        <w:rPr>
          <w:rFonts w:ascii="Times New Roman" w:hAnsi="Times New Roman"/>
          <w:lang w:val="en-US"/>
        </w:rPr>
        <w:fldChar w:fldCharType="separate"/>
      </w:r>
      <w:r w:rsidR="00D03089" w:rsidRPr="00D03089">
        <w:rPr>
          <w:rFonts w:ascii="Times New Roman" w:hAnsi="Times New Roman"/>
          <w:noProof/>
          <w:lang w:val="en-US"/>
        </w:rPr>
        <w:t>(Weniger</w:t>
      </w:r>
      <w:r w:rsidR="00CD247C">
        <w:rPr>
          <w:rFonts w:ascii="Times New Roman" w:hAnsi="Times New Roman"/>
          <w:noProof/>
          <w:lang w:val="en-US"/>
        </w:rPr>
        <w:t xml:space="preserve"> et al</w:t>
      </w:r>
      <w:r w:rsidR="00D03089" w:rsidRPr="00D03089">
        <w:rPr>
          <w:rFonts w:ascii="Times New Roman" w:hAnsi="Times New Roman"/>
          <w:noProof/>
          <w:lang w:val="en-US"/>
        </w:rPr>
        <w:t>, 2014)</w:t>
      </w:r>
      <w:r>
        <w:rPr>
          <w:rFonts w:ascii="Times New Roman" w:hAnsi="Times New Roman"/>
          <w:lang w:val="en-US"/>
        </w:rPr>
        <w:fldChar w:fldCharType="end"/>
      </w:r>
      <w:r>
        <w:rPr>
          <w:rFonts w:ascii="Times New Roman" w:hAnsi="Times New Roman"/>
          <w:lang w:val="en-US"/>
        </w:rPr>
        <w:t xml:space="preserve"> </w:t>
      </w:r>
      <w:r w:rsidRPr="00617EDC">
        <w:rPr>
          <w:rFonts w:ascii="Times New Roman" w:hAnsi="Times New Roman"/>
          <w:lang w:val="en-US"/>
        </w:rPr>
        <w:t>. With the increas</w:t>
      </w:r>
      <w:r w:rsidR="005B4250">
        <w:rPr>
          <w:rFonts w:ascii="Times New Roman" w:hAnsi="Times New Roman"/>
          <w:lang w:val="en-US"/>
        </w:rPr>
        <w:t>e</w:t>
      </w:r>
      <w:r w:rsidRPr="00617EDC">
        <w:rPr>
          <w:rFonts w:ascii="Times New Roman" w:hAnsi="Times New Roman"/>
          <w:lang w:val="en-US"/>
        </w:rPr>
        <w:t xml:space="preserve"> </w:t>
      </w:r>
      <w:r>
        <w:rPr>
          <w:rFonts w:ascii="Times New Roman" w:hAnsi="Times New Roman"/>
          <w:lang w:val="en-US"/>
        </w:rPr>
        <w:t>of</w:t>
      </w:r>
      <w:r w:rsidRPr="00617EDC">
        <w:rPr>
          <w:rFonts w:ascii="Times New Roman" w:hAnsi="Times New Roman"/>
          <w:lang w:val="en-US"/>
        </w:rPr>
        <w:t xml:space="preserve"> PV feed-in tariffs and prices of grid electricity, using the PV generated electricity </w:t>
      </w:r>
      <w:r>
        <w:rPr>
          <w:rFonts w:ascii="Times New Roman" w:hAnsi="Times New Roman"/>
          <w:lang w:val="en-US"/>
        </w:rPr>
        <w:t>in</w:t>
      </w:r>
      <w:r w:rsidRPr="00617EDC">
        <w:rPr>
          <w:rFonts w:ascii="Times New Roman" w:hAnsi="Times New Roman"/>
          <w:lang w:val="en-US"/>
        </w:rPr>
        <w:t xml:space="preserve"> the household level is becoming more attractiv</w:t>
      </w:r>
      <w:r>
        <w:rPr>
          <w:rFonts w:ascii="Times New Roman" w:hAnsi="Times New Roman"/>
          <w:lang w:val="en-US"/>
        </w:rPr>
        <w:t>e than feeding it into the grid</w:t>
      </w:r>
      <w:r w:rsidRPr="00617EDC">
        <w:rPr>
          <w:rFonts w:ascii="Times New Roman" w:hAnsi="Times New Roman"/>
          <w:lang w:val="en-US"/>
        </w:rPr>
        <w:t xml:space="preserve">. PV systems with </w:t>
      </w:r>
      <w:r w:rsidR="00CD247C">
        <w:rPr>
          <w:rFonts w:ascii="Times New Roman" w:hAnsi="Times New Roman"/>
          <w:lang w:val="en-US"/>
        </w:rPr>
        <w:t xml:space="preserve">battery </w:t>
      </w:r>
      <w:r w:rsidRPr="00617EDC">
        <w:rPr>
          <w:rFonts w:ascii="Times New Roman" w:hAnsi="Times New Roman"/>
          <w:lang w:val="en-US"/>
        </w:rPr>
        <w:t xml:space="preserve">storage </w:t>
      </w:r>
      <w:r w:rsidR="00CD247C">
        <w:rPr>
          <w:rFonts w:ascii="Times New Roman" w:hAnsi="Times New Roman"/>
          <w:lang w:val="en-US"/>
        </w:rPr>
        <w:t xml:space="preserve">can </w:t>
      </w:r>
      <w:r w:rsidRPr="00617EDC">
        <w:rPr>
          <w:rFonts w:ascii="Times New Roman" w:hAnsi="Times New Roman"/>
          <w:lang w:val="en-US"/>
        </w:rPr>
        <w:t>increase of self-</w:t>
      </w:r>
      <w:r>
        <w:rPr>
          <w:rFonts w:ascii="Times New Roman" w:hAnsi="Times New Roman"/>
          <w:lang w:val="en-US"/>
        </w:rPr>
        <w:t xml:space="preserve"> </w:t>
      </w:r>
      <w:r w:rsidRPr="00617EDC">
        <w:rPr>
          <w:rFonts w:ascii="Times New Roman" w:hAnsi="Times New Roman"/>
          <w:lang w:val="en-US"/>
        </w:rPr>
        <w:t>consumed PV electricity. With a battery system, the excess PV electricity during the day is buffered and later used</w:t>
      </w:r>
      <w:r w:rsidR="005B4250">
        <w:rPr>
          <w:rFonts w:ascii="Times New Roman" w:hAnsi="Times New Roman"/>
          <w:lang w:val="en-US"/>
        </w:rPr>
        <w:t xml:space="preserve"> </w:t>
      </w:r>
      <w:r w:rsidRPr="00617EDC">
        <w:rPr>
          <w:rFonts w:ascii="Times New Roman" w:hAnsi="Times New Roman"/>
          <w:lang w:val="en-US"/>
        </w:rPr>
        <w:t>at night. In this way, households equipped with a PV battery system can reduce the</w:t>
      </w:r>
      <w:r>
        <w:rPr>
          <w:rFonts w:ascii="Times New Roman" w:hAnsi="Times New Roman"/>
          <w:lang w:val="en-US"/>
        </w:rPr>
        <w:t xml:space="preserve"> energy drawn from the grid and </w:t>
      </w:r>
      <w:r w:rsidRPr="00617EDC">
        <w:rPr>
          <w:rFonts w:ascii="Times New Roman" w:hAnsi="Times New Roman"/>
          <w:lang w:val="en-US"/>
        </w:rPr>
        <w:t xml:space="preserve">therefore </w:t>
      </w:r>
      <w:r>
        <w:rPr>
          <w:rFonts w:ascii="Times New Roman" w:hAnsi="Times New Roman"/>
          <w:lang w:val="en-US"/>
        </w:rPr>
        <w:t>increase their self-sufficiency.</w:t>
      </w:r>
    </w:p>
    <w:p w14:paraId="5502E208" w14:textId="77777777" w:rsidR="00F42A51" w:rsidRPr="0019763E" w:rsidRDefault="00F42A51" w:rsidP="003B24EF">
      <w:pPr>
        <w:pStyle w:val="ListParagraph"/>
        <w:numPr>
          <w:ilvl w:val="2"/>
          <w:numId w:val="7"/>
        </w:numPr>
        <w:spacing w:after="200" w:line="360" w:lineRule="auto"/>
        <w:jc w:val="both"/>
        <w:rPr>
          <w:sz w:val="22"/>
          <w:szCs w:val="22"/>
          <w:lang w:val="en-US"/>
        </w:rPr>
      </w:pPr>
      <w:r w:rsidRPr="0019763E">
        <w:rPr>
          <w:sz w:val="22"/>
          <w:szCs w:val="22"/>
          <w:lang w:val="en-US"/>
        </w:rPr>
        <w:t>Limitation of Electrical PV storage</w:t>
      </w:r>
    </w:p>
    <w:p w14:paraId="617B3413" w14:textId="1682D486" w:rsidR="00F42A51" w:rsidRPr="00C34A3B" w:rsidRDefault="00CD247C" w:rsidP="00F42A51">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T</w:t>
      </w:r>
      <w:r w:rsidR="00F42A51" w:rsidRPr="004D4431">
        <w:rPr>
          <w:rFonts w:ascii="Times New Roman" w:eastAsia="Times New Roman" w:hAnsi="Times New Roman"/>
          <w:lang w:val="en-US" w:eastAsia="en-GB"/>
        </w:rPr>
        <w:t xml:space="preserve">hree barriers to a more widespread use of solar PV are that </w:t>
      </w:r>
      <w:r>
        <w:rPr>
          <w:rFonts w:ascii="Times New Roman" w:eastAsia="Times New Roman" w:hAnsi="Times New Roman"/>
          <w:lang w:val="en-US" w:eastAsia="en-GB"/>
        </w:rPr>
        <w:t xml:space="preserve">(i) </w:t>
      </w:r>
      <w:r w:rsidR="00F42A51" w:rsidRPr="004D4431">
        <w:rPr>
          <w:rFonts w:ascii="Times New Roman" w:eastAsia="Times New Roman" w:hAnsi="Times New Roman"/>
          <w:lang w:val="en-US" w:eastAsia="en-GB"/>
        </w:rPr>
        <w:t xml:space="preserve">electricity generation from this source is limited to daytimes, </w:t>
      </w:r>
      <w:r>
        <w:rPr>
          <w:rFonts w:ascii="Times New Roman" w:eastAsia="Times New Roman" w:hAnsi="Times New Roman"/>
          <w:lang w:val="en-US" w:eastAsia="en-GB"/>
        </w:rPr>
        <w:t xml:space="preserve">(ii) </w:t>
      </w:r>
      <w:r w:rsidR="00F42A51" w:rsidRPr="004D4431">
        <w:rPr>
          <w:rFonts w:ascii="Times New Roman" w:eastAsia="Times New Roman" w:hAnsi="Times New Roman"/>
          <w:lang w:val="en-US" w:eastAsia="en-GB"/>
        </w:rPr>
        <w:t xml:space="preserve">depends on local weather conditions and </w:t>
      </w:r>
      <w:r>
        <w:rPr>
          <w:rFonts w:ascii="Times New Roman" w:eastAsia="Times New Roman" w:hAnsi="Times New Roman"/>
          <w:lang w:val="en-US" w:eastAsia="en-GB"/>
        </w:rPr>
        <w:t xml:space="preserve">(iii) </w:t>
      </w:r>
      <w:r w:rsidR="00F42A51" w:rsidRPr="004D4431">
        <w:rPr>
          <w:rFonts w:ascii="Times New Roman" w:eastAsia="Times New Roman" w:hAnsi="Times New Roman"/>
          <w:lang w:val="en-US" w:eastAsia="en-GB"/>
        </w:rPr>
        <w:t>fluctuates strongly over the yea</w:t>
      </w:r>
      <w:r w:rsidR="00F42A51">
        <w:rPr>
          <w:rFonts w:ascii="Times New Roman" w:eastAsia="Times New Roman" w:hAnsi="Times New Roman"/>
          <w:lang w:val="en-US" w:eastAsia="en-GB"/>
        </w:rPr>
        <w:t>r</w:t>
      </w:r>
      <w:r w:rsidR="00F42A51" w:rsidRPr="004D4431">
        <w:rPr>
          <w:rFonts w:ascii="Times New Roman" w:eastAsia="Times New Roman" w:hAnsi="Times New Roman"/>
          <w:lang w:val="en-US" w:eastAsia="en-GB"/>
        </w:rPr>
        <w:t xml:space="preserve">. </w:t>
      </w:r>
      <w:r w:rsidR="00F42A51">
        <w:rPr>
          <w:rFonts w:ascii="Times New Roman" w:eastAsia="Times New Roman" w:hAnsi="Times New Roman"/>
          <w:lang w:val="en-US" w:eastAsia="en-GB"/>
        </w:rPr>
        <w:t>W</w:t>
      </w:r>
      <w:r w:rsidR="00F42A51" w:rsidRPr="004D4431">
        <w:rPr>
          <w:rFonts w:ascii="Times New Roman" w:eastAsia="Times New Roman" w:hAnsi="Times New Roman"/>
          <w:lang w:val="en-US" w:eastAsia="en-GB"/>
        </w:rPr>
        <w:t xml:space="preserve">hile the possibility of shifting the supply of electricity to different times enhances the value of the electricity produced, adding storage technologies to a PV system also raises the overall investment cost to be borne by plant operators. </w:t>
      </w:r>
      <w:r>
        <w:rPr>
          <w:rFonts w:ascii="Times New Roman" w:eastAsia="Times New Roman" w:hAnsi="Times New Roman"/>
          <w:lang w:val="en-US" w:eastAsia="en-GB"/>
        </w:rPr>
        <w:t xml:space="preserve">In </w:t>
      </w:r>
      <w:r w:rsidR="00F42A51">
        <w:rPr>
          <w:rFonts w:ascii="Times New Roman" w:eastAsia="Times New Roman" w:hAnsi="Times New Roman"/>
          <w:lang w:val="en-US" w:eastAsia="en-GB"/>
        </w:rPr>
        <w:t>Germany</w:t>
      </w:r>
      <w:r w:rsidR="00F42A51" w:rsidRPr="004D4431">
        <w:rPr>
          <w:rFonts w:ascii="Times New Roman" w:eastAsia="Times New Roman" w:hAnsi="Times New Roman"/>
          <w:lang w:val="en-US" w:eastAsia="en-GB"/>
        </w:rPr>
        <w:t xml:space="preserve"> programs </w:t>
      </w:r>
      <w:r>
        <w:rPr>
          <w:rFonts w:ascii="Times New Roman" w:eastAsia="Times New Roman" w:hAnsi="Times New Roman"/>
          <w:lang w:val="en-US" w:eastAsia="en-GB"/>
        </w:rPr>
        <w:t>now</w:t>
      </w:r>
      <w:r w:rsidR="00F42A51" w:rsidRPr="004D4431">
        <w:rPr>
          <w:rFonts w:ascii="Times New Roman" w:eastAsia="Times New Roman" w:hAnsi="Times New Roman"/>
          <w:lang w:val="en-US" w:eastAsia="en-GB"/>
        </w:rPr>
        <w:t xml:space="preserve"> subsidi</w:t>
      </w:r>
      <w:r w:rsidR="00F42A51">
        <w:rPr>
          <w:rFonts w:ascii="Times New Roman" w:eastAsia="Times New Roman" w:hAnsi="Times New Roman"/>
          <w:lang w:val="en-US" w:eastAsia="en-GB"/>
        </w:rPr>
        <w:t>ze the use of storage technologies for residential PV</w:t>
      </w:r>
      <w:r w:rsidR="00F42A51" w:rsidRPr="004D4431">
        <w:rPr>
          <w:rFonts w:ascii="Times New Roman" w:eastAsia="Times New Roman" w:hAnsi="Times New Roman"/>
          <w:lang w:val="en-US" w:eastAsia="en-GB"/>
        </w:rPr>
        <w:t>. Considering the falling costs for both PV and battery technologies, however, it remains controversial</w:t>
      </w:r>
      <w:r>
        <w:rPr>
          <w:rFonts w:ascii="Times New Roman" w:eastAsia="Times New Roman" w:hAnsi="Times New Roman"/>
          <w:lang w:val="en-US" w:eastAsia="en-GB"/>
        </w:rPr>
        <w:t xml:space="preserve"> </w:t>
      </w:r>
      <w:r w:rsidR="00F42A51" w:rsidRPr="004D4431">
        <w:rPr>
          <w:rFonts w:ascii="Times New Roman" w:eastAsia="Times New Roman" w:hAnsi="Times New Roman"/>
          <w:lang w:val="en-US" w:eastAsia="en-GB"/>
        </w:rPr>
        <w:t>whether and for how long these subsidies are necessary to drive the depl</w:t>
      </w:r>
      <w:r>
        <w:rPr>
          <w:rFonts w:ascii="Times New Roman" w:eastAsia="Times New Roman" w:hAnsi="Times New Roman"/>
          <w:lang w:val="en-US" w:eastAsia="en-GB"/>
        </w:rPr>
        <w:t>oyment of storage technologies. T</w:t>
      </w:r>
      <w:r w:rsidR="00F42A51" w:rsidRPr="00723A94">
        <w:rPr>
          <w:rFonts w:ascii="Times New Roman" w:eastAsia="Times New Roman" w:hAnsi="Times New Roman"/>
          <w:lang w:val="en-US" w:eastAsia="en-GB"/>
        </w:rPr>
        <w:t xml:space="preserve">he economic viability of storage </w:t>
      </w:r>
      <w:r>
        <w:rPr>
          <w:rFonts w:ascii="Times New Roman" w:eastAsia="Times New Roman" w:hAnsi="Times New Roman"/>
          <w:lang w:val="en-US" w:eastAsia="en-GB"/>
        </w:rPr>
        <w:t xml:space="preserve">is often based on an assumption that </w:t>
      </w:r>
      <w:r w:rsidR="00F42A51" w:rsidRPr="00723A94">
        <w:rPr>
          <w:rFonts w:ascii="Times New Roman" w:eastAsia="Times New Roman" w:hAnsi="Times New Roman"/>
          <w:lang w:val="en-US" w:eastAsia="en-GB"/>
        </w:rPr>
        <w:t>policy support in the form of feed-in tariffs for solar photovoltaic power and/or additional premiums for self-consumed electricity.</w:t>
      </w:r>
      <w:r w:rsidR="00F42A51">
        <w:rPr>
          <w:rFonts w:ascii="Times New Roman" w:eastAsia="Times New Roman" w:hAnsi="Times New Roman"/>
          <w:lang w:val="en-US" w:eastAsia="en-GB"/>
        </w:rPr>
        <w:t xml:space="preserve"> </w:t>
      </w:r>
      <w:r w:rsidR="00F42A51" w:rsidRPr="00723A94">
        <w:rPr>
          <w:rFonts w:ascii="Times New Roman" w:eastAsia="Times New Roman" w:hAnsi="Times New Roman"/>
          <w:lang w:val="en-US" w:eastAsia="en-GB"/>
        </w:rPr>
        <w:t>However, feed-in tariffs in many countries have significantly decreased over last years an</w:t>
      </w:r>
      <w:r w:rsidR="00C877A0">
        <w:rPr>
          <w:rFonts w:ascii="Times New Roman" w:eastAsia="Times New Roman" w:hAnsi="Times New Roman"/>
          <w:lang w:val="en-US" w:eastAsia="en-GB"/>
        </w:rPr>
        <w:t>d are expected to be phased out</w:t>
      </w:r>
      <w:r w:rsidR="00F42A51">
        <w:rPr>
          <w:rFonts w:ascii="Times New Roman" w:eastAsia="Times New Roman" w:hAnsi="Times New Roman"/>
          <w:lang w:val="en-US" w:eastAsia="en-GB"/>
        </w:rPr>
        <w:t xml:space="preserve">. </w:t>
      </w:r>
      <w:r w:rsidR="00F42A51" w:rsidRPr="00723A94">
        <w:rPr>
          <w:rFonts w:ascii="Times New Roman" w:eastAsia="Times New Roman" w:hAnsi="Times New Roman"/>
          <w:lang w:val="en-US" w:eastAsia="en-GB"/>
        </w:rPr>
        <w:t xml:space="preserve">Therefore, it </w:t>
      </w:r>
      <w:r w:rsidR="00C877A0">
        <w:rPr>
          <w:rFonts w:ascii="Times New Roman" w:eastAsia="Times New Roman" w:hAnsi="Times New Roman"/>
          <w:lang w:val="en-US" w:eastAsia="en-GB"/>
        </w:rPr>
        <w:t>i</w:t>
      </w:r>
      <w:r w:rsidR="00F42A51" w:rsidRPr="00723A94">
        <w:rPr>
          <w:rFonts w:ascii="Times New Roman" w:eastAsia="Times New Roman" w:hAnsi="Times New Roman"/>
          <w:lang w:val="en-US" w:eastAsia="en-GB"/>
        </w:rPr>
        <w:t xml:space="preserve">s important to investigate the </w:t>
      </w:r>
      <w:r w:rsidR="00C877A0">
        <w:rPr>
          <w:rFonts w:ascii="Times New Roman" w:eastAsia="Times New Roman" w:hAnsi="Times New Roman"/>
          <w:lang w:val="en-US" w:eastAsia="en-GB"/>
        </w:rPr>
        <w:t>viability</w:t>
      </w:r>
      <w:r w:rsidR="00F42A51" w:rsidRPr="00723A94">
        <w:rPr>
          <w:rFonts w:ascii="Times New Roman" w:eastAsia="Times New Roman" w:hAnsi="Times New Roman"/>
          <w:lang w:val="en-US" w:eastAsia="en-GB"/>
        </w:rPr>
        <w:t xml:space="preserve"> of storage in an environment without subsidies for PV and storage t</w:t>
      </w:r>
      <w:r w:rsidR="00F42A51">
        <w:rPr>
          <w:rFonts w:ascii="Times New Roman" w:eastAsia="Times New Roman" w:hAnsi="Times New Roman"/>
          <w:lang w:val="en-US" w:eastAsia="en-GB"/>
        </w:rPr>
        <w:t xml:space="preserve">echnologies. </w:t>
      </w:r>
      <w:r w:rsidR="00C877A0">
        <w:rPr>
          <w:rFonts w:ascii="Times New Roman" w:eastAsia="Times New Roman" w:hAnsi="Times New Roman"/>
          <w:lang w:val="en-US" w:eastAsia="en-GB"/>
        </w:rPr>
        <w:t>S</w:t>
      </w:r>
      <w:r w:rsidR="00F42A51" w:rsidRPr="00723A94">
        <w:rPr>
          <w:rFonts w:ascii="Times New Roman" w:eastAsia="Times New Roman" w:hAnsi="Times New Roman"/>
          <w:lang w:val="en-US" w:eastAsia="en-GB"/>
        </w:rPr>
        <w:t xml:space="preserve">tudies </w:t>
      </w:r>
      <w:r w:rsidR="00C877A0">
        <w:rPr>
          <w:rFonts w:ascii="Times New Roman" w:eastAsia="Times New Roman" w:hAnsi="Times New Roman"/>
          <w:lang w:val="en-US" w:eastAsia="en-GB"/>
        </w:rPr>
        <w:t>of the viability</w:t>
      </w:r>
      <w:r w:rsidR="00F42A51" w:rsidRPr="00723A94">
        <w:rPr>
          <w:rFonts w:ascii="Times New Roman" w:eastAsia="Times New Roman" w:hAnsi="Times New Roman"/>
          <w:lang w:val="en-US" w:eastAsia="en-GB"/>
        </w:rPr>
        <w:t xml:space="preserve"> of storage for residential PV have usually investigated a limited number of sizes for both the PV system and the battery storage. </w:t>
      </w:r>
      <w:r w:rsidR="00C877A0">
        <w:rPr>
          <w:rFonts w:ascii="Times New Roman" w:eastAsia="Times New Roman" w:hAnsi="Times New Roman"/>
          <w:lang w:val="en-US" w:eastAsia="en-GB"/>
        </w:rPr>
        <w:t>Without</w:t>
      </w:r>
      <w:r w:rsidR="00F42A51" w:rsidRPr="00723A94">
        <w:rPr>
          <w:rFonts w:ascii="Times New Roman" w:eastAsia="Times New Roman" w:hAnsi="Times New Roman"/>
          <w:lang w:val="en-US" w:eastAsia="en-GB"/>
        </w:rPr>
        <w:t xml:space="preserve"> the assumption of no additional policy incentives, the chosen size of the PV system and battery storage strongly affect the economic viability of the </w:t>
      </w:r>
      <w:r w:rsidR="00F42A51">
        <w:rPr>
          <w:rFonts w:ascii="Times New Roman" w:eastAsia="Times New Roman" w:hAnsi="Times New Roman"/>
          <w:lang w:val="en-US" w:eastAsia="en-GB"/>
        </w:rPr>
        <w:t>inte</w:t>
      </w:r>
      <w:r w:rsidR="00F42A51" w:rsidRPr="00723A94">
        <w:rPr>
          <w:rFonts w:ascii="Times New Roman" w:eastAsia="Times New Roman" w:hAnsi="Times New Roman"/>
          <w:lang w:val="en-US" w:eastAsia="en-GB"/>
        </w:rPr>
        <w:t xml:space="preserve">grated </w:t>
      </w:r>
      <w:r w:rsidR="00F42A51">
        <w:rPr>
          <w:rFonts w:ascii="Times New Roman" w:eastAsia="Times New Roman" w:hAnsi="Times New Roman"/>
          <w:lang w:val="en-US" w:eastAsia="en-GB"/>
        </w:rPr>
        <w:t xml:space="preserve">PV and </w:t>
      </w:r>
      <w:r w:rsidR="00F42A51" w:rsidRPr="00723A94">
        <w:rPr>
          <w:rFonts w:ascii="Times New Roman" w:eastAsia="Times New Roman" w:hAnsi="Times New Roman"/>
          <w:lang w:val="en-US" w:eastAsia="en-GB"/>
        </w:rPr>
        <w:lastRenderedPageBreak/>
        <w:t>battery system.</w:t>
      </w:r>
      <w:r w:rsidR="00C877A0">
        <w:rPr>
          <w:rFonts w:ascii="Times New Roman" w:eastAsia="Times New Roman" w:hAnsi="Times New Roman"/>
          <w:lang w:val="en-US" w:eastAsia="en-GB"/>
        </w:rPr>
        <w:t xml:space="preserve"> </w:t>
      </w:r>
      <w:r w:rsidR="00F42A51" w:rsidRPr="00723A94">
        <w:rPr>
          <w:rFonts w:ascii="Times New Roman" w:eastAsia="Times New Roman" w:hAnsi="Times New Roman"/>
          <w:lang w:val="en-US" w:eastAsia="en-GB"/>
        </w:rPr>
        <w:t xml:space="preserve">As a result, it currently remains unclear when storage investments will be economically viable for a household that optimizes the size of the PV system and the battery storage at the time of investment. </w:t>
      </w:r>
    </w:p>
    <w:p w14:paraId="4E89B204" w14:textId="77777777" w:rsidR="00F42A51" w:rsidRPr="0019763E" w:rsidRDefault="00F42A51" w:rsidP="003B24EF">
      <w:pPr>
        <w:pStyle w:val="ListParagraph"/>
        <w:numPr>
          <w:ilvl w:val="2"/>
          <w:numId w:val="7"/>
        </w:numPr>
        <w:spacing w:after="200" w:line="360" w:lineRule="auto"/>
        <w:jc w:val="both"/>
        <w:rPr>
          <w:sz w:val="22"/>
          <w:szCs w:val="22"/>
          <w:lang w:val="en-US"/>
        </w:rPr>
      </w:pPr>
      <w:r w:rsidRPr="0019763E">
        <w:rPr>
          <w:sz w:val="22"/>
          <w:szCs w:val="22"/>
          <w:lang w:val="en-US"/>
        </w:rPr>
        <w:t>Economic impacts of performance for PV production and storage</w:t>
      </w:r>
    </w:p>
    <w:p w14:paraId="137F19A0" w14:textId="011F96E3" w:rsidR="00F42A51" w:rsidRDefault="00F42A51" w:rsidP="00F42A51">
      <w:pPr>
        <w:autoSpaceDE w:val="0"/>
        <w:adjustRightInd w:val="0"/>
        <w:spacing w:after="0" w:line="360" w:lineRule="auto"/>
        <w:jc w:val="both"/>
        <w:rPr>
          <w:rFonts w:ascii="Times New Roman" w:hAnsi="Times New Roman"/>
          <w:lang w:val="en-US"/>
        </w:rPr>
      </w:pPr>
      <w:r>
        <w:rPr>
          <w:rFonts w:ascii="Times New Roman" w:hAnsi="Times New Roman"/>
          <w:lang w:val="en-US"/>
        </w:rPr>
        <w:t xml:space="preserve">PV energy </w:t>
      </w:r>
      <w:r w:rsidRPr="001D5224">
        <w:rPr>
          <w:rFonts w:ascii="Times New Roman" w:hAnsi="Times New Roman"/>
          <w:lang w:val="en-US"/>
        </w:rPr>
        <w:t>worldw</w:t>
      </w:r>
      <w:r>
        <w:rPr>
          <w:rFonts w:ascii="Times New Roman" w:hAnsi="Times New Roman"/>
          <w:lang w:val="en-US"/>
        </w:rPr>
        <w:t xml:space="preserve">ide </w:t>
      </w:r>
      <w:r w:rsidR="00C877A0">
        <w:rPr>
          <w:rFonts w:ascii="Times New Roman" w:hAnsi="Times New Roman"/>
          <w:lang w:val="en-US"/>
        </w:rPr>
        <w:t>from</w:t>
      </w:r>
      <w:r>
        <w:rPr>
          <w:rFonts w:ascii="Times New Roman" w:hAnsi="Times New Roman"/>
          <w:lang w:val="en-US"/>
        </w:rPr>
        <w:t xml:space="preserve"> 2000 </w:t>
      </w:r>
      <w:r w:rsidR="00C877A0">
        <w:rPr>
          <w:rFonts w:ascii="Times New Roman" w:hAnsi="Times New Roman"/>
          <w:lang w:val="en-US"/>
        </w:rPr>
        <w:t xml:space="preserve">to </w:t>
      </w:r>
      <w:r>
        <w:rPr>
          <w:rFonts w:ascii="Times New Roman" w:hAnsi="Times New Roman"/>
          <w:lang w:val="en-US"/>
        </w:rPr>
        <w:t>2010</w:t>
      </w:r>
      <w:r w:rsidR="00C877A0">
        <w:rPr>
          <w:rFonts w:ascii="Times New Roman" w:hAnsi="Times New Roman"/>
          <w:lang w:val="en-US"/>
        </w:rPr>
        <w:t xml:space="preserve"> grew</w:t>
      </w:r>
      <w:r>
        <w:rPr>
          <w:rFonts w:ascii="Times New Roman" w:hAnsi="Times New Roman"/>
          <w:lang w:val="en-US"/>
        </w:rPr>
        <w:t xml:space="preserve"> from 1.5 GWp to 40 GWp cumulative capacity respectively. In addition, </w:t>
      </w:r>
      <w:r w:rsidR="00C877A0">
        <w:rPr>
          <w:rFonts w:ascii="Times New Roman" w:hAnsi="Times New Roman"/>
          <w:lang w:val="en-US"/>
        </w:rPr>
        <w:t>s</w:t>
      </w:r>
      <w:r>
        <w:rPr>
          <w:rFonts w:ascii="Times New Roman" w:hAnsi="Times New Roman"/>
          <w:lang w:val="en-US"/>
        </w:rPr>
        <w:t>ystem cost</w:t>
      </w:r>
      <w:r w:rsidR="00C877A0">
        <w:rPr>
          <w:rFonts w:ascii="Times New Roman" w:hAnsi="Times New Roman"/>
          <w:lang w:val="en-US"/>
        </w:rPr>
        <w:t xml:space="preserve"> has reduced</w:t>
      </w:r>
      <w:r>
        <w:rPr>
          <w:rFonts w:ascii="Times New Roman" w:hAnsi="Times New Roman"/>
          <w:lang w:val="en-US"/>
        </w:rPr>
        <w:t xml:space="preserve"> dramatically </w:t>
      </w:r>
      <w:r w:rsidR="00C877A0">
        <w:rPr>
          <w:rFonts w:ascii="Times New Roman" w:hAnsi="Times New Roman"/>
          <w:lang w:val="en-US"/>
        </w:rPr>
        <w:t>and the device e</w:t>
      </w:r>
      <w:r w:rsidRPr="001D5224">
        <w:rPr>
          <w:rFonts w:ascii="Times New Roman" w:hAnsi="Times New Roman"/>
          <w:lang w:val="en-US"/>
        </w:rPr>
        <w:t xml:space="preserve">fficiency has </w:t>
      </w:r>
      <w:r>
        <w:rPr>
          <w:rFonts w:ascii="Times New Roman" w:hAnsi="Times New Roman"/>
          <w:lang w:val="en-US"/>
        </w:rPr>
        <w:t>increased steadily</w:t>
      </w:r>
      <w:r w:rsidRPr="001D5224">
        <w:rPr>
          <w:rFonts w:ascii="Times New Roman" w:hAnsi="Times New Roman"/>
          <w:lang w:val="en-US"/>
        </w:rPr>
        <w:t xml:space="preserve">. </w:t>
      </w:r>
    </w:p>
    <w:p w14:paraId="0E06BE42" w14:textId="77777777" w:rsidR="00F42A51" w:rsidRPr="005E793A" w:rsidRDefault="00F42A51" w:rsidP="00F42A51">
      <w:pPr>
        <w:autoSpaceDE w:val="0"/>
        <w:adjustRightInd w:val="0"/>
        <w:spacing w:after="0" w:line="360" w:lineRule="auto"/>
        <w:jc w:val="both"/>
        <w:rPr>
          <w:rFonts w:ascii="Times New Roman" w:hAnsi="Times New Roman"/>
          <w:lang w:val="en-US"/>
        </w:rPr>
      </w:pPr>
    </w:p>
    <w:p w14:paraId="33BDA71E" w14:textId="6553F2CB" w:rsidR="00F42A51" w:rsidRDefault="002E1601" w:rsidP="00F42A51">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 xml:space="preserve">A </w:t>
      </w:r>
      <w:r w:rsidR="00F42A51">
        <w:rPr>
          <w:rFonts w:ascii="Times New Roman" w:eastAsia="Times New Roman" w:hAnsi="Times New Roman"/>
          <w:lang w:val="en-US" w:eastAsia="en-GB"/>
        </w:rPr>
        <w:t xml:space="preserve">novel method </w:t>
      </w:r>
      <w:r w:rsidR="00F42A51" w:rsidRPr="00937290">
        <w:rPr>
          <w:rFonts w:ascii="Times New Roman" w:eastAsia="Times New Roman" w:hAnsi="Times New Roman"/>
          <w:lang w:val="en-US" w:eastAsia="en-GB"/>
        </w:rPr>
        <w:t>to obtain the optimum community e</w:t>
      </w:r>
      <w:r w:rsidR="00F42A51">
        <w:rPr>
          <w:rFonts w:ascii="Times New Roman" w:eastAsia="Times New Roman" w:hAnsi="Times New Roman"/>
          <w:lang w:val="en-US" w:eastAsia="en-GB"/>
        </w:rPr>
        <w:t xml:space="preserve">nergy storage (CES) systems for </w:t>
      </w:r>
      <w:r w:rsidR="00F42A51" w:rsidRPr="00937290">
        <w:rPr>
          <w:rFonts w:ascii="Times New Roman" w:eastAsia="Times New Roman" w:hAnsi="Times New Roman"/>
          <w:lang w:val="en-US" w:eastAsia="en-GB"/>
        </w:rPr>
        <w:t>end user applications</w:t>
      </w:r>
      <w:r>
        <w:rPr>
          <w:rFonts w:ascii="Times New Roman" w:eastAsia="Times New Roman" w:hAnsi="Times New Roman"/>
          <w:lang w:val="en-US" w:eastAsia="en-GB"/>
        </w:rPr>
        <w:t xml:space="preserve"> (Parra et al, 2015) </w:t>
      </w:r>
      <w:r w:rsidR="00F42A51" w:rsidRPr="00937290">
        <w:rPr>
          <w:rFonts w:ascii="Times New Roman" w:eastAsia="Times New Roman" w:hAnsi="Times New Roman"/>
          <w:lang w:val="en-US" w:eastAsia="en-GB"/>
        </w:rPr>
        <w:t>eval</w:t>
      </w:r>
      <w:r w:rsidR="00F42A51">
        <w:rPr>
          <w:rFonts w:ascii="Times New Roman" w:eastAsia="Times New Roman" w:hAnsi="Times New Roman"/>
          <w:lang w:val="en-US" w:eastAsia="en-GB"/>
        </w:rPr>
        <w:t>uates the optimum performance</w:t>
      </w:r>
      <w:r w:rsidR="00F42A51" w:rsidRPr="00937290">
        <w:rPr>
          <w:rFonts w:ascii="Times New Roman" w:eastAsia="Times New Roman" w:hAnsi="Times New Roman"/>
          <w:lang w:val="en-US" w:eastAsia="en-GB"/>
        </w:rPr>
        <w:t>, levelised cost (LCOES), the internal rate of</w:t>
      </w:r>
      <w:r w:rsidR="00F42A51">
        <w:rPr>
          <w:rFonts w:ascii="Times New Roman" w:eastAsia="Times New Roman" w:hAnsi="Times New Roman"/>
          <w:lang w:val="en-US" w:eastAsia="en-GB"/>
        </w:rPr>
        <w:t xml:space="preserve"> return and the levelised value </w:t>
      </w:r>
      <w:r w:rsidR="00F42A51" w:rsidRPr="00937290">
        <w:rPr>
          <w:rFonts w:ascii="Times New Roman" w:eastAsia="Times New Roman" w:hAnsi="Times New Roman"/>
          <w:lang w:val="en-US" w:eastAsia="en-GB"/>
        </w:rPr>
        <w:t>of suitable energy storage technologies. A complimentary methodolog</w:t>
      </w:r>
      <w:r w:rsidR="00F42A51">
        <w:rPr>
          <w:rFonts w:ascii="Times New Roman" w:eastAsia="Times New Roman" w:hAnsi="Times New Roman"/>
          <w:lang w:val="en-US" w:eastAsia="en-GB"/>
        </w:rPr>
        <w:t xml:space="preserve">y was developed including three </w:t>
      </w:r>
      <w:r w:rsidR="00F42A51" w:rsidRPr="00937290">
        <w:rPr>
          <w:rFonts w:ascii="Times New Roman" w:eastAsia="Times New Roman" w:hAnsi="Times New Roman"/>
          <w:lang w:val="en-US" w:eastAsia="en-GB"/>
        </w:rPr>
        <w:t>reference years (2012, 2020 and zero carbon year) to show the evolut</w:t>
      </w:r>
      <w:r w:rsidR="00F42A51">
        <w:rPr>
          <w:rFonts w:ascii="Times New Roman" w:eastAsia="Times New Roman" w:hAnsi="Times New Roman"/>
          <w:lang w:val="en-US" w:eastAsia="en-GB"/>
        </w:rPr>
        <w:t>ion of the business case during the low carbon transition</w:t>
      </w:r>
      <w:r w:rsidR="00F42A51" w:rsidRPr="00937290">
        <w:rPr>
          <w:rFonts w:ascii="Times New Roman" w:eastAsia="Times New Roman" w:hAnsi="Times New Roman"/>
          <w:lang w:val="en-US" w:eastAsia="en-GB"/>
        </w:rPr>
        <w:t xml:space="preserve">. </w:t>
      </w:r>
      <w:r>
        <w:rPr>
          <w:rFonts w:ascii="Times New Roman" w:eastAsia="Times New Roman" w:hAnsi="Times New Roman"/>
          <w:lang w:val="en-US" w:eastAsia="en-GB"/>
        </w:rPr>
        <w:t>T</w:t>
      </w:r>
      <w:r w:rsidR="00F42A51">
        <w:rPr>
          <w:rFonts w:ascii="Times New Roman" w:eastAsia="Times New Roman" w:hAnsi="Times New Roman"/>
          <w:lang w:val="en-US" w:eastAsia="en-GB"/>
        </w:rPr>
        <w:t xml:space="preserve">his method was </w:t>
      </w:r>
      <w:r>
        <w:rPr>
          <w:rFonts w:ascii="Times New Roman" w:eastAsia="Times New Roman" w:hAnsi="Times New Roman"/>
          <w:lang w:val="en-US" w:eastAsia="en-GB"/>
        </w:rPr>
        <w:t>applied</w:t>
      </w:r>
      <w:r w:rsidR="00F42A51">
        <w:rPr>
          <w:rFonts w:ascii="Times New Roman" w:eastAsia="Times New Roman" w:hAnsi="Times New Roman"/>
          <w:lang w:val="en-US" w:eastAsia="en-GB"/>
        </w:rPr>
        <w:t xml:space="preserve"> </w:t>
      </w:r>
      <w:r w:rsidR="00F42A51" w:rsidRPr="00937290">
        <w:rPr>
          <w:rFonts w:ascii="Times New Roman" w:eastAsia="Times New Roman" w:hAnsi="Times New Roman"/>
          <w:lang w:val="en-US" w:eastAsia="en-GB"/>
        </w:rPr>
        <w:t xml:space="preserve">with lead-acid (PbA) and lithium-ion battery (Li-ion) technologies when </w:t>
      </w:r>
      <w:r w:rsidR="00F42A51">
        <w:rPr>
          <w:rFonts w:ascii="Times New Roman" w:eastAsia="Times New Roman" w:hAnsi="Times New Roman"/>
          <w:lang w:val="en-US" w:eastAsia="en-GB"/>
        </w:rPr>
        <w:t xml:space="preserve">performing PV energy time-shift </w:t>
      </w:r>
      <w:r w:rsidR="00F42A51" w:rsidRPr="00937290">
        <w:rPr>
          <w:rFonts w:ascii="Times New Roman" w:eastAsia="Times New Roman" w:hAnsi="Times New Roman"/>
          <w:lang w:val="en-US" w:eastAsia="en-GB"/>
        </w:rPr>
        <w:t>using real demand data from a single home to a 100-home co</w:t>
      </w:r>
      <w:r w:rsidR="00F42A51">
        <w:rPr>
          <w:rFonts w:ascii="Times New Roman" w:eastAsia="Times New Roman" w:hAnsi="Times New Roman"/>
          <w:lang w:val="en-US" w:eastAsia="en-GB"/>
        </w:rPr>
        <w:t xml:space="preserve">mmunity. The community approach </w:t>
      </w:r>
      <w:r w:rsidR="00F42A51" w:rsidRPr="00937290">
        <w:rPr>
          <w:rFonts w:ascii="Times New Roman" w:eastAsia="Times New Roman" w:hAnsi="Times New Roman"/>
          <w:lang w:val="en-US" w:eastAsia="en-GB"/>
        </w:rPr>
        <w:t>reduced the LCOES to 0.30 £/kW h and 0.11 £/kW h in 2020 and the</w:t>
      </w:r>
      <w:r w:rsidR="00F42A51">
        <w:rPr>
          <w:rFonts w:ascii="Times New Roman" w:eastAsia="Times New Roman" w:hAnsi="Times New Roman"/>
          <w:lang w:val="en-US" w:eastAsia="en-GB"/>
        </w:rPr>
        <w:t xml:space="preserve"> zero carbon year respectively. </w:t>
      </w:r>
      <w:r w:rsidR="00F42A51" w:rsidRPr="00937290">
        <w:rPr>
          <w:rFonts w:ascii="Times New Roman" w:eastAsia="Times New Roman" w:hAnsi="Times New Roman"/>
          <w:lang w:val="en-US" w:eastAsia="en-GB"/>
        </w:rPr>
        <w:t xml:space="preserve">These values meant a cost reduction by 37% and 66% regarding a single </w:t>
      </w:r>
      <w:r w:rsidR="00F42A51">
        <w:rPr>
          <w:rFonts w:ascii="Times New Roman" w:eastAsia="Times New Roman" w:hAnsi="Times New Roman"/>
          <w:lang w:val="en-US" w:eastAsia="en-GB"/>
        </w:rPr>
        <w:t xml:space="preserve">home. </w:t>
      </w:r>
      <w:r w:rsidR="000315F1">
        <w:rPr>
          <w:rFonts w:ascii="Times New Roman" w:eastAsia="Times New Roman" w:hAnsi="Times New Roman"/>
          <w:lang w:val="en-US" w:eastAsia="en-GB"/>
        </w:rPr>
        <w:t>PbA batteries needed</w:t>
      </w:r>
      <w:r w:rsidR="00F42A51" w:rsidRPr="00937290">
        <w:rPr>
          <w:rFonts w:ascii="Times New Roman" w:eastAsia="Times New Roman" w:hAnsi="Times New Roman"/>
          <w:lang w:val="en-US" w:eastAsia="en-GB"/>
        </w:rPr>
        <w:t xml:space="preserve"> from 1.5 to 2.5 times more capacity than Li-ion </w:t>
      </w:r>
      <w:r w:rsidR="00F42A51">
        <w:rPr>
          <w:rFonts w:ascii="Times New Roman" w:eastAsia="Times New Roman" w:hAnsi="Times New Roman"/>
          <w:lang w:val="en-US" w:eastAsia="en-GB"/>
        </w:rPr>
        <w:t>to reduce the LCOES</w:t>
      </w:r>
      <w:r w:rsidR="000315F1">
        <w:rPr>
          <w:rFonts w:ascii="Times New Roman" w:eastAsia="Times New Roman" w:hAnsi="Times New Roman"/>
          <w:lang w:val="en-US" w:eastAsia="en-GB"/>
        </w:rPr>
        <w:t>. T</w:t>
      </w:r>
      <w:r w:rsidR="00F42A51">
        <w:rPr>
          <w:rFonts w:ascii="Times New Roman" w:eastAsia="Times New Roman" w:hAnsi="Times New Roman"/>
          <w:lang w:val="en-US" w:eastAsia="en-GB"/>
        </w:rPr>
        <w:t xml:space="preserve">he </w:t>
      </w:r>
      <w:r w:rsidR="00F42A51" w:rsidRPr="00937290">
        <w:rPr>
          <w:rFonts w:ascii="Times New Roman" w:eastAsia="Times New Roman" w:hAnsi="Times New Roman"/>
          <w:lang w:val="en-US" w:eastAsia="en-GB"/>
        </w:rPr>
        <w:t xml:space="preserve">worst case scenario being for the smallest communities, </w:t>
      </w:r>
      <w:r w:rsidR="000315F1">
        <w:rPr>
          <w:rFonts w:ascii="Times New Roman" w:eastAsia="Times New Roman" w:hAnsi="Times New Roman"/>
          <w:lang w:val="en-US" w:eastAsia="en-GB"/>
        </w:rPr>
        <w:t>where</w:t>
      </w:r>
      <w:r w:rsidR="00F42A51" w:rsidRPr="00937290">
        <w:rPr>
          <w:rFonts w:ascii="Times New Roman" w:eastAsia="Times New Roman" w:hAnsi="Times New Roman"/>
          <w:lang w:val="en-US" w:eastAsia="en-GB"/>
        </w:rPr>
        <w:t xml:space="preserve"> the </w:t>
      </w:r>
      <w:r w:rsidR="00F42A51">
        <w:rPr>
          <w:rFonts w:ascii="Times New Roman" w:eastAsia="Times New Roman" w:hAnsi="Times New Roman"/>
          <w:lang w:val="en-US" w:eastAsia="en-GB"/>
        </w:rPr>
        <w:t xml:space="preserve">spiky demand profile required </w:t>
      </w:r>
      <w:r w:rsidR="00F42A51" w:rsidRPr="00937290">
        <w:rPr>
          <w:rFonts w:ascii="Times New Roman" w:eastAsia="Times New Roman" w:hAnsi="Times New Roman"/>
          <w:lang w:val="en-US" w:eastAsia="en-GB"/>
        </w:rPr>
        <w:t>proportionatel</w:t>
      </w:r>
      <w:r w:rsidR="00F42A51">
        <w:rPr>
          <w:rFonts w:ascii="Times New Roman" w:eastAsia="Times New Roman" w:hAnsi="Times New Roman"/>
          <w:lang w:val="en-US" w:eastAsia="en-GB"/>
        </w:rPr>
        <w:t xml:space="preserve">y larger PbA battery capacities </w:t>
      </w:r>
      <w:r w:rsidR="00F42A51">
        <w:rPr>
          <w:rFonts w:ascii="Times New Roman" w:eastAsia="Times New Roman" w:hAnsi="Times New Roman"/>
          <w:lang w:val="en-US" w:eastAsia="en-GB"/>
        </w:rPr>
        <w:fldChar w:fldCharType="begin" w:fldLock="1"/>
      </w:r>
      <w:r w:rsidR="00D03089">
        <w:rPr>
          <w:rFonts w:ascii="Times New Roman" w:eastAsia="Times New Roman" w:hAnsi="Times New Roman"/>
          <w:lang w:val="en-US" w:eastAsia="en-GB"/>
        </w:rPr>
        <w:instrText>ADDIN CSL_CITATION { "citationItems" : [ { "id" : "ITEM-1", "itemData" : { "DOI" : "10.1016/j.apenergy.2014.08.060", "ISBN" : "03062619", "ISSN" : "03062619", "abstract" : "A novel method has been designed to obtain the optimum community energy storage (CES) systems for end user applications. The method evaluates the optimum performance (including the round trip efficiency and annual discharge), levelised cost (LCOES), the internal rate of return and the levelised value of suitable energy storage technologies. A complimentary methodology was developed including three reference years (2012, 2020 and zero carbon year) to show the evolution of the business case during the low carbon transition. The method follows a community approach and the optimum CES system was calculated as a function of the size of the community. In this work, this method was put in practice with lead-acid (PbA) and lithium-ion battery (Li-ion) technologies when performing PV energy time-shift using real demand data from a single home to a 100-home community. The community approach reduced the LCOES down to 0.30. \u00a3/kW. h and 0.11. \u00a3/kW. h in 2020 and the zero carbon year respectively. These values meant a cost reduction by 37% and 66% regarding a single home. Results demonstrated that PbA batteries needs from 1.5 to 2.5 times more capacity than Li-ion chemistry to reduce the LCOES, the worst case scenario being for the smallest communities, because the more spiky demand profile required proportionately larger PbA battery capacities.", "author" : [ { "dropping-particle" : "", "family" : "Parra", "given" : "David", "non-dropping-particle" : "", "parse-names" : false, "suffix" : "" }, { "dropping-particle" : "", "family" : "Gillott", "given" : "Mark", "non-dropping-particle" : "", "parse-names" : false, "suffix" : "" }, { "dropping-particle" : "", "family" : "Norman", "given" : "Stuart A.", "non-dropping-particle" : "", "parse-names" : false, "suffix" : "" }, { "dropping-particle" : "", "family" : "Walker", "given" : "Gavin S.", "non-dropping-particle" : "", "parse-names" : false, "suffix" : "" } ], "container-title" : "Applied Energy", "id" : "ITEM-1", "issued" : { "date-parts" : [ [ "2015" ] ] }, "page" : "576-587", "title" : "Optimum community energy storage system for PV energy time-shift", "type" : "article-journal", "volume" : "137" }, "uris" : [ "http://www.mendeley.com/documents/?uuid=4d4eccae-81d7-4f5a-b015-aaf9d7a6cd97" ] } ], "mendeley" : { "formattedCitation" : "(Parra, Gillott, Norman, &amp; Walker, 2015)", "plainTextFormattedCitation" : "(Parra, Gillott, Norman, &amp; Walker, 2015)", "previouslyFormattedCitation" : "(Parra, Gillott, Norman, &amp; Walker, 2015)" }, "properties" : { "noteIndex" : 5 }, "schema" : "https://github.com/citation-style-language/schema/raw/master/csl-citation.json" }</w:instrText>
      </w:r>
      <w:r w:rsidR="00F42A51">
        <w:rPr>
          <w:rFonts w:ascii="Times New Roman" w:eastAsia="Times New Roman" w:hAnsi="Times New Roman"/>
          <w:lang w:val="en-US" w:eastAsia="en-GB"/>
        </w:rPr>
        <w:fldChar w:fldCharType="separate"/>
      </w:r>
      <w:r w:rsidR="00D03089" w:rsidRPr="00D03089">
        <w:rPr>
          <w:rFonts w:ascii="Times New Roman" w:eastAsia="Times New Roman" w:hAnsi="Times New Roman"/>
          <w:noProof/>
          <w:lang w:val="en-US" w:eastAsia="en-GB"/>
        </w:rPr>
        <w:t>(Parra</w:t>
      </w:r>
      <w:r w:rsidR="000315F1">
        <w:rPr>
          <w:rFonts w:ascii="Times New Roman" w:eastAsia="Times New Roman" w:hAnsi="Times New Roman"/>
          <w:noProof/>
          <w:lang w:val="en-US" w:eastAsia="en-GB"/>
        </w:rPr>
        <w:t xml:space="preserve"> et al, </w:t>
      </w:r>
      <w:r w:rsidR="00D03089" w:rsidRPr="00D03089">
        <w:rPr>
          <w:rFonts w:ascii="Times New Roman" w:eastAsia="Times New Roman" w:hAnsi="Times New Roman"/>
          <w:noProof/>
          <w:lang w:val="en-US" w:eastAsia="en-GB"/>
        </w:rPr>
        <w:t>2015)</w:t>
      </w:r>
      <w:r w:rsidR="00F42A51">
        <w:rPr>
          <w:rFonts w:ascii="Times New Roman" w:eastAsia="Times New Roman" w:hAnsi="Times New Roman"/>
          <w:lang w:val="en-US" w:eastAsia="en-GB"/>
        </w:rPr>
        <w:fldChar w:fldCharType="end"/>
      </w:r>
      <w:r w:rsidR="00F42A51">
        <w:rPr>
          <w:rFonts w:ascii="Times New Roman" w:eastAsia="Times New Roman" w:hAnsi="Times New Roman"/>
          <w:lang w:val="en-US" w:eastAsia="en-GB"/>
        </w:rPr>
        <w:t>.</w:t>
      </w:r>
    </w:p>
    <w:p w14:paraId="0DC10C22" w14:textId="09D650E1" w:rsidR="00F42A51" w:rsidRPr="007350F1" w:rsidRDefault="000315F1" w:rsidP="00F42A51">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 xml:space="preserve">To </w:t>
      </w:r>
      <w:r w:rsidR="00F42A51">
        <w:rPr>
          <w:rFonts w:ascii="Times New Roman" w:eastAsia="Times New Roman" w:hAnsi="Times New Roman"/>
          <w:lang w:val="en-US" w:eastAsia="en-GB"/>
        </w:rPr>
        <w:t>analy</w:t>
      </w:r>
      <w:r>
        <w:rPr>
          <w:rFonts w:ascii="Times New Roman" w:eastAsia="Times New Roman" w:hAnsi="Times New Roman"/>
          <w:lang w:val="en-US" w:eastAsia="en-GB"/>
        </w:rPr>
        <w:t>ze a</w:t>
      </w:r>
      <w:r w:rsidR="00F42A51">
        <w:rPr>
          <w:rFonts w:ascii="Times New Roman" w:eastAsia="Times New Roman" w:hAnsi="Times New Roman"/>
          <w:lang w:val="en-US" w:eastAsia="en-GB"/>
        </w:rPr>
        <w:t xml:space="preserve"> residential PV battery system in order to gain </w:t>
      </w:r>
      <w:r w:rsidR="00F42A51" w:rsidRPr="00974B16">
        <w:rPr>
          <w:rFonts w:ascii="Times New Roman" w:eastAsia="Times New Roman" w:hAnsi="Times New Roman"/>
          <w:lang w:val="en-US" w:eastAsia="en-GB"/>
        </w:rPr>
        <w:t>insights into their sizing</w:t>
      </w:r>
      <w:r>
        <w:rPr>
          <w:rFonts w:ascii="Times New Roman" w:eastAsia="Times New Roman" w:hAnsi="Times New Roman"/>
          <w:lang w:val="en-US" w:eastAsia="en-GB"/>
        </w:rPr>
        <w:t xml:space="preserve"> </w:t>
      </w:r>
      <w:r w:rsidR="00F42A51" w:rsidRPr="00974B16">
        <w:rPr>
          <w:rFonts w:ascii="Times New Roman" w:eastAsia="Times New Roman" w:hAnsi="Times New Roman"/>
          <w:lang w:val="en-US" w:eastAsia="en-GB"/>
        </w:rPr>
        <w:t xml:space="preserve">a simulation model was developed </w:t>
      </w:r>
      <w:r>
        <w:rPr>
          <w:rFonts w:ascii="Times New Roman" w:eastAsia="Times New Roman" w:hAnsi="Times New Roman"/>
          <w:lang w:val="en-US" w:eastAsia="en-GB"/>
        </w:rPr>
        <w:t xml:space="preserve">by Weniger et al (2014) </w:t>
      </w:r>
      <w:r w:rsidR="00F42A51" w:rsidRPr="00974B16">
        <w:rPr>
          <w:rFonts w:ascii="Times New Roman" w:eastAsia="Times New Roman" w:hAnsi="Times New Roman"/>
          <w:lang w:val="en-US" w:eastAsia="en-GB"/>
        </w:rPr>
        <w:t xml:space="preserve">and system simulations on a timescale of one minute </w:t>
      </w:r>
      <w:r>
        <w:rPr>
          <w:rFonts w:ascii="Times New Roman" w:eastAsia="Times New Roman" w:hAnsi="Times New Roman"/>
          <w:lang w:val="en-US" w:eastAsia="en-GB"/>
        </w:rPr>
        <w:t>performed.  I</w:t>
      </w:r>
      <w:r w:rsidR="00F42A51" w:rsidRPr="00974B16">
        <w:rPr>
          <w:rFonts w:ascii="Times New Roman" w:eastAsia="Times New Roman" w:hAnsi="Times New Roman"/>
          <w:lang w:val="en-US" w:eastAsia="en-GB"/>
        </w:rPr>
        <w:t>n the considered long-term scenario the conjunction of PV</w:t>
      </w:r>
      <w:r w:rsidR="00F42A51">
        <w:rPr>
          <w:rFonts w:ascii="Times New Roman" w:eastAsia="Times New Roman" w:hAnsi="Times New Roman"/>
          <w:lang w:val="en-US" w:eastAsia="en-GB"/>
        </w:rPr>
        <w:t xml:space="preserve"> systems with batteries will be </w:t>
      </w:r>
      <w:r w:rsidR="00F42A51" w:rsidRPr="00974B16">
        <w:rPr>
          <w:rFonts w:ascii="Times New Roman" w:eastAsia="Times New Roman" w:hAnsi="Times New Roman"/>
          <w:lang w:val="en-US" w:eastAsia="en-GB"/>
        </w:rPr>
        <w:t>not only profitable but al</w:t>
      </w:r>
      <w:r w:rsidR="00F42A51">
        <w:rPr>
          <w:rFonts w:ascii="Times New Roman" w:eastAsia="Times New Roman" w:hAnsi="Times New Roman"/>
          <w:lang w:val="en-US" w:eastAsia="en-GB"/>
        </w:rPr>
        <w:t xml:space="preserve">so the most economical solution </w:t>
      </w:r>
      <w:r w:rsidR="00F42A51">
        <w:rPr>
          <w:rFonts w:ascii="Times New Roman" w:eastAsia="Times New Roman" w:hAnsi="Times New Roman"/>
          <w:lang w:val="en-US" w:eastAsia="en-GB"/>
        </w:rPr>
        <w:fldChar w:fldCharType="begin" w:fldLock="1"/>
      </w:r>
      <w:r w:rsidR="00D03089">
        <w:rPr>
          <w:rFonts w:ascii="Times New Roman" w:eastAsia="Times New Roman" w:hAnsi="Times New Roman"/>
          <w:lang w:val="en-US" w:eastAsia="en-GB"/>
        </w:rPr>
        <w:instrText>ADDIN CSL_CITATION { "citationItems" : [ { "id" : "ITEM-1", "itemData" : { "DOI" : "10.1016/j.egypro.2014.01.160", "ISBN" : "4930501948364", "ISSN" : "18766102", "abstract" : "This paper analyses residential PV battery systems in order to gain insights into their sizing. For this purpose a simulation model was developed and system simulations on a timescale of one minute were performed. Furthermore, a sensitivity analysis was conducted varying the PV system and battery size to identify appropriate system configurations. Based on the simulation results, an economic assessment of PV battery systems was carried out and the cost-optimal configurations for various cost scenarios were determined. The results show that in the considered long-term scenario the conjunction of PV systems with batteries will be not only profitable but also the most economical solution. \u00a9 2014 The Authors.", "author" : [ { "dropping-particle" : "", "family" : "Weniger", "given" : "Johannes", "non-dropping-particle" : "", "parse-names" : false, "suffix" : "" }, { "dropping-particle" : "", "family" : "Tjaden", "given" : "Tjarko", "non-dropping-particle" : "", "parse-names" : false, "suffix" : "" }, { "dropping-particle" : "", "family" : "Quaschning", "given" : "Volker", "non-dropping-particle" : "", "parse-names" : false, "suffix" : "" } ], "container-title" : "Energy Procedia", "id" : "ITEM-1", "issued" : { "date-parts" : [ [ "2014" ] ] }, "page" : "78-87", "title" : "Sizing of residential PV battery systems", "type" : "paper-conference", "volume" : "46" }, "uris" : [ "http://www.mendeley.com/documents/?uuid=0ba8536d-2bf6-400d-863a-19bbe051364f" ] } ], "mendeley" : { "formattedCitation" : "(Weniger, Tjaden, &amp; Quaschning, 2014)", "plainTextFormattedCitation" : "(Weniger, Tjaden, &amp; Quaschning, 2014)", "previouslyFormattedCitation" : "(Weniger, Tjaden, &amp; Quaschning, 2014)" }, "properties" : { "noteIndex" : 6 }, "schema" : "https://github.com/citation-style-language/schema/raw/master/csl-citation.json" }</w:instrText>
      </w:r>
      <w:r w:rsidR="00F42A51">
        <w:rPr>
          <w:rFonts w:ascii="Times New Roman" w:eastAsia="Times New Roman" w:hAnsi="Times New Roman"/>
          <w:lang w:val="en-US" w:eastAsia="en-GB"/>
        </w:rPr>
        <w:fldChar w:fldCharType="separate"/>
      </w:r>
      <w:r w:rsidR="00D03089" w:rsidRPr="00D03089">
        <w:rPr>
          <w:rFonts w:ascii="Times New Roman" w:eastAsia="Times New Roman" w:hAnsi="Times New Roman"/>
          <w:noProof/>
          <w:lang w:val="en-US" w:eastAsia="en-GB"/>
        </w:rPr>
        <w:t>(Weniger</w:t>
      </w:r>
      <w:r>
        <w:rPr>
          <w:rFonts w:ascii="Times New Roman" w:eastAsia="Times New Roman" w:hAnsi="Times New Roman"/>
          <w:noProof/>
          <w:lang w:val="en-US" w:eastAsia="en-GB"/>
        </w:rPr>
        <w:t xml:space="preserve"> et al</w:t>
      </w:r>
      <w:r w:rsidR="00D03089" w:rsidRPr="00D03089">
        <w:rPr>
          <w:rFonts w:ascii="Times New Roman" w:eastAsia="Times New Roman" w:hAnsi="Times New Roman"/>
          <w:noProof/>
          <w:lang w:val="en-US" w:eastAsia="en-GB"/>
        </w:rPr>
        <w:t>, 2014)</w:t>
      </w:r>
      <w:r w:rsidR="00F42A51">
        <w:rPr>
          <w:rFonts w:ascii="Times New Roman" w:eastAsia="Times New Roman" w:hAnsi="Times New Roman"/>
          <w:lang w:val="en-US" w:eastAsia="en-GB"/>
        </w:rPr>
        <w:fldChar w:fldCharType="end"/>
      </w:r>
      <w:r w:rsidR="00F42A51">
        <w:rPr>
          <w:rFonts w:ascii="Times New Roman" w:eastAsia="Times New Roman" w:hAnsi="Times New Roman"/>
          <w:lang w:val="en-US" w:eastAsia="en-GB"/>
        </w:rPr>
        <w:t>.</w:t>
      </w:r>
    </w:p>
    <w:p w14:paraId="41FB2CD9" w14:textId="48DAD230" w:rsidR="00F42A51" w:rsidRDefault="00F42A51" w:rsidP="00F42A51">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 xml:space="preserve">In 2014, Hoppmann et al. </w:t>
      </w:r>
      <w:r w:rsidRPr="008F447C">
        <w:rPr>
          <w:rFonts w:ascii="Times New Roman" w:eastAsia="Times New Roman" w:hAnsi="Times New Roman"/>
          <w:lang w:val="en-US" w:eastAsia="en-GB"/>
        </w:rPr>
        <w:t>develop</w:t>
      </w:r>
      <w:r>
        <w:rPr>
          <w:rFonts w:ascii="Times New Roman" w:eastAsia="Times New Roman" w:hAnsi="Times New Roman"/>
          <w:lang w:val="en-US" w:eastAsia="en-GB"/>
        </w:rPr>
        <w:t>ed</w:t>
      </w:r>
      <w:r w:rsidRPr="008F447C">
        <w:rPr>
          <w:rFonts w:ascii="Times New Roman" w:eastAsia="Times New Roman" w:hAnsi="Times New Roman"/>
          <w:lang w:val="en-US" w:eastAsia="en-GB"/>
        </w:rPr>
        <w:t xml:space="preserve"> a techno-economic model that simulates the profitability of</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battery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storage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from</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2013</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2022</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under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eight different scenarios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PV</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investment</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costs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and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electricity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prices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 Germany</w:t>
      </w:r>
      <w:r>
        <w:rPr>
          <w:rFonts w:ascii="Times New Roman" w:eastAsia="Times New Roman" w:hAnsi="Times New Roman"/>
          <w:lang w:val="en-US" w:eastAsia="en-GB"/>
        </w:rPr>
        <w:t xml:space="preserve">, assuming </w:t>
      </w:r>
      <w:r w:rsidRPr="008F447C">
        <w:rPr>
          <w:rFonts w:ascii="Times New Roman" w:eastAsia="Times New Roman" w:hAnsi="Times New Roman"/>
          <w:lang w:val="en-US" w:eastAsia="en-GB"/>
        </w:rPr>
        <w:t>no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feed-in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self-consumption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premium</w:t>
      </w:r>
      <w:r>
        <w:rPr>
          <w:rFonts w:ascii="Times New Roman" w:eastAsia="Times New Roman" w:hAnsi="Times New Roman"/>
          <w:lang w:val="en-US" w:eastAsia="en-GB"/>
        </w:rPr>
        <w:t xml:space="preserve"> pay </w:t>
      </w:r>
      <w:r w:rsidRPr="008F447C">
        <w:rPr>
          <w:rFonts w:ascii="Times New Roman" w:eastAsia="Times New Roman" w:hAnsi="Times New Roman"/>
          <w:lang w:val="en-US" w:eastAsia="en-GB"/>
        </w:rPr>
        <w:t>for electricity generated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using</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solar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PV.</w:t>
      </w:r>
      <w:r>
        <w:rPr>
          <w:rFonts w:ascii="Times New Roman" w:eastAsia="Times New Roman" w:hAnsi="Times New Roman"/>
          <w:lang w:val="en-US" w:eastAsia="en-GB"/>
        </w:rPr>
        <w:t xml:space="preserve"> </w:t>
      </w:r>
      <w:r w:rsidR="00CA5A6B">
        <w:rPr>
          <w:rFonts w:ascii="Times New Roman" w:eastAsia="Times New Roman" w:hAnsi="Times New Roman"/>
          <w:lang w:val="en-US" w:eastAsia="en-GB"/>
        </w:rPr>
        <w:t xml:space="preserve">For </w:t>
      </w:r>
      <w:r w:rsidRPr="008F447C">
        <w:rPr>
          <w:rFonts w:ascii="Times New Roman" w:eastAsia="Times New Roman" w:hAnsi="Times New Roman"/>
          <w:lang w:val="en-US" w:eastAsia="en-GB"/>
        </w:rPr>
        <w:t>an economically</w:t>
      </w:r>
      <w:r w:rsidR="00CA5A6B">
        <w:rPr>
          <w:rFonts w:ascii="Times New Roman" w:eastAsia="Times New Roman" w:hAnsi="Times New Roman"/>
          <w:lang w:val="en-US" w:eastAsia="en-GB"/>
        </w:rPr>
        <w:t>-</w:t>
      </w:r>
      <w:r w:rsidRPr="008F447C">
        <w:rPr>
          <w:rFonts w:ascii="Times New Roman" w:eastAsia="Times New Roman" w:hAnsi="Times New Roman"/>
          <w:lang w:val="en-US" w:eastAsia="en-GB"/>
        </w:rPr>
        <w:t>rational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household,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investments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battery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 xml:space="preserve">storage </w:t>
      </w:r>
      <w:r w:rsidR="00CA5A6B">
        <w:rPr>
          <w:rFonts w:ascii="Times New Roman" w:eastAsia="Times New Roman" w:hAnsi="Times New Roman"/>
          <w:lang w:val="en-US" w:eastAsia="en-GB"/>
        </w:rPr>
        <w:t xml:space="preserve">were </w:t>
      </w:r>
      <w:r w:rsidRPr="008F447C">
        <w:rPr>
          <w:rFonts w:ascii="Times New Roman" w:eastAsia="Times New Roman" w:hAnsi="Times New Roman"/>
          <w:lang w:val="en-US" w:eastAsia="en-GB"/>
        </w:rPr>
        <w:t>profitable for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small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residential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PV</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systems.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optimal PV system</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and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storage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sizes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rise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significantly over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time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such</w:t>
      </w:r>
      <w:r>
        <w:rPr>
          <w:rFonts w:ascii="Times New Roman" w:eastAsia="Times New Roman" w:hAnsi="Times New Roman"/>
          <w:lang w:val="en-US" w:eastAsia="en-GB"/>
        </w:rPr>
        <w:t xml:space="preserve"> that in their </w:t>
      </w:r>
      <w:r w:rsidRPr="008F447C">
        <w:rPr>
          <w:rFonts w:ascii="Times New Roman" w:eastAsia="Times New Roman" w:hAnsi="Times New Roman"/>
          <w:lang w:val="en-US" w:eastAsia="en-GB"/>
        </w:rPr>
        <w:t>model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households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become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net</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electricity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producers between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2015</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and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2021</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if</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are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provided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access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 electricity wholesale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market.</w:t>
      </w:r>
      <w:r>
        <w:rPr>
          <w:rFonts w:ascii="Times New Roman" w:eastAsia="Times New Roman" w:hAnsi="Times New Roman"/>
          <w:lang w:val="en-US" w:eastAsia="en-GB"/>
        </w:rPr>
        <w:t xml:space="preserve"> </w:t>
      </w:r>
      <w:r w:rsidR="00CA5A6B">
        <w:rPr>
          <w:rFonts w:ascii="Times New Roman" w:eastAsia="Times New Roman" w:hAnsi="Times New Roman"/>
          <w:lang w:val="en-US" w:eastAsia="en-GB"/>
        </w:rPr>
        <w:t>I</w:t>
      </w:r>
      <w:r>
        <w:rPr>
          <w:rFonts w:ascii="Times New Roman" w:eastAsia="Times New Roman" w:hAnsi="Times New Roman"/>
          <w:lang w:val="en-US" w:eastAsia="en-GB"/>
        </w:rPr>
        <w:t>ncrease</w:t>
      </w:r>
      <w:r w:rsidR="00CA5A6B">
        <w:rPr>
          <w:rFonts w:ascii="Times New Roman" w:eastAsia="Times New Roman" w:hAnsi="Times New Roman"/>
          <w:lang w:val="en-US" w:eastAsia="en-GB"/>
        </w:rPr>
        <w:t>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retail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decrease</w:t>
      </w:r>
      <w:r w:rsidR="00CA5A6B">
        <w:rPr>
          <w:rFonts w:ascii="Times New Roman" w:eastAsia="Times New Roman" w:hAnsi="Times New Roman"/>
          <w:lang w:val="en-US" w:eastAsia="en-GB"/>
        </w:rPr>
        <w:t>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wholesale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prices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further contribute to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lastRenderedPageBreak/>
        <w:t>economic</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viability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of</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storage.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Under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scenario where households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are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not</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allowed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sell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excess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electricity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 wholesale market,</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economic</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viability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of</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storage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residential PV is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particularly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high.</w:t>
      </w:r>
      <w:r w:rsidR="0036350B">
        <w:rPr>
          <w:rFonts w:ascii="Times New Roman" w:eastAsia="Times New Roman" w:hAnsi="Times New Roman"/>
          <w:lang w:val="en-US" w:eastAsia="en-GB"/>
        </w:rPr>
        <w:t xml:space="preserve"> Thus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additional policy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incentives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foster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investments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battery storage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for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residential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PV</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Germany</w:t>
      </w:r>
      <w:r>
        <w:rPr>
          <w:rFonts w:ascii="Times New Roman" w:eastAsia="Times New Roman" w:hAnsi="Times New Roman"/>
          <w:lang w:val="en-US" w:eastAsia="en-GB"/>
        </w:rPr>
        <w:t xml:space="preserve"> </w:t>
      </w:r>
      <w:r w:rsidR="0036350B">
        <w:rPr>
          <w:rFonts w:ascii="Times New Roman" w:eastAsia="Times New Roman" w:hAnsi="Times New Roman"/>
          <w:lang w:val="en-US" w:eastAsia="en-GB"/>
        </w:rPr>
        <w:t>were determined to be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necessary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only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 short-term.</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At</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same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time,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increasing</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profitability of integrated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PV-storage-systems</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may</w:t>
      </w:r>
      <w:r>
        <w:rPr>
          <w:rFonts w:ascii="Times New Roman" w:eastAsia="Times New Roman" w:hAnsi="Times New Roman"/>
          <w:lang w:val="en-US" w:eastAsia="en-GB"/>
        </w:rPr>
        <w:t xml:space="preserve"> </w:t>
      </w:r>
      <w:r w:rsidR="0036350B">
        <w:rPr>
          <w:rFonts w:ascii="Times New Roman" w:eastAsia="Times New Roman" w:hAnsi="Times New Roman"/>
          <w:lang w:val="en-US" w:eastAsia="en-GB"/>
        </w:rPr>
        <w:t>bring</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major</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challenges for electric</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utilities</w:t>
      </w:r>
      <w:r>
        <w:rPr>
          <w:rFonts w:ascii="Times New Roman" w:eastAsia="Times New Roman" w:hAnsi="Times New Roman"/>
          <w:lang w:val="en-US" w:eastAsia="en-GB"/>
        </w:rPr>
        <w:t xml:space="preserve"> </w:t>
      </w:r>
      <w:r w:rsidR="0036350B">
        <w:rPr>
          <w:rFonts w:ascii="Times New Roman" w:eastAsia="Times New Roman" w:hAnsi="Times New Roman"/>
          <w:lang w:val="en-US" w:eastAsia="en-GB"/>
        </w:rPr>
        <w:t>that are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likely</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to</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require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increased</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investments in technical</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infrastructure</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that</w:t>
      </w:r>
      <w:r>
        <w:rPr>
          <w:rFonts w:ascii="Times New Roman" w:eastAsia="Times New Roman" w:hAnsi="Times New Roman"/>
          <w:lang w:val="en-US" w:eastAsia="en-GB"/>
        </w:rPr>
        <w:t xml:space="preserve"> </w:t>
      </w:r>
      <w:r w:rsidRPr="008F447C">
        <w:rPr>
          <w:rFonts w:ascii="Times New Roman" w:eastAsia="Times New Roman" w:hAnsi="Times New Roman"/>
          <w:lang w:val="en-US" w:eastAsia="en-GB"/>
        </w:rPr>
        <w:t>supports electricity</w:t>
      </w:r>
      <w:r>
        <w:rPr>
          <w:rFonts w:ascii="Times New Roman" w:eastAsia="Times New Roman" w:hAnsi="Times New Roman"/>
          <w:lang w:val="en-US" w:eastAsia="en-GB"/>
        </w:rPr>
        <w:t xml:space="preserve"> generation </w:t>
      </w:r>
      <w:r>
        <w:rPr>
          <w:rFonts w:ascii="Times New Roman" w:eastAsia="Times New Roman" w:hAnsi="Times New Roman"/>
          <w:lang w:val="en-US" w:eastAsia="en-GB"/>
        </w:rPr>
        <w:fldChar w:fldCharType="begin" w:fldLock="1"/>
      </w:r>
      <w:r w:rsidR="00D03089">
        <w:rPr>
          <w:rFonts w:ascii="Times New Roman" w:eastAsia="Times New Roman" w:hAnsi="Times New Roman"/>
          <w:lang w:val="en-US" w:eastAsia="en-GB"/>
        </w:rPr>
        <w:instrText>ADDIN CSL_CITATION { "citationItems" : [ { "id" : "ITEM-1", "itemData" : { "DOI" : "10.1016/j.rser.2014.07.068", "ISBN" : "1364-0321", "ISSN" : "13640321", "abstract" : "Battery storage is generally considered an effective means for reducing the intermittency of electricity generated by solar photovoltaic (PV) systems. However, currently it remains unclear when and under which conditions battery storage can be profitably operated in residential PV systems without policy support. Based on a review of previous studies that have examined the economics of integrated PV-battery systems, in this paper we devise a simulation model that investigates the economic viability of battery storage for residential PV in Germany under eight different electricity price scenarios from 2013 to 2022. In contrast to previous forward-looking studies, we assume that no premium is paid for solar photovoltaic power and/or self-consumed electricity. Additionally, we run the model with a large number of different PV and storage capacities to determine the economically optimal configuration in terms of system size. We find that already in 2013 investments in storage solutions were economically viable for small PV systems. Given the assumptions of our model, the optimal size of both residential PV systems and battery storage rises significantly in the future. Higher electricity retail prices, lower electricity wholesale prices or limited access to the electricity wholesale market add to the profitability of storage. We conclude that additional policy incentives to foster investments in battery storage for residential PV in Germany will only be necessary in the short run. At the same time, the impending profitability of integrated PV-storage systems is likely to further spur the ongoing trend toward distributed electricity generation with major implications for the electricity sector. \u00a9 2014 Elsevier Ltd.", "author" : [ { "dropping-particle" : "", "family" : "Hoppmann", "given" : "Joern", "non-dropping-particle" : "", "parse-names" : false, "suffix" : "" }, { "dropping-particle" : "", "family" : "Volland", "given" : "Jonas", "non-dropping-particle" : "", "parse-names" : false, "suffix" : "" }, { "dropping-particle" : "", "family" : "Schmidt", "given" : "Tobias S.", "non-dropping-particle" : "", "parse-names" : false, "suffix" : "" }, { "dropping-particle" : "", "family" : "Hoffmann", "given" : "Volker H.", "non-dropping-particle" : "", "parse-names" : false, "suffix" : "" } ], "container-title" : "Renewable and Sustainable Energy Reviews", "id" : "ITEM-1", "issued" : { "date-parts" : [ [ "2014" ] ] }, "page" : "1101-1118", "title" : "The economic viability of battery storage for residential solar photovoltaic systems - A review and a simulation model", "type" : "article", "volume" : "39" }, "uris" : [ "http://www.mendeley.com/documents/?uuid=8478208b-c4b4-4b4a-aba8-471528c59c78" ] } ], "mendeley" : { "formattedCitation" : "(Hoppmann, Volland, Schmidt, &amp; Hoffmann, 2014)", "plainTextFormattedCitation" : "(Hoppmann, Volland, Schmidt, &amp; Hoffmann, 2014)", "previouslyFormattedCitation" : "(Hoppmann, Volland, Schmidt, &amp; Hoffmann, 2014)" }, "properties" : { "noteIndex" : 6 }, "schema" : "https://github.com/citation-style-language/schema/raw/master/csl-citation.json" }</w:instrText>
      </w:r>
      <w:r>
        <w:rPr>
          <w:rFonts w:ascii="Times New Roman" w:eastAsia="Times New Roman" w:hAnsi="Times New Roman"/>
          <w:lang w:val="en-US" w:eastAsia="en-GB"/>
        </w:rPr>
        <w:fldChar w:fldCharType="separate"/>
      </w:r>
      <w:r w:rsidR="00D03089" w:rsidRPr="00D03089">
        <w:rPr>
          <w:rFonts w:ascii="Times New Roman" w:eastAsia="Times New Roman" w:hAnsi="Times New Roman"/>
          <w:noProof/>
          <w:lang w:val="en-US" w:eastAsia="en-GB"/>
        </w:rPr>
        <w:t>(Hoppmann, Volland, Schmidt, &amp; Hoffmann, 2014)</w:t>
      </w:r>
      <w:r>
        <w:rPr>
          <w:rFonts w:ascii="Times New Roman" w:eastAsia="Times New Roman" w:hAnsi="Times New Roman"/>
          <w:lang w:val="en-US" w:eastAsia="en-GB"/>
        </w:rPr>
        <w:fldChar w:fldCharType="end"/>
      </w:r>
      <w:r>
        <w:rPr>
          <w:rFonts w:ascii="Times New Roman" w:eastAsia="Times New Roman" w:hAnsi="Times New Roman"/>
          <w:lang w:val="en-US" w:eastAsia="en-GB"/>
        </w:rPr>
        <w:t>.</w:t>
      </w:r>
    </w:p>
    <w:p w14:paraId="5BF45905" w14:textId="7AA966A0" w:rsidR="00F42A51" w:rsidRDefault="0036350B" w:rsidP="00F42A51">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To address</w:t>
      </w:r>
      <w:r w:rsidR="00F42A51" w:rsidRPr="00617EDC">
        <w:rPr>
          <w:rFonts w:ascii="Times New Roman" w:eastAsia="Times New Roman" w:hAnsi="Times New Roman"/>
          <w:lang w:val="en-US" w:eastAsia="en-GB"/>
        </w:rPr>
        <w:t xml:space="preserve"> how PV</w:t>
      </w:r>
      <w:r w:rsidR="00F42A51">
        <w:rPr>
          <w:rFonts w:ascii="Times New Roman" w:eastAsia="Times New Roman" w:hAnsi="Times New Roman"/>
          <w:lang w:val="en-US" w:eastAsia="en-GB"/>
        </w:rPr>
        <w:t xml:space="preserve"> battery </w:t>
      </w:r>
      <w:r w:rsidR="00F42A51" w:rsidRPr="00617EDC">
        <w:rPr>
          <w:rFonts w:ascii="Times New Roman" w:eastAsia="Times New Roman" w:hAnsi="Times New Roman"/>
          <w:lang w:val="en-US" w:eastAsia="en-GB"/>
        </w:rPr>
        <w:t>systems of various sizes could reduce the dependence of residentia</w:t>
      </w:r>
      <w:r w:rsidR="00F42A51">
        <w:rPr>
          <w:rFonts w:ascii="Times New Roman" w:eastAsia="Times New Roman" w:hAnsi="Times New Roman"/>
          <w:lang w:val="en-US" w:eastAsia="en-GB"/>
        </w:rPr>
        <w:t xml:space="preserve">l customers on the central grid </w:t>
      </w:r>
      <w:r w:rsidR="00F42A51" w:rsidRPr="00617EDC">
        <w:rPr>
          <w:rFonts w:ascii="Times New Roman" w:eastAsia="Times New Roman" w:hAnsi="Times New Roman"/>
          <w:lang w:val="en-US" w:eastAsia="en-GB"/>
        </w:rPr>
        <w:t>and their impact on CO</w:t>
      </w:r>
      <w:r w:rsidR="00F42A51" w:rsidRPr="004F03A9">
        <w:rPr>
          <w:rFonts w:ascii="Times New Roman" w:eastAsia="Times New Roman" w:hAnsi="Times New Roman"/>
          <w:vertAlign w:val="subscript"/>
          <w:lang w:val="en-US" w:eastAsia="en-GB"/>
        </w:rPr>
        <w:t>2</w:t>
      </w:r>
      <w:r w:rsidR="00F42A51" w:rsidRPr="00617EDC">
        <w:rPr>
          <w:rFonts w:ascii="Times New Roman" w:eastAsia="Times New Roman" w:hAnsi="Times New Roman"/>
          <w:lang w:val="en-US" w:eastAsia="en-GB"/>
        </w:rPr>
        <w:t xml:space="preserve"> emissions</w:t>
      </w:r>
      <w:r w:rsidR="00F42A51">
        <w:rPr>
          <w:rFonts w:ascii="Times New Roman" w:eastAsia="Times New Roman" w:hAnsi="Times New Roman"/>
          <w:lang w:val="en-US" w:eastAsia="en-GB"/>
        </w:rPr>
        <w:t xml:space="preserve"> in United State</w:t>
      </w:r>
      <w:r>
        <w:rPr>
          <w:rFonts w:ascii="Times New Roman" w:eastAsia="Times New Roman" w:hAnsi="Times New Roman"/>
          <w:lang w:val="en-US" w:eastAsia="en-GB"/>
        </w:rPr>
        <w:t xml:space="preserve">s, Hanser et al (2017) </w:t>
      </w:r>
      <w:r w:rsidR="00F42A51" w:rsidRPr="00617EDC">
        <w:rPr>
          <w:rFonts w:ascii="Times New Roman" w:eastAsia="Times New Roman" w:hAnsi="Times New Roman"/>
          <w:lang w:val="en-US" w:eastAsia="en-GB"/>
        </w:rPr>
        <w:t>analyze</w:t>
      </w:r>
      <w:r w:rsidR="00F42A51">
        <w:rPr>
          <w:rFonts w:ascii="Times New Roman" w:eastAsia="Times New Roman" w:hAnsi="Times New Roman"/>
          <w:lang w:val="en-US" w:eastAsia="en-GB"/>
        </w:rPr>
        <w:t>d</w:t>
      </w:r>
      <w:r w:rsidR="00F42A51" w:rsidRPr="00617EDC">
        <w:rPr>
          <w:rFonts w:ascii="Times New Roman" w:eastAsia="Times New Roman" w:hAnsi="Times New Roman"/>
          <w:lang w:val="en-US" w:eastAsia="en-GB"/>
        </w:rPr>
        <w:t xml:space="preserve"> how the costs of s</w:t>
      </w:r>
      <w:r w:rsidR="00F42A51">
        <w:rPr>
          <w:rFonts w:ascii="Times New Roman" w:eastAsia="Times New Roman" w:hAnsi="Times New Roman"/>
          <w:lang w:val="en-US" w:eastAsia="en-GB"/>
        </w:rPr>
        <w:t xml:space="preserve">uch systems change as customers </w:t>
      </w:r>
      <w:r w:rsidR="00F42A51" w:rsidRPr="00617EDC">
        <w:rPr>
          <w:rFonts w:ascii="Times New Roman" w:eastAsia="Times New Roman" w:hAnsi="Times New Roman"/>
          <w:lang w:val="en-US" w:eastAsia="en-GB"/>
        </w:rPr>
        <w:t>attempt to decrease their dependence on the grid, considering t</w:t>
      </w:r>
      <w:r w:rsidR="00F42A51">
        <w:rPr>
          <w:rFonts w:ascii="Times New Roman" w:eastAsia="Times New Roman" w:hAnsi="Times New Roman"/>
          <w:lang w:val="en-US" w:eastAsia="en-GB"/>
        </w:rPr>
        <w:t xml:space="preserve">he installed cost of PV-battery </w:t>
      </w:r>
      <w:r w:rsidR="00F42A51" w:rsidRPr="00617EDC">
        <w:rPr>
          <w:rFonts w:ascii="Times New Roman" w:eastAsia="Times New Roman" w:hAnsi="Times New Roman"/>
          <w:lang w:val="en-US" w:eastAsia="en-GB"/>
        </w:rPr>
        <w:t xml:space="preserve">systems and the cost of electricity under a net-energy metered rate structure. </w:t>
      </w:r>
      <w:r w:rsidR="00F42A51">
        <w:rPr>
          <w:rFonts w:ascii="Times New Roman" w:eastAsia="Times New Roman" w:hAnsi="Times New Roman"/>
          <w:lang w:val="en-US" w:eastAsia="en-GB"/>
        </w:rPr>
        <w:t xml:space="preserve">The results showed that fully disconnecting </w:t>
      </w:r>
      <w:r w:rsidR="00F42A51" w:rsidRPr="00617EDC">
        <w:rPr>
          <w:rFonts w:ascii="Times New Roman" w:eastAsia="Times New Roman" w:hAnsi="Times New Roman"/>
          <w:lang w:val="en-US" w:eastAsia="en-GB"/>
        </w:rPr>
        <w:t>from the grid with a PV-battery system is impractical for most residentia</w:t>
      </w:r>
      <w:r w:rsidR="00F42A51">
        <w:rPr>
          <w:rFonts w:ascii="Times New Roman" w:eastAsia="Times New Roman" w:hAnsi="Times New Roman"/>
          <w:lang w:val="en-US" w:eastAsia="en-GB"/>
        </w:rPr>
        <w:t xml:space="preserve">l customers without also having dispatchable backup generation </w:t>
      </w:r>
      <w:r w:rsidR="00F42A51">
        <w:rPr>
          <w:rFonts w:ascii="Times New Roman" w:eastAsia="Times New Roman" w:hAnsi="Times New Roman"/>
          <w:lang w:val="en-US" w:eastAsia="en-GB"/>
        </w:rPr>
        <w:fldChar w:fldCharType="begin" w:fldLock="1"/>
      </w:r>
      <w:r w:rsidR="00D03089">
        <w:rPr>
          <w:rFonts w:ascii="Times New Roman" w:eastAsia="Times New Roman" w:hAnsi="Times New Roman"/>
          <w:lang w:val="en-US" w:eastAsia="en-GB"/>
        </w:rPr>
        <w:instrText>ADDIN CSL_CITATION { "citationItems" : [ { "id" : "ITEM-1", "itemData" : { "DOI" : "10.1016/j.jup.2017.03.004", "ISSN" : "09571787", "abstract" : "The advent of low-cost solar photovoltaics (PV) and battery electricity storage has the potential to bring about fundamental shifts in the structure of the power sector in the United States. We analyze how PV-battery systems of various sizes could reduce the dependence of residential customers on the central grid and their impact on CO2 emissions. We further analyze how the costs of such systems change as customers attempt to decrease their dependence on the grid, considering the installed cost of PV-battery systems and the cost of electricity under a net-energy metered rate structure. We analyze these relationships for residential customers in five locations across the U.S. We find that fully disconnecting from the grid with a PV-battery system is impractical for most residential customers without also having dispatchable backup generation. Finally, we estimate how the economics of behind-the-meter PV-battery systems may change if the costs of PV systems continue to fall.", "author" : [ { "dropping-particle" : "", "family" : "Hanser", "given" : "Philip", "non-dropping-particle" : "", "parse-names" : false, "suffix" : "" }, { "dropping-particle" : "", "family" : "Lueken", "given" : "Roger", "non-dropping-particle" : "", "parse-names" : false, "suffix" : "" }, { "dropping-particle" : "", "family" : "Gorman", "given" : "Will", "non-dropping-particle" : "", "parse-names" : false, "suffix" : "" }, { "dropping-particle" : "", "family" : "Mashal", "given" : "James", "non-dropping-particle" : "", "parse-names" : false, "suffix" : "" } ], "container-title" : "Utilities Policy", "id" : "ITEM-1", "issued" : { "date-parts" : [ [ "2017" ] ] }, "page" : "22-32", "title" : "The practicality of distributed PV-battery systems to reduce household grid reliance", "type" : "article-journal", "volume" : "46" }, "uris" : [ "http://www.mendeley.com/documents/?uuid=8a6fb1a7-79a7-43fc-9909-70fbcb5d687a" ] } ], "mendeley" : { "formattedCitation" : "(Hanser, Lueken, Gorman, &amp; Mashal, 2017)", "plainTextFormattedCitation" : "(Hanser, Lueken, Gorman, &amp; Mashal, 2017)", "previouslyFormattedCitation" : "(Hanser, Lueken, Gorman, &amp; Mashal, 2017)" }, "properties" : { "noteIndex" : 6 }, "schema" : "https://github.com/citation-style-language/schema/raw/master/csl-citation.json" }</w:instrText>
      </w:r>
      <w:r w:rsidR="00F42A51">
        <w:rPr>
          <w:rFonts w:ascii="Times New Roman" w:eastAsia="Times New Roman" w:hAnsi="Times New Roman"/>
          <w:lang w:val="en-US" w:eastAsia="en-GB"/>
        </w:rPr>
        <w:fldChar w:fldCharType="separate"/>
      </w:r>
      <w:r w:rsidR="00D03089" w:rsidRPr="00D03089">
        <w:rPr>
          <w:rFonts w:ascii="Times New Roman" w:eastAsia="Times New Roman" w:hAnsi="Times New Roman"/>
          <w:noProof/>
          <w:lang w:val="en-US" w:eastAsia="en-GB"/>
        </w:rPr>
        <w:t>(Hanser, Lueken, Gorman, &amp; Mashal, 2017)</w:t>
      </w:r>
      <w:r w:rsidR="00F42A51">
        <w:rPr>
          <w:rFonts w:ascii="Times New Roman" w:eastAsia="Times New Roman" w:hAnsi="Times New Roman"/>
          <w:lang w:val="en-US" w:eastAsia="en-GB"/>
        </w:rPr>
        <w:fldChar w:fldCharType="end"/>
      </w:r>
      <w:r w:rsidR="00F42A51">
        <w:rPr>
          <w:rFonts w:ascii="Times New Roman" w:eastAsia="Times New Roman" w:hAnsi="Times New Roman"/>
          <w:lang w:val="en-US" w:eastAsia="en-GB"/>
        </w:rPr>
        <w:t>.</w:t>
      </w:r>
    </w:p>
    <w:p w14:paraId="54331988" w14:textId="453D3695" w:rsidR="00590C97" w:rsidRPr="0089624A" w:rsidRDefault="00E56C06" w:rsidP="00291673">
      <w:pPr>
        <w:pStyle w:val="ListParagraph"/>
        <w:numPr>
          <w:ilvl w:val="1"/>
          <w:numId w:val="7"/>
        </w:numPr>
        <w:spacing w:after="200" w:line="360" w:lineRule="auto"/>
        <w:jc w:val="both"/>
        <w:rPr>
          <w:lang w:val="en-US"/>
        </w:rPr>
      </w:pPr>
      <w:r w:rsidRPr="005A5941">
        <w:rPr>
          <w:lang w:val="en-US"/>
        </w:rPr>
        <w:t>Photovoltaic</w:t>
      </w:r>
      <w:r w:rsidR="0024529B" w:rsidRPr="005A5941">
        <w:rPr>
          <w:lang w:val="en-US"/>
        </w:rPr>
        <w:t xml:space="preserve"> </w:t>
      </w:r>
      <w:r w:rsidRPr="005A5941">
        <w:rPr>
          <w:lang w:val="en-US"/>
        </w:rPr>
        <w:t xml:space="preserve">Modules </w:t>
      </w:r>
      <w:r w:rsidR="0024529B" w:rsidRPr="005A5941">
        <w:rPr>
          <w:lang w:val="en-US"/>
        </w:rPr>
        <w:t xml:space="preserve">and </w:t>
      </w:r>
      <w:r w:rsidRPr="005A5941">
        <w:rPr>
          <w:lang w:val="en-US"/>
        </w:rPr>
        <w:t>Thermal E</w:t>
      </w:r>
      <w:r w:rsidR="00ED4B09" w:rsidRPr="005A5941">
        <w:rPr>
          <w:lang w:val="en-US"/>
        </w:rPr>
        <w:t xml:space="preserve">nergy </w:t>
      </w:r>
      <w:r w:rsidRPr="005A5941">
        <w:rPr>
          <w:lang w:val="en-US"/>
        </w:rPr>
        <w:t>S</w:t>
      </w:r>
      <w:r w:rsidR="00ED4B09" w:rsidRPr="005A5941">
        <w:rPr>
          <w:lang w:val="en-US"/>
        </w:rPr>
        <w:t>torage (TES)</w:t>
      </w:r>
    </w:p>
    <w:p w14:paraId="2A86E51D" w14:textId="4FD3082D" w:rsidR="00E73182" w:rsidRPr="0019763E" w:rsidRDefault="00001817" w:rsidP="00590C97">
      <w:pPr>
        <w:pStyle w:val="ListParagraph"/>
        <w:numPr>
          <w:ilvl w:val="2"/>
          <w:numId w:val="7"/>
        </w:numPr>
        <w:spacing w:after="200" w:line="360" w:lineRule="auto"/>
        <w:jc w:val="both"/>
        <w:rPr>
          <w:sz w:val="22"/>
          <w:szCs w:val="22"/>
          <w:lang w:val="en-US"/>
        </w:rPr>
      </w:pPr>
      <w:r w:rsidRPr="0019763E">
        <w:rPr>
          <w:sz w:val="22"/>
          <w:szCs w:val="22"/>
          <w:lang w:val="en-US"/>
        </w:rPr>
        <w:t xml:space="preserve">Use of latent heat storage for </w:t>
      </w:r>
      <w:r w:rsidR="0036350B">
        <w:rPr>
          <w:sz w:val="22"/>
          <w:szCs w:val="22"/>
          <w:lang w:val="en-US"/>
        </w:rPr>
        <w:t xml:space="preserve">the thermal management of </w:t>
      </w:r>
      <w:r w:rsidRPr="0019763E">
        <w:rPr>
          <w:sz w:val="22"/>
          <w:szCs w:val="22"/>
          <w:lang w:val="en-US"/>
        </w:rPr>
        <w:t xml:space="preserve">PV </w:t>
      </w:r>
      <w:r w:rsidR="00644841" w:rsidRPr="0019763E">
        <w:rPr>
          <w:sz w:val="22"/>
          <w:szCs w:val="22"/>
          <w:lang w:val="en-US"/>
        </w:rPr>
        <w:t xml:space="preserve"> </w:t>
      </w:r>
    </w:p>
    <w:p w14:paraId="4FE499DA" w14:textId="166AB2DE" w:rsidR="00291673" w:rsidRPr="00291673" w:rsidRDefault="00E73182" w:rsidP="00291673">
      <w:pPr>
        <w:spacing w:after="200" w:line="360" w:lineRule="auto"/>
        <w:jc w:val="both"/>
        <w:rPr>
          <w:rFonts w:ascii="Times New Roman" w:hAnsi="Times New Roman"/>
        </w:rPr>
      </w:pPr>
      <w:r w:rsidRPr="00291673">
        <w:rPr>
          <w:rFonts w:ascii="Times New Roman" w:hAnsi="Times New Roman"/>
        </w:rPr>
        <w:t xml:space="preserve">In latent heat storage, thermal energy is stored/released by a material while changing its phase at a constant temperature. It is also a pure physical process without any chemical reaction during charge or discharge. The amount of heat stored is generally the latent heat of phase change (latent heat of fusion for a solid-liquid transition and latent heat of vaporization for a liquid-vapor transition), </w:t>
      </w:r>
      <w:r w:rsidR="00291673" w:rsidRPr="00291673">
        <w:rPr>
          <w:rFonts w:ascii="Times New Roman" w:hAnsi="Times New Roman"/>
        </w:rPr>
        <w:fldChar w:fldCharType="begin" w:fldLock="1"/>
      </w:r>
      <w:r w:rsidR="00D03089">
        <w:rPr>
          <w:rFonts w:ascii="Times New Roman" w:hAnsi="Times New Roman"/>
        </w:rPr>
        <w:instrText>ADDIN CSL_CITATION { "citationItems" : [ { "id" : "ITEM-1", "itemData" : { "DOI" : "10.1016/j.rser.2017.03.139", "ISBN" : "9781604567397", "ISSN" : "18790690", "abstract" : "Solar thermal energy, especially concentrated solar power (CSP), represents an increasingly attractive renewable energy source. However, one of the key factors that determine the development of this technology is the integration of efficient and cost effective thermal energy storage (TES) systems, so as to overcome CSP's intermittent character and to be more economically competitive. This paper presents a review on thermal energy storage systems installed in CSP plants. Various aspects are discussed including the state-of-the-art on CSP plants all over the world and the trend of development, different technologies of TES systems for high temperature applications (200\u20131000\u00b0C) with a focus on thermochemical heat storage, and storage concepts for their integration in CSP plants. TES systems are necessary options for more than 70% of new CSP plants. Sensible heat storage technology is the most used in CSP plants in operation, for their reliability, low cost, easy to implement and large experimental feedback available. Latent and thermochemical storage technologies have much higher energy density thus may have a bright foreground. New concepts for TES integration are also proposed, especially coupled technology for higher operating temperature and cascade TES of modularized storage units for intelligent temperature control. The key contributions of this review paper consist of a comprehensive survey of CSP plants, their TES systems, the ways to enhance the heat and/or mass transfers and different new concepts for the integration of TES systems.", "author" : [ { "dropping-particle" : "", "family" : "Pelay", "given" : "Ugo", "non-dropping-particle" : "", "parse-names" : false, "suffix" : "" }, { "dropping-particle" : "", "family" : "Luo", "given" : "Lingai", "non-dropping-particle" : "", "parse-names" : false, "suffix" : "" }, { "dropping-particle" : "", "family" : "Fan", "given" : "Yilin", "non-dropping-particle" : "", "parse-names" : false, "suffix" : "" }, { "dropping-particle" : "", "family" : "Stitou", "given" : "Driss", "non-dropping-particle" : "", "parse-names" : false, "suffix" : "" }, { "dropping-particle" : "", "family" : "Rood", "given" : "Mark", "non-dropping-particle" : "", "parse-names" : false, "suffix" : "" } ], "container-title" : "Renewable and Sustainable Energy Reviews", "id" : "ITEM-1", "issued" : { "date-parts" : [ [ "2017", "11", "1" ] ] }, "page" : "82-100", "publisher" : "Pergamon", "title" : "Thermal energy storage systems for concentrated solar power plants", "type" : "article", "volume" : "79" }, "uris" : [ "http://www.mendeley.com/documents/?uuid=1731c078-ec05-3732-b53a-1fdd4e665feb" ] } ], "mendeley" : { "formattedCitation" : "(Pelay, Luo, Fan, Stitou, &amp; Rood, 2017)", "plainTextFormattedCitation" : "(Pelay, Luo, Fan, Stitou, &amp; Rood, 2017)", "previouslyFormattedCitation" : "(Pelay, Luo, Fan, Stitou, &amp; Rood, 2017)" }, "properties" : { "noteIndex" : 0 }, "schema" : "https://github.com/citation-style-language/schema/raw/master/csl-citation.json" }</w:instrText>
      </w:r>
      <w:r w:rsidR="00291673" w:rsidRPr="00291673">
        <w:rPr>
          <w:rFonts w:ascii="Times New Roman" w:hAnsi="Times New Roman"/>
        </w:rPr>
        <w:fldChar w:fldCharType="separate"/>
      </w:r>
      <w:r w:rsidR="00D03089" w:rsidRPr="00D03089">
        <w:rPr>
          <w:rFonts w:ascii="Times New Roman" w:hAnsi="Times New Roman"/>
          <w:noProof/>
        </w:rPr>
        <w:t>(Pelay</w:t>
      </w:r>
      <w:r w:rsidR="0036350B">
        <w:rPr>
          <w:rFonts w:ascii="Times New Roman" w:hAnsi="Times New Roman"/>
          <w:noProof/>
        </w:rPr>
        <w:t xml:space="preserve"> et al,</w:t>
      </w:r>
      <w:r w:rsidR="00D03089" w:rsidRPr="00D03089">
        <w:rPr>
          <w:rFonts w:ascii="Times New Roman" w:hAnsi="Times New Roman"/>
          <w:noProof/>
        </w:rPr>
        <w:t xml:space="preserve"> 2017)</w:t>
      </w:r>
      <w:r w:rsidR="00291673" w:rsidRPr="00291673">
        <w:rPr>
          <w:rFonts w:ascii="Times New Roman" w:hAnsi="Times New Roman"/>
        </w:rPr>
        <w:fldChar w:fldCharType="end"/>
      </w:r>
      <w:r w:rsidR="00291673">
        <w:rPr>
          <w:rFonts w:ascii="Times New Roman" w:hAnsi="Times New Roman"/>
        </w:rPr>
        <w:t>.</w:t>
      </w:r>
    </w:p>
    <w:p w14:paraId="4A40E6BE" w14:textId="0A7E41E3" w:rsidR="00986C02" w:rsidRPr="00C67B14" w:rsidRDefault="00986C02" w:rsidP="00C67B14">
      <w:pPr>
        <w:spacing w:line="360" w:lineRule="auto"/>
        <w:jc w:val="both"/>
        <w:rPr>
          <w:rFonts w:ascii="Times New Roman" w:eastAsia="Times New Roman" w:hAnsi="Times New Roman"/>
          <w:lang w:val="en-GB" w:eastAsia="en-GB"/>
        </w:rPr>
      </w:pPr>
      <w:r w:rsidRPr="00C67B14">
        <w:rPr>
          <w:rFonts w:ascii="Times New Roman" w:eastAsia="Times New Roman" w:hAnsi="Times New Roman"/>
          <w:lang w:val="en-GB" w:eastAsia="en-GB"/>
        </w:rPr>
        <w:t>P</w:t>
      </w:r>
      <w:r w:rsidR="00F37F72">
        <w:rPr>
          <w:rFonts w:ascii="Times New Roman" w:eastAsia="Times New Roman" w:hAnsi="Times New Roman"/>
          <w:lang w:val="en-GB" w:eastAsia="en-GB"/>
        </w:rPr>
        <w:t>hase change materials (P</w:t>
      </w:r>
      <w:r w:rsidRPr="00C67B14">
        <w:rPr>
          <w:rFonts w:ascii="Times New Roman" w:eastAsia="Times New Roman" w:hAnsi="Times New Roman"/>
          <w:lang w:val="en-GB" w:eastAsia="en-GB"/>
        </w:rPr>
        <w:t>CM</w:t>
      </w:r>
      <w:r w:rsidR="00F37F72">
        <w:rPr>
          <w:rFonts w:ascii="Times New Roman" w:eastAsia="Times New Roman" w:hAnsi="Times New Roman"/>
          <w:lang w:val="en-GB" w:eastAsia="en-GB"/>
        </w:rPr>
        <w:t>)</w:t>
      </w:r>
      <w:r w:rsidRPr="00C67B14">
        <w:rPr>
          <w:rFonts w:ascii="Times New Roman" w:eastAsia="Times New Roman" w:hAnsi="Times New Roman"/>
          <w:lang w:val="en-GB" w:eastAsia="en-GB"/>
        </w:rPr>
        <w:t xml:space="preserve"> absorb thermal energy as latent heat at a constant phase change temperature. PCM with a suitable phase transition temperature can be used to regulate the temperature of PV cells </w:t>
      </w:r>
      <w:r w:rsidRPr="00C67B14">
        <w:rPr>
          <w:rFonts w:ascii="Times New Roman" w:eastAsia="Times New Roman" w:hAnsi="Times New Roman"/>
          <w:lang w:val="en-GB" w:eastAsia="en-GB"/>
        </w:rPr>
        <w:fldChar w:fldCharType="begin">
          <w:fldData xml:space="preserve">PEVuZE5vdGU+PENpdGU+PEF1dGhvcj5IdWFuZzwvQXV0aG9yPjxZZWFyPjIwMDZhPC9ZZWFyPjxS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</w:fldData>
        </w:fldChar>
      </w:r>
      <w:r w:rsidRPr="00C67B14">
        <w:rPr>
          <w:rFonts w:ascii="Times New Roman" w:eastAsia="Times New Roman" w:hAnsi="Times New Roman"/>
          <w:lang w:val="en-GB" w:eastAsia="en-GB"/>
        </w:rPr>
        <w:instrText xml:space="preserve"> ADDIN EN.CITE </w:instrText>
      </w:r>
      <w:r w:rsidRPr="00C67B14">
        <w:rPr>
          <w:rFonts w:ascii="Times New Roman" w:eastAsia="Times New Roman" w:hAnsi="Times New Roman"/>
          <w:lang w:val="en-GB" w:eastAsia="en-GB"/>
        </w:rPr>
        <w:fldChar w:fldCharType="begin">
          <w:fldData xml:space="preserve">PEVuZE5vdGU+PENpdGU+PEF1dGhvcj5IdWFuZzwvQXV0aG9yPjxZZWFyPjIwMDZhPC9ZZWFyPjxS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</w:fldData>
        </w:fldChar>
      </w:r>
      <w:r w:rsidRPr="00C67B14">
        <w:rPr>
          <w:rFonts w:ascii="Times New Roman" w:eastAsia="Times New Roman" w:hAnsi="Times New Roman"/>
          <w:lang w:val="en-GB" w:eastAsia="en-GB"/>
        </w:rPr>
        <w:instrText xml:space="preserve"> ADDIN EN.CITE.DATA </w:instrText>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135" w:tooltip="Huang, 2006 #72" w:history="1">
        <w:r w:rsidRPr="00C67B14">
          <w:rPr>
            <w:rFonts w:ascii="Times New Roman" w:eastAsia="Times New Roman" w:hAnsi="Times New Roman"/>
            <w:lang w:val="en-GB" w:eastAsia="en-GB"/>
          </w:rPr>
          <w:t>Huang et al., 2006a</w:t>
        </w:r>
      </w:hyperlink>
      <w:r w:rsidRPr="00C67B14">
        <w:rPr>
          <w:rFonts w:ascii="Times New Roman" w:eastAsia="Times New Roman" w:hAnsi="Times New Roman"/>
          <w:lang w:val="en-GB" w:eastAsia="en-GB"/>
        </w:rPr>
        <w:t xml:space="preserve">;  </w:t>
      </w:r>
      <w:hyperlink w:anchor="_ENREF_118" w:tooltip="Hasan, 2010 #3" w:history="1">
        <w:r w:rsidRPr="00C67B14">
          <w:rPr>
            <w:rFonts w:ascii="Times New Roman" w:eastAsia="Times New Roman" w:hAnsi="Times New Roman"/>
            <w:lang w:val="en-GB" w:eastAsia="en-GB"/>
          </w:rPr>
          <w:t>Hasan, 2010b</w:t>
        </w:r>
      </w:hyperlink>
      <w:r w:rsidRPr="00C67B14">
        <w:rPr>
          <w:rFonts w:ascii="Times New Roman" w:eastAsia="Times New Roman" w:hAnsi="Times New Roman"/>
          <w:lang w:val="en-GB" w:eastAsia="en-GB"/>
        </w:rPr>
        <w:t xml:space="preserve">;  </w:t>
      </w:r>
      <w:hyperlink w:anchor="_ENREF_116" w:tooltip="Hasan, 2014 #366" w:history="1">
        <w:r w:rsidRPr="00C67B14">
          <w:rPr>
            <w:rFonts w:ascii="Times New Roman" w:eastAsia="Times New Roman" w:hAnsi="Times New Roman"/>
            <w:lang w:val="en-GB" w:eastAsia="en-GB"/>
          </w:rPr>
          <w:t>Hasan et al., 2014a</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xml:space="preserve"> thus maintaining high efficiency for an extended period of time. Compared to other methods of temperature regulation, the use of PCM has the added advantage of storing heat energy that can be used asynchronously.</w:t>
      </w:r>
    </w:p>
    <w:p w14:paraId="36E0DF71" w14:textId="1A8C7344" w:rsidR="00986C02" w:rsidRPr="00C67B14" w:rsidRDefault="00986C02" w:rsidP="00C67B14">
      <w:pPr>
        <w:spacing w:line="360" w:lineRule="auto"/>
        <w:jc w:val="both"/>
        <w:rPr>
          <w:rFonts w:ascii="Times New Roman" w:eastAsia="Times New Roman" w:hAnsi="Times New Roman"/>
          <w:lang w:val="en-GB" w:eastAsia="en-GB"/>
        </w:rPr>
      </w:pPr>
      <w:r w:rsidRPr="00C67B14">
        <w:rPr>
          <w:rFonts w:ascii="Times New Roman" w:eastAsia="Times New Roman" w:hAnsi="Times New Roman"/>
          <w:lang w:val="en-GB" w:eastAsia="en-GB"/>
        </w:rPr>
        <w:t xml:space="preserve">At initial heating, a PCM heats sensibly and when the PCM reaches the melting/solidification temperature, the material absorbs latent heat, progressively melting. Melted PCM continues to warm further as it melts. The duration and temperature range over which the phase change takes place depends on the mass of PCM and the thermal conductivity of PCM and any enhanced heat </w:t>
      </w:r>
      <w:r w:rsidRPr="00C67B14">
        <w:rPr>
          <w:rFonts w:ascii="Times New Roman" w:eastAsia="Times New Roman" w:hAnsi="Times New Roman"/>
          <w:lang w:val="en-GB" w:eastAsia="en-GB"/>
        </w:rPr>
        <w:lastRenderedPageBreak/>
        <w:t xml:space="preserve">transfer elements therein. Once PCM has completely changed phase the material will begin to heat sensibly again. This process is illustrated in </w:t>
      </w:r>
      <w:r w:rsidR="0036350B">
        <w:rPr>
          <w:rFonts w:ascii="Times New Roman" w:eastAsia="Times New Roman" w:hAnsi="Times New Roman"/>
          <w:lang w:val="en-GB" w:eastAsia="en-GB"/>
        </w:rPr>
        <w:t>Figure 7</w:t>
      </w:r>
      <w:r w:rsidRPr="00C67B14">
        <w:rPr>
          <w:rFonts w:ascii="Times New Roman" w:eastAsia="Times New Roman" w:hAnsi="Times New Roman"/>
          <w:lang w:val="en-GB" w:eastAsia="en-GB"/>
        </w:rPr>
        <w:t xml:space="preserve"> </w:t>
      </w:r>
      <w:r w:rsidRPr="00C67B14">
        <w:rPr>
          <w:rFonts w:ascii="Times New Roman" w:eastAsia="Times New Roman" w:hAnsi="Times New Roman"/>
          <w:lang w:val="en-GB" w:eastAsia="en-GB"/>
        </w:rPr>
        <w:fldChar w:fldCharType="begin"/>
      </w:r>
      <w:r w:rsidRPr="00C67B14">
        <w:rPr>
          <w:rFonts w:ascii="Times New Roman" w:eastAsia="Times New Roman" w:hAnsi="Times New Roman"/>
          <w:lang w:val="en-GB" w:eastAsia="en-GB"/>
        </w:rPr>
        <w:instrText xml:space="preserve"> ADDIN EN.CITE &lt;EndNote&gt;&lt;Cite&gt;&lt;Author&gt;Günther&lt;/Author&gt;&lt;Year&gt;2009&lt;/Year&gt;&lt;RecNum&gt;223&lt;/RecNum&gt;&lt;DisplayText&gt;(Günther et al., 2009)&lt;/DisplayText&gt;&lt;record&gt;&lt;rec-number&gt;223&lt;/rec-number&gt;&lt;foreign-keys&gt;&lt;key app="EN" db-id="0z5fdztp6e9z5uerfrlvat9mvrxpssrs95da" timestamp="0"&gt;223&lt;/key&gt;&lt;/foreign-keys&gt;&lt;ref-type name="Journal Article"&gt;17&lt;/ref-type&gt;&lt;contributors&gt;&lt;authors&gt;&lt;author&gt;Günther, Eva&lt;/author&gt;&lt;author&gt;Hiebler, Stefan&lt;/author&gt;&lt;author&gt;Mehling, Harald&lt;/author&gt;&lt;author&gt;Redlich, Robert&lt;/author&gt;&lt;/authors&gt;&lt;/contributors&gt;&lt;titles&gt;&lt;title&gt;Enthalpy of Phase Change Materials as a Function of Temperature: Required Accuracy and Suitable Measurement Methods&lt;/title&gt;&lt;secondary-title&gt;International Journal of Thermophysics&lt;/secondary-title&gt;&lt;/titles&gt;&lt;periodical&gt;&lt;full-title&gt;International Journal of Thermophysics&lt;/full-title&gt;&lt;/periodical&gt;&lt;pages&gt;1257-1269&lt;/pages&gt;&lt;volume&gt;30&lt;/volume&gt;&lt;number&gt;4&lt;/number&gt;&lt;keywords&gt;&lt;keyword&gt;Differential scanning calorimetry&lt;/keyword&gt;&lt;keyword&gt;Phase change material&lt;/keyword&gt;&lt;keyword&gt;Salt hydrate&lt;/keyword&gt;&lt;keyword&gt;T-history method&lt;/keyword&gt;&lt;/keywords&gt;&lt;dates&gt;&lt;year&gt;2009&lt;/year&gt;&lt;/dates&gt;&lt;publisher&gt;Springer US&lt;/publisher&gt;&lt;urls&gt;&lt;related-urls&gt;&lt;url&gt;http://dx.doi.org/10.1007/s10765-009-0641-z &lt;/url&gt;&lt;/related-urls&gt;&lt;/urls&gt;&lt;/record&gt;&lt;/Cite&gt;&lt;/EndNote&gt;</w:instrText>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108" w:tooltip="Günther, 2009 #223" w:history="1">
        <w:r w:rsidRPr="00C67B14">
          <w:rPr>
            <w:rFonts w:ascii="Times New Roman" w:eastAsia="Times New Roman" w:hAnsi="Times New Roman"/>
            <w:lang w:val="en-GB" w:eastAsia="en-GB"/>
          </w:rPr>
          <w:t>Günther et al., 2009</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xml:space="preserve">. </w:t>
      </w:r>
    </w:p>
    <w:p w14:paraId="6BE8B269" w14:textId="77777777" w:rsidR="00986C02" w:rsidRPr="00C67B14" w:rsidRDefault="00986C02" w:rsidP="00986C02">
      <w:pPr>
        <w:jc w:val="center"/>
        <w:rPr>
          <w:rFonts w:ascii="Times New Roman" w:eastAsia="Times New Roman" w:hAnsi="Times New Roman"/>
          <w:lang w:val="en-GB" w:eastAsia="en-GB"/>
        </w:rPr>
      </w:pPr>
      <w:r w:rsidRPr="00C67B14">
        <w:rPr>
          <w:rFonts w:ascii="Times New Roman" w:eastAsia="Times New Roman" w:hAnsi="Times New Roman"/>
          <w:noProof/>
          <w:lang w:val="es-PY" w:eastAsia="es-PY"/>
        </w:rPr>
        <w:drawing>
          <wp:inline distT="0" distB="0" distL="0" distR="0" wp14:anchorId="6D7D955F" wp14:editId="1BD787F0">
            <wp:extent cx="4122556" cy="252412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125418" cy="2525877"/>
                    </a:xfrm>
                    <a:prstGeom prst="rect">
                      <a:avLst/>
                    </a:prstGeom>
                    <a:noFill/>
                    <a:ln w="9525">
                      <a:noFill/>
                      <a:miter lim="800000"/>
                      <a:headEnd/>
                      <a:tailEnd/>
                    </a:ln>
                  </pic:spPr>
                </pic:pic>
              </a:graphicData>
            </a:graphic>
          </wp:inline>
        </w:drawing>
      </w:r>
    </w:p>
    <w:p w14:paraId="59116778" w14:textId="7754449E" w:rsidR="00986C02" w:rsidRPr="00C67B14" w:rsidRDefault="0043721A" w:rsidP="005A5941">
      <w:pPr>
        <w:jc w:val="center"/>
        <w:rPr>
          <w:rFonts w:ascii="Times New Roman" w:eastAsia="Times New Roman" w:hAnsi="Times New Roman"/>
          <w:sz w:val="20"/>
          <w:szCs w:val="20"/>
          <w:lang w:val="en-GB" w:eastAsia="en-GB"/>
        </w:rPr>
      </w:pPr>
      <w:bookmarkStart w:id="1" w:name="_Ref384375846"/>
      <w:bookmarkStart w:id="2" w:name="_Toc443983049"/>
      <w:r>
        <w:rPr>
          <w:rFonts w:ascii="Times New Roman" w:eastAsia="Times New Roman" w:hAnsi="Times New Roman"/>
          <w:sz w:val="20"/>
          <w:szCs w:val="20"/>
          <w:lang w:val="en-GB" w:eastAsia="en-GB"/>
        </w:rPr>
        <w:t>Fig.</w:t>
      </w:r>
      <w:r w:rsidR="00986C02" w:rsidRPr="00C67B14">
        <w:rPr>
          <w:rFonts w:ascii="Times New Roman" w:eastAsia="Times New Roman" w:hAnsi="Times New Roman"/>
          <w:sz w:val="20"/>
          <w:szCs w:val="20"/>
          <w:lang w:val="en-GB" w:eastAsia="en-GB"/>
        </w:rPr>
        <w:t xml:space="preserve"> </w:t>
      </w:r>
      <w:bookmarkEnd w:id="1"/>
      <w:r w:rsidR="00184D41">
        <w:rPr>
          <w:rFonts w:ascii="Times New Roman" w:eastAsia="Times New Roman" w:hAnsi="Times New Roman"/>
          <w:sz w:val="20"/>
          <w:szCs w:val="20"/>
          <w:lang w:val="en-GB" w:eastAsia="en-GB"/>
        </w:rPr>
        <w:t>10</w:t>
      </w:r>
      <w:r>
        <w:rPr>
          <w:rFonts w:ascii="Times New Roman" w:eastAsia="Times New Roman" w:hAnsi="Times New Roman"/>
          <w:sz w:val="20"/>
          <w:szCs w:val="20"/>
          <w:lang w:val="en-GB" w:eastAsia="en-GB"/>
        </w:rPr>
        <w:t>.</w:t>
      </w:r>
      <w:r w:rsidR="00986C02" w:rsidRPr="00C67B14">
        <w:rPr>
          <w:rFonts w:ascii="Times New Roman" w:eastAsia="Times New Roman" w:hAnsi="Times New Roman"/>
          <w:sz w:val="20"/>
          <w:szCs w:val="20"/>
          <w:lang w:val="en-GB" w:eastAsia="en-GB"/>
        </w:rPr>
        <w:t xml:space="preserve"> Graphical representation of the variation of stored heat of a PCM with increasing temperature </w:t>
      </w:r>
      <w:r w:rsidR="00986C02" w:rsidRPr="00C67B14">
        <w:rPr>
          <w:rFonts w:ascii="Times New Roman" w:eastAsia="Times New Roman" w:hAnsi="Times New Roman"/>
          <w:sz w:val="20"/>
          <w:szCs w:val="20"/>
          <w:lang w:val="en-GB" w:eastAsia="en-GB"/>
        </w:rPr>
        <w:fldChar w:fldCharType="begin"/>
      </w:r>
      <w:r w:rsidR="00986C02" w:rsidRPr="00C67B14">
        <w:rPr>
          <w:rFonts w:ascii="Times New Roman" w:eastAsia="Times New Roman" w:hAnsi="Times New Roman"/>
          <w:sz w:val="20"/>
          <w:szCs w:val="20"/>
          <w:lang w:val="en-GB" w:eastAsia="en-GB"/>
        </w:rPr>
        <w:instrText xml:space="preserve"> ADDIN EN.CITE &lt;EndNote&gt;&lt;Cite&gt;&lt;Author&gt;Günther&lt;/Author&gt;&lt;Year&gt;2009&lt;/Year&gt;&lt;RecNum&gt;223&lt;/RecNum&gt;&lt;DisplayText&gt;(Günther et al., 2009)&lt;/DisplayText&gt;&lt;record&gt;&lt;rec-number&gt;223&lt;/rec-number&gt;&lt;foreign-keys&gt;&lt;key app="EN" db-id="0z5fdztp6e9z5uerfrlvat9mvrxpssrs95da" timestamp="0"&gt;223&lt;/key&gt;&lt;/foreign-keys&gt;&lt;ref-type name="Journal Article"&gt;17&lt;/ref-type&gt;&lt;contributors&gt;&lt;authors&gt;&lt;author&gt;Günther, Eva&lt;/author&gt;&lt;author&gt;Hiebler, Stefan&lt;/author&gt;&lt;author&gt;Mehling, Harald&lt;/author&gt;&lt;author&gt;Redlich, Robert&lt;/author&gt;&lt;/authors&gt;&lt;/contributors&gt;&lt;titles&gt;&lt;title&gt;Enthalpy of Phase Change Materials as a Function of Temperature: Required Accuracy and Suitable Measurement Methods&lt;/title&gt;&lt;secondary-title&gt;International Journal of Thermophysics&lt;/secondary-title&gt;&lt;/titles&gt;&lt;periodical&gt;&lt;full-title&gt;International Journal of Thermophysics&lt;/full-title&gt;&lt;/periodical&gt;&lt;pages&gt;1257-1269&lt;/pages&gt;&lt;volume&gt;30&lt;/volume&gt;&lt;number&gt;4&lt;/number&gt;&lt;keywords&gt;&lt;keyword&gt;Differential scanning calorimetry&lt;/keyword&gt;&lt;keyword&gt;Phase change material&lt;/keyword&gt;&lt;keyword&gt;Salt hydrate&lt;/keyword&gt;&lt;keyword&gt;T-history method&lt;/keyword&gt;&lt;/keywords&gt;&lt;dates&gt;&lt;year&gt;2009&lt;/year&gt;&lt;/dates&gt;&lt;publisher&gt;Springer US&lt;/publisher&gt;&lt;urls&gt;&lt;related-urls&gt;&lt;url&gt;http://dx.doi.org/10.1007/s10765-009-0641-z &lt;/url&gt;&lt;/related-urls&gt;&lt;/urls&gt;&lt;/record&gt;&lt;/Cite&gt;&lt;/EndNote&gt;</w:instrText>
      </w:r>
      <w:r w:rsidR="00986C02" w:rsidRPr="00C67B14">
        <w:rPr>
          <w:rFonts w:ascii="Times New Roman" w:eastAsia="Times New Roman" w:hAnsi="Times New Roman"/>
          <w:sz w:val="20"/>
          <w:szCs w:val="20"/>
          <w:lang w:val="en-GB" w:eastAsia="en-GB"/>
        </w:rPr>
        <w:fldChar w:fldCharType="separate"/>
      </w:r>
      <w:r w:rsidR="00986C02" w:rsidRPr="00C67B14">
        <w:rPr>
          <w:rFonts w:ascii="Times New Roman" w:eastAsia="Times New Roman" w:hAnsi="Times New Roman"/>
          <w:sz w:val="20"/>
          <w:szCs w:val="20"/>
          <w:lang w:val="en-GB" w:eastAsia="en-GB"/>
        </w:rPr>
        <w:t>(</w:t>
      </w:r>
      <w:hyperlink w:anchor="_ENREF_108" w:tooltip="Günther, 2009 #223" w:history="1">
        <w:r w:rsidR="00986C02" w:rsidRPr="00C67B14">
          <w:rPr>
            <w:rFonts w:ascii="Times New Roman" w:eastAsia="Times New Roman" w:hAnsi="Times New Roman"/>
            <w:sz w:val="20"/>
            <w:szCs w:val="20"/>
            <w:lang w:val="en-GB" w:eastAsia="en-GB"/>
          </w:rPr>
          <w:t>Günther et al., 2009</w:t>
        </w:r>
      </w:hyperlink>
      <w:r w:rsidR="00986C02" w:rsidRPr="00C67B14">
        <w:rPr>
          <w:rFonts w:ascii="Times New Roman" w:eastAsia="Times New Roman" w:hAnsi="Times New Roman"/>
          <w:sz w:val="20"/>
          <w:szCs w:val="20"/>
          <w:lang w:val="en-GB" w:eastAsia="en-GB"/>
        </w:rPr>
        <w:t>)</w:t>
      </w:r>
      <w:bookmarkEnd w:id="2"/>
      <w:r w:rsidR="00986C02" w:rsidRPr="00C67B14">
        <w:rPr>
          <w:rFonts w:ascii="Times New Roman" w:eastAsia="Times New Roman" w:hAnsi="Times New Roman"/>
          <w:sz w:val="20"/>
          <w:szCs w:val="20"/>
          <w:lang w:val="en-GB" w:eastAsia="en-GB"/>
        </w:rPr>
        <w:fldChar w:fldCharType="end"/>
      </w:r>
    </w:p>
    <w:p w14:paraId="02D12CF2" w14:textId="77777777" w:rsidR="00CD09F4" w:rsidRDefault="00CD09F4" w:rsidP="00C67B14">
      <w:pPr>
        <w:spacing w:line="360" w:lineRule="auto"/>
        <w:jc w:val="both"/>
        <w:rPr>
          <w:rFonts w:ascii="Times New Roman" w:eastAsia="Times New Roman" w:hAnsi="Times New Roman"/>
          <w:lang w:val="en-GB" w:eastAsia="en-GB"/>
        </w:rPr>
      </w:pPr>
    </w:p>
    <w:p w14:paraId="0BBB5438" w14:textId="00C52791" w:rsidR="00986C02" w:rsidRPr="00C67B14" w:rsidRDefault="00986C02" w:rsidP="00C67B14">
      <w:pPr>
        <w:spacing w:line="360" w:lineRule="auto"/>
        <w:jc w:val="both"/>
        <w:rPr>
          <w:rFonts w:ascii="Times New Roman" w:eastAsia="Times New Roman" w:hAnsi="Times New Roman"/>
          <w:lang w:val="en-GB" w:eastAsia="en-GB"/>
        </w:rPr>
      </w:pPr>
      <w:r w:rsidRPr="00C67B14">
        <w:rPr>
          <w:rFonts w:ascii="Times New Roman" w:eastAsia="Times New Roman" w:hAnsi="Times New Roman"/>
          <w:lang w:val="en-GB" w:eastAsia="en-GB"/>
        </w:rPr>
        <w:t xml:space="preserve">A classification of PCM in terms of melting temperature and melting enthalpy is shown in </w:t>
      </w:r>
      <w:r w:rsidR="0036350B">
        <w:rPr>
          <w:rFonts w:ascii="Times New Roman" w:eastAsia="Times New Roman" w:hAnsi="Times New Roman"/>
          <w:lang w:val="en-GB" w:eastAsia="en-GB"/>
        </w:rPr>
        <w:t>Figure 8</w:t>
      </w:r>
      <w:r w:rsidRPr="00C67B14">
        <w:rPr>
          <w:rFonts w:ascii="Times New Roman" w:eastAsia="Times New Roman" w:hAnsi="Times New Roman"/>
          <w:lang w:val="en-GB" w:eastAsia="en-GB"/>
        </w:rPr>
        <w:t xml:space="preserve"> </w:t>
      </w:r>
      <w:r w:rsidRPr="00C67B14">
        <w:rPr>
          <w:rFonts w:ascii="Times New Roman" w:eastAsia="Times New Roman" w:hAnsi="Times New Roman"/>
          <w:lang w:val="en-GB" w:eastAsia="en-GB"/>
        </w:rPr>
        <w:fldChar w:fldCharType="begin"/>
      </w:r>
      <w:r w:rsidRPr="00C67B14">
        <w:rPr>
          <w:rFonts w:ascii="Times New Roman" w:eastAsia="Times New Roman" w:hAnsi="Times New Roman"/>
          <w:lang w:val="en-GB" w:eastAsia="en-GB"/>
        </w:rPr>
        <w:instrText xml:space="preserve"> ADDIN EN.CITE &lt;EndNote&gt;&lt;Cite&gt;&lt;Author&gt;Cabeza&lt;/Author&gt;&lt;Year&gt;2011&lt;/Year&gt;&lt;RecNum&gt;224&lt;/RecNum&gt;&lt;DisplayText&gt;(Cabeza et al., 2011)&lt;/DisplayText&gt;&lt;record&gt;&lt;rec-number&gt;224&lt;/rec-number&gt;&lt;foreign-keys&gt;&lt;key app="EN" db-id="0z5fdztp6e9z5uerfrlvat9mvrxpssrs95da" timestamp="0"&gt;224&lt;/key&gt;&lt;/foreign-keys&gt;&lt;ref-type name="Journal Article"&gt;17&lt;/ref-type&gt;&lt;contributors&gt;&lt;authors&gt;&lt;author&gt;Cabeza, L. F.&lt;/author&gt;&lt;author&gt;Castell, A.&lt;/author&gt;&lt;author&gt;Barreneche, C.&lt;/author&gt;&lt;author&gt;de Gracia, A.&lt;/author&gt;&lt;author&gt;Fernández, A. I.&lt;/author&gt;&lt;/authors&gt;&lt;/contributors&gt;&lt;titles&gt;&lt;title&gt;Materials used as PCM in thermal energy storage in buildings: A review&lt;/title&gt;&lt;secondary-title&gt;Renewable and Sustainable Energy Reviews&lt;/secondary-title&gt;&lt;/titles&gt;&lt;periodical&gt;&lt;full-title&gt;Renewable and Sustainable Energy Reviews&lt;/full-title&gt;&lt;/periodical&gt;&lt;pages&gt;1675-1695&lt;/pages&gt;&lt;volume&gt;15&lt;/volume&gt;&lt;number&gt;3&lt;/number&gt;&lt;keywords&gt;&lt;keyword&gt;Review&lt;/keyword&gt;&lt;keyword&gt;Phase change materials (PCM)&lt;/keyword&gt;&lt;keyword&gt;Thermal energy storage (TES)&lt;/keyword&gt;&lt;keyword&gt;Building&lt;/keyword&gt;&lt;keyword&gt;Energy efficiency&lt;/keyword&gt;&lt;/keywords&gt;&lt;dates&gt;&lt;year&gt;2011&lt;/year&gt;&lt;/dates&gt;&lt;urls&gt;&lt;related-urls&gt;&lt;url&gt;http://www.sciencedirect.com/science/article/pii/S1364032110003874 &lt;/url&gt;&lt;/related-urls&gt;&lt;/urls&gt;&lt;/record&gt;&lt;/Cite&gt;&lt;/EndNote&gt;</w:instrText>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40" w:tooltip="Cabeza, 2011 #224" w:history="1">
        <w:r w:rsidRPr="00C67B14">
          <w:rPr>
            <w:rFonts w:ascii="Times New Roman" w:eastAsia="Times New Roman" w:hAnsi="Times New Roman"/>
            <w:lang w:val="en-GB" w:eastAsia="en-GB"/>
          </w:rPr>
          <w:t>Cabeza et al., 2011</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xml:space="preserve">. PCMs are divided into organic (paraffin, fatty acid), inorganic (hydrated salts) and eutectic (mixture of organic or inorganic PCM) within the required melting temperature of 20 ºC to 100 ºC. Cabeza el al. </w:t>
      </w:r>
      <w:r w:rsidRPr="00C67B14">
        <w:rPr>
          <w:rFonts w:ascii="Times New Roman" w:eastAsia="Times New Roman" w:hAnsi="Times New Roman"/>
          <w:lang w:val="en-GB" w:eastAsia="en-GB"/>
        </w:rPr>
        <w:fldChar w:fldCharType="begin"/>
      </w:r>
      <w:r w:rsidRPr="00C67B14">
        <w:rPr>
          <w:rFonts w:ascii="Times New Roman" w:eastAsia="Times New Roman" w:hAnsi="Times New Roman"/>
          <w:lang w:val="en-GB" w:eastAsia="en-GB"/>
        </w:rPr>
        <w:instrText xml:space="preserve"> ADDIN EN.CITE &lt;EndNote&gt;&lt;Cite&gt;&lt;Author&gt;Cabeza&lt;/Author&gt;&lt;Year&gt;2011&lt;/Year&gt;&lt;RecNum&gt;224&lt;/RecNum&gt;&lt;DisplayText&gt;(Cabeza et al., 2011)&lt;/DisplayText&gt;&lt;record&gt;&lt;rec-number&gt;224&lt;/rec-number&gt;&lt;foreign-keys&gt;&lt;key app="EN" db-id="0z5fdztp6e9z5uerfrlvat9mvrxpssrs95da" timestamp="0"&gt;224&lt;/key&gt;&lt;/foreign-keys&gt;&lt;ref-type name="Journal Article"&gt;17&lt;/ref-type&gt;&lt;contributors&gt;&lt;authors&gt;&lt;author&gt;Cabeza, L. F.&lt;/author&gt;&lt;author&gt;Castell, A.&lt;/author&gt;&lt;author&gt;Barreneche, C.&lt;/author&gt;&lt;author&gt;de Gracia, A.&lt;/author&gt;&lt;author&gt;Fernández, A. I.&lt;/author&gt;&lt;/authors&gt;&lt;/contributors&gt;&lt;titles&gt;&lt;title&gt;Materials used as PCM in thermal energy storage in buildings: A review&lt;/title&gt;&lt;secondary-title&gt;Renewable and Sustainable Energy Reviews&lt;/secondary-title&gt;&lt;/titles&gt;&lt;periodical&gt;&lt;full-title&gt;Renewable and Sustainable Energy Reviews&lt;/full-title&gt;&lt;/periodical&gt;&lt;pages&gt;1675-1695&lt;/pages&gt;&lt;volume&gt;15&lt;/volume&gt;&lt;number&gt;3&lt;/number&gt;&lt;keywords&gt;&lt;keyword&gt;Review&lt;/keyword&gt;&lt;keyword&gt;Phase change materials (PCM)&lt;/keyword&gt;&lt;keyword&gt;Thermal energy storage (TES)&lt;/keyword&gt;&lt;keyword&gt;Building&lt;/keyword&gt;&lt;keyword&gt;Energy efficiency&lt;/keyword&gt;&lt;/keywords&gt;&lt;dates&gt;&lt;year&gt;2011&lt;/year&gt;&lt;/dates&gt;&lt;urls&gt;&lt;related-urls&gt;&lt;url&gt;http://www.sciencedirect.com/science/article/pii/S1364032110003874 &lt;/url&gt;&lt;/related-urls&gt;&lt;/urls&gt;&lt;/record&gt;&lt;/Cite&gt;&lt;/EndNote&gt;</w:instrText>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40" w:tooltip="Cabeza, 2011 #224" w:history="1">
        <w:r w:rsidRPr="00C67B14">
          <w:rPr>
            <w:rFonts w:ascii="Times New Roman" w:eastAsia="Times New Roman" w:hAnsi="Times New Roman"/>
            <w:lang w:val="en-GB" w:eastAsia="en-GB"/>
          </w:rPr>
          <w:t>Cabeza et al., 2011</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xml:space="preserve"> divided PCM into groups; </w:t>
      </w:r>
    </w:p>
    <w:p w14:paraId="2C9A91DB" w14:textId="77777777" w:rsidR="00986C02" w:rsidRPr="00C67B14" w:rsidRDefault="00986C02" w:rsidP="003B24EF">
      <w:pPr>
        <w:pStyle w:val="ListParagraph"/>
        <w:numPr>
          <w:ilvl w:val="0"/>
          <w:numId w:val="10"/>
        </w:numPr>
        <w:suppressAutoHyphens w:val="0"/>
        <w:autoSpaceDN/>
        <w:spacing w:after="360" w:line="360" w:lineRule="auto"/>
        <w:contextualSpacing/>
        <w:jc w:val="both"/>
        <w:textAlignment w:val="auto"/>
        <w:rPr>
          <w:sz w:val="22"/>
          <w:szCs w:val="22"/>
        </w:rPr>
      </w:pPr>
      <w:r w:rsidRPr="00C67B14">
        <w:rPr>
          <w:sz w:val="22"/>
          <w:szCs w:val="22"/>
        </w:rPr>
        <w:t>Cooling applications up to 21ºC</w:t>
      </w:r>
    </w:p>
    <w:p w14:paraId="40DA4A29" w14:textId="77777777" w:rsidR="00986C02" w:rsidRPr="00C67B14" w:rsidRDefault="00986C02" w:rsidP="003B24EF">
      <w:pPr>
        <w:pStyle w:val="ListParagraph"/>
        <w:numPr>
          <w:ilvl w:val="0"/>
          <w:numId w:val="10"/>
        </w:numPr>
        <w:suppressAutoHyphens w:val="0"/>
        <w:autoSpaceDN/>
        <w:spacing w:after="360" w:line="360" w:lineRule="auto"/>
        <w:contextualSpacing/>
        <w:jc w:val="both"/>
        <w:textAlignment w:val="auto"/>
        <w:rPr>
          <w:sz w:val="22"/>
          <w:szCs w:val="22"/>
        </w:rPr>
      </w:pPr>
      <w:r w:rsidRPr="00C67B14">
        <w:rPr>
          <w:sz w:val="22"/>
          <w:szCs w:val="22"/>
        </w:rPr>
        <w:t>22 ºC - 28 ºC for comfort in building applications</w:t>
      </w:r>
    </w:p>
    <w:p w14:paraId="115BEB4D" w14:textId="6A203DDD" w:rsidR="00986C02" w:rsidRPr="00C67B14" w:rsidRDefault="00496E1C" w:rsidP="003B24EF">
      <w:pPr>
        <w:pStyle w:val="ListParagraph"/>
        <w:numPr>
          <w:ilvl w:val="0"/>
          <w:numId w:val="10"/>
        </w:numPr>
        <w:suppressAutoHyphens w:val="0"/>
        <w:autoSpaceDN/>
        <w:spacing w:after="360" w:line="360" w:lineRule="auto"/>
        <w:contextualSpacing/>
        <w:jc w:val="both"/>
        <w:textAlignment w:val="auto"/>
        <w:rPr>
          <w:sz w:val="22"/>
          <w:szCs w:val="22"/>
        </w:rPr>
      </w:pPr>
      <w:r>
        <w:rPr>
          <w:sz w:val="22"/>
          <w:szCs w:val="22"/>
        </w:rPr>
        <w:t>29 ºC</w:t>
      </w:r>
      <w:r w:rsidR="00986C02" w:rsidRPr="00C67B14">
        <w:rPr>
          <w:sz w:val="22"/>
          <w:szCs w:val="22"/>
        </w:rPr>
        <w:t xml:space="preserve"> - 60 ºC for hot water applications </w:t>
      </w:r>
    </w:p>
    <w:p w14:paraId="0E5EABBD" w14:textId="20E5388B" w:rsidR="00986C02" w:rsidRPr="00C67B14" w:rsidRDefault="00986C02" w:rsidP="003B24EF">
      <w:pPr>
        <w:pStyle w:val="ListParagraph"/>
        <w:numPr>
          <w:ilvl w:val="0"/>
          <w:numId w:val="10"/>
        </w:numPr>
        <w:suppressAutoHyphens w:val="0"/>
        <w:autoSpaceDN/>
        <w:spacing w:after="360" w:line="360" w:lineRule="auto"/>
        <w:contextualSpacing/>
        <w:jc w:val="both"/>
        <w:textAlignment w:val="auto"/>
        <w:rPr>
          <w:sz w:val="22"/>
          <w:szCs w:val="22"/>
        </w:rPr>
      </w:pPr>
      <w:r w:rsidRPr="00C67B14">
        <w:rPr>
          <w:sz w:val="22"/>
          <w:szCs w:val="22"/>
        </w:rPr>
        <w:t xml:space="preserve">High temperature applications </w:t>
      </w:r>
      <w:r w:rsidR="00496E1C">
        <w:rPr>
          <w:sz w:val="22"/>
          <w:szCs w:val="22"/>
        </w:rPr>
        <w:t xml:space="preserve">requiring PCM of between 61 ºC </w:t>
      </w:r>
      <w:r w:rsidRPr="00C67B14">
        <w:rPr>
          <w:sz w:val="22"/>
          <w:szCs w:val="22"/>
        </w:rPr>
        <w:t xml:space="preserve">- 120 ºC </w:t>
      </w:r>
    </w:p>
    <w:p w14:paraId="60EF1F11" w14:textId="77777777" w:rsidR="00986C02" w:rsidRPr="00C67B14" w:rsidRDefault="00986C02" w:rsidP="00986C02">
      <w:pPr>
        <w:rPr>
          <w:rFonts w:ascii="Times New Roman" w:eastAsia="Times New Roman" w:hAnsi="Times New Roman"/>
          <w:lang w:val="en-GB" w:eastAsia="en-GB"/>
        </w:rPr>
      </w:pPr>
    </w:p>
    <w:p w14:paraId="5087ABDD" w14:textId="77777777" w:rsidR="00986C02" w:rsidRPr="00C67B14" w:rsidRDefault="00986C02" w:rsidP="00986C02">
      <w:pPr>
        <w:jc w:val="center"/>
        <w:rPr>
          <w:rFonts w:ascii="Times New Roman" w:eastAsia="Times New Roman" w:hAnsi="Times New Roman"/>
          <w:lang w:val="en-GB" w:eastAsia="en-GB"/>
        </w:rPr>
      </w:pPr>
      <w:r w:rsidRPr="00C67B14">
        <w:rPr>
          <w:rFonts w:ascii="Times New Roman" w:eastAsia="Times New Roman" w:hAnsi="Times New Roman"/>
          <w:noProof/>
          <w:lang w:val="es-PY" w:eastAsia="es-PY"/>
        </w:rPr>
        <w:lastRenderedPageBreak/>
        <w:drawing>
          <wp:inline distT="0" distB="0" distL="0" distR="0" wp14:anchorId="5462B756" wp14:editId="72050144">
            <wp:extent cx="5072380" cy="3754017"/>
            <wp:effectExtent l="0" t="0" r="0" b="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081859" cy="3761032"/>
                    </a:xfrm>
                    <a:prstGeom prst="rect">
                      <a:avLst/>
                    </a:prstGeom>
                    <a:noFill/>
                    <a:ln w="9525">
                      <a:noFill/>
                      <a:miter lim="800000"/>
                      <a:headEnd/>
                      <a:tailEnd/>
                    </a:ln>
                  </pic:spPr>
                </pic:pic>
              </a:graphicData>
            </a:graphic>
          </wp:inline>
        </w:drawing>
      </w:r>
    </w:p>
    <w:p w14:paraId="504F6983" w14:textId="13CD2A35" w:rsidR="00CD744B" w:rsidRDefault="0043721A" w:rsidP="00184D41">
      <w:pPr>
        <w:jc w:val="center"/>
        <w:rPr>
          <w:rFonts w:ascii="Times New Roman" w:eastAsia="Times New Roman" w:hAnsi="Times New Roman"/>
          <w:sz w:val="20"/>
          <w:szCs w:val="20"/>
          <w:lang w:val="en-GB" w:eastAsia="en-GB"/>
        </w:rPr>
      </w:pPr>
      <w:bookmarkStart w:id="3" w:name="_Ref384375870"/>
      <w:bookmarkStart w:id="4" w:name="_Toc443983050"/>
      <w:r>
        <w:rPr>
          <w:rFonts w:ascii="Times New Roman" w:eastAsia="Times New Roman" w:hAnsi="Times New Roman"/>
          <w:sz w:val="20"/>
          <w:szCs w:val="20"/>
          <w:lang w:val="en-GB" w:eastAsia="en-GB"/>
        </w:rPr>
        <w:t>Fig.</w:t>
      </w:r>
      <w:r w:rsidR="00986C02" w:rsidRPr="005A5941">
        <w:rPr>
          <w:rFonts w:ascii="Times New Roman" w:eastAsia="Times New Roman" w:hAnsi="Times New Roman"/>
          <w:sz w:val="20"/>
          <w:szCs w:val="20"/>
          <w:lang w:val="en-GB" w:eastAsia="en-GB"/>
        </w:rPr>
        <w:t xml:space="preserve"> </w:t>
      </w:r>
      <w:bookmarkEnd w:id="3"/>
      <w:r w:rsidR="00A17820">
        <w:rPr>
          <w:rFonts w:ascii="Times New Roman" w:eastAsia="Times New Roman" w:hAnsi="Times New Roman"/>
          <w:sz w:val="20"/>
          <w:szCs w:val="20"/>
          <w:lang w:val="en-GB" w:eastAsia="en-GB"/>
        </w:rPr>
        <w:t>8</w:t>
      </w:r>
      <w:r>
        <w:rPr>
          <w:rFonts w:ascii="Times New Roman" w:eastAsia="Times New Roman" w:hAnsi="Times New Roman"/>
          <w:sz w:val="20"/>
          <w:szCs w:val="20"/>
          <w:lang w:val="en-GB" w:eastAsia="en-GB"/>
        </w:rPr>
        <w:t>.</w:t>
      </w:r>
      <w:r w:rsidR="00986C02" w:rsidRPr="005A5941">
        <w:rPr>
          <w:rFonts w:ascii="Times New Roman" w:eastAsia="Times New Roman" w:hAnsi="Times New Roman"/>
          <w:sz w:val="20"/>
          <w:szCs w:val="20"/>
          <w:lang w:val="en-GB" w:eastAsia="en-GB"/>
        </w:rPr>
        <w:t xml:space="preserve"> PCM classification based on melting temperatures and melting enthalpy </w:t>
      </w:r>
      <w:r w:rsidR="00986C02" w:rsidRPr="005A5941">
        <w:rPr>
          <w:rFonts w:ascii="Times New Roman" w:eastAsia="Times New Roman" w:hAnsi="Times New Roman"/>
          <w:sz w:val="20"/>
          <w:szCs w:val="20"/>
          <w:lang w:val="en-GB" w:eastAsia="en-GB"/>
        </w:rPr>
        <w:fldChar w:fldCharType="begin"/>
      </w:r>
      <w:r w:rsidR="00986C02" w:rsidRPr="005A5941">
        <w:rPr>
          <w:rFonts w:ascii="Times New Roman" w:eastAsia="Times New Roman" w:hAnsi="Times New Roman"/>
          <w:sz w:val="20"/>
          <w:szCs w:val="20"/>
          <w:lang w:val="en-GB" w:eastAsia="en-GB"/>
        </w:rPr>
        <w:instrText xml:space="preserve"> ADDIN EN.CITE &lt;EndNote&gt;&lt;Cite&gt;&lt;Author&gt;Cabeza&lt;/Author&gt;&lt;Year&gt;2011&lt;/Year&gt;&lt;RecNum&gt;224&lt;/RecNum&gt;&lt;DisplayText&gt;(Cabeza et al., 2011)&lt;/DisplayText&gt;&lt;record&gt;&lt;rec-number&gt;224&lt;/rec-number&gt;&lt;foreign-keys&gt;&lt;key app="EN" db-id="0z5fdztp6e9z5uerfrlvat9mvrxpssrs95da" timestamp="0"&gt;224&lt;/key&gt;&lt;/foreign-keys&gt;&lt;ref-type name="Journal Article"&gt;17&lt;/ref-type&gt;&lt;contributors&gt;&lt;authors&gt;&lt;author&gt;Cabeza, L. F.&lt;/author&gt;&lt;author&gt;Castell, A.&lt;/author&gt;&lt;author&gt;Barreneche, C.&lt;/author&gt;&lt;author&gt;de Gracia, A.&lt;/author&gt;&lt;author&gt;Fernández, A. I.&lt;/author&gt;&lt;/authors&gt;&lt;/contributors&gt;&lt;titles&gt;&lt;title&gt;Materials used as PCM in thermal energy storage in buildings: A review&lt;/title&gt;&lt;secondary-title&gt;Renewable and Sustainable Energy Reviews&lt;/secondary-title&gt;&lt;/titles&gt;&lt;periodical&gt;&lt;full-title&gt;Renewable and Sustainable Energy Reviews&lt;/full-title&gt;&lt;/periodical&gt;&lt;pages&gt;1675-1695&lt;/pages&gt;&lt;volume&gt;15&lt;/volume&gt;&lt;number&gt;3&lt;/number&gt;&lt;keywords&gt;&lt;keyword&gt;Review&lt;/keyword&gt;&lt;keyword&gt;Phase change materials (PCM)&lt;/keyword&gt;&lt;keyword&gt;Thermal energy storage (TES)&lt;/keyword&gt;&lt;keyword&gt;Building&lt;/keyword&gt;&lt;keyword&gt;Energy efficiency&lt;/keyword&gt;&lt;/keywords&gt;&lt;dates&gt;&lt;year&gt;2011&lt;/year&gt;&lt;/dates&gt;&lt;urls&gt;&lt;related-urls&gt;&lt;url&gt;http://www.sciencedirect.com/science/article/pii/S1364032110003874 &lt;/url&gt;&lt;/related-urls&gt;&lt;/urls&gt;&lt;/record&gt;&lt;/Cite&gt;&lt;/EndNote&gt;</w:instrText>
      </w:r>
      <w:r w:rsidR="00986C02" w:rsidRPr="005A5941">
        <w:rPr>
          <w:rFonts w:ascii="Times New Roman" w:eastAsia="Times New Roman" w:hAnsi="Times New Roman"/>
          <w:sz w:val="20"/>
          <w:szCs w:val="20"/>
          <w:lang w:val="en-GB" w:eastAsia="en-GB"/>
        </w:rPr>
        <w:fldChar w:fldCharType="separate"/>
      </w:r>
      <w:r w:rsidR="00986C02" w:rsidRPr="005A5941">
        <w:rPr>
          <w:rFonts w:ascii="Times New Roman" w:eastAsia="Times New Roman" w:hAnsi="Times New Roman"/>
          <w:sz w:val="20"/>
          <w:szCs w:val="20"/>
          <w:lang w:val="en-GB" w:eastAsia="en-GB"/>
        </w:rPr>
        <w:t>(</w:t>
      </w:r>
      <w:hyperlink w:anchor="_ENREF_40" w:tooltip="Cabeza, 2011 #224" w:history="1">
        <w:r w:rsidR="00986C02" w:rsidRPr="005A5941">
          <w:rPr>
            <w:rFonts w:ascii="Times New Roman" w:eastAsia="Times New Roman" w:hAnsi="Times New Roman"/>
            <w:sz w:val="20"/>
            <w:szCs w:val="20"/>
            <w:lang w:val="en-GB" w:eastAsia="en-GB"/>
          </w:rPr>
          <w:t>Cabeza et al., 2011</w:t>
        </w:r>
      </w:hyperlink>
      <w:r w:rsidR="00986C02" w:rsidRPr="005A5941">
        <w:rPr>
          <w:rFonts w:ascii="Times New Roman" w:eastAsia="Times New Roman" w:hAnsi="Times New Roman"/>
          <w:sz w:val="20"/>
          <w:szCs w:val="20"/>
          <w:lang w:val="en-GB" w:eastAsia="en-GB"/>
        </w:rPr>
        <w:t>)</w:t>
      </w:r>
      <w:bookmarkEnd w:id="4"/>
      <w:r w:rsidR="00986C02" w:rsidRPr="005A5941">
        <w:rPr>
          <w:rFonts w:ascii="Times New Roman" w:eastAsia="Times New Roman" w:hAnsi="Times New Roman"/>
          <w:sz w:val="20"/>
          <w:szCs w:val="20"/>
          <w:lang w:val="en-GB" w:eastAsia="en-GB"/>
        </w:rPr>
        <w:fldChar w:fldCharType="end"/>
      </w:r>
    </w:p>
    <w:p w14:paraId="7E30227B" w14:textId="77777777" w:rsidR="00184D41" w:rsidRPr="00CD744B" w:rsidRDefault="00184D41" w:rsidP="00184D41">
      <w:pPr>
        <w:jc w:val="center"/>
        <w:rPr>
          <w:rFonts w:ascii="Times New Roman" w:eastAsia="Times New Roman" w:hAnsi="Times New Roman"/>
          <w:sz w:val="20"/>
          <w:szCs w:val="20"/>
          <w:lang w:val="en-GB" w:eastAsia="en-GB"/>
        </w:rPr>
      </w:pPr>
    </w:p>
    <w:p w14:paraId="448FECDC" w14:textId="42C472E2" w:rsidR="00986C02" w:rsidRPr="005A5941" w:rsidRDefault="00986C02" w:rsidP="00C67B14">
      <w:pPr>
        <w:spacing w:line="360" w:lineRule="auto"/>
        <w:jc w:val="both"/>
        <w:rPr>
          <w:rFonts w:ascii="Times New Roman" w:eastAsia="Times New Roman" w:hAnsi="Times New Roman"/>
          <w:lang w:val="en-GB" w:eastAsia="en-GB"/>
        </w:rPr>
      </w:pPr>
      <w:r w:rsidRPr="00C67B14">
        <w:rPr>
          <w:rFonts w:ascii="Times New Roman" w:eastAsia="Times New Roman" w:hAnsi="Times New Roman"/>
          <w:lang w:val="en-GB" w:eastAsia="en-GB"/>
        </w:rPr>
        <w:t xml:space="preserve">There has been considerable research on types of PCM, their applications and thermophysical properties </w:t>
      </w:r>
      <w:r w:rsidRPr="00C67B14">
        <w:rPr>
          <w:rFonts w:ascii="Times New Roman" w:eastAsia="Times New Roman" w:hAnsi="Times New Roman"/>
          <w:lang w:val="en-GB" w:eastAsia="en-GB"/>
        </w:rPr>
        <w:fldChar w:fldCharType="begin">
          <w:fldData xml:space="preserve">PEVuZE5vdGU+PENpdGU+PEF1dGhvcj5aYWxiYTwvQXV0aG9yPjxZZWFyPjIwMDM8L1llYXI+PFJl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</w:fldData>
        </w:fldChar>
      </w:r>
      <w:r w:rsidRPr="00C67B14">
        <w:rPr>
          <w:rFonts w:ascii="Times New Roman" w:eastAsia="Times New Roman" w:hAnsi="Times New Roman"/>
          <w:lang w:val="en-GB" w:eastAsia="en-GB"/>
        </w:rPr>
        <w:instrText xml:space="preserve"> ADDIN EN.CITE </w:instrText>
      </w:r>
      <w:r w:rsidRPr="00C67B14">
        <w:rPr>
          <w:rFonts w:ascii="Times New Roman" w:eastAsia="Times New Roman" w:hAnsi="Times New Roman"/>
          <w:lang w:val="en-GB" w:eastAsia="en-GB"/>
        </w:rPr>
        <w:fldChar w:fldCharType="begin">
          <w:fldData xml:space="preserve">PEVuZE5vdGU+PENpdGU+PEF1dGhvcj5aYWxiYTwvQXV0aG9yPjxZZWFyPjIwMDM8L1llYXI+PFJl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</w:fldData>
        </w:fldChar>
      </w:r>
      <w:r w:rsidRPr="00C67B14">
        <w:rPr>
          <w:rFonts w:ascii="Times New Roman" w:eastAsia="Times New Roman" w:hAnsi="Times New Roman"/>
          <w:lang w:val="en-GB" w:eastAsia="en-GB"/>
        </w:rPr>
        <w:instrText xml:space="preserve"> ADDIN EN.CITE.DATA </w:instrText>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334" w:tooltip="Zalba, 2003 #168" w:history="1">
        <w:r w:rsidRPr="00C67B14">
          <w:rPr>
            <w:rFonts w:ascii="Times New Roman" w:eastAsia="Times New Roman" w:hAnsi="Times New Roman"/>
            <w:lang w:val="en-GB" w:eastAsia="en-GB"/>
          </w:rPr>
          <w:t>Zalba et al., 2003</w:t>
        </w:r>
      </w:hyperlink>
      <w:r w:rsidRPr="00C67B14">
        <w:rPr>
          <w:rFonts w:ascii="Times New Roman" w:eastAsia="Times New Roman" w:hAnsi="Times New Roman"/>
          <w:lang w:val="en-GB" w:eastAsia="en-GB"/>
        </w:rPr>
        <w:t xml:space="preserve">;  </w:t>
      </w:r>
      <w:hyperlink w:anchor="_ENREF_273" w:tooltip="Sari, 2004 #231" w:history="1">
        <w:r w:rsidRPr="00C67B14">
          <w:rPr>
            <w:rFonts w:ascii="Times New Roman" w:eastAsia="Times New Roman" w:hAnsi="Times New Roman"/>
            <w:lang w:val="en-GB" w:eastAsia="en-GB"/>
          </w:rPr>
          <w:t>Sari et al., 2004</w:t>
        </w:r>
      </w:hyperlink>
      <w:r w:rsidRPr="00C67B14">
        <w:rPr>
          <w:rFonts w:ascii="Times New Roman" w:eastAsia="Times New Roman" w:hAnsi="Times New Roman"/>
          <w:lang w:val="en-GB" w:eastAsia="en-GB"/>
        </w:rPr>
        <w:t xml:space="preserve">;  </w:t>
      </w:r>
      <w:hyperlink w:anchor="_ENREF_284" w:tooltip="Sharma, 2009 #239" w:history="1">
        <w:r w:rsidRPr="00C67B14">
          <w:rPr>
            <w:rFonts w:ascii="Times New Roman" w:eastAsia="Times New Roman" w:hAnsi="Times New Roman"/>
            <w:lang w:val="en-GB" w:eastAsia="en-GB"/>
          </w:rPr>
          <w:t>Sharma et al., 2009</w:t>
        </w:r>
      </w:hyperlink>
      <w:r w:rsidRPr="00C67B14">
        <w:rPr>
          <w:rFonts w:ascii="Times New Roman" w:eastAsia="Times New Roman" w:hAnsi="Times New Roman"/>
          <w:lang w:val="en-GB" w:eastAsia="en-GB"/>
        </w:rPr>
        <w:t xml:space="preserve">;  </w:t>
      </w:r>
      <w:hyperlink w:anchor="_ENREF_177" w:tooltip="Kousksou, 2014 #362" w:history="1">
        <w:r w:rsidRPr="00C67B14">
          <w:rPr>
            <w:rFonts w:ascii="Times New Roman" w:eastAsia="Times New Roman" w:hAnsi="Times New Roman"/>
            <w:lang w:val="en-GB" w:eastAsia="en-GB"/>
          </w:rPr>
          <w:t>Kousksou et al., 2014</w:t>
        </w:r>
      </w:hyperlink>
      <w:r w:rsidRPr="00C67B14">
        <w:rPr>
          <w:rFonts w:ascii="Times New Roman" w:eastAsia="Times New Roman" w:hAnsi="Times New Roman"/>
          <w:lang w:val="en-GB" w:eastAsia="en-GB"/>
        </w:rPr>
        <w:t xml:space="preserve">;  </w:t>
      </w:r>
      <w:hyperlink w:anchor="_ENREF_331" w:tooltip="Yuan, 2014 #332" w:history="1">
        <w:r w:rsidRPr="00C67B14">
          <w:rPr>
            <w:rFonts w:ascii="Times New Roman" w:eastAsia="Times New Roman" w:hAnsi="Times New Roman"/>
            <w:lang w:val="en-GB" w:eastAsia="en-GB"/>
          </w:rPr>
          <w:t>Yuan et al., 2014a</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xml:space="preserve">. The advantages and disadvantages of PCM types for heat storage are summarised in </w:t>
      </w:r>
      <w:r w:rsidRPr="005A5941">
        <w:rPr>
          <w:rFonts w:ascii="Times New Roman" w:eastAsia="Times New Roman" w:hAnsi="Times New Roman"/>
          <w:lang w:val="en-GB" w:eastAsia="en-GB"/>
        </w:rPr>
        <w:fldChar w:fldCharType="begin"/>
      </w:r>
      <w:r w:rsidRPr="005A5941">
        <w:rPr>
          <w:rFonts w:ascii="Times New Roman" w:eastAsia="Times New Roman" w:hAnsi="Times New Roman"/>
          <w:lang w:val="en-GB" w:eastAsia="en-GB"/>
        </w:rPr>
        <w:instrText xml:space="preserve"> REF _Ref384375911 \h  \* MERGEFORMAT </w:instrText>
      </w:r>
      <w:r w:rsidRPr="005A5941">
        <w:rPr>
          <w:rFonts w:ascii="Times New Roman" w:eastAsia="Times New Roman" w:hAnsi="Times New Roman"/>
          <w:lang w:val="en-GB" w:eastAsia="en-GB"/>
        </w:rPr>
      </w:r>
      <w:r w:rsidRPr="005A5941">
        <w:rPr>
          <w:rFonts w:ascii="Times New Roman" w:eastAsia="Times New Roman" w:hAnsi="Times New Roman"/>
          <w:lang w:val="en-GB" w:eastAsia="en-GB"/>
        </w:rPr>
        <w:fldChar w:fldCharType="separate"/>
      </w:r>
      <w:r w:rsidRPr="005A5941">
        <w:rPr>
          <w:rFonts w:ascii="Times New Roman" w:eastAsia="Times New Roman" w:hAnsi="Times New Roman"/>
          <w:lang w:val="en-GB" w:eastAsia="en-GB"/>
        </w:rPr>
        <w:t xml:space="preserve">Table </w:t>
      </w:r>
      <w:r w:rsidR="005A5941" w:rsidRPr="005A5941">
        <w:rPr>
          <w:rFonts w:ascii="Times New Roman" w:eastAsia="Times New Roman" w:hAnsi="Times New Roman"/>
          <w:lang w:val="en-GB" w:eastAsia="en-GB"/>
        </w:rPr>
        <w:t>5</w:t>
      </w:r>
      <w:r w:rsidRPr="005A5941">
        <w:rPr>
          <w:rFonts w:ascii="Times New Roman" w:eastAsia="Times New Roman" w:hAnsi="Times New Roman"/>
          <w:lang w:val="en-GB" w:eastAsia="en-GB"/>
        </w:rPr>
        <w:fldChar w:fldCharType="end"/>
      </w:r>
      <w:r w:rsidRPr="005A5941">
        <w:rPr>
          <w:rFonts w:ascii="Times New Roman" w:eastAsia="Times New Roman" w:hAnsi="Times New Roman"/>
          <w:lang w:val="en-GB" w:eastAsia="en-GB"/>
        </w:rPr>
        <w:t xml:space="preserve"> </w:t>
      </w:r>
      <w:r w:rsidRPr="005A5941">
        <w:rPr>
          <w:rFonts w:ascii="Times New Roman" w:eastAsia="Times New Roman" w:hAnsi="Times New Roman"/>
          <w:lang w:val="en-GB" w:eastAsia="en-GB"/>
        </w:rPr>
        <w:fldChar w:fldCharType="begin"/>
      </w:r>
      <w:r w:rsidRPr="005A5941">
        <w:rPr>
          <w:rFonts w:ascii="Times New Roman" w:eastAsia="Times New Roman" w:hAnsi="Times New Roman"/>
          <w:lang w:val="en-GB" w:eastAsia="en-GB"/>
        </w:rPr>
        <w:instrText xml:space="preserve"> ADDIN EN.CITE &lt;EndNote&gt;&lt;Cite&gt;&lt;Author&gt;Zalba&lt;/Author&gt;&lt;Year&gt;2003&lt;/Year&gt;&lt;RecNum&gt;168&lt;/RecNum&gt;&lt;DisplayText&gt;(Zalba et al., 2003)&lt;/DisplayText&gt;&lt;record&gt;&lt;rec-number&gt;168&lt;/rec-number&gt;&lt;foreign-keys&gt;&lt;key app="EN" db-id="0z5fdztp6e9z5uerfrlvat9mvrxpssrs95da" timestamp="0"&gt;168&lt;/key&gt;&lt;/foreign-keys&gt;&lt;ref-type name="Journal Article"&gt;17&lt;/ref-type&gt;&lt;contributors&gt;&lt;authors&gt;&lt;author&gt;Zalba, Belén&lt;/author&gt;&lt;author&gt;Marín, José M&lt;/author&gt;&lt;author&gt;Cabeza,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Engineering&lt;/full-title&gt;&lt;/periodical&gt;&lt;pages&gt;251-283&lt;/pages&gt;&lt;volume&gt;23&lt;/volume&gt;&lt;number&gt;3&lt;/number&gt;&lt;keywords&gt;&lt;keyword&gt;PCM, phase change materials&lt;/keyword&gt;&lt;keyword&gt;LTES, latent thermal energy storage&lt;/keyword&gt;&lt;keyword&gt;Heat transfer&lt;/keyword&gt;&lt;/keywords&gt;&lt;dates&gt;&lt;year&gt;2003&lt;/year&gt;&lt;/dates&gt;&lt;urls&gt;&lt;related-urls&gt;&lt;url&gt;http://www.sciencedirect.com/science/article/pii/S1359431102001928 &lt;/url&gt;&lt;/related-urls&gt;&lt;/urls&gt;&lt;/record&gt;&lt;/Cite&gt;&lt;/EndNote&gt;</w:instrText>
      </w:r>
      <w:r w:rsidRPr="005A5941">
        <w:rPr>
          <w:rFonts w:ascii="Times New Roman" w:eastAsia="Times New Roman" w:hAnsi="Times New Roman"/>
          <w:lang w:val="en-GB" w:eastAsia="en-GB"/>
        </w:rPr>
        <w:fldChar w:fldCharType="separate"/>
      </w:r>
      <w:r w:rsidRPr="005A5941">
        <w:rPr>
          <w:rFonts w:ascii="Times New Roman" w:eastAsia="Times New Roman" w:hAnsi="Times New Roman"/>
          <w:lang w:val="en-GB" w:eastAsia="en-GB"/>
        </w:rPr>
        <w:t>(</w:t>
      </w:r>
      <w:hyperlink w:anchor="_ENREF_334" w:tooltip="Zalba, 2003 #168" w:history="1">
        <w:r w:rsidRPr="005A5941">
          <w:rPr>
            <w:rFonts w:ascii="Times New Roman" w:eastAsia="Times New Roman" w:hAnsi="Times New Roman"/>
            <w:lang w:val="en-GB" w:eastAsia="en-GB"/>
          </w:rPr>
          <w:t>Zalba et al., 2003</w:t>
        </w:r>
      </w:hyperlink>
      <w:r w:rsidRPr="005A5941">
        <w:rPr>
          <w:rFonts w:ascii="Times New Roman" w:eastAsia="Times New Roman" w:hAnsi="Times New Roman"/>
          <w:lang w:val="en-GB" w:eastAsia="en-GB"/>
        </w:rPr>
        <w:t>)</w:t>
      </w:r>
      <w:r w:rsidRPr="005A5941">
        <w:rPr>
          <w:rFonts w:ascii="Times New Roman" w:eastAsia="Times New Roman" w:hAnsi="Times New Roman"/>
          <w:lang w:val="en-GB" w:eastAsia="en-GB"/>
        </w:rPr>
        <w:fldChar w:fldCharType="end"/>
      </w:r>
      <w:r w:rsidRPr="005A5941">
        <w:rPr>
          <w:rFonts w:ascii="Times New Roman" w:eastAsia="Times New Roman" w:hAnsi="Times New Roman"/>
          <w:lang w:val="en-GB" w:eastAsia="en-GB"/>
        </w:rPr>
        <w:t xml:space="preserve">. </w:t>
      </w:r>
    </w:p>
    <w:p w14:paraId="607E9075" w14:textId="5544930B" w:rsidR="00986C02" w:rsidRPr="00C67B14" w:rsidRDefault="00986C02" w:rsidP="0043721A">
      <w:pPr>
        <w:spacing w:after="0" w:line="240" w:lineRule="auto"/>
        <w:jc w:val="both"/>
        <w:rPr>
          <w:rFonts w:ascii="Times New Roman" w:eastAsia="Times New Roman" w:hAnsi="Times New Roman"/>
          <w:lang w:val="en-GB" w:eastAsia="en-GB"/>
        </w:rPr>
      </w:pPr>
      <w:bookmarkStart w:id="5" w:name="_Ref384375911"/>
      <w:bookmarkStart w:id="6" w:name="_Toc443983251"/>
      <w:r w:rsidRPr="005A5941">
        <w:rPr>
          <w:rFonts w:ascii="Times New Roman" w:eastAsia="Times New Roman" w:hAnsi="Times New Roman"/>
          <w:lang w:val="en-GB" w:eastAsia="en-GB"/>
        </w:rPr>
        <w:t xml:space="preserve">Table </w:t>
      </w:r>
      <w:bookmarkEnd w:id="5"/>
      <w:r w:rsidR="005A5941" w:rsidRPr="005A5941">
        <w:rPr>
          <w:rFonts w:ascii="Times New Roman" w:eastAsia="Times New Roman" w:hAnsi="Times New Roman"/>
          <w:lang w:val="en-GB" w:eastAsia="en-GB"/>
        </w:rPr>
        <w:t>5</w:t>
      </w:r>
      <w:r w:rsidR="0043721A">
        <w:rPr>
          <w:rFonts w:ascii="Times New Roman" w:eastAsia="Times New Roman" w:hAnsi="Times New Roman"/>
          <w:color w:val="00B050"/>
          <w:lang w:val="en-GB" w:eastAsia="en-GB"/>
        </w:rPr>
        <w:t>.</w:t>
      </w:r>
      <w:r w:rsidRPr="00C67B14">
        <w:rPr>
          <w:rFonts w:ascii="Times New Roman" w:eastAsia="Times New Roman" w:hAnsi="Times New Roman"/>
          <w:color w:val="00B050"/>
          <w:lang w:val="en-GB" w:eastAsia="en-GB"/>
        </w:rPr>
        <w:t xml:space="preserve"> </w:t>
      </w:r>
      <w:r w:rsidRPr="00C67B14">
        <w:rPr>
          <w:rFonts w:ascii="Times New Roman" w:eastAsia="Times New Roman" w:hAnsi="Times New Roman"/>
          <w:lang w:val="en-GB" w:eastAsia="en-GB"/>
        </w:rPr>
        <w:t xml:space="preserve">Advantages and disadvantages of organic and inorganic PCM for thermal storage </w:t>
      </w:r>
      <w:r w:rsidRPr="00C67B14">
        <w:rPr>
          <w:rFonts w:ascii="Times New Roman" w:eastAsia="Times New Roman" w:hAnsi="Times New Roman"/>
          <w:lang w:val="en-GB" w:eastAsia="en-GB"/>
        </w:rPr>
        <w:fldChar w:fldCharType="begin"/>
      </w:r>
      <w:r w:rsidRPr="00C67B14">
        <w:rPr>
          <w:rFonts w:ascii="Times New Roman" w:eastAsia="Times New Roman" w:hAnsi="Times New Roman"/>
          <w:lang w:val="en-GB" w:eastAsia="en-GB"/>
        </w:rPr>
        <w:instrText xml:space="preserve"> ADDIN EN.CITE &lt;EndNote&gt;&lt;Cite&gt;&lt;Author&gt;Zalba&lt;/Author&gt;&lt;Year&gt;2003&lt;/Year&gt;&lt;RecNum&gt;168&lt;/RecNum&gt;&lt;DisplayText&gt;(Zalba et al., 2003)&lt;/DisplayText&gt;&lt;record&gt;&lt;rec-number&gt;168&lt;/rec-number&gt;&lt;foreign-keys&gt;&lt;key app="EN" db-id="0z5fdztp6e9z5uerfrlvat9mvrxpssrs95da" timestamp="0"&gt;168&lt;/key&gt;&lt;/foreign-keys&gt;&lt;ref-type name="Journal Article"&gt;17&lt;/ref-type&gt;&lt;contributors&gt;&lt;authors&gt;&lt;author&gt;Zalba, Belén&lt;/author&gt;&lt;author&gt;Marín, José M&lt;/author&gt;&lt;author&gt;Cabeza,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Engineering&lt;/full-title&gt;&lt;/periodical&gt;&lt;pages&gt;251-283&lt;/pages&gt;&lt;volume&gt;23&lt;/volume&gt;&lt;number&gt;3&lt;/number&gt;&lt;keywords&gt;&lt;keyword&gt;PCM, phase change materials&lt;/keyword&gt;&lt;keyword&gt;LTES, latent thermal energy storage&lt;/keyword&gt;&lt;keyword&gt;Heat transfer&lt;/keyword&gt;&lt;/keywords&gt;&lt;dates&gt;&lt;year&gt;2003&lt;/year&gt;&lt;/dates&gt;&lt;urls&gt;&lt;related-urls&gt;&lt;url&gt;http://www.sciencedirect.com/science/article/pii/S1359431102001928 &lt;/url&gt;&lt;/related-urls&gt;&lt;/urls&gt;&lt;/record&gt;&lt;/Cite&gt;&lt;/EndNote&gt;</w:instrText>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334" w:tooltip="Zalba, 2003 #168" w:history="1">
        <w:r w:rsidRPr="00C67B14">
          <w:rPr>
            <w:rFonts w:ascii="Times New Roman" w:eastAsia="Times New Roman" w:hAnsi="Times New Roman"/>
            <w:lang w:val="en-GB" w:eastAsia="en-GB"/>
          </w:rPr>
          <w:t>Zalba et al., 2003</w:t>
        </w:r>
      </w:hyperlink>
      <w:r w:rsidRPr="00C67B14">
        <w:rPr>
          <w:rFonts w:ascii="Times New Roman" w:eastAsia="Times New Roman" w:hAnsi="Times New Roman"/>
          <w:lang w:val="en-GB" w:eastAsia="en-GB"/>
        </w:rPr>
        <w:t>)</w:t>
      </w:r>
      <w:bookmarkEnd w:id="6"/>
      <w:r w:rsidRPr="00C67B14">
        <w:rPr>
          <w:rFonts w:ascii="Times New Roman" w:eastAsia="Times New Roman" w:hAnsi="Times New Roman"/>
          <w:lang w:val="en-GB" w:eastAsia="en-GB"/>
        </w:rPr>
        <w:fldChar w:fldCharType="end"/>
      </w:r>
    </w:p>
    <w:tbl>
      <w:tblPr>
        <w:tblStyle w:val="LightShading3"/>
        <w:tblW w:w="0" w:type="auto"/>
        <w:jc w:val="center"/>
        <w:tblLook w:val="0620" w:firstRow="1" w:lastRow="0" w:firstColumn="0" w:lastColumn="0" w:noHBand="1" w:noVBand="1"/>
      </w:tblPr>
      <w:tblGrid>
        <w:gridCol w:w="1499"/>
        <w:gridCol w:w="3057"/>
        <w:gridCol w:w="2781"/>
      </w:tblGrid>
      <w:tr w:rsidR="00986C02" w:rsidRPr="00496E1C" w14:paraId="2330A90E" w14:textId="77777777" w:rsidTr="0043721A">
        <w:trPr>
          <w:cnfStyle w:val="100000000000" w:firstRow="1" w:lastRow="0" w:firstColumn="0" w:lastColumn="0" w:oddVBand="0" w:evenVBand="0" w:oddHBand="0" w:evenHBand="0" w:firstRowFirstColumn="0" w:firstRowLastColumn="0" w:lastRowFirstColumn="0" w:lastRowLastColumn="0"/>
          <w:jc w:val="center"/>
        </w:trPr>
        <w:tc>
          <w:tcPr>
            <w:tcW w:w="1499" w:type="dxa"/>
          </w:tcPr>
          <w:p w14:paraId="7278BEDA" w14:textId="77777777" w:rsidR="00986C02" w:rsidRPr="00496E1C" w:rsidRDefault="00986C02" w:rsidP="006E0A56">
            <w:pPr>
              <w:rPr>
                <w:rFonts w:ascii="Times New Roman" w:eastAsia="Times New Roman" w:hAnsi="Times New Roman" w:cs="Times New Roman"/>
                <w:lang w:val="en-GB" w:eastAsia="en-GB"/>
              </w:rPr>
            </w:pPr>
          </w:p>
        </w:tc>
        <w:tc>
          <w:tcPr>
            <w:tcW w:w="3057" w:type="dxa"/>
          </w:tcPr>
          <w:p w14:paraId="1D3EB60C" w14:textId="77777777" w:rsidR="00986C02" w:rsidRPr="00496E1C" w:rsidRDefault="00986C02" w:rsidP="006E0A56">
            <w:pPr>
              <w:rPr>
                <w:rFonts w:ascii="Times New Roman" w:eastAsia="Times New Roman" w:hAnsi="Times New Roman" w:cs="Times New Roman"/>
                <w:b w:val="0"/>
                <w:lang w:val="en-GB" w:eastAsia="en-GB"/>
              </w:rPr>
            </w:pPr>
            <w:r w:rsidRPr="00496E1C">
              <w:rPr>
                <w:rFonts w:ascii="Times New Roman" w:eastAsia="Times New Roman" w:hAnsi="Times New Roman"/>
                <w:b w:val="0"/>
                <w:lang w:val="en-GB" w:eastAsia="en-GB"/>
              </w:rPr>
              <w:t>Organics</w:t>
            </w:r>
          </w:p>
        </w:tc>
        <w:tc>
          <w:tcPr>
            <w:tcW w:w="2781" w:type="dxa"/>
          </w:tcPr>
          <w:p w14:paraId="09DA9FC9" w14:textId="77777777" w:rsidR="00986C02" w:rsidRPr="00496E1C" w:rsidRDefault="00986C02" w:rsidP="006E0A56">
            <w:pPr>
              <w:rPr>
                <w:rFonts w:ascii="Times New Roman" w:eastAsia="Times New Roman" w:hAnsi="Times New Roman" w:cs="Times New Roman"/>
                <w:b w:val="0"/>
                <w:lang w:val="en-GB" w:eastAsia="en-GB"/>
              </w:rPr>
            </w:pPr>
            <w:r w:rsidRPr="00496E1C">
              <w:rPr>
                <w:rFonts w:ascii="Times New Roman" w:eastAsia="Times New Roman" w:hAnsi="Times New Roman"/>
                <w:b w:val="0"/>
                <w:lang w:val="en-GB" w:eastAsia="en-GB"/>
              </w:rPr>
              <w:t>Inorganics</w:t>
            </w:r>
          </w:p>
        </w:tc>
      </w:tr>
      <w:tr w:rsidR="00986C02" w:rsidRPr="00496E1C" w14:paraId="702BB9F6" w14:textId="77777777" w:rsidTr="0043721A">
        <w:trPr>
          <w:jc w:val="center"/>
        </w:trPr>
        <w:tc>
          <w:tcPr>
            <w:tcW w:w="1499" w:type="dxa"/>
          </w:tcPr>
          <w:p w14:paraId="1CD2390F"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Advantages</w:t>
            </w:r>
          </w:p>
        </w:tc>
        <w:tc>
          <w:tcPr>
            <w:tcW w:w="3057" w:type="dxa"/>
          </w:tcPr>
          <w:p w14:paraId="47E3A60D"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Non corrosive</w:t>
            </w:r>
          </w:p>
          <w:p w14:paraId="03662402"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Low or no undercooling</w:t>
            </w:r>
          </w:p>
          <w:p w14:paraId="008007B2"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Chemical and thermal stability</w:t>
            </w:r>
          </w:p>
        </w:tc>
        <w:tc>
          <w:tcPr>
            <w:tcW w:w="2781" w:type="dxa"/>
          </w:tcPr>
          <w:p w14:paraId="4AB3D629"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Greater phase change enthalapy</w:t>
            </w:r>
          </w:p>
        </w:tc>
      </w:tr>
      <w:tr w:rsidR="00986C02" w:rsidRPr="00496E1C" w14:paraId="6E1E172A" w14:textId="77777777" w:rsidTr="0043721A">
        <w:trPr>
          <w:jc w:val="center"/>
        </w:trPr>
        <w:tc>
          <w:tcPr>
            <w:tcW w:w="1499" w:type="dxa"/>
          </w:tcPr>
          <w:p w14:paraId="5889FA37"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Disadvantages</w:t>
            </w:r>
          </w:p>
        </w:tc>
        <w:tc>
          <w:tcPr>
            <w:tcW w:w="3057" w:type="dxa"/>
          </w:tcPr>
          <w:p w14:paraId="405106E4"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Lower phase change enthalapy</w:t>
            </w:r>
          </w:p>
          <w:p w14:paraId="7F823CC7"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Low thermal conductivity</w:t>
            </w:r>
          </w:p>
          <w:p w14:paraId="4262AA56"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Inflammability</w:t>
            </w:r>
          </w:p>
        </w:tc>
        <w:tc>
          <w:tcPr>
            <w:tcW w:w="2781" w:type="dxa"/>
          </w:tcPr>
          <w:p w14:paraId="5E2D6B73"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Undercooling</w:t>
            </w:r>
          </w:p>
          <w:p w14:paraId="0F7FFC30"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Corrosive</w:t>
            </w:r>
          </w:p>
          <w:p w14:paraId="3BFA7602"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Phase segregation</w:t>
            </w:r>
          </w:p>
          <w:p w14:paraId="128E09E3" w14:textId="77777777" w:rsidR="00986C02" w:rsidRPr="00496E1C" w:rsidRDefault="00986C02" w:rsidP="006E0A56">
            <w:pPr>
              <w:rPr>
                <w:rFonts w:ascii="Times New Roman" w:eastAsia="Times New Roman" w:hAnsi="Times New Roman" w:cs="Times New Roman"/>
                <w:lang w:val="en-GB" w:eastAsia="en-GB"/>
              </w:rPr>
            </w:pPr>
            <w:r w:rsidRPr="00496E1C">
              <w:rPr>
                <w:rFonts w:ascii="Times New Roman" w:eastAsia="Times New Roman" w:hAnsi="Times New Roman"/>
                <w:lang w:val="en-GB" w:eastAsia="en-GB"/>
              </w:rPr>
              <w:t>Lack of thermal stability</w:t>
            </w:r>
          </w:p>
        </w:tc>
      </w:tr>
    </w:tbl>
    <w:p w14:paraId="136B8DF6" w14:textId="77777777" w:rsidR="00986C02" w:rsidRPr="00C67B14" w:rsidRDefault="00986C02" w:rsidP="00986C02">
      <w:pPr>
        <w:spacing w:after="0"/>
        <w:rPr>
          <w:rFonts w:ascii="Times New Roman" w:eastAsia="Times New Roman" w:hAnsi="Times New Roman"/>
          <w:lang w:val="en-GB" w:eastAsia="en-GB"/>
        </w:rPr>
      </w:pPr>
    </w:p>
    <w:p w14:paraId="2031D8D5" w14:textId="48FA2905" w:rsidR="00986C02" w:rsidRPr="00C67B14" w:rsidRDefault="00986C02" w:rsidP="00C67B14">
      <w:pPr>
        <w:spacing w:after="0" w:line="360" w:lineRule="auto"/>
        <w:jc w:val="both"/>
        <w:rPr>
          <w:rFonts w:ascii="Times New Roman" w:eastAsia="Times New Roman" w:hAnsi="Times New Roman"/>
          <w:lang w:val="en-GB" w:eastAsia="en-GB"/>
        </w:rPr>
      </w:pPr>
      <w:r w:rsidRPr="00C67B14">
        <w:rPr>
          <w:rFonts w:ascii="Times New Roman" w:eastAsia="Times New Roman" w:hAnsi="Times New Roman"/>
          <w:lang w:val="en-GB" w:eastAsia="en-GB"/>
        </w:rPr>
        <w:t xml:space="preserve">The desired characteristics of a material are dependent on the application. However, PCM with a high phase change enthalpy, being non-corrosive, with no subcooling and with chemical and thermal stability would be an ideal choice but where this is unavailable material properties have to be prioritised with regard to </w:t>
      </w:r>
      <w:r w:rsidR="003B451A">
        <w:rPr>
          <w:rFonts w:ascii="Times New Roman" w:eastAsia="Times New Roman" w:hAnsi="Times New Roman"/>
          <w:lang w:val="en-GB" w:eastAsia="en-GB"/>
        </w:rPr>
        <w:t>PV</w:t>
      </w:r>
      <w:r w:rsidR="003B451A" w:rsidRPr="00C67B14">
        <w:rPr>
          <w:rFonts w:ascii="Times New Roman" w:eastAsia="Times New Roman" w:hAnsi="Times New Roman"/>
          <w:lang w:val="en-GB" w:eastAsia="en-GB"/>
        </w:rPr>
        <w:t xml:space="preserve"> </w:t>
      </w:r>
      <w:r w:rsidRPr="00C67B14">
        <w:rPr>
          <w:rFonts w:ascii="Times New Roman" w:eastAsia="Times New Roman" w:hAnsi="Times New Roman"/>
          <w:lang w:val="en-GB" w:eastAsia="en-GB"/>
        </w:rPr>
        <w:t>application</w:t>
      </w:r>
      <w:r w:rsidR="003B451A">
        <w:rPr>
          <w:rFonts w:ascii="Times New Roman" w:eastAsia="Times New Roman" w:hAnsi="Times New Roman"/>
          <w:lang w:val="en-GB" w:eastAsia="en-GB"/>
        </w:rPr>
        <w:t>s</w:t>
      </w:r>
      <w:r w:rsidRPr="00C67B14">
        <w:rPr>
          <w:rFonts w:ascii="Times New Roman" w:eastAsia="Times New Roman" w:hAnsi="Times New Roman"/>
          <w:lang w:val="en-GB" w:eastAsia="en-GB"/>
        </w:rPr>
        <w:t>.</w:t>
      </w:r>
    </w:p>
    <w:p w14:paraId="50D95F18" w14:textId="0535960C" w:rsidR="00C67B14" w:rsidRDefault="00986C02" w:rsidP="00CD744B">
      <w:pPr>
        <w:spacing w:line="360" w:lineRule="auto"/>
        <w:jc w:val="both"/>
        <w:rPr>
          <w:rFonts w:ascii="Times New Roman" w:eastAsia="Times New Roman" w:hAnsi="Times New Roman"/>
          <w:lang w:val="en-GB" w:eastAsia="en-GB"/>
        </w:rPr>
      </w:pPr>
      <w:r w:rsidRPr="00C67B14">
        <w:rPr>
          <w:rFonts w:ascii="Times New Roman" w:eastAsia="Times New Roman" w:hAnsi="Times New Roman"/>
          <w:lang w:val="en-GB" w:eastAsia="en-GB"/>
        </w:rPr>
        <w:lastRenderedPageBreak/>
        <w:t xml:space="preserve">PCM melting temperatures vary considerably due to material type, thermal properties and chemical structure </w:t>
      </w:r>
      <w:r w:rsidRPr="00C67B14">
        <w:rPr>
          <w:rFonts w:ascii="Times New Roman" w:eastAsia="Times New Roman" w:hAnsi="Times New Roman"/>
          <w:lang w:val="en-GB" w:eastAsia="en-GB"/>
        </w:rPr>
        <w:fldChar w:fldCharType="begin">
          <w:fldData xml:space="preserve">PEVuZE5vdGU+PENpdGU+PEF1dGhvcj5PcsOzPC9BdXRob3I+PFllYXI+MjAxMzwvWWVhcj48UmVj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</w:fldData>
        </w:fldChar>
      </w:r>
      <w:r w:rsidRPr="00C67B14">
        <w:rPr>
          <w:rFonts w:ascii="Times New Roman" w:eastAsia="Times New Roman" w:hAnsi="Times New Roman"/>
          <w:lang w:val="en-GB" w:eastAsia="en-GB"/>
        </w:rPr>
        <w:instrText xml:space="preserve"> ADDIN EN.CITE </w:instrText>
      </w:r>
      <w:r w:rsidRPr="00C67B14">
        <w:rPr>
          <w:rFonts w:ascii="Times New Roman" w:eastAsia="Times New Roman" w:hAnsi="Times New Roman"/>
          <w:lang w:val="en-GB" w:eastAsia="en-GB"/>
        </w:rPr>
        <w:fldChar w:fldCharType="begin">
          <w:fldData xml:space="preserve">PEVuZE5vdGU+PENpdGU+PEF1dGhvcj5PcsOzPC9BdXRob3I+PFllYXI+MjAxMzwvWWVhcj48UmVj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</w:fldData>
        </w:fldChar>
      </w:r>
      <w:r w:rsidRPr="00C67B14">
        <w:rPr>
          <w:rFonts w:ascii="Times New Roman" w:eastAsia="Times New Roman" w:hAnsi="Times New Roman"/>
          <w:lang w:val="en-GB" w:eastAsia="en-GB"/>
        </w:rPr>
        <w:instrText xml:space="preserve"> ADDIN EN.CITE.DATA </w:instrText>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40" w:tooltip="Cabeza, 2011 #224" w:history="1">
        <w:r w:rsidRPr="00C67B14">
          <w:rPr>
            <w:rFonts w:ascii="Times New Roman" w:eastAsia="Times New Roman" w:hAnsi="Times New Roman"/>
            <w:lang w:val="en-GB" w:eastAsia="en-GB"/>
          </w:rPr>
          <w:t>Cabeza et al., 2011</w:t>
        </w:r>
      </w:hyperlink>
      <w:r w:rsidRPr="00C67B14">
        <w:rPr>
          <w:rFonts w:ascii="Times New Roman" w:eastAsia="Times New Roman" w:hAnsi="Times New Roman"/>
          <w:lang w:val="en-GB" w:eastAsia="en-GB"/>
        </w:rPr>
        <w:t xml:space="preserve">;  </w:t>
      </w:r>
      <w:hyperlink w:anchor="_ENREF_233" w:tooltip="Oró, 2013 #308" w:history="1">
        <w:r w:rsidRPr="00C67B14">
          <w:rPr>
            <w:rFonts w:ascii="Times New Roman" w:eastAsia="Times New Roman" w:hAnsi="Times New Roman"/>
            <w:lang w:val="en-GB" w:eastAsia="en-GB"/>
          </w:rPr>
          <w:t>Oró et al., 2013</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xml:space="preserve">. PCM with specific melting temperatures are available and their thermophysical properties known </w:t>
      </w:r>
      <w:r w:rsidRPr="00C67B14">
        <w:rPr>
          <w:rFonts w:ascii="Times New Roman" w:eastAsia="Times New Roman" w:hAnsi="Times New Roman"/>
          <w:lang w:val="en-GB" w:eastAsia="en-GB"/>
        </w:rPr>
        <w:fldChar w:fldCharType="begin">
          <w:fldData xml:space="preserve">PEVuZE5vdGU+PENpdGU+PEF1dGhvcj5DYWJlemE8L0F1dGhvcj48WWVhcj4yMDExPC9ZZWFyPjxS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=
</w:fldData>
        </w:fldChar>
      </w:r>
      <w:r w:rsidRPr="00C67B14">
        <w:rPr>
          <w:rFonts w:ascii="Times New Roman" w:eastAsia="Times New Roman" w:hAnsi="Times New Roman"/>
          <w:lang w:val="en-GB" w:eastAsia="en-GB"/>
        </w:rPr>
        <w:instrText xml:space="preserve"> ADDIN EN.CITE </w:instrText>
      </w:r>
      <w:r w:rsidRPr="00C67B14">
        <w:rPr>
          <w:rFonts w:ascii="Times New Roman" w:eastAsia="Times New Roman" w:hAnsi="Times New Roman"/>
          <w:lang w:val="en-GB" w:eastAsia="en-GB"/>
        </w:rPr>
        <w:fldChar w:fldCharType="begin">
          <w:fldData xml:space="preserve">PEVuZE5vdGU+PENpdGU+PEF1dGhvcj5DYWJlemE8L0F1dGhvcj48WWVhcj4yMDExPC9ZZWFyPjxS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=
</w:fldData>
        </w:fldChar>
      </w:r>
      <w:r w:rsidRPr="00C67B14">
        <w:rPr>
          <w:rFonts w:ascii="Times New Roman" w:eastAsia="Times New Roman" w:hAnsi="Times New Roman"/>
          <w:lang w:val="en-GB" w:eastAsia="en-GB"/>
        </w:rPr>
        <w:instrText xml:space="preserve"> ADDIN EN.CITE.DATA </w:instrText>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r>
      <w:r w:rsidRPr="00C67B14">
        <w:rPr>
          <w:rFonts w:ascii="Times New Roman" w:eastAsia="Times New Roman" w:hAnsi="Times New Roman"/>
          <w:lang w:val="en-GB" w:eastAsia="en-GB"/>
        </w:rPr>
        <w:fldChar w:fldCharType="separate"/>
      </w:r>
      <w:r w:rsidRPr="00C67B14">
        <w:rPr>
          <w:rFonts w:ascii="Times New Roman" w:eastAsia="Times New Roman" w:hAnsi="Times New Roman"/>
          <w:lang w:val="en-GB" w:eastAsia="en-GB"/>
        </w:rPr>
        <w:t>(</w:t>
      </w:r>
      <w:hyperlink w:anchor="_ENREF_334" w:tooltip="Zalba, 2003 #168" w:history="1">
        <w:r w:rsidRPr="00C67B14">
          <w:rPr>
            <w:rFonts w:ascii="Times New Roman" w:eastAsia="Times New Roman" w:hAnsi="Times New Roman"/>
            <w:lang w:val="en-GB" w:eastAsia="en-GB"/>
          </w:rPr>
          <w:t>Zalba et al., 2003</w:t>
        </w:r>
      </w:hyperlink>
      <w:r w:rsidRPr="00C67B14">
        <w:rPr>
          <w:rFonts w:ascii="Times New Roman" w:eastAsia="Times New Roman" w:hAnsi="Times New Roman"/>
          <w:lang w:val="en-GB" w:eastAsia="en-GB"/>
        </w:rPr>
        <w:t xml:space="preserve">;  </w:t>
      </w:r>
      <w:hyperlink w:anchor="_ENREF_5" w:tooltip="Agyenim, 2010 #233" w:history="1">
        <w:r w:rsidRPr="00C67B14">
          <w:rPr>
            <w:rFonts w:ascii="Times New Roman" w:eastAsia="Times New Roman" w:hAnsi="Times New Roman"/>
            <w:lang w:val="en-GB" w:eastAsia="en-GB"/>
          </w:rPr>
          <w:t>Agyenim et al., 2010</w:t>
        </w:r>
      </w:hyperlink>
      <w:r w:rsidRPr="00C67B14">
        <w:rPr>
          <w:rFonts w:ascii="Times New Roman" w:eastAsia="Times New Roman" w:hAnsi="Times New Roman"/>
          <w:lang w:val="en-GB" w:eastAsia="en-GB"/>
        </w:rPr>
        <w:t xml:space="preserve">;  </w:t>
      </w:r>
      <w:hyperlink w:anchor="_ENREF_40" w:tooltip="Cabeza, 2011 #224" w:history="1">
        <w:r w:rsidRPr="00C67B14">
          <w:rPr>
            <w:rFonts w:ascii="Times New Roman" w:eastAsia="Times New Roman" w:hAnsi="Times New Roman"/>
            <w:lang w:val="en-GB" w:eastAsia="en-GB"/>
          </w:rPr>
          <w:t>Cabeza et al., 2011</w:t>
        </w:r>
      </w:hyperlink>
      <w:r w:rsidRPr="00C67B14">
        <w:rPr>
          <w:rFonts w:ascii="Times New Roman" w:eastAsia="Times New Roman" w:hAnsi="Times New Roman"/>
          <w:lang w:val="en-GB" w:eastAsia="en-GB"/>
        </w:rPr>
        <w:t xml:space="preserve">;  </w:t>
      </w:r>
      <w:hyperlink w:anchor="_ENREF_193" w:tooltip="Liu, 2012 #335" w:history="1">
        <w:r w:rsidRPr="00C67B14">
          <w:rPr>
            <w:rFonts w:ascii="Times New Roman" w:eastAsia="Times New Roman" w:hAnsi="Times New Roman"/>
            <w:lang w:val="en-GB" w:eastAsia="en-GB"/>
          </w:rPr>
          <w:t>Liu et al., 2012</w:t>
        </w:r>
      </w:hyperlink>
      <w:r w:rsidRPr="00C67B14">
        <w:rPr>
          <w:rFonts w:ascii="Times New Roman" w:eastAsia="Times New Roman" w:hAnsi="Times New Roman"/>
          <w:lang w:val="en-GB" w:eastAsia="en-GB"/>
        </w:rPr>
        <w:t>)</w:t>
      </w:r>
      <w:r w:rsidRPr="00C67B14">
        <w:rPr>
          <w:rFonts w:ascii="Times New Roman" w:eastAsia="Times New Roman" w:hAnsi="Times New Roman"/>
          <w:lang w:val="en-GB" w:eastAsia="en-GB"/>
        </w:rPr>
        <w:fldChar w:fldCharType="end"/>
      </w:r>
      <w:r w:rsidRPr="00C67B14">
        <w:rPr>
          <w:rFonts w:ascii="Times New Roman" w:eastAsia="Times New Roman" w:hAnsi="Times New Roman"/>
          <w:lang w:val="en-GB" w:eastAsia="en-GB"/>
        </w:rPr>
        <w:t>. Paraffin waxes are suited to lower temperature applications (&lt;100ºC) and molten salts can be used for high temperature requirements.</w:t>
      </w:r>
    </w:p>
    <w:p w14:paraId="73CA0C38" w14:textId="77777777" w:rsidR="00CD09F4" w:rsidRPr="00C67B14" w:rsidRDefault="00CD09F4" w:rsidP="00CD744B">
      <w:pPr>
        <w:spacing w:line="360" w:lineRule="auto"/>
        <w:jc w:val="both"/>
        <w:rPr>
          <w:rFonts w:ascii="Times New Roman" w:eastAsia="Times New Roman" w:hAnsi="Times New Roman"/>
          <w:lang w:val="en-GB" w:eastAsia="en-GB"/>
        </w:rPr>
      </w:pPr>
    </w:p>
    <w:p w14:paraId="73332CE7" w14:textId="61389334" w:rsidR="005A5941" w:rsidRPr="0019763E" w:rsidRDefault="006E0A56" w:rsidP="00590C97">
      <w:pPr>
        <w:pStyle w:val="ListParagraph"/>
        <w:numPr>
          <w:ilvl w:val="2"/>
          <w:numId w:val="7"/>
        </w:numPr>
        <w:spacing w:after="200" w:line="360" w:lineRule="auto"/>
        <w:jc w:val="both"/>
        <w:rPr>
          <w:sz w:val="22"/>
          <w:szCs w:val="22"/>
          <w:lang w:val="en-US"/>
        </w:rPr>
      </w:pPr>
      <w:bookmarkStart w:id="7" w:name="_Toc428106884"/>
      <w:bookmarkStart w:id="8" w:name="_Toc431283201"/>
      <w:bookmarkStart w:id="9" w:name="_Toc432253088"/>
      <w:bookmarkStart w:id="10" w:name="_Toc432253583"/>
      <w:bookmarkStart w:id="11" w:name="_Toc443982722"/>
      <w:r w:rsidRPr="0019763E">
        <w:rPr>
          <w:sz w:val="22"/>
          <w:szCs w:val="22"/>
        </w:rPr>
        <w:t>Thermal Management of PV using PCM</w:t>
      </w:r>
      <w:bookmarkEnd w:id="7"/>
      <w:bookmarkEnd w:id="8"/>
      <w:bookmarkEnd w:id="9"/>
      <w:bookmarkEnd w:id="10"/>
      <w:bookmarkEnd w:id="11"/>
    </w:p>
    <w:p w14:paraId="1D0F4CB8" w14:textId="47F693BE" w:rsidR="006E0A56" w:rsidRDefault="006E0A56" w:rsidP="005444B3">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In 1978, it was suggested PCM could act as a potential thermal storage if integrated with a PV. This concept was patented in 1983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&lt;EndNote&gt;&lt;Cite&gt;&lt;Author&gt;Ames&lt;/Author&gt;&lt;Year&gt;1983&lt;/Year&gt;&lt;RecNum&gt;69&lt;/RecNum&gt;&lt;DisplayText&gt;(Ames, 1983)&lt;/DisplayText&gt;&lt;record&gt;&lt;rec-number&gt;69&lt;/rec-number&gt;&lt;foreign-keys&gt;&lt;key app="EN" db-id="0z5fdztp6e9z5uerfrlvat9mvrxpssrs95da" timestamp="0"&gt;69&lt;/key&gt;&lt;/foreign-keys&gt;&lt;ref-type name="Patent"&gt;25&lt;/ref-type&gt;&lt;contributors&gt;&lt;authors&gt;&lt;author&gt;Ames, W.D. &lt;/author&gt;&lt;/authors&gt;&lt;/contributors&gt;&lt;titles&gt;&lt;title&gt; Photovoltaic devices for producing electrical and heat energy&lt;/title&gt;&lt;/titles&gt;&lt;volume&gt;US4389533&lt;/volume&gt;&lt;section&gt;US4389533&lt;/section&gt;&lt;dates&gt;&lt;year&gt;1983&lt;/year&gt;&lt;/dates&gt;&lt;pub-location&gt;United States of America&lt;/pub-location&gt;&lt;urls&gt;&lt;related-urls&gt;&lt;url&gt;http://www.lens.org/lens/patent/US_4389533_A&lt;/url&gt;&lt;/related-urls&gt;&lt;/urls&gt;&lt;/record&gt;&lt;/Cite&gt;&lt;/EndNote&gt;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1" w:tooltip="Ames, 1983 #69" w:history="1">
        <w:r w:rsidRPr="005444B3">
          <w:rPr>
            <w:rFonts w:ascii="Times New Roman" w:eastAsia="Times New Roman" w:hAnsi="Times New Roman"/>
            <w:lang w:val="en-GB" w:eastAsia="en-GB"/>
          </w:rPr>
          <w:t>Ames, 1983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However</w:t>
      </w:r>
      <w:r w:rsidR="005A5941">
        <w:rPr>
          <w:rFonts w:ascii="Times New Roman" w:eastAsia="Times New Roman" w:hAnsi="Times New Roman"/>
          <w:lang w:val="en-GB" w:eastAsia="en-GB"/>
        </w:rPr>
        <w:t>,</w:t>
      </w:r>
      <w:r w:rsidRPr="005444B3">
        <w:rPr>
          <w:rFonts w:ascii="Times New Roman" w:eastAsia="Times New Roman" w:hAnsi="Times New Roman"/>
          <w:lang w:val="en-GB" w:eastAsia="en-GB"/>
        </w:rPr>
        <w:t xml:space="preserve"> after this, PCM was not investigated as a means of cooling PV until the mid-1990s. There have been many experimental and computational investigations into the use of PCM to regulate the temperature of PV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&lt;EndNote&gt;&lt;Cite&gt;&lt;Author&gt;Ling&lt;/Author&gt;&lt;Year&gt;2014&lt;/Year&gt;&lt;RecNum&gt;290&lt;/RecNum&gt;&lt;DisplayText&gt;(Ling et al., 2014)&lt;/DisplayText&gt;&lt;record&gt;&lt;rec-number&gt;290&lt;/rec-number&gt;&lt;foreign-keys&gt;&lt;key app="EN" db-id="0z5fdztp6e9z5uerfrlvat9mvrxpssrs95da" timestamp="0"&gt;290&lt;/key&gt;&lt;/foreign-keys&gt;&lt;ref-type name="Journal Article"&gt;17&lt;/ref-type&gt;&lt;contributors&gt;&lt;authors&gt;&lt;author&gt;Ling, Ziye&lt;/author&gt;&lt;author&gt;Zhang, Zhengguo&lt;/author&gt;&lt;author&gt;Shi, Guoquan&lt;/author&gt;&lt;author&gt;Fang, Xiaoming&lt;/author&gt;&lt;author&gt;Wang, Lei&lt;/author&gt;&lt;author&gt;Gao, Xuenong&lt;/author&gt;&lt;author&gt;Fang, Yutang&lt;/author&gt;&lt;author&gt;Xu, Tao&lt;/author&gt;&lt;author&gt;Wang, Shuangfeng&lt;/author&gt;&lt;author&gt;Liu, Xiaohong&lt;/author&gt;&lt;/authors&gt;&lt;/contributors&gt;&lt;titles&gt;&lt;title&gt;Review on thermal management systems using phase change materials for electronic components, Li-ion batteries and photovoltaic modules&lt;/title&gt;&lt;secondary-title&gt;Renewable and Sustainable Energy Reviews&lt;/secondary-title&gt;&lt;/titles&gt;&lt;periodical&gt;&lt;full-title&gt;Renewable and Sustainable Energy Reviews&lt;/full-title&gt;&lt;/periodical&gt;&lt;pages&gt;427-438&lt;/pages&gt;&lt;volume&gt;31&lt;/volume&gt;&lt;number&gt;0&lt;/number&gt;&lt;keywords&gt;&lt;keyword&gt;Thermal management system&lt;/keyword&gt;&lt;keyword&gt;Phase change material&lt;/keyword&gt;&lt;keyword&gt;Electronic component&lt;/keyword&gt;&lt;keyword&gt;Li-ion battery&lt;/keyword&gt;&lt;keyword&gt;Photovoltaic module&lt;/keyword&gt;&lt;/keywords&gt;&lt;dates&gt;&lt;year&gt;2014&lt;/year&gt;&lt;/dates&gt;&lt;urls&gt;&lt;related-urls&gt;&lt;url&gt;http://www.sciencedirect.com/science/article/pii/S1364032113008319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91" w:tooltip="Ling, 2014 #290" w:history="1">
        <w:r w:rsidRPr="005444B3">
          <w:rPr>
            <w:rFonts w:ascii="Times New Roman" w:eastAsia="Times New Roman" w:hAnsi="Times New Roman"/>
            <w:lang w:val="en-GB" w:eastAsia="en-GB"/>
          </w:rPr>
          <w:t>Ling et al., 2014</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The first study of PCM as a potential method to regulate the temperature of PV is illustrated in </w:t>
      </w:r>
      <w:r w:rsidR="00184D41">
        <w:rPr>
          <w:rFonts w:ascii="Times New Roman" w:eastAsia="Times New Roman" w:hAnsi="Times New Roman"/>
          <w:lang w:val="en-GB" w:eastAsia="en-GB"/>
        </w:rPr>
        <w:t xml:space="preserve">Fig. </w:t>
      </w:r>
      <w:r w:rsidR="00A17820">
        <w:rPr>
          <w:rFonts w:ascii="Times New Roman" w:eastAsia="Times New Roman" w:hAnsi="Times New Roman"/>
          <w:lang w:val="en-GB" w:eastAsia="en-GB"/>
        </w:rPr>
        <w:t>9</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_Ref384375992 \h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&lt;EndNote&gt;&lt;Cite&gt;&lt;Author&gt;Stultz&lt;/Author&gt;&lt;Year&gt;1978&lt;/Year&gt;&lt;RecNum&gt;68&lt;/RecNum&gt;&lt;DisplayText&gt;(Stultz and Wren, 1978)&lt;/DisplayText&gt;&lt;record&gt;&lt;rec-number&gt;68&lt;/rec-number&gt;&lt;foreign-keys&gt;&lt;key app="EN" db-id="0z5fdztp6e9z5uerfrlvat9mvrxpssrs95da" timestamp="0"&gt;68&lt;/key&gt;&lt;/foreign-keys&gt;&lt;ref-type name="Report"&gt;27&lt;/ref-type&gt;&lt;contributors&gt;&lt;authors&gt;&lt;author&gt;Stultz, J.W. &lt;/author&gt;&lt;author&gt;Wren, L.C.&lt;/author&gt;&lt;/authors&gt;&lt;/contributors&gt;&lt;titles&gt;&lt;title&gt;Thermal performance testing and analysis of photovoltaic modules in natural sunlight&lt;/title&gt;&lt;secondary-title&gt;JPL Document 5101-31&lt;/secondary-title&gt;&lt;/titles&gt;&lt;pages&gt;5-9 to 5-12 and 6-2 to 6-3&lt;/pages&gt;&lt;dates&gt;&lt;year&gt;1978&lt;/year&gt;&lt;/dates&gt;&lt;pub-location&gt;Pasadena, California&lt;/pub-location&gt;&lt;publisher&gt;Jet propulsion laboratory&lt;/publisher&gt;&lt;urls&gt;&lt;related-urls&gt;&lt;url&gt;http://www2.jpl.nasa.gov/adv_tech/photovol/ppr_75-80/Thermal%20&amp;amp;%20Other%20Tests%20on%20PV%20Mod_5101-76_JPL1978.pdf&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97" w:tooltip="Stultz, 1978 #68" w:history="1">
        <w:r w:rsidRPr="005444B3">
          <w:rPr>
            <w:rFonts w:ascii="Times New Roman" w:eastAsia="Times New Roman" w:hAnsi="Times New Roman"/>
            <w:lang w:val="en-GB" w:eastAsia="en-GB"/>
          </w:rPr>
          <w:t>Stultz and Wren, 1978</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w:t>
      </w:r>
    </w:p>
    <w:p w14:paraId="7A9D1F44" w14:textId="678EA87B" w:rsidR="0043721A" w:rsidRPr="005444B3" w:rsidRDefault="00CD09F4" w:rsidP="005444B3">
      <w:pPr>
        <w:spacing w:line="360" w:lineRule="auto"/>
        <w:jc w:val="both"/>
        <w:rPr>
          <w:rFonts w:ascii="Times New Roman" w:eastAsia="Times New Roman" w:hAnsi="Times New Roman"/>
          <w:lang w:val="en-GB" w:eastAsia="en-GB"/>
        </w:rPr>
      </w:pPr>
      <w:r w:rsidRPr="005444B3">
        <w:rPr>
          <w:rFonts w:ascii="Times New Roman" w:eastAsia="Times New Roman" w:hAnsi="Times New Roman"/>
          <w:noProof/>
          <w:lang w:val="es-PY" w:eastAsia="es-PY"/>
        </w:rPr>
        <w:drawing>
          <wp:anchor distT="0" distB="0" distL="114300" distR="114300" simplePos="0" relativeHeight="251663360" behindDoc="0" locked="0" layoutInCell="1" allowOverlap="1" wp14:anchorId="20EDF3D3" wp14:editId="2F7498C3">
            <wp:simplePos x="0" y="0"/>
            <wp:positionH relativeFrom="page">
              <wp:posOffset>1777042</wp:posOffset>
            </wp:positionH>
            <wp:positionV relativeFrom="paragraph">
              <wp:posOffset>79603</wp:posOffset>
            </wp:positionV>
            <wp:extent cx="4378301" cy="2275109"/>
            <wp:effectExtent l="0" t="0" r="3810" b="0"/>
            <wp:wrapNone/>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5794" cy="228419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FEFCC4" w14:textId="5F0234C8" w:rsidR="006E0A56" w:rsidRPr="005444B3" w:rsidRDefault="006E0A56" w:rsidP="006E0A56">
      <w:pPr>
        <w:jc w:val="center"/>
        <w:rPr>
          <w:rFonts w:ascii="Times New Roman" w:eastAsia="Times New Roman" w:hAnsi="Times New Roman"/>
          <w:lang w:val="en-GB" w:eastAsia="en-GB"/>
        </w:rPr>
      </w:pPr>
    </w:p>
    <w:p w14:paraId="4733E7CF" w14:textId="2BF816C7" w:rsidR="006E0A56" w:rsidRDefault="006E0A56" w:rsidP="006E0A56">
      <w:pPr>
        <w:jc w:val="center"/>
        <w:rPr>
          <w:rFonts w:ascii="Times New Roman" w:eastAsia="Times New Roman" w:hAnsi="Times New Roman"/>
          <w:lang w:val="en-GB" w:eastAsia="en-GB"/>
        </w:rPr>
      </w:pPr>
      <w:bookmarkStart w:id="12" w:name="_Ref384375992"/>
    </w:p>
    <w:p w14:paraId="0E264B0A" w14:textId="5F444301" w:rsidR="005444B3" w:rsidRDefault="005444B3" w:rsidP="006E0A56">
      <w:pPr>
        <w:jc w:val="center"/>
        <w:rPr>
          <w:rFonts w:ascii="Times New Roman" w:eastAsia="Times New Roman" w:hAnsi="Times New Roman"/>
          <w:lang w:val="en-GB" w:eastAsia="en-GB"/>
        </w:rPr>
      </w:pPr>
    </w:p>
    <w:p w14:paraId="58CB7001" w14:textId="001651BC" w:rsidR="005444B3" w:rsidRDefault="005444B3" w:rsidP="006E0A56">
      <w:pPr>
        <w:jc w:val="center"/>
        <w:rPr>
          <w:rFonts w:ascii="Times New Roman" w:eastAsia="Times New Roman" w:hAnsi="Times New Roman"/>
          <w:lang w:val="en-GB" w:eastAsia="en-GB"/>
        </w:rPr>
      </w:pPr>
    </w:p>
    <w:p w14:paraId="734A53F7" w14:textId="331BDA74" w:rsidR="005444B3" w:rsidRDefault="005444B3" w:rsidP="006E0A56">
      <w:pPr>
        <w:jc w:val="center"/>
        <w:rPr>
          <w:rFonts w:ascii="Times New Roman" w:eastAsia="Times New Roman" w:hAnsi="Times New Roman"/>
          <w:lang w:val="en-GB" w:eastAsia="en-GB"/>
        </w:rPr>
      </w:pPr>
    </w:p>
    <w:p w14:paraId="4E98528E" w14:textId="77777777" w:rsidR="00007B75" w:rsidRDefault="00007B75" w:rsidP="006E0A56">
      <w:pPr>
        <w:jc w:val="center"/>
        <w:rPr>
          <w:rFonts w:ascii="Times New Roman" w:eastAsia="Times New Roman" w:hAnsi="Times New Roman"/>
          <w:lang w:val="en-GB" w:eastAsia="en-GB"/>
        </w:rPr>
      </w:pPr>
    </w:p>
    <w:p w14:paraId="519D3F95" w14:textId="73D58F8E" w:rsidR="005444B3" w:rsidRDefault="005444B3" w:rsidP="006E0A56">
      <w:pPr>
        <w:jc w:val="center"/>
        <w:rPr>
          <w:rFonts w:ascii="Times New Roman" w:eastAsia="Times New Roman" w:hAnsi="Times New Roman"/>
          <w:lang w:val="en-GB" w:eastAsia="en-GB"/>
        </w:rPr>
      </w:pPr>
    </w:p>
    <w:p w14:paraId="2F8BA0D7" w14:textId="0D3CB2D8" w:rsidR="005444B3" w:rsidRDefault="005444B3" w:rsidP="00917411">
      <w:pPr>
        <w:pStyle w:val="Caption"/>
        <w:jc w:val="left"/>
        <w:rPr>
          <w:b w:val="0"/>
          <w:bCs w:val="0"/>
          <w:sz w:val="22"/>
          <w:szCs w:val="22"/>
          <w:lang w:val="en-GB" w:eastAsia="en-GB"/>
        </w:rPr>
      </w:pPr>
      <w:bookmarkStart w:id="13" w:name="_Ref443917018"/>
      <w:bookmarkStart w:id="14" w:name="_Toc443983051"/>
      <w:bookmarkEnd w:id="12"/>
    </w:p>
    <w:p w14:paraId="35088147" w14:textId="14B93A81" w:rsidR="005A5941" w:rsidRPr="0019763E" w:rsidRDefault="00184D41" w:rsidP="00CD744B">
      <w:pPr>
        <w:pStyle w:val="Caption"/>
        <w:rPr>
          <w:b w:val="0"/>
          <w:bCs w:val="0"/>
          <w:sz w:val="20"/>
          <w:szCs w:val="20"/>
          <w:lang w:val="en-GB" w:eastAsia="en-GB"/>
        </w:rPr>
      </w:pPr>
      <w:r w:rsidRPr="0019763E">
        <w:rPr>
          <w:b w:val="0"/>
          <w:bCs w:val="0"/>
          <w:sz w:val="20"/>
          <w:szCs w:val="20"/>
          <w:lang w:val="en-GB" w:eastAsia="en-GB"/>
        </w:rPr>
        <w:t>Fig.</w:t>
      </w:r>
      <w:r w:rsidR="006E0A56" w:rsidRPr="0019763E">
        <w:rPr>
          <w:b w:val="0"/>
          <w:bCs w:val="0"/>
          <w:sz w:val="20"/>
          <w:szCs w:val="20"/>
          <w:lang w:val="en-GB" w:eastAsia="en-GB"/>
        </w:rPr>
        <w:t xml:space="preserve"> </w:t>
      </w:r>
      <w:bookmarkEnd w:id="13"/>
      <w:r w:rsidR="00A17820">
        <w:rPr>
          <w:b w:val="0"/>
          <w:bCs w:val="0"/>
          <w:sz w:val="20"/>
          <w:szCs w:val="20"/>
          <w:lang w:val="en-GB" w:eastAsia="en-GB"/>
        </w:rPr>
        <w:t>9</w:t>
      </w:r>
      <w:r w:rsidR="006E0A56" w:rsidRPr="0019763E">
        <w:rPr>
          <w:b w:val="0"/>
          <w:bCs w:val="0"/>
          <w:sz w:val="20"/>
          <w:szCs w:val="20"/>
          <w:lang w:val="en-GB" w:eastAsia="en-GB"/>
        </w:rPr>
        <w:t xml:space="preserve"> Phase change material integrated with a photovoltaic model </w:t>
      </w:r>
      <w:r w:rsidR="006E0A56" w:rsidRPr="0019763E">
        <w:rPr>
          <w:b w:val="0"/>
          <w:bCs w:val="0"/>
          <w:sz w:val="20"/>
          <w:szCs w:val="20"/>
          <w:lang w:val="en-GB" w:eastAsia="en-GB"/>
        </w:rPr>
        <w:fldChar w:fldCharType="begin"/>
      </w:r>
      <w:r w:rsidR="006E0A56" w:rsidRPr="0019763E">
        <w:rPr>
          <w:b w:val="0"/>
          <w:bCs w:val="0"/>
          <w:sz w:val="20"/>
          <w:szCs w:val="20"/>
          <w:lang w:val="en-GB" w:eastAsia="en-GB"/>
        </w:rPr>
        <w:instrText xml:space="preserve"> ADDIN EN.CITE &lt;EndNote&gt;&lt;Cite&gt;&lt;Author&gt;Stultz&lt;/Author&gt;&lt;Year&gt;1978&lt;/Year&gt;&lt;RecNum&gt;68&lt;/RecNum&gt;&lt;DisplayText&gt;(Stultz and Wren, 1978)&lt;/DisplayText&gt;&lt;record&gt;&lt;rec-number&gt;68&lt;/rec-number&gt;&lt;foreign-keys&gt;&lt;key app="EN" db-id="0z5fdztp6e9z5uerfrlvat9mvrxpssrs95da" timestamp="0"&gt;68&lt;/key&gt;&lt;/foreign-keys&gt;&lt;ref-type name="Report"&gt;27&lt;/ref-type&gt;&lt;contributors&gt;&lt;authors&gt;&lt;author&gt;Stultz, J.W. &lt;/author&gt;&lt;author&gt;Wren, L.C.&lt;/author&gt;&lt;/authors&gt;&lt;/contributors&gt;&lt;titles&gt;&lt;title&gt;Thermal performance testing and analysis of photovoltaic modules in natural sunlight&lt;/title&gt;&lt;secondary-title&gt;JPL Document 5101-31&lt;/secondary-title&gt;&lt;/titles&gt;&lt;pages&gt;5-9 to 5-12 and 6-2 to 6-3&lt;/pages&gt;&lt;dates&gt;&lt;year&gt;1978&lt;/year&gt;&lt;/dates&gt;&lt;pub-location&gt;Pasadena, California&lt;/pub-location&gt;&lt;publisher&gt;Jet propulsion laboratory&lt;/publisher&gt;&lt;urls&gt;&lt;related-urls&gt;&lt;url&gt;http://www2.jpl.nasa.gov/adv_tech/photovol/ppr_75-80/Thermal%20&amp;amp;%20Other%20Tests%20on%20PV%20Mod_5101-76_JPL1978.pdf&lt;/url&gt;&lt;/related-urls&gt;&lt;/urls&gt;&lt;/record&gt;&lt;/Cite&gt;&lt;/EndNote&gt;</w:instrText>
      </w:r>
      <w:r w:rsidR="006E0A56" w:rsidRPr="0019763E">
        <w:rPr>
          <w:b w:val="0"/>
          <w:bCs w:val="0"/>
          <w:sz w:val="20"/>
          <w:szCs w:val="20"/>
          <w:lang w:val="en-GB" w:eastAsia="en-GB"/>
        </w:rPr>
        <w:fldChar w:fldCharType="separate"/>
      </w:r>
      <w:r w:rsidR="006E0A56" w:rsidRPr="0019763E">
        <w:rPr>
          <w:b w:val="0"/>
          <w:bCs w:val="0"/>
          <w:sz w:val="20"/>
          <w:szCs w:val="20"/>
          <w:lang w:val="en-GB" w:eastAsia="en-GB"/>
        </w:rPr>
        <w:t>(</w:t>
      </w:r>
      <w:hyperlink w:anchor="_ENREF_297" w:tooltip="Stultz, 1978 #68" w:history="1">
        <w:r w:rsidR="006E0A56" w:rsidRPr="0019763E">
          <w:rPr>
            <w:b w:val="0"/>
            <w:bCs w:val="0"/>
            <w:sz w:val="20"/>
            <w:szCs w:val="20"/>
            <w:lang w:val="en-GB" w:eastAsia="en-GB"/>
          </w:rPr>
          <w:t>Stultz and Wren, 1978</w:t>
        </w:r>
      </w:hyperlink>
      <w:r w:rsidR="006E0A56" w:rsidRPr="0019763E">
        <w:rPr>
          <w:b w:val="0"/>
          <w:bCs w:val="0"/>
          <w:sz w:val="20"/>
          <w:szCs w:val="20"/>
          <w:lang w:val="en-GB" w:eastAsia="en-GB"/>
        </w:rPr>
        <w:t>)</w:t>
      </w:r>
      <w:bookmarkEnd w:id="14"/>
      <w:r w:rsidR="006E0A56" w:rsidRPr="0019763E">
        <w:rPr>
          <w:b w:val="0"/>
          <w:bCs w:val="0"/>
          <w:sz w:val="20"/>
          <w:szCs w:val="20"/>
          <w:lang w:val="en-GB" w:eastAsia="en-GB"/>
        </w:rPr>
        <w:fldChar w:fldCharType="end"/>
      </w:r>
    </w:p>
    <w:p w14:paraId="7E66A029" w14:textId="77777777" w:rsidR="00CD744B" w:rsidRPr="00CD744B" w:rsidRDefault="00CD744B" w:rsidP="00CD744B">
      <w:pPr>
        <w:rPr>
          <w:lang w:val="en-GB" w:eastAsia="en-GB"/>
        </w:rPr>
      </w:pPr>
    </w:p>
    <w:p w14:paraId="0FCB2EA7" w14:textId="76F20AC2" w:rsidR="006E0A56" w:rsidRDefault="006E0A56" w:rsidP="005444B3">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Stultz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&lt;EndNote&gt;&lt;Cite&gt;&lt;Author&gt;Stultz&lt;/Author&gt;&lt;Year&gt;1978&lt;/Year&gt;&lt;RecNum&gt;68&lt;/RecNum&gt;&lt;DisplayText&gt;(Stultz and Wren, 1978)&lt;/DisplayText&gt;&lt;record&gt;&lt;rec-number&gt;68&lt;/rec-number&gt;&lt;foreign-keys&gt;&lt;key app="EN" db-id="0z5fdztp6e9z5uerfrlvat9mvrxpssrs95da" timestamp="0"&gt;68&lt;/key&gt;&lt;/foreign-keys&gt;&lt;ref-type name="Report"&gt;27&lt;/ref-type&gt;&lt;contributors&gt;&lt;authors&gt;&lt;author&gt;Stultz, J.W. &lt;/author&gt;&lt;author&gt;Wren, L.C.&lt;/author&gt;&lt;/authors&gt;&lt;/contributors&gt;&lt;titles&gt;&lt;title&gt;Thermal performance testing and analysis of photovoltaic modules in natural sunlight&lt;/title&gt;&lt;secondary-title&gt;JPL Document 5101-31&lt;/secondary-title&gt;&lt;/titles&gt;&lt;pages&gt;5-9 to 5-12 and 6-2 to 6-3&lt;/pages&gt;&lt;dates&gt;&lt;year&gt;1978&lt;/year&gt;&lt;/dates&gt;&lt;pub-location&gt;Pasadena, California&lt;/pub-location&gt;&lt;publisher&gt;Jet propulsion laboratory&lt;/publisher&gt;&lt;urls&gt;&lt;related-urls&gt;&lt;url&gt;http://www2.jpl.nasa.gov/adv_tech/photovol/ppr_75-80/Thermal%20&amp;amp;%20Other%20Tests%20on%20PV%20Mod_5101-76_JPL1978.pdf&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97" w:tooltip="Stultz, 1978 #68" w:history="1">
        <w:r w:rsidRPr="005444B3">
          <w:rPr>
            <w:rFonts w:ascii="Times New Roman" w:eastAsia="Times New Roman" w:hAnsi="Times New Roman"/>
            <w:lang w:val="en-GB" w:eastAsia="en-GB"/>
          </w:rPr>
          <w:t>Stultz and Wren, 1978</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used Eicosane with a melting point of 36.7 ºC, with a Spectrolab PV module used. The properties of Eicosane are detailed </w:t>
      </w:r>
      <w:r w:rsidRPr="005A5941">
        <w:rPr>
          <w:rFonts w:ascii="Times New Roman" w:eastAsia="Times New Roman" w:hAnsi="Times New Roman"/>
          <w:lang w:val="en-GB" w:eastAsia="en-GB"/>
        </w:rPr>
        <w:t xml:space="preserve">in </w:t>
      </w:r>
      <w:r w:rsidRPr="005A5941">
        <w:rPr>
          <w:rFonts w:ascii="Times New Roman" w:eastAsia="Times New Roman" w:hAnsi="Times New Roman"/>
          <w:lang w:val="en-GB" w:eastAsia="en-GB"/>
        </w:rPr>
        <w:fldChar w:fldCharType="begin"/>
      </w:r>
      <w:r w:rsidRPr="005A5941">
        <w:rPr>
          <w:rFonts w:ascii="Times New Roman" w:eastAsia="Times New Roman" w:hAnsi="Times New Roman"/>
          <w:lang w:val="en-GB" w:eastAsia="en-GB"/>
        </w:rPr>
        <w:instrText xml:space="preserve"> REF _Ref384376036 \h  \* MERGEFORMAT </w:instrText>
      </w:r>
      <w:r w:rsidRPr="005A5941">
        <w:rPr>
          <w:rFonts w:ascii="Times New Roman" w:eastAsia="Times New Roman" w:hAnsi="Times New Roman"/>
          <w:lang w:val="en-GB" w:eastAsia="en-GB"/>
        </w:rPr>
      </w:r>
      <w:r w:rsidRPr="005A5941">
        <w:rPr>
          <w:rFonts w:ascii="Times New Roman" w:eastAsia="Times New Roman" w:hAnsi="Times New Roman"/>
          <w:lang w:val="en-GB" w:eastAsia="en-GB"/>
        </w:rPr>
        <w:fldChar w:fldCharType="separate"/>
      </w:r>
      <w:r w:rsidRPr="005A5941">
        <w:rPr>
          <w:rFonts w:ascii="Times New Roman" w:eastAsia="Times New Roman" w:hAnsi="Times New Roman"/>
          <w:lang w:val="en-GB" w:eastAsia="en-GB"/>
        </w:rPr>
        <w:t xml:space="preserve">Table </w:t>
      </w:r>
      <w:r w:rsidR="005A5941" w:rsidRPr="005A5941">
        <w:rPr>
          <w:rFonts w:ascii="Times New Roman" w:eastAsia="Times New Roman" w:hAnsi="Times New Roman"/>
          <w:lang w:val="en-GB" w:eastAsia="en-GB"/>
        </w:rPr>
        <w:t>6</w:t>
      </w:r>
      <w:r w:rsidRPr="005A5941">
        <w:rPr>
          <w:rFonts w:ascii="Times New Roman" w:eastAsia="Times New Roman" w:hAnsi="Times New Roman"/>
          <w:lang w:val="en-GB" w:eastAsia="en-GB"/>
        </w:rPr>
        <w:fldChar w:fldCharType="end"/>
      </w:r>
      <w:r w:rsidRPr="005A5941">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t>The high thermal expansion is an undesirable property when integrated into a PV/PCM system.</w:t>
      </w:r>
    </w:p>
    <w:p w14:paraId="3E93A3F8" w14:textId="422C2604" w:rsidR="00CD09F4" w:rsidRDefault="00CD09F4" w:rsidP="005444B3">
      <w:pPr>
        <w:spacing w:line="360" w:lineRule="auto"/>
        <w:jc w:val="both"/>
        <w:rPr>
          <w:rFonts w:ascii="Times New Roman" w:eastAsia="Times New Roman" w:hAnsi="Times New Roman"/>
          <w:lang w:val="en-GB" w:eastAsia="en-GB"/>
        </w:rPr>
      </w:pPr>
    </w:p>
    <w:p w14:paraId="32BB3874" w14:textId="77777777" w:rsidR="00CD09F4" w:rsidRPr="005444B3" w:rsidRDefault="00CD09F4" w:rsidP="005444B3">
      <w:pPr>
        <w:spacing w:line="360" w:lineRule="auto"/>
        <w:jc w:val="both"/>
        <w:rPr>
          <w:rFonts w:ascii="Times New Roman" w:eastAsia="Times New Roman" w:hAnsi="Times New Roman"/>
          <w:lang w:val="en-GB" w:eastAsia="en-GB"/>
        </w:rPr>
      </w:pPr>
    </w:p>
    <w:p w14:paraId="348AF87A" w14:textId="054DD8FA" w:rsidR="005B5368" w:rsidRPr="005444B3" w:rsidRDefault="006E0A56" w:rsidP="0043721A">
      <w:pPr>
        <w:spacing w:after="0" w:line="240" w:lineRule="auto"/>
        <w:jc w:val="both"/>
        <w:rPr>
          <w:rFonts w:ascii="Times New Roman" w:eastAsia="Times New Roman" w:hAnsi="Times New Roman"/>
          <w:lang w:val="en-GB" w:eastAsia="en-GB"/>
        </w:rPr>
      </w:pPr>
      <w:bookmarkStart w:id="15" w:name="_Ref384376036"/>
      <w:bookmarkStart w:id="16" w:name="_Toc443983254"/>
      <w:r w:rsidRPr="005444B3">
        <w:rPr>
          <w:rFonts w:ascii="Times New Roman" w:eastAsia="Times New Roman" w:hAnsi="Times New Roman"/>
          <w:lang w:val="en-GB" w:eastAsia="en-GB"/>
        </w:rPr>
        <w:lastRenderedPageBreak/>
        <w:t>Table</w:t>
      </w:r>
      <w:bookmarkEnd w:id="15"/>
      <w:r w:rsidR="005A5941">
        <w:rPr>
          <w:rFonts w:ascii="Times New Roman" w:eastAsia="Times New Roman" w:hAnsi="Times New Roman"/>
          <w:lang w:val="en-GB" w:eastAsia="en-GB"/>
        </w:rPr>
        <w:t xml:space="preserve"> 6</w:t>
      </w:r>
      <w:r w:rsidR="0043721A">
        <w:rPr>
          <w:rFonts w:ascii="Times New Roman" w:eastAsia="Times New Roman" w:hAnsi="Times New Roman"/>
          <w:lang w:val="en-GB" w:eastAsia="en-GB"/>
        </w:rPr>
        <w:t>.</w:t>
      </w:r>
      <w:r w:rsidRPr="005444B3">
        <w:rPr>
          <w:rFonts w:ascii="Times New Roman" w:eastAsia="Times New Roman" w:hAnsi="Times New Roman"/>
          <w:lang w:val="en-GB" w:eastAsia="en-GB"/>
        </w:rPr>
        <w:t xml:space="preserve"> Properties of Eicosane, the first PCM integrated with PV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&lt;EndNote&gt;&lt;Cite&gt;&lt;Author&gt;Stultz&lt;/Author&gt;&lt;Year&gt;1978&lt;/Year&gt;&lt;RecNum&gt;68&lt;/RecNum&gt;&lt;DisplayText&gt;(Stultz and Wren, 1978)&lt;/DisplayText&gt;&lt;record&gt;&lt;rec-number&gt;68&lt;/rec-number&gt;&lt;foreign-keys&gt;&lt;key app="EN" db-id="0z5fdztp6e9z5uerfrlvat9mvrxpssrs95da" timestamp="0"&gt;68&lt;/key&gt;&lt;/foreign-keys&gt;&lt;ref-type name="Report"&gt;27&lt;/ref-type&gt;&lt;contributors&gt;&lt;authors&gt;&lt;author&gt;Stultz, J.W. &lt;/author&gt;&lt;author&gt;Wren, L.C.&lt;/author&gt;&lt;/authors&gt;&lt;/contributors&gt;&lt;titles&gt;&lt;title&gt;Thermal performance testing and analysis of photovoltaic modules in natural sunlight&lt;/title&gt;&lt;secondary-title&gt;JPL Document 5101-31&lt;/secondary-title&gt;&lt;/titles&gt;&lt;pages&gt;5-9 to 5-12 and 6-2 to 6-3&lt;/pages&gt;&lt;dates&gt;&lt;year&gt;1978&lt;/year&gt;&lt;/dates&gt;&lt;pub-location&gt;Pasadena, California&lt;/pub-location&gt;&lt;publisher&gt;Jet propulsion laboratory&lt;/publisher&gt;&lt;urls&gt;&lt;related-urls&gt;&lt;url&gt;http://www2.jpl.nasa.gov/adv_tech/photovol/ppr_75-80/Thermal%20&amp;amp;%20Other%20Tests%20on%20PV%20Mod_5101-76_JPL1978.pdf&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97" w:tooltip="Stultz, 1978 #68" w:history="1">
        <w:r w:rsidRPr="005444B3">
          <w:rPr>
            <w:rFonts w:ascii="Times New Roman" w:eastAsia="Times New Roman" w:hAnsi="Times New Roman"/>
            <w:lang w:val="en-GB" w:eastAsia="en-GB"/>
          </w:rPr>
          <w:t>Stultz and Wren, 1978</w:t>
        </w:r>
      </w:hyperlink>
      <w:r w:rsidRPr="005444B3">
        <w:rPr>
          <w:rFonts w:ascii="Times New Roman" w:eastAsia="Times New Roman" w:hAnsi="Times New Roman"/>
          <w:lang w:val="en-GB" w:eastAsia="en-GB"/>
        </w:rPr>
        <w:t>)</w:t>
      </w:r>
      <w:bookmarkEnd w:id="16"/>
      <w:r w:rsidRPr="005444B3">
        <w:rPr>
          <w:rFonts w:ascii="Times New Roman" w:eastAsia="Times New Roman" w:hAnsi="Times New Roman"/>
          <w:lang w:val="en-GB" w:eastAsia="en-GB"/>
        </w:rPr>
        <w:fldChar w:fldCharType="end"/>
      </w:r>
    </w:p>
    <w:tbl>
      <w:tblPr>
        <w:tblStyle w:val="DataTable"/>
        <w:tblW w:w="0" w:type="auto"/>
        <w:jc w:val="center"/>
        <w:tblLook w:val="06A0" w:firstRow="1" w:lastRow="0" w:firstColumn="1" w:lastColumn="0" w:noHBand="1" w:noVBand="1"/>
      </w:tblPr>
      <w:tblGrid>
        <w:gridCol w:w="5843"/>
        <w:gridCol w:w="1136"/>
      </w:tblGrid>
      <w:tr w:rsidR="006E0A56" w:rsidRPr="006E0A56" w14:paraId="30B3CC5C" w14:textId="77777777" w:rsidTr="005B5368">
        <w:trPr>
          <w:trHeight w:val="329"/>
          <w:jc w:val="center"/>
        </w:trPr>
        <w:tc>
          <w:tcPr>
            <w:tcW w:w="5843" w:type="dxa"/>
            <w:tcBorders>
              <w:top w:val="single" w:sz="2" w:space="0" w:color="auto"/>
              <w:bottom w:val="single" w:sz="4" w:space="0" w:color="auto"/>
            </w:tcBorders>
          </w:tcPr>
          <w:p w14:paraId="4B924518" w14:textId="72B38CF0" w:rsidR="006E0A56" w:rsidRPr="005444B3" w:rsidRDefault="005B5368" w:rsidP="006E0A56">
            <w:pPr>
              <w:rPr>
                <w:rFonts w:ascii="Times New Roman" w:eastAsia="Times New Roman" w:hAnsi="Times New Roman"/>
                <w:lang w:val="en-GB" w:eastAsia="en-GB"/>
              </w:rPr>
            </w:pPr>
            <w:r>
              <w:rPr>
                <w:rFonts w:ascii="Times New Roman" w:eastAsia="Times New Roman" w:hAnsi="Times New Roman"/>
                <w:lang w:val="en-GB" w:eastAsia="en-GB"/>
              </w:rPr>
              <w:t xml:space="preserve">           Property</w:t>
            </w:r>
          </w:p>
        </w:tc>
        <w:tc>
          <w:tcPr>
            <w:tcW w:w="1136" w:type="dxa"/>
            <w:tcBorders>
              <w:top w:val="single" w:sz="2" w:space="0" w:color="auto"/>
              <w:bottom w:val="single" w:sz="4" w:space="0" w:color="auto"/>
            </w:tcBorders>
          </w:tcPr>
          <w:p w14:paraId="45719026" w14:textId="767649C5" w:rsidR="006E0A56" w:rsidRPr="005444B3" w:rsidRDefault="006E0A56" w:rsidP="006E0A56">
            <w:pPr>
              <w:rPr>
                <w:rFonts w:ascii="Times New Roman" w:eastAsia="Times New Roman" w:hAnsi="Times New Roman"/>
                <w:lang w:val="en-GB" w:eastAsia="en-GB"/>
              </w:rPr>
            </w:pPr>
          </w:p>
        </w:tc>
      </w:tr>
      <w:tr w:rsidR="005B5368" w:rsidRPr="006E0A56" w14:paraId="2BF31676" w14:textId="77777777" w:rsidTr="005B5368">
        <w:trPr>
          <w:trHeight w:val="329"/>
          <w:jc w:val="center"/>
        </w:trPr>
        <w:tc>
          <w:tcPr>
            <w:tcW w:w="5843" w:type="dxa"/>
            <w:tcBorders>
              <w:top w:val="single" w:sz="4" w:space="0" w:color="auto"/>
            </w:tcBorders>
          </w:tcPr>
          <w:p w14:paraId="7CC8E4AE" w14:textId="525FA72E"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Melting temperature (ºC)</w:t>
            </w:r>
          </w:p>
        </w:tc>
        <w:tc>
          <w:tcPr>
            <w:tcW w:w="1136" w:type="dxa"/>
            <w:tcBorders>
              <w:top w:val="single" w:sz="4" w:space="0" w:color="auto"/>
            </w:tcBorders>
          </w:tcPr>
          <w:p w14:paraId="41F9EC82" w14:textId="3A9D68CD"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36.7</w:t>
            </w:r>
          </w:p>
        </w:tc>
      </w:tr>
      <w:tr w:rsidR="005B5368" w:rsidRPr="006E0A56" w14:paraId="751A91BB" w14:textId="77777777" w:rsidTr="005B5368">
        <w:trPr>
          <w:trHeight w:val="659"/>
          <w:jc w:val="center"/>
        </w:trPr>
        <w:tc>
          <w:tcPr>
            <w:tcW w:w="5843" w:type="dxa"/>
          </w:tcPr>
          <w:p w14:paraId="7CB3B4FE"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Density: Solid (kg/m3)</w:t>
            </w:r>
          </w:p>
          <w:p w14:paraId="153370BB"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 xml:space="preserve">              Liquid (kg/m3)</w:t>
            </w:r>
          </w:p>
        </w:tc>
        <w:tc>
          <w:tcPr>
            <w:tcW w:w="1136" w:type="dxa"/>
          </w:tcPr>
          <w:p w14:paraId="71788488"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855.4</w:t>
            </w:r>
          </w:p>
          <w:p w14:paraId="37814400"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778.5</w:t>
            </w:r>
          </w:p>
        </w:tc>
      </w:tr>
      <w:tr w:rsidR="005B5368" w:rsidRPr="006E0A56" w14:paraId="063D0317" w14:textId="77777777" w:rsidTr="005B5368">
        <w:trPr>
          <w:trHeight w:val="329"/>
          <w:jc w:val="center"/>
        </w:trPr>
        <w:tc>
          <w:tcPr>
            <w:tcW w:w="5843" w:type="dxa"/>
          </w:tcPr>
          <w:p w14:paraId="1755BC0E"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Latent heat (kJ/kg)</w:t>
            </w:r>
          </w:p>
        </w:tc>
        <w:tc>
          <w:tcPr>
            <w:tcW w:w="1136" w:type="dxa"/>
          </w:tcPr>
          <w:p w14:paraId="4F1C2825"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246.5</w:t>
            </w:r>
          </w:p>
        </w:tc>
      </w:tr>
      <w:tr w:rsidR="005B5368" w:rsidRPr="006E0A56" w14:paraId="3D3299E6" w14:textId="77777777" w:rsidTr="005B5368">
        <w:trPr>
          <w:trHeight w:val="679"/>
          <w:jc w:val="center"/>
        </w:trPr>
        <w:tc>
          <w:tcPr>
            <w:tcW w:w="5843" w:type="dxa"/>
          </w:tcPr>
          <w:p w14:paraId="6DAC2F31"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Specific heat: Solid (J/kg.K)</w:t>
            </w:r>
          </w:p>
          <w:p w14:paraId="019B6098"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 xml:space="preserve">                       Liquid (J/kg.K)</w:t>
            </w:r>
          </w:p>
        </w:tc>
        <w:tc>
          <w:tcPr>
            <w:tcW w:w="1136" w:type="dxa"/>
          </w:tcPr>
          <w:p w14:paraId="40D54903"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2.21</w:t>
            </w:r>
          </w:p>
          <w:p w14:paraId="515ECEDB"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2.00</w:t>
            </w:r>
          </w:p>
        </w:tc>
      </w:tr>
      <w:tr w:rsidR="005B5368" w:rsidRPr="006E0A56" w14:paraId="22CDE4E6" w14:textId="77777777" w:rsidTr="005B5368">
        <w:trPr>
          <w:trHeight w:val="329"/>
          <w:jc w:val="center"/>
        </w:trPr>
        <w:tc>
          <w:tcPr>
            <w:tcW w:w="5843" w:type="dxa"/>
          </w:tcPr>
          <w:p w14:paraId="5946ED70"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Expansion in phase change</w:t>
            </w:r>
          </w:p>
        </w:tc>
        <w:tc>
          <w:tcPr>
            <w:tcW w:w="1136" w:type="dxa"/>
          </w:tcPr>
          <w:p w14:paraId="110FB636"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15%</w:t>
            </w:r>
          </w:p>
        </w:tc>
      </w:tr>
      <w:tr w:rsidR="005B5368" w:rsidRPr="006E0A56" w14:paraId="6863FDB6" w14:textId="77777777" w:rsidTr="005B5368">
        <w:trPr>
          <w:trHeight w:val="329"/>
          <w:jc w:val="center"/>
        </w:trPr>
        <w:tc>
          <w:tcPr>
            <w:tcW w:w="5843" w:type="dxa"/>
          </w:tcPr>
          <w:p w14:paraId="4FD316A2"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Thermal conductivity W/(m2/K)</w:t>
            </w:r>
          </w:p>
        </w:tc>
        <w:tc>
          <w:tcPr>
            <w:tcW w:w="1136" w:type="dxa"/>
          </w:tcPr>
          <w:p w14:paraId="70181ED6" w14:textId="77777777" w:rsidR="005B5368" w:rsidRPr="005444B3" w:rsidRDefault="005B5368" w:rsidP="005B5368">
            <w:pPr>
              <w:rPr>
                <w:rFonts w:ascii="Times New Roman" w:eastAsia="Times New Roman" w:hAnsi="Times New Roman"/>
                <w:lang w:val="en-GB" w:eastAsia="en-GB"/>
              </w:rPr>
            </w:pPr>
            <w:r w:rsidRPr="005444B3">
              <w:rPr>
                <w:rFonts w:ascii="Times New Roman" w:eastAsia="Times New Roman" w:hAnsi="Times New Roman"/>
                <w:lang w:val="en-GB" w:eastAsia="en-GB"/>
              </w:rPr>
              <w:t>0.491</w:t>
            </w:r>
          </w:p>
        </w:tc>
      </w:tr>
    </w:tbl>
    <w:p w14:paraId="5F0926A0" w14:textId="0302C88A" w:rsidR="006E0A56" w:rsidRDefault="006E0A56" w:rsidP="006E0A56">
      <w:pPr>
        <w:spacing w:after="0"/>
        <w:rPr>
          <w:rFonts w:ascii="Times New Roman" w:eastAsia="Times New Roman" w:hAnsi="Times New Roman"/>
          <w:lang w:val="en-GB" w:eastAsia="en-GB"/>
        </w:rPr>
      </w:pPr>
    </w:p>
    <w:p w14:paraId="1CD3FBF9" w14:textId="77777777" w:rsidR="007A2976" w:rsidRPr="005444B3" w:rsidRDefault="007A2976" w:rsidP="006E0A56">
      <w:pPr>
        <w:spacing w:after="0"/>
        <w:rPr>
          <w:rFonts w:ascii="Times New Roman" w:eastAsia="Times New Roman" w:hAnsi="Times New Roman"/>
          <w:lang w:val="en-GB" w:eastAsia="en-GB"/>
        </w:rPr>
      </w:pPr>
    </w:p>
    <w:p w14:paraId="7D1BBD76" w14:textId="1BA9E2FF"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The experiment showed an increase of 1.4 % in the electrical efficiency of the PV. However, it was noted this could be improved with enhanced thermal conductivity of PCM and thus heat transfer from the PV to PCM. Stultz claimed if the PCM were successful in absorbing the excess thermal energy, an improvement in power of 2 % to 3.5 % could be expected. A PV/PCM system was not considered financially viable, however a PV combined with a thermal storage system was seen to have the potential to be cost effective. This work was discussed in a patent in 1983 but was not developed commercially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&lt;EndNote&gt;&lt;Cite&gt;&lt;Author&gt;Ames&lt;/Author&gt;&lt;Year&gt;1983&lt;/Year&gt;&lt;RecNum&gt;69&lt;/RecNum&gt;&lt;DisplayText&gt;(Ames, 1983)&lt;/DisplayText&gt;&lt;record&gt;&lt;rec-number&gt;69&lt;/rec-number&gt;&lt;foreign-keys&gt;&lt;key app="EN" db-id="0z5fdztp6e9z5uerfrlvat9mvrxpssrs95da" timestamp="0"&gt;69&lt;/key&gt;&lt;/foreign-keys&gt;&lt;ref-type name="Patent"&gt;25&lt;/ref-type&gt;&lt;contributors&gt;&lt;authors&gt;&lt;author&gt;Ames, W.D. &lt;/author&gt;&lt;/authors&gt;&lt;/contributors&gt;&lt;titles&gt;&lt;title&gt; Photovoltaic devices for producing electrical and heat energy&lt;/title&gt;&lt;/titles&gt;&lt;volume&gt;US4389533&lt;/volume&gt;&lt;section&gt;US4389533&lt;/section&gt;&lt;dates&gt;&lt;year&gt;1983&lt;/year&gt;&lt;/dates&gt;&lt;pub-location&gt;United States of America&lt;/pub-location&gt;&lt;urls&gt;&lt;related-urls&gt;&lt;url&gt;http://www.lens.org/lens/patent/US_4389533_A&lt;/url&gt;&lt;/related-urls&gt;&lt;/urls&gt;&lt;/record&gt;&lt;/Cite&gt;&lt;Cite&gt;&lt;Author&gt;Ames&lt;/Author&gt;&lt;Year&gt;1983&lt;/Year&gt;&lt;RecNum&gt;69&lt;/RecNum&gt;&lt;record&gt;&lt;rec-number&gt;69&lt;/rec-number&gt;&lt;foreign-keys&gt;&lt;key app="EN" db-id="0z5fdztp6e9z5uerfrlvat9mvrxpssrs95da" timestamp="0"&gt;69&lt;/key&gt;&lt;/foreign-keys&gt;&lt;ref-type name="Patent"&gt;25&lt;/ref-type&gt;&lt;contributors&gt;&lt;authors&gt;&lt;author&gt;Ames, W.D. &lt;/author&gt;&lt;/authors&gt;&lt;/contributors&gt;&lt;titles&gt;&lt;title&gt; Photovoltaic devices for producing electrical and heat energy&lt;/title&gt;&lt;/titles&gt;&lt;volume&gt;US4389533&lt;/volume&gt;&lt;section&gt;US4389533&lt;/section&gt;&lt;dates&gt;&lt;year&gt;1983&lt;/year&gt;&lt;/dates&gt;&lt;pub-location&gt;United States of America&lt;/pub-location&gt;&lt;urls&gt;&lt;related-urls&gt;&lt;url&gt;http://www.lens.org/lens/patent/US_4389533_A&lt;/url&gt;&lt;/related-urls&gt;&lt;/urls&gt;&lt;/record&gt;&lt;/Cite&gt;&lt;/EndNote&gt;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1" w:tooltip="Ames, 1983 #69" w:history="1">
        <w:r w:rsidRPr="005444B3">
          <w:rPr>
            <w:rFonts w:ascii="Times New Roman" w:eastAsia="Times New Roman" w:hAnsi="Times New Roman"/>
            <w:lang w:val="en-GB" w:eastAsia="en-GB"/>
          </w:rPr>
          <w:t>Ames, 1983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p>
    <w:p w14:paraId="2C4042F1" w14:textId="1A8D811D"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In a patent published in 2005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&lt;EndNote&gt;&lt;Cite&gt;&lt;Author&gt;Said&lt;/Author&gt;&lt;Year&gt;2005&lt;/Year&gt;&lt;RecNum&gt;351&lt;/RecNum&gt;&lt;DisplayText&gt;(Al-Hallaj and Selman, 2005)&lt;/DisplayText&gt;&lt;record&gt;&lt;rec-number&gt;351&lt;/rec-number&gt;&lt;foreign-keys&gt;&lt;key app="EN" db-id="0z5fdztp6e9z5uerfrlvat9mvrxpssrs95da" timestamp="0"&gt;351&lt;/key&gt;&lt;/foreign-keys&gt;&lt;ref-type name="Patent"&gt;25&lt;/ref-type&gt;&lt;contributors&gt;&lt;authors&gt;&lt;author&gt;Al-Hallaj, Said &lt;/author&gt;&lt;author&gt;Selman, Jan Robert&lt;/author&gt;&lt;/authors&gt;&lt;/contributors&gt;&lt;titles&gt;&lt;title&gt;Thermal management of battery systems&lt;/title&gt;&lt;/titles&gt;&lt;volume&gt;US 6468689&lt;/volume&gt;&lt;dates&gt;&lt;year&gt;2005&lt;/year&gt;&lt;/dates&gt;&lt;pub-location&gt;United States of America&lt;/pub-location&gt;&lt;publisher&gt;Illinois Institute of Technology&lt;/publisher&gt;&lt;urls&gt;&lt;related-urls&gt;&lt;url&gt;http://www.lens.org/lens/patent/US_6942944_B2/fulltext&lt;/url&gt;&lt;url&gt;http://repository.iit.edu/bitstream/handle/10560/2454/6942944.pdf?sequence=1&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7" w:tooltip="Al-Hallaj, 2005 #351" w:history="1">
        <w:r w:rsidRPr="005444B3">
          <w:rPr>
            <w:rFonts w:ascii="Times New Roman" w:eastAsia="Times New Roman" w:hAnsi="Times New Roman"/>
            <w:lang w:val="en-GB" w:eastAsia="en-GB"/>
          </w:rPr>
          <w:t>Al-Hallaj and Selman, 2005</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PCM was incorporated in a battery module system, including a fuel cell battery system. The invention refers to an arrangement whereby the PCM absorbs a percentage of the heat generated upon a charge or discharge of electrical energy as shown in </w:t>
      </w:r>
      <w:r w:rsidRPr="005A5941">
        <w:rPr>
          <w:rFonts w:ascii="Times New Roman" w:eastAsia="Times New Roman" w:hAnsi="Times New Roman"/>
          <w:lang w:val="en-GB" w:eastAsia="en-GB"/>
        </w:rPr>
        <w:fldChar w:fldCharType="begin"/>
      </w:r>
      <w:r w:rsidRPr="005A5941">
        <w:rPr>
          <w:rFonts w:ascii="Times New Roman" w:eastAsia="Times New Roman" w:hAnsi="Times New Roman"/>
          <w:lang w:val="en-GB" w:eastAsia="en-GB"/>
        </w:rPr>
        <w:instrText xml:space="preserve"> REF _Ref384376082 \h  \* MERGEFORMAT </w:instrText>
      </w:r>
      <w:r w:rsidRPr="005A5941">
        <w:rPr>
          <w:rFonts w:ascii="Times New Roman" w:eastAsia="Times New Roman" w:hAnsi="Times New Roman"/>
          <w:lang w:val="en-GB" w:eastAsia="en-GB"/>
        </w:rPr>
      </w:r>
      <w:r w:rsidRPr="005A5941">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5A5941">
        <w:rPr>
          <w:rFonts w:ascii="Times New Roman" w:eastAsia="Times New Roman" w:hAnsi="Times New Roman"/>
          <w:lang w:val="en-GB" w:eastAsia="en-GB"/>
        </w:rPr>
        <w:t xml:space="preserve"> </w:t>
      </w:r>
      <w:r w:rsidRPr="005A5941">
        <w:rPr>
          <w:rFonts w:ascii="Times New Roman" w:eastAsia="Times New Roman" w:hAnsi="Times New Roman"/>
          <w:lang w:val="en-GB" w:eastAsia="en-GB"/>
        </w:rPr>
        <w:fldChar w:fldCharType="end"/>
      </w:r>
      <w:r w:rsidR="00CB1282">
        <w:rPr>
          <w:rFonts w:ascii="Times New Roman" w:eastAsia="Times New Roman" w:hAnsi="Times New Roman"/>
          <w:lang w:val="en-GB" w:eastAsia="en-GB"/>
        </w:rPr>
        <w:t>10</w:t>
      </w:r>
      <w:r w:rsidRPr="005444B3">
        <w:rPr>
          <w:rFonts w:ascii="Times New Roman" w:eastAsia="Times New Roman" w:hAnsi="Times New Roman"/>
          <w:lang w:val="en-GB" w:eastAsia="en-GB"/>
        </w:rPr>
        <w:t>. The objective of the system was to improve the power supply of the system by regulating undesired temperature increases, minimise non-uniformity of temperature and act as a heat sink.</w:t>
      </w:r>
    </w:p>
    <w:p w14:paraId="3854E0C2" w14:textId="77777777" w:rsidR="006E0A56" w:rsidRPr="005444B3" w:rsidRDefault="006E0A56" w:rsidP="006E0A56">
      <w:pPr>
        <w:rPr>
          <w:rFonts w:ascii="Times New Roman" w:eastAsia="Times New Roman" w:hAnsi="Times New Roman"/>
          <w:lang w:val="en-GB" w:eastAsia="en-GB"/>
        </w:rPr>
      </w:pPr>
    </w:p>
    <w:p w14:paraId="2B3F37B6"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lastRenderedPageBreak/>
        <w:drawing>
          <wp:inline distT="0" distB="0" distL="0" distR="0" wp14:anchorId="312F1BC4" wp14:editId="4D2BBD21">
            <wp:extent cx="3397901" cy="2709545"/>
            <wp:effectExtent l="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403349" cy="2713889"/>
                    </a:xfrm>
                    <a:prstGeom prst="rect">
                      <a:avLst/>
                    </a:prstGeom>
                    <a:noFill/>
                    <a:ln w="9525">
                      <a:noFill/>
                      <a:miter lim="800000"/>
                      <a:headEnd/>
                      <a:tailEnd/>
                    </a:ln>
                  </pic:spPr>
                </pic:pic>
              </a:graphicData>
            </a:graphic>
          </wp:inline>
        </w:drawing>
      </w:r>
    </w:p>
    <w:p w14:paraId="2D5C234D" w14:textId="0A1895D9" w:rsidR="007A2976" w:rsidRDefault="00917411" w:rsidP="00B163E3">
      <w:pPr>
        <w:jc w:val="center"/>
        <w:rPr>
          <w:rFonts w:ascii="Times New Roman" w:eastAsia="Times New Roman" w:hAnsi="Times New Roman"/>
          <w:sz w:val="20"/>
          <w:szCs w:val="20"/>
          <w:lang w:val="en-GB" w:eastAsia="en-GB"/>
        </w:rPr>
      </w:pPr>
      <w:bookmarkStart w:id="17" w:name="_Ref384376082"/>
      <w:bookmarkStart w:id="18" w:name="_Toc443983052"/>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17"/>
      <w:r w:rsidR="00184D41">
        <w:rPr>
          <w:rFonts w:ascii="Times New Roman" w:eastAsia="Times New Roman" w:hAnsi="Times New Roman"/>
          <w:sz w:val="20"/>
          <w:szCs w:val="20"/>
          <w:lang w:val="en-GB" w:eastAsia="en-GB"/>
        </w:rPr>
        <w:t>1</w:t>
      </w:r>
      <w:r w:rsidR="00CB1282">
        <w:rPr>
          <w:rFonts w:ascii="Times New Roman" w:eastAsia="Times New Roman" w:hAnsi="Times New Roman"/>
          <w:sz w:val="20"/>
          <w:szCs w:val="20"/>
          <w:lang w:val="en-GB" w:eastAsia="en-GB"/>
        </w:rPr>
        <w:t>0</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Configuration of electrochemical cell incorporated with PCM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&lt;EndNote&gt;&lt;Cite&gt;&lt;Author&gt;Said&lt;/Author&gt;&lt;Year&gt;2005&lt;/Year&gt;&lt;RecNum&gt;351&lt;/RecNum&gt;&lt;DisplayText&gt;(Al-Hallaj and Selman, 2005)&lt;/DisplayText&gt;&lt;record&gt;&lt;rec-number&gt;351&lt;/rec-number&gt;&lt;foreign-keys&gt;&lt;key app="EN" db-id="0z5fdztp6e9z5uerfrlvat9mvrxpssrs95da" timestamp="0"&gt;351&lt;/key&gt;&lt;/foreign-keys&gt;&lt;ref-type name="Patent"&gt;25&lt;/ref-type&gt;&lt;contributors&gt;&lt;authors&gt;&lt;author&gt;Al-Hallaj, Said &lt;/author&gt;&lt;author&gt;Selman, Jan Robert&lt;/author&gt;&lt;/authors&gt;&lt;/contributors&gt;&lt;titles&gt;&lt;title&gt;Thermal management of battery systems&lt;/title&gt;&lt;/titles&gt;&lt;volume&gt;US 6468689&lt;/volume&gt;&lt;dates&gt;&lt;year&gt;2005&lt;/year&gt;&lt;/dates&gt;&lt;pub-location&gt;United States of America&lt;/pub-location&gt;&lt;publisher&gt;Illinois Institute of Technology&lt;/publisher&gt;&lt;urls&gt;&lt;related-urls&gt;&lt;url&gt;http://www.lens.org/lens/patent/US_6942944_B2/fulltext&lt;/url&gt;&lt;url&gt;http://repository.iit.edu/bitstream/handle/10560/2454/6942944.pdf?sequence=1&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7" w:tooltip="Al-Hallaj, 2005 #351" w:history="1">
        <w:r w:rsidR="006E0A56" w:rsidRPr="00965E66">
          <w:rPr>
            <w:rFonts w:ascii="Times New Roman" w:eastAsia="Times New Roman" w:hAnsi="Times New Roman"/>
            <w:sz w:val="20"/>
            <w:szCs w:val="20"/>
            <w:lang w:val="en-GB" w:eastAsia="en-GB"/>
          </w:rPr>
          <w:t>Al-Hallaj and Selman, 2005</w:t>
        </w:r>
      </w:hyperlink>
      <w:r w:rsidR="006E0A56" w:rsidRPr="00965E66">
        <w:rPr>
          <w:rFonts w:ascii="Times New Roman" w:eastAsia="Times New Roman" w:hAnsi="Times New Roman"/>
          <w:sz w:val="20"/>
          <w:szCs w:val="20"/>
          <w:lang w:val="en-GB" w:eastAsia="en-GB"/>
        </w:rPr>
        <w:t>)</w:t>
      </w:r>
      <w:bookmarkEnd w:id="18"/>
      <w:r w:rsidR="006E0A56" w:rsidRPr="00965E66">
        <w:rPr>
          <w:rFonts w:ascii="Times New Roman" w:eastAsia="Times New Roman" w:hAnsi="Times New Roman"/>
          <w:sz w:val="20"/>
          <w:szCs w:val="20"/>
          <w:lang w:val="en-GB" w:eastAsia="en-GB"/>
        </w:rPr>
        <w:fldChar w:fldCharType="end"/>
      </w:r>
    </w:p>
    <w:p w14:paraId="22E7795A" w14:textId="77777777" w:rsidR="00B163E3" w:rsidRPr="00B163E3" w:rsidRDefault="00B163E3" w:rsidP="00B163E3">
      <w:pPr>
        <w:jc w:val="center"/>
        <w:rPr>
          <w:rFonts w:ascii="Times New Roman" w:eastAsia="Times New Roman" w:hAnsi="Times New Roman"/>
          <w:sz w:val="20"/>
          <w:szCs w:val="20"/>
          <w:lang w:val="en-GB" w:eastAsia="en-GB"/>
        </w:rPr>
      </w:pPr>
    </w:p>
    <w:p w14:paraId="15AA858B" w14:textId="71B35FE2"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Huang et al.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 ExcludeAuth="1"&gt;&lt;Author&gt;Huang&lt;/Author&gt;&lt;Year&gt;2000&lt;/Year&gt;&lt;RecNum&gt;81&lt;/RecNum&gt;&lt;DisplayText&gt;(2000)&lt;/DisplayText&gt;&lt;record&gt;&lt;rec-number&gt;81&lt;/rec-number&gt;&lt;foreign-keys&gt;&lt;key app="EN" db-id="0z5fdztp6e9z5uerfrlvat9mvrxpssrs95da" timestamp="0"&gt;81&lt;/key&gt;&lt;/foreign-keys&gt;&lt;ref-type name="Book Section"&gt;5&lt;/ref-type&gt;&lt;contributors&gt;&lt;authors&gt;&lt;author&gt;Huang, M. J.&lt;/author&gt;&lt;author&gt;Eames, P. C.&lt;/author&gt;&lt;author&gt;Norton, B.&lt;/author&gt;&lt;/authors&gt;&lt;/contributors&gt;&lt;titles&gt;&lt;title&gt;Chapter 454 - The Application of Computational Fluid Dynamics to Predict the Performance of Phase Change Materials for Control of Photovoltaic Cell Temperature in Buildings&lt;/title&gt;&lt;secondary-title&gt;World Renewable Energy Congress VI&lt;/secondary-title&gt;&lt;/titles&gt;&lt;pages&gt;2123-2126&lt;/pages&gt;&lt;dates&gt;&lt;year&gt;2000&lt;/year&gt;&lt;/dates&gt;&lt;pub-location&gt;Oxford&lt;/pub-location&gt;&lt;publisher&gt;Pergamon&lt;/publisher&gt;&lt;urls&gt;&lt;related-urls&gt;&lt;url&gt;http://www.sciencedirect.com/science/article/pii/B9780080438658504542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36" w:tooltip="Huang, 2000 #81" w:history="1">
        <w:r w:rsidRPr="005444B3">
          <w:rPr>
            <w:rFonts w:ascii="Times New Roman" w:eastAsia="Times New Roman" w:hAnsi="Times New Roman"/>
            <w:lang w:val="en-GB" w:eastAsia="en-GB"/>
          </w:rPr>
          <w:t>2000</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progressed the concept independently with extensive experimental and simulation studies. The first numerical PV/PCM model was validated successfully by comparison with small scale experiments. Three systems were analysed under varying environmental conditions; (i) an aluminium plate to simulate a PV cell; (ii) an aluminium plate with a container filled with PCM to simulate a PV/PCM system; an aluminium plate with a container filled with PCM with integrated fins, as </w:t>
      </w:r>
      <w:r w:rsidRPr="005A5941">
        <w:rPr>
          <w:rFonts w:ascii="Times New Roman" w:eastAsia="Times New Roman" w:hAnsi="Times New Roman"/>
          <w:lang w:val="en-GB" w:eastAsia="en-GB"/>
        </w:rPr>
        <w:t xml:space="preserve">in </w:t>
      </w:r>
      <w:r w:rsidRPr="005A5941">
        <w:rPr>
          <w:rFonts w:ascii="Times New Roman" w:eastAsia="Times New Roman" w:hAnsi="Times New Roman"/>
          <w:lang w:val="en-GB" w:eastAsia="en-GB"/>
        </w:rPr>
        <w:fldChar w:fldCharType="begin"/>
      </w:r>
      <w:r w:rsidRPr="005A5941">
        <w:rPr>
          <w:rFonts w:ascii="Times New Roman" w:eastAsia="Times New Roman" w:hAnsi="Times New Roman"/>
          <w:lang w:val="en-GB" w:eastAsia="en-GB"/>
        </w:rPr>
        <w:instrText xml:space="preserve"> REF _Ref384376103 \h  \* MERGEFORMAT </w:instrText>
      </w:r>
      <w:r w:rsidRPr="005A5941">
        <w:rPr>
          <w:rFonts w:ascii="Times New Roman" w:eastAsia="Times New Roman" w:hAnsi="Times New Roman"/>
          <w:lang w:val="en-GB" w:eastAsia="en-GB"/>
        </w:rPr>
      </w:r>
      <w:r w:rsidRPr="005A5941">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5A5941">
        <w:rPr>
          <w:rFonts w:ascii="Times New Roman" w:eastAsia="Times New Roman" w:hAnsi="Times New Roman"/>
          <w:lang w:val="en-GB" w:eastAsia="en-GB"/>
        </w:rPr>
        <w:t xml:space="preserve"> </w:t>
      </w:r>
      <w:r w:rsidR="005A5941" w:rsidRPr="005A5941">
        <w:rPr>
          <w:rFonts w:ascii="Times New Roman" w:eastAsia="Times New Roman" w:hAnsi="Times New Roman"/>
          <w:lang w:val="en-GB" w:eastAsia="en-GB"/>
        </w:rPr>
        <w:t>1</w:t>
      </w:r>
      <w:r w:rsidRPr="005A5941">
        <w:rPr>
          <w:rFonts w:ascii="Times New Roman" w:eastAsia="Times New Roman" w:hAnsi="Times New Roman"/>
          <w:lang w:val="en-GB" w:eastAsia="en-GB"/>
        </w:rPr>
        <w:fldChar w:fldCharType="end"/>
      </w:r>
      <w:r w:rsidR="00CB1282">
        <w:rPr>
          <w:rFonts w:ascii="Times New Roman" w:eastAsia="Times New Roman" w:hAnsi="Times New Roman"/>
          <w:lang w:val="en-GB" w:eastAsia="en-GB"/>
        </w:rPr>
        <w:t>1</w:t>
      </w:r>
      <w:r w:rsidRPr="005A5941">
        <w:rPr>
          <w:rFonts w:ascii="Times New Roman" w:eastAsia="Times New Roman" w:hAnsi="Times New Roman"/>
          <w:lang w:val="en-GB" w:eastAsia="en-GB"/>
        </w:rPr>
        <w:t xml:space="preserve">. </w:t>
      </w:r>
    </w:p>
    <w:p w14:paraId="49D1D96C" w14:textId="77777777"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Temperature variation through the PCM and the solid–liquid transition of the PCM compared well with predictions. Integrated PCM system with fins demonstrated effective temperature regulation of the plate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&lt;EndNote&gt;&lt;Cite&gt;&lt;Author&gt;Huang&lt;/Author&gt;&lt;Year&gt;2004&lt;/Year&gt;&lt;RecNum&gt;71&lt;/RecNum&gt;&lt;DisplayText&gt;(Huang et al., 2004)&lt;/DisplayText&gt;&lt;record&gt;&lt;rec-number&gt;71&lt;/rec-number&gt;&lt;foreign-keys&gt;&lt;key app="EN" db-id="0z5fdztp6e9z5uerfrlvat9mvrxpssrs95da" timestamp="0"&gt;71&lt;/key&gt;&lt;/foreign-keys&gt;&lt;ref-type name="Journal Article"&gt;17&lt;/ref-type&gt;&lt;contributors&gt;&lt;authors&gt;&lt;author&gt;Huang, M. J.&lt;/author&gt;&lt;author&gt;Eames, P. C.&lt;/author&gt;&lt;author&gt;Norton, B.&lt;/author&gt;&lt;/authors&gt;&lt;/contributors&gt;&lt;titles&gt;&lt;title&gt;Thermal regulation of building-integrated photovoltaics using phase change materials&lt;/title&gt;&lt;secondary-title&gt;International Journal of Heat and Mass Transfer&lt;/secondary-title&gt;&lt;/titles&gt;&lt;periodical&gt;&lt;full-title&gt;International Journal of Heat and Mass Transfer&lt;/full-title&gt;&lt;/periodical&gt;&lt;pages&gt;2715-2733&lt;/pages&gt;&lt;volume&gt;47&lt;/volume&gt;&lt;keywords&gt;&lt;keyword&gt;Phase change material&lt;/keyword&gt;&lt;keyword&gt;Photovoltaics&lt;/keyword&gt;&lt;keyword&gt;Thermal control&lt;/keyword&gt;&lt;keyword&gt;Building integration&lt;/keyword&gt;&lt;/keywords&gt;&lt;dates&gt;&lt;year&gt;2004&lt;/year&gt;&lt;/dates&gt;&lt;urls&gt;&lt;related-urls&gt;&lt;url&gt;http://www.sciencedirect.com/science/article/pii/S0017931003006380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37" w:tooltip="Huang, 2004 #71" w:history="1">
        <w:r w:rsidRPr="005444B3">
          <w:rPr>
            <w:rFonts w:ascii="Times New Roman" w:eastAsia="Times New Roman" w:hAnsi="Times New Roman"/>
            <w:lang w:val="en-GB" w:eastAsia="en-GB"/>
          </w:rPr>
          <w:t>Huang et al., 2004</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w:t>
      </w:r>
    </w:p>
    <w:p w14:paraId="128ED95B"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449612C8" wp14:editId="52B35A3C">
            <wp:extent cx="3642767" cy="2067823"/>
            <wp:effectExtent l="0" t="0" r="0" b="8890"/>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655507" cy="2075055"/>
                    </a:xfrm>
                    <a:prstGeom prst="rect">
                      <a:avLst/>
                    </a:prstGeom>
                    <a:noFill/>
                    <a:ln w="9525">
                      <a:noFill/>
                      <a:miter lim="800000"/>
                      <a:headEnd/>
                      <a:tailEnd/>
                    </a:ln>
                  </pic:spPr>
                </pic:pic>
              </a:graphicData>
            </a:graphic>
          </wp:inline>
        </w:drawing>
      </w:r>
    </w:p>
    <w:p w14:paraId="6F1F67FF" w14:textId="01262074" w:rsidR="00CD744B" w:rsidRPr="00965E66" w:rsidRDefault="00917411" w:rsidP="00917411">
      <w:pPr>
        <w:jc w:val="center"/>
        <w:rPr>
          <w:rFonts w:ascii="Times New Roman" w:eastAsia="Times New Roman" w:hAnsi="Times New Roman"/>
          <w:sz w:val="20"/>
          <w:szCs w:val="20"/>
          <w:lang w:val="en-GB" w:eastAsia="en-GB"/>
        </w:rPr>
      </w:pPr>
      <w:bookmarkStart w:id="19" w:name="_Ref384376103"/>
      <w:bookmarkStart w:id="20" w:name="_Toc443983053"/>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19"/>
      <w:r w:rsidR="00AB02F7">
        <w:rPr>
          <w:rFonts w:ascii="Times New Roman" w:eastAsia="Times New Roman" w:hAnsi="Times New Roman"/>
          <w:sz w:val="20"/>
          <w:szCs w:val="20"/>
          <w:lang w:val="en-GB" w:eastAsia="en-GB"/>
        </w:rPr>
        <w:t>1</w:t>
      </w:r>
      <w:r w:rsidR="00CB1282">
        <w:rPr>
          <w:rFonts w:ascii="Times New Roman" w:eastAsia="Times New Roman" w:hAnsi="Times New Roman"/>
          <w:sz w:val="20"/>
          <w:szCs w:val="20"/>
          <w:lang w:val="en-GB" w:eastAsia="en-GB"/>
        </w:rPr>
        <w:t>1</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Photographic image of melting front of PV/PCM system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&lt;EndNote&gt;&lt;Cite&gt;&lt;Author&gt;Huang&lt;/Author&gt;&lt;Year&gt;2004&lt;/Year&gt;&lt;RecNum&gt;71&lt;/RecNum&gt;&lt;DisplayText&gt;(Huang et al., 2004)&lt;/DisplayText&gt;&lt;record&gt;&lt;rec-number&gt;71&lt;/rec-number&gt;&lt;foreign-keys&gt;&lt;key app="EN" db-id="0z5fdztp6e9z5uerfrlvat9mvrxpssrs95da" timestamp="0"&gt;71&lt;/key&gt;&lt;/foreign-keys&gt;&lt;ref-type name="Journal Article"&gt;17&lt;/ref-type&gt;&lt;contributors&gt;&lt;authors&gt;&lt;author&gt;Huang, M. J.&lt;/author&gt;&lt;author&gt;Eames, P. C.&lt;/author&gt;&lt;author&gt;Norton, B.&lt;/author&gt;&lt;/authors&gt;&lt;/contributors&gt;&lt;titles&gt;&lt;title&gt;Thermal regulation of building-integrated photovoltaics using phase change materials&lt;/title&gt;&lt;secondary-title&gt;International Journal of Heat and Mass Transfer&lt;/secondary-title&gt;&lt;/titles&gt;&lt;periodical&gt;&lt;full-title&gt;International Journal of Heat and Mass Transfer&lt;/full-title&gt;&lt;/periodical&gt;&lt;pages&gt;2715-2733&lt;/pages&gt;&lt;volume&gt;47&lt;/volume&gt;&lt;keywords&gt;&lt;keyword&gt;Phase change material&lt;/keyword&gt;&lt;keyword&gt;Photovoltaics&lt;/keyword&gt;&lt;keyword&gt;Thermal control&lt;/keyword&gt;&lt;keyword&gt;Building integration&lt;/keyword&gt;&lt;/keywords&gt;&lt;dates&gt;&lt;year&gt;2004&lt;/year&gt;&lt;/dates&gt;&lt;urls&gt;&lt;related-urls&gt;&lt;url&gt;http://www.sciencedirect.com/science/article/pii/S0017931003006380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37" w:tooltip="Huang, 2004 #71" w:history="1">
        <w:r w:rsidR="006E0A56" w:rsidRPr="00965E66">
          <w:rPr>
            <w:rFonts w:ascii="Times New Roman" w:eastAsia="Times New Roman" w:hAnsi="Times New Roman"/>
            <w:sz w:val="20"/>
            <w:szCs w:val="20"/>
            <w:lang w:val="en-GB" w:eastAsia="en-GB"/>
          </w:rPr>
          <w:t>Huang et al., 2004</w:t>
        </w:r>
      </w:hyperlink>
      <w:r w:rsidR="006E0A56" w:rsidRPr="00965E66">
        <w:rPr>
          <w:rFonts w:ascii="Times New Roman" w:eastAsia="Times New Roman" w:hAnsi="Times New Roman"/>
          <w:sz w:val="20"/>
          <w:szCs w:val="20"/>
          <w:lang w:val="en-GB" w:eastAsia="en-GB"/>
        </w:rPr>
        <w:t>)</w:t>
      </w:r>
      <w:bookmarkEnd w:id="20"/>
      <w:r w:rsidR="006E0A56" w:rsidRPr="00965E66">
        <w:rPr>
          <w:rFonts w:ascii="Times New Roman" w:eastAsia="Times New Roman" w:hAnsi="Times New Roman"/>
          <w:sz w:val="20"/>
          <w:szCs w:val="20"/>
          <w:lang w:val="en-GB" w:eastAsia="en-GB"/>
        </w:rPr>
        <w:fldChar w:fldCharType="end"/>
      </w:r>
    </w:p>
    <w:p w14:paraId="03A40698" w14:textId="43877B41" w:rsidR="00CD744B" w:rsidRPr="00CD744B" w:rsidRDefault="006E0A56" w:rsidP="00CD09F4">
      <w:pPr>
        <w:spacing w:line="360" w:lineRule="auto"/>
        <w:jc w:val="both"/>
        <w:rPr>
          <w:rFonts w:ascii="Times New Roman" w:eastAsia="Times New Roman" w:hAnsi="Times New Roman"/>
          <w:sz w:val="20"/>
          <w:szCs w:val="20"/>
          <w:lang w:val="en-GB" w:eastAsia="en-GB"/>
        </w:rPr>
      </w:pPr>
      <w:r w:rsidRPr="005444B3">
        <w:rPr>
          <w:rFonts w:ascii="Times New Roman" w:eastAsia="Times New Roman" w:hAnsi="Times New Roman"/>
          <w:lang w:val="en-GB" w:eastAsia="en-GB"/>
        </w:rPr>
        <w:lastRenderedPageBreak/>
        <w:t xml:space="preserve">A 3D thermophysical model for a PV/PCM system based on the Navier-Stokes equation was developed for predicting the convective velocities of melted PCM and temperatures inside the PV/PCM system, this model was compared with a previously published 2D model. The 2D model can be used to predict temperature of a simple linear PV/PCM system however the 3D model allows the prediction of a line-axis system to be resolved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&lt;EndNote&gt;&lt;Cite&gt;&lt;Author&gt;Huang&lt;/Author&gt;&lt;Year&gt;2006b&lt;/Year&gt;&lt;RecNum&gt;74&lt;/RecNum&gt;&lt;DisplayText&gt;(Huang et al., 2006b;  Huang, 2007)&lt;/DisplayText&gt;&lt;record&gt;&lt;rec-number&gt;74&lt;/rec-number&gt;&lt;foreign-keys&gt;&lt;key app="EN" db-id="0z5fdztp6e9z5uerfrlvat9mvrxpssrs95da" timestamp="0"&gt;74&lt;/key&gt;&lt;/foreign-keys&gt;&lt;ref-type name="Journal Article"&gt;17&lt;/ref-type&gt;&lt;contributors&gt;&lt;authors&gt;&lt;author&gt;Huang, M. J.&lt;/author&gt;&lt;author&gt;Eames, P. C.&lt;/author&gt;&lt;author&gt;Norton, B.&lt;/author&gt;&lt;/authors&gt;&lt;/contributors&gt;&lt;titles&gt;&lt;title&gt;Comparison of a small-scale 3D PCM thermal control model with a validated 2D PCM thermal control model&lt;/title&gt;&lt;secondary-title&gt;Solar Energy Materials and Solar Cells&lt;/secondary-title&gt;&lt;/titles&gt;&lt;periodical&gt;&lt;full-title&gt;Solar Energy Materials and Solar Cells&lt;/full-title&gt;&lt;/periodical&gt;&lt;pages&gt;1961-1972&lt;/pages&gt;&lt;volume&gt;90&lt;/volume&gt;&lt;number&gt;13&lt;/number&gt;&lt;keywords&gt;&lt;keyword&gt;Phase change materials (PCM)&lt;/keyword&gt;&lt;keyword&gt;Photovoltaic (PV)&lt;/keyword&gt;&lt;keyword&gt;Three dimensional (3D)&lt;/keyword&gt;&lt;/keywords&gt;&lt;dates&gt;&lt;year&gt;2006&lt;/year&gt;&lt;/dates&gt;&lt;urls&gt;&lt;related-urls&gt;&lt;url&gt;http://www.sciencedirect.com/science/article/pii/S0927024806000389 &lt;/url&gt;&lt;/related-urls&gt;&lt;/urls&gt;&lt;/record&gt;&lt;/Cite&gt;&lt;Cite&gt;&lt;Author&gt;Huang&lt;/Author&gt;&lt;Year&gt;2007&lt;/Year&gt;&lt;RecNum&gt;79&lt;/RecNum&gt;&lt;record&gt;&lt;rec-number&gt;79&lt;/rec-number&gt;&lt;foreign-keys&gt;&lt;key app="EN" db-id="0z5fdztp6e9z5uerfrlvat9mvrxpssrs95da" timestamp="0"&gt;79&lt;/key&gt;&lt;/foreign-keys&gt;&lt;ref-type name="Journal Article"&gt;17&lt;/ref-type&gt;&lt;contributors&gt;&lt;authors&gt;&lt;author&gt;Huang, M.J., Eames, P.C. and Norton, B.  &lt;/author&gt;&lt;/authors&gt;&lt;/contributors&gt;&lt;titles&gt;&lt;title&gt;Comparison of Predictions Made Using a New 3D Phase Change Material Thermal Control Model with Experimental Measurements and Predictions Made Using a Validated 2D Model&lt;/title&gt;&lt;secondary-title&gt;Heat Transfer Engineering&lt;/secondary-title&gt;&lt;/titles&gt;&lt;periodical&gt;&lt;full-title&gt;Heat Transfer Engineering&lt;/full-title&gt;&lt;/periodical&gt;&lt;pages&gt;1&lt;/pages&gt;&lt;volume&gt;28&lt;/volume&gt;&lt;number&gt;1&lt;/number&gt;&lt;dates&gt;&lt;year&gt;2007&lt;/year&gt;&lt;/dates&gt;&lt;urls&gt;&lt;/urls&gt;&lt;/record&gt;&lt;/Cite&gt;&lt;/EndNote&gt;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38" w:tooltip="Huang, 2006 #74" w:history="1">
        <w:r w:rsidRPr="005444B3">
          <w:rPr>
            <w:rFonts w:ascii="Times New Roman" w:eastAsia="Times New Roman" w:hAnsi="Times New Roman"/>
            <w:lang w:val="en-GB" w:eastAsia="en-GB"/>
          </w:rPr>
          <w:t>Huang et al., 2006b</w:t>
        </w:r>
      </w:hyperlink>
      <w:r w:rsidRPr="005444B3">
        <w:rPr>
          <w:rFonts w:ascii="Times New Roman" w:eastAsia="Times New Roman" w:hAnsi="Times New Roman"/>
          <w:lang w:val="en-GB" w:eastAsia="en-GB"/>
        </w:rPr>
        <w:t xml:space="preserve">;  </w:t>
      </w:r>
      <w:hyperlink w:anchor="_ENREF_141" w:tooltip="Huang, 2007 #79" w:history="1">
        <w:r w:rsidRPr="005444B3">
          <w:rPr>
            <w:rFonts w:ascii="Times New Roman" w:eastAsia="Times New Roman" w:hAnsi="Times New Roman"/>
            <w:lang w:val="en-GB" w:eastAsia="en-GB"/>
          </w:rPr>
          <w:t>Huang, 2007</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The application of fins in a PV/PCM system in BIPV to improve low heat transfer rates of PCM was found to moderate the increase in temperature of PV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&lt;EndNote&gt;&lt;Cite&gt;&lt;Author&gt;Huang&lt;/Author&gt;&lt;Year&gt;2006&lt;/Year&gt;&lt;RecNum&gt;76&lt;/RecNum&gt;&lt;DisplayText&gt;(Huang et al., 2006c)&lt;/DisplayText&gt;&lt;record&gt;&lt;rec-number&gt;76&lt;/rec-number&gt;&lt;foreign-keys&gt;&lt;key app="EN" db-id="0z5fdztp6e9z5uerfrlvat9mvrxpssrs95da" timestamp="0"&gt;76&lt;/key&gt;&lt;/foreign-keys&gt;&lt;ref-type name="Journal Article"&gt;17&lt;/ref-type&gt;&lt;contributors&gt;&lt;authors&gt;&lt;author&gt;Huang, M. J.&lt;/author&gt;&lt;author&gt;Eames, P. C.&lt;/author&gt;&lt;author&gt;Norton, B.&lt;/author&gt;&lt;/authors&gt;&lt;/contributors&gt;&lt;titles&gt;&lt;title&gt;Phase change materials for limiting temperature rise in building integrated photovoltaics&lt;/title&gt;&lt;secondary-title&gt;Solar Energy&lt;/secondary-title&gt;&lt;/titles&gt;&lt;periodical&gt;&lt;full-title&gt;Solar Energy&lt;/full-title&gt;&lt;/periodical&gt;&lt;pages&gt;1121-1130&lt;/pages&gt;&lt;volume&gt;80&lt;/volume&gt;&lt;number&gt;9&lt;/number&gt;&lt;keywords&gt;&lt;keyword&gt;Phase change material&lt;/keyword&gt;&lt;keyword&gt;Photovoltaic cell&lt;/keyword&gt;&lt;keyword&gt;Thermal control&lt;/keyword&gt;&lt;keyword&gt;Building integration&lt;/keyword&gt;&lt;/keywords&gt;&lt;dates&gt;&lt;year&gt;2006&lt;/year&gt;&lt;/dates&gt;&lt;urls&gt;&lt;related-urls&gt;&lt;url&gt;http://www.sciencedirect.com/science/article/pii/S0038092X05003610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39" w:tooltip="Huang, 2006 #76" w:history="1">
        <w:r w:rsidRPr="005444B3">
          <w:rPr>
            <w:rFonts w:ascii="Times New Roman" w:eastAsia="Times New Roman" w:hAnsi="Times New Roman"/>
            <w:lang w:val="en-GB" w:eastAsia="en-GB"/>
          </w:rPr>
          <w:t>Huang et al., 2006c</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Aluminium fins, integrated in a PV/PCM system,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&lt;EndNote&gt;&lt;Cite&gt;&lt;Author&gt;Huang&lt;/Author&gt;&lt;Year&gt;2011&lt;/Year&gt;&lt;RecNum&gt;75&lt;/RecNum&gt;&lt;DisplayText&gt;(Huang et al., 2011)&lt;/DisplayText&gt;&lt;record&gt;&lt;rec-number&gt;75&lt;/rec-number&gt;&lt;foreign-keys&gt;&lt;key app="EN" db-id="0z5fdztp6e9z5uerfrlvat9mvrxpssrs95da" timestamp="0"&gt;75&lt;/key&gt;&lt;/foreign-keys&gt;&lt;ref-type name="Journal Article"&gt;17&lt;/ref-type&gt;&lt;contributors&gt;&lt;authors&gt;&lt;author&gt;Huang, M. J.&lt;/author&gt;&lt;author&gt;Eames, P. C.&lt;/author&gt;&lt;author&gt;Norton, B.&lt;/author&gt;&lt;author&gt;Hewitt, N. J.&lt;/author&gt;&lt;/authors&gt;&lt;/contributors&gt;&lt;titles&gt;&lt;title&gt;Natural convection in an internally finned phase change material heat sink for the thermal management of photovoltaics&lt;/title&gt;&lt;secondary-title&gt;Solar Energy Materials and Solar Cells&lt;/secondary-title&gt;&lt;/titles&gt;&lt;periodical&gt;&lt;full-title&gt;Solar Energy Materials and Solar Cells&lt;/full-title&gt;&lt;/periodical&gt;&lt;pages&gt;1598-1603&lt;/pages&gt;&lt;volume&gt;95&lt;/volume&gt;&lt;number&gt;7&lt;/number&gt;&lt;keywords&gt;&lt;keyword&gt;Phase change material&lt;/keyword&gt;&lt;keyword&gt;Building integrated photovoltaic&lt;/keyword&gt;&lt;keyword&gt;Convection&lt;/keyword&gt;&lt;/keywords&gt;&lt;dates&gt;&lt;year&gt;2011&lt;/year&gt;&lt;/dates&gt;&lt;urls&gt;&lt;related-urls&gt;&lt;url&gt;http://www.sciencedirect.com/science/article/pii/S0927024811000183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40" w:tooltip="Huang, 2011 #75" w:history="1">
        <w:r w:rsidRPr="005444B3">
          <w:rPr>
            <w:rFonts w:ascii="Times New Roman" w:eastAsia="Times New Roman" w:hAnsi="Times New Roman"/>
            <w:lang w:val="en-GB" w:eastAsia="en-GB"/>
          </w:rPr>
          <w:t>Huang et al.,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were used to investigate the melting process of PCM and the effect of differently spaced fins both theoretically and experimentally using PCM RT27. Additional fins were shown to improve the temperature control of the PV.</w:t>
      </w:r>
      <w:r w:rsidR="003706D3" w:rsidRPr="005444B3" w:rsidDel="003706D3">
        <w:rPr>
          <w:rFonts w:ascii="Times New Roman" w:eastAsia="Times New Roman" w:hAnsi="Times New Roman"/>
          <w:lang w:val="en-GB" w:eastAsia="en-GB"/>
        </w:rPr>
        <w:t xml:space="preserve"> </w:t>
      </w:r>
    </w:p>
    <w:p w14:paraId="6975097D" w14:textId="1FB926CF"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Hasan et al.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 ExcludeAuth="1"&gt;&lt;Author&gt;Hasan&lt;/Author&gt;&lt;Year&gt;2010&lt;/Year&gt;&lt;RecNum&gt;3&lt;/RecNum&gt;&lt;DisplayText&gt;(2010b)&lt;/DisplayText&gt;&lt;record&gt;&lt;rec-number&gt;3&lt;/rec-number&gt;&lt;foreign-keys&gt;&lt;key app="EN" db-id="0z5fdztp6e9z5uerfrlvat9mvrxpssrs95da" timestamp="0"&gt;3&lt;/key&gt;&lt;/foreign-keys&gt;&lt;ref-type name="Journal Article"&gt;17&lt;/ref-type&gt;&lt;contributors&gt;&lt;authors&gt;&lt;author&gt;Hasan, A., McCormack, S. J., Huang, M. J., Norton, B.&lt;/author&gt;&lt;/authors&gt;&lt;/contributors&gt;&lt;titles&gt;&lt;title&gt;Evaluation of phase change materials for thermal regulation enhancement of building integrated photovoltaics&lt;/title&gt;&lt;secondary-title&gt;Solar Energy&lt;/secondary-title&gt;&lt;/titles&gt;&lt;periodical&gt;&lt;full-title&gt;Solar Energy&lt;/full-title&gt;&lt;/periodical&gt;&lt;pages&gt;1601-1612&lt;/pages&gt;&lt;volume&gt;84&lt;/volume&gt;&lt;number&gt;9&lt;/number&gt;&lt;keywords&gt;&lt;keyword&gt;Phase change materials (PCM)&lt;/keyword&gt;&lt;keyword&gt;Building integrated photovoltaics (BIPV)&lt;/keyword&gt;&lt;keyword&gt;Thermal regulation enhancement&lt;/keyword&gt;&lt;/keywords&gt;&lt;dates&gt;&lt;year&gt;2010&lt;/year&gt;&lt;/dates&gt;&lt;urls&gt;&lt;related-urls&gt;&lt;url&gt;http://www.sciencedirect.com/science/article/pii/S0038092X10002215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18" w:tooltip="Hasan, 2010 #3" w:history="1">
        <w:r w:rsidRPr="005444B3">
          <w:rPr>
            <w:rFonts w:ascii="Times New Roman" w:eastAsia="Times New Roman" w:hAnsi="Times New Roman"/>
            <w:lang w:val="en-GB" w:eastAsia="en-GB"/>
          </w:rPr>
          <w:t>2010b</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investigated experimentally the use of different PCM types to enhance the thermal regulation of BIPV in a series of small scale indoor experiments. Five PCMs (RT20, capric:palmitic acid, capric:lauric acid, calcium chloride and SP22) and four different systems System A (Aluminium, internal width 5 cm), System B (Perspex, internal width 5 cm), System C (Aluminium, internal width 3 cm) and System D (Perspex, Internal width 3 cm)) as in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_Ref384376217 \h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end"/>
      </w:r>
      <w:r w:rsidR="00CE1E03">
        <w:rPr>
          <w:rFonts w:ascii="Times New Roman" w:eastAsia="Times New Roman" w:hAnsi="Times New Roman"/>
          <w:lang w:val="en-GB" w:eastAsia="en-GB"/>
        </w:rPr>
        <w:t>12</w:t>
      </w:r>
      <w:r w:rsidRPr="005444B3">
        <w:rPr>
          <w:rFonts w:ascii="Times New Roman" w:eastAsia="Times New Roman" w:hAnsi="Times New Roman"/>
          <w:lang w:val="en-GB" w:eastAsia="en-GB"/>
        </w:rPr>
        <w:t xml:space="preserve"> were tested under three insolation values (500 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750 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and 1000 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in a small scale indoor experiment using a solar simulator to imitate solar conditions at an ambient temperature of ± 1ºC. </w:t>
      </w:r>
    </w:p>
    <w:p w14:paraId="49F9DE5F"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5E226903" wp14:editId="6923723A">
            <wp:extent cx="4433570" cy="1308100"/>
            <wp:effectExtent l="19050" t="0" r="508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433570" cy="1308100"/>
                    </a:xfrm>
                    <a:prstGeom prst="rect">
                      <a:avLst/>
                    </a:prstGeom>
                    <a:noFill/>
                    <a:ln w="9525">
                      <a:noFill/>
                      <a:miter lim="800000"/>
                      <a:headEnd/>
                      <a:tailEnd/>
                    </a:ln>
                  </pic:spPr>
                </pic:pic>
              </a:graphicData>
            </a:graphic>
          </wp:inline>
        </w:drawing>
      </w:r>
    </w:p>
    <w:p w14:paraId="11D4B3D0" w14:textId="6A7AAFE1" w:rsidR="006E0A56" w:rsidRDefault="00917411" w:rsidP="00965E66">
      <w:pPr>
        <w:jc w:val="center"/>
        <w:rPr>
          <w:rFonts w:ascii="Times New Roman" w:eastAsia="Times New Roman" w:hAnsi="Times New Roman"/>
          <w:lang w:val="en-GB" w:eastAsia="en-GB"/>
        </w:rPr>
      </w:pPr>
      <w:bookmarkStart w:id="21" w:name="_Ref384376217"/>
      <w:bookmarkStart w:id="22" w:name="_Toc443983055"/>
      <w:r>
        <w:rPr>
          <w:rFonts w:ascii="Times New Roman" w:eastAsia="Times New Roman" w:hAnsi="Times New Roman"/>
          <w:lang w:val="en-GB" w:eastAsia="en-GB"/>
        </w:rPr>
        <w:t>Fig.</w:t>
      </w:r>
      <w:r w:rsidR="006E0A56" w:rsidRPr="005444B3">
        <w:rPr>
          <w:rFonts w:ascii="Times New Roman" w:eastAsia="Times New Roman" w:hAnsi="Times New Roman"/>
          <w:lang w:val="en-GB" w:eastAsia="en-GB"/>
        </w:rPr>
        <w:t xml:space="preserve"> </w:t>
      </w:r>
      <w:bookmarkEnd w:id="21"/>
      <w:r w:rsidR="00AB02F7">
        <w:rPr>
          <w:rFonts w:ascii="Times New Roman" w:eastAsia="Times New Roman" w:hAnsi="Times New Roman"/>
          <w:lang w:val="en-GB" w:eastAsia="en-GB"/>
        </w:rPr>
        <w:t>1</w:t>
      </w:r>
      <w:r w:rsidR="00CE1E03">
        <w:rPr>
          <w:rFonts w:ascii="Times New Roman" w:eastAsia="Times New Roman" w:hAnsi="Times New Roman"/>
          <w:lang w:val="en-GB" w:eastAsia="en-GB"/>
        </w:rPr>
        <w:t>2</w:t>
      </w:r>
      <w:r>
        <w:rPr>
          <w:rFonts w:ascii="Times New Roman" w:eastAsia="Times New Roman" w:hAnsi="Times New Roman"/>
          <w:lang w:val="en-GB" w:eastAsia="en-GB"/>
        </w:rPr>
        <w:t>.</w:t>
      </w:r>
      <w:r w:rsidR="006E0A56" w:rsidRPr="005444B3">
        <w:rPr>
          <w:rFonts w:ascii="Times New Roman" w:eastAsia="Times New Roman" w:hAnsi="Times New Roman"/>
          <w:lang w:val="en-GB" w:eastAsia="en-GB"/>
        </w:rPr>
        <w:t xml:space="preserve"> System A, B, C and D </w:t>
      </w:r>
      <w:r w:rsidR="006E0A56" w:rsidRPr="005444B3">
        <w:rPr>
          <w:rFonts w:ascii="Times New Roman" w:eastAsia="Times New Roman" w:hAnsi="Times New Roman"/>
          <w:lang w:val="en-GB" w:eastAsia="en-GB"/>
        </w:rPr>
        <w:fldChar w:fldCharType="begin"/>
      </w:r>
      <w:r w:rsidR="006E0A56" w:rsidRPr="005444B3">
        <w:rPr>
          <w:rFonts w:ascii="Times New Roman" w:eastAsia="Times New Roman" w:hAnsi="Times New Roman"/>
          <w:lang w:val="en-GB" w:eastAsia="en-GB"/>
        </w:rPr>
        <w:instrText xml:space="preserve"> ADDIN EN.CITE &lt;EndNote&gt;&lt;Cite&gt;&lt;Author&gt;Hasan&lt;/Author&gt;&lt;Year&gt;2010&lt;/Year&gt;&lt;RecNum&gt;3&lt;/RecNum&gt;&lt;DisplayText&gt;(Hasan, 2010b)&lt;/DisplayText&gt;&lt;record&gt;&lt;rec-number&gt;3&lt;/rec-number&gt;&lt;foreign-keys&gt;&lt;key app="EN" db-id="0z5fdztp6e9z5uerfrlvat9mvrxpssrs95da" timestamp="0"&gt;3&lt;/key&gt;&lt;/foreign-keys&gt;&lt;ref-type name="Journal Article"&gt;17&lt;/ref-type&gt;&lt;contributors&gt;&lt;authors&gt;&lt;author&gt;Hasan, A., McCormack, S. J., Huang, M. J., Norton, B.&lt;/author&gt;&lt;/authors&gt;&lt;/contributors&gt;&lt;titles&gt;&lt;title&gt;Evaluation of phase change materials for thermal regulation enhancement of building integrated photovoltaics&lt;/title&gt;&lt;secondary-title&gt;Solar Energy&lt;/secondary-title&gt;&lt;/titles&gt;&lt;periodical&gt;&lt;full-title&gt;Solar Energy&lt;/full-title&gt;&lt;/periodical&gt;&lt;pages&gt;1601-1612&lt;/pages&gt;&lt;volume&gt;84&lt;/volume&gt;&lt;number&gt;9&lt;/number&gt;&lt;keywords&gt;&lt;keyword&gt;Phase change materials (PCM)&lt;/keyword&gt;&lt;keyword&gt;Building integrated photovoltaics (BIPV)&lt;/keyword&gt;&lt;keyword&gt;Thermal regulation enhancement&lt;/keyword&gt;&lt;/keywords&gt;&lt;dates&gt;&lt;year&gt;2010&lt;/year&gt;&lt;/dates&gt;&lt;urls&gt;&lt;related-urls&gt;&lt;url&gt;http://www.sciencedirect.com/science/article/pii/S0038092X10002215 &lt;/url&gt;&lt;/related-urls&gt;&lt;/urls&gt;&lt;/record&gt;&lt;/Cite&gt;&lt;/EndNote&gt;</w:instrText>
      </w:r>
      <w:r w:rsidR="006E0A56" w:rsidRPr="005444B3">
        <w:rPr>
          <w:rFonts w:ascii="Times New Roman" w:eastAsia="Times New Roman" w:hAnsi="Times New Roman"/>
          <w:lang w:val="en-GB" w:eastAsia="en-GB"/>
        </w:rPr>
        <w:fldChar w:fldCharType="separate"/>
      </w:r>
      <w:r w:rsidR="006E0A56" w:rsidRPr="005444B3">
        <w:rPr>
          <w:rFonts w:ascii="Times New Roman" w:eastAsia="Times New Roman" w:hAnsi="Times New Roman"/>
          <w:lang w:val="en-GB" w:eastAsia="en-GB"/>
        </w:rPr>
        <w:t>(</w:t>
      </w:r>
      <w:hyperlink w:anchor="_ENREF_118" w:tooltip="Hasan, 2010 #3" w:history="1">
        <w:r w:rsidR="006E0A56" w:rsidRPr="005444B3">
          <w:rPr>
            <w:rFonts w:ascii="Times New Roman" w:eastAsia="Times New Roman" w:hAnsi="Times New Roman"/>
            <w:lang w:val="en-GB" w:eastAsia="en-GB"/>
          </w:rPr>
          <w:t>Hasan, 2010b</w:t>
        </w:r>
      </w:hyperlink>
      <w:r w:rsidR="006E0A56" w:rsidRPr="005444B3">
        <w:rPr>
          <w:rFonts w:ascii="Times New Roman" w:eastAsia="Times New Roman" w:hAnsi="Times New Roman"/>
          <w:lang w:val="en-GB" w:eastAsia="en-GB"/>
        </w:rPr>
        <w:t>)</w:t>
      </w:r>
      <w:bookmarkEnd w:id="22"/>
      <w:r w:rsidR="006E0A56" w:rsidRPr="005444B3">
        <w:rPr>
          <w:rFonts w:ascii="Times New Roman" w:eastAsia="Times New Roman" w:hAnsi="Times New Roman"/>
          <w:lang w:val="en-GB" w:eastAsia="en-GB"/>
        </w:rPr>
        <w:fldChar w:fldCharType="end"/>
      </w:r>
    </w:p>
    <w:p w14:paraId="095B9DC8" w14:textId="77777777" w:rsidR="00CD744B" w:rsidRPr="005444B3" w:rsidRDefault="00CD744B" w:rsidP="00965E66">
      <w:pPr>
        <w:jc w:val="center"/>
        <w:rPr>
          <w:rFonts w:ascii="Times New Roman" w:eastAsia="Times New Roman" w:hAnsi="Times New Roman"/>
          <w:lang w:val="en-GB" w:eastAsia="en-GB"/>
        </w:rPr>
      </w:pPr>
    </w:p>
    <w:p w14:paraId="2802E91D" w14:textId="240BF85B"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For insolation of 500 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System A with capric: lauric and capric: palmitic was shown to maintain a lower PV temperature for the longest period, (up to 2.5 hours at 10 ºC lower than the reference system). At 750W/m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and 1000W/m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w:t>
      </w:r>
      <w:r w:rsidR="00CE1E03">
        <w:rPr>
          <w:rFonts w:ascii="Times New Roman" w:eastAsia="Times New Roman" w:hAnsi="Times New Roman"/>
          <w:lang w:val="en-GB" w:eastAsia="en-GB"/>
        </w:rPr>
        <w:t xml:space="preserve">as shown in Figure 13. </w:t>
      </w:r>
      <w:r w:rsidRPr="005444B3">
        <w:rPr>
          <w:rFonts w:ascii="Times New Roman" w:eastAsia="Times New Roman" w:hAnsi="Times New Roman"/>
          <w:lang w:val="en-GB" w:eastAsia="en-GB"/>
        </w:rPr>
        <w:t>System A with calcium chloride was shown to maintain PV front surface temperatures 10 ºC below the reference for a prolonged period of time compared to the other systems.</w:t>
      </w:r>
    </w:p>
    <w:p w14:paraId="12B5BA01"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lastRenderedPageBreak/>
        <w:drawing>
          <wp:inline distT="0" distB="0" distL="0" distR="0" wp14:anchorId="0FE2089E" wp14:editId="7B3C8965">
            <wp:extent cx="2708614" cy="2057400"/>
            <wp:effectExtent l="0" t="0" r="0" b="0"/>
            <wp:docPr id="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2713376" cy="2061017"/>
                    </a:xfrm>
                    <a:prstGeom prst="rect">
                      <a:avLst/>
                    </a:prstGeom>
                    <a:noFill/>
                    <a:ln w="9525">
                      <a:noFill/>
                      <a:miter lim="800000"/>
                      <a:headEnd/>
                      <a:tailEnd/>
                    </a:ln>
                  </pic:spPr>
                </pic:pic>
              </a:graphicData>
            </a:graphic>
          </wp:inline>
        </w:drawing>
      </w:r>
      <w:r w:rsidRPr="005444B3">
        <w:rPr>
          <w:rFonts w:ascii="Times New Roman" w:eastAsia="Times New Roman" w:hAnsi="Times New Roman"/>
          <w:noProof/>
          <w:lang w:val="es-PY" w:eastAsia="es-PY"/>
        </w:rPr>
        <w:drawing>
          <wp:inline distT="0" distB="0" distL="0" distR="0" wp14:anchorId="313BA610" wp14:editId="61CADEE4">
            <wp:extent cx="2524125" cy="1996786"/>
            <wp:effectExtent l="0" t="0" r="0" b="3810"/>
            <wp:docPr id="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2529575" cy="2001098"/>
                    </a:xfrm>
                    <a:prstGeom prst="rect">
                      <a:avLst/>
                    </a:prstGeom>
                    <a:noFill/>
                    <a:ln w="9525">
                      <a:noFill/>
                      <a:miter lim="800000"/>
                      <a:headEnd/>
                      <a:tailEnd/>
                    </a:ln>
                  </pic:spPr>
                </pic:pic>
              </a:graphicData>
            </a:graphic>
          </wp:inline>
        </w:drawing>
      </w:r>
    </w:p>
    <w:p w14:paraId="60AD823E" w14:textId="08E004D7" w:rsidR="006E0A56" w:rsidRDefault="00917411" w:rsidP="007A2976">
      <w:pPr>
        <w:jc w:val="center"/>
        <w:rPr>
          <w:rFonts w:ascii="Times New Roman" w:eastAsia="Times New Roman" w:hAnsi="Times New Roman"/>
          <w:sz w:val="20"/>
          <w:szCs w:val="20"/>
          <w:lang w:val="en-GB" w:eastAsia="en-GB"/>
        </w:rPr>
      </w:pPr>
      <w:bookmarkStart w:id="23" w:name="_Ref384376242"/>
      <w:bookmarkStart w:id="24" w:name="_Toc443983056"/>
      <w:r>
        <w:rPr>
          <w:rFonts w:ascii="Times New Roman" w:eastAsia="Times New Roman" w:hAnsi="Times New Roman"/>
          <w:sz w:val="20"/>
          <w:szCs w:val="20"/>
          <w:lang w:val="en-GB" w:eastAsia="en-GB"/>
        </w:rPr>
        <w:t>Fig.</w:t>
      </w:r>
      <w:r w:rsidR="006E0A56" w:rsidRPr="007A2976">
        <w:rPr>
          <w:rFonts w:ascii="Times New Roman" w:eastAsia="Times New Roman" w:hAnsi="Times New Roman"/>
          <w:sz w:val="20"/>
          <w:szCs w:val="20"/>
          <w:lang w:val="en-GB" w:eastAsia="en-GB"/>
        </w:rPr>
        <w:t xml:space="preserve"> </w:t>
      </w:r>
      <w:bookmarkEnd w:id="23"/>
      <w:r w:rsidR="00AB02F7">
        <w:rPr>
          <w:rFonts w:ascii="Times New Roman" w:eastAsia="Times New Roman" w:hAnsi="Times New Roman"/>
          <w:sz w:val="20"/>
          <w:szCs w:val="20"/>
          <w:lang w:val="en-GB" w:eastAsia="en-GB"/>
        </w:rPr>
        <w:t>1</w:t>
      </w:r>
      <w:r w:rsidR="00CE1E03">
        <w:rPr>
          <w:rFonts w:ascii="Times New Roman" w:eastAsia="Times New Roman" w:hAnsi="Times New Roman"/>
          <w:sz w:val="20"/>
          <w:szCs w:val="20"/>
          <w:lang w:val="en-GB" w:eastAsia="en-GB"/>
        </w:rPr>
        <w:t>3</w:t>
      </w:r>
      <w:r>
        <w:rPr>
          <w:rFonts w:ascii="Times New Roman" w:eastAsia="Times New Roman" w:hAnsi="Times New Roman"/>
          <w:sz w:val="20"/>
          <w:szCs w:val="20"/>
          <w:lang w:val="en-GB" w:eastAsia="en-GB"/>
        </w:rPr>
        <w:t>.</w:t>
      </w:r>
      <w:r w:rsidR="006E0A56" w:rsidRPr="007A2976">
        <w:rPr>
          <w:rFonts w:ascii="Times New Roman" w:eastAsia="Times New Roman" w:hAnsi="Times New Roman"/>
          <w:sz w:val="20"/>
          <w:szCs w:val="20"/>
          <w:lang w:val="en-GB" w:eastAsia="en-GB"/>
        </w:rPr>
        <w:t xml:space="preserve"> Results from experiments at (a) 750 W/m2 and (b) 1000W/m2</w:t>
      </w:r>
      <w:r w:rsidR="006E0A56" w:rsidRPr="007A2976">
        <w:rPr>
          <w:rFonts w:ascii="Times New Roman" w:eastAsia="Times New Roman" w:hAnsi="Times New Roman"/>
          <w:sz w:val="20"/>
          <w:szCs w:val="20"/>
          <w:lang w:val="en-GB" w:eastAsia="en-GB"/>
        </w:rPr>
        <w:fldChar w:fldCharType="begin"/>
      </w:r>
      <w:r w:rsidR="006E0A56" w:rsidRPr="007A2976">
        <w:rPr>
          <w:rFonts w:ascii="Times New Roman" w:eastAsia="Times New Roman" w:hAnsi="Times New Roman"/>
          <w:sz w:val="20"/>
          <w:szCs w:val="20"/>
          <w:lang w:val="en-GB" w:eastAsia="en-GB"/>
        </w:rPr>
        <w:instrText xml:space="preserve"> ADDIN EN.CITE &lt;EndNote&gt;&lt;Cite&gt;&lt;Author&gt;Hasan&lt;/Author&gt;&lt;Year&gt;2010&lt;/Year&gt;&lt;RecNum&gt;3&lt;/RecNum&gt;&lt;DisplayText&gt;(Hasan, 2010b)&lt;/DisplayText&gt;&lt;record&gt;&lt;rec-number&gt;3&lt;/rec-number&gt;&lt;foreign-keys&gt;&lt;key app="EN" db-id="0z5fdztp6e9z5uerfrlvat9mvrxpssrs95da" timestamp="0"&gt;3&lt;/key&gt;&lt;/foreign-keys&gt;&lt;ref-type name="Journal Article"&gt;17&lt;/ref-type&gt;&lt;contributors&gt;&lt;authors&gt;&lt;author&gt;Hasan, A., McCormack, S. J., Huang, M. J., Norton, B.&lt;/author&gt;&lt;/authors&gt;&lt;/contributors&gt;&lt;titles&gt;&lt;title&gt;Evaluation of phase change materials for thermal regulation enhancement of building integrated photovoltaics&lt;/title&gt;&lt;secondary-title&gt;Solar Energy&lt;/secondary-title&gt;&lt;/titles&gt;&lt;periodical&gt;&lt;full-title&gt;Solar Energy&lt;/full-title&gt;&lt;/periodical&gt;&lt;pages&gt;1601-1612&lt;/pages&gt;&lt;volume&gt;84&lt;/volume&gt;&lt;number&gt;9&lt;/number&gt;&lt;keywords&gt;&lt;keyword&gt;Phase change materials (PCM)&lt;/keyword&gt;&lt;keyword&gt;Building integrated photovoltaics (BIPV)&lt;/keyword&gt;&lt;keyword&gt;Thermal regulation enhancement&lt;/keyword&gt;&lt;/keywords&gt;&lt;dates&gt;&lt;year&gt;2010&lt;/year&gt;&lt;/dates&gt;&lt;urls&gt;&lt;related-urls&gt;&lt;url&gt;http://www.sciencedirect.com/science/article/pii/S0038092X10002215 &lt;/url&gt;&lt;/related-urls&gt;&lt;/urls&gt;&lt;/record&gt;&lt;/Cite&gt;&lt;/EndNote&gt;</w:instrText>
      </w:r>
      <w:r w:rsidR="006E0A56" w:rsidRPr="007A2976">
        <w:rPr>
          <w:rFonts w:ascii="Times New Roman" w:eastAsia="Times New Roman" w:hAnsi="Times New Roman"/>
          <w:sz w:val="20"/>
          <w:szCs w:val="20"/>
          <w:lang w:val="en-GB" w:eastAsia="en-GB"/>
        </w:rPr>
        <w:fldChar w:fldCharType="separate"/>
      </w:r>
      <w:r w:rsidR="006E0A56" w:rsidRPr="007A2976">
        <w:rPr>
          <w:rFonts w:ascii="Times New Roman" w:eastAsia="Times New Roman" w:hAnsi="Times New Roman"/>
          <w:sz w:val="20"/>
          <w:szCs w:val="20"/>
          <w:lang w:val="en-GB" w:eastAsia="en-GB"/>
        </w:rPr>
        <w:t>(</w:t>
      </w:r>
      <w:hyperlink w:anchor="_ENREF_118" w:tooltip="Hasan, 2010 #3" w:history="1">
        <w:r w:rsidR="006E0A56" w:rsidRPr="007A2976">
          <w:rPr>
            <w:rFonts w:ascii="Times New Roman" w:eastAsia="Times New Roman" w:hAnsi="Times New Roman"/>
            <w:sz w:val="20"/>
            <w:szCs w:val="20"/>
            <w:lang w:val="en-GB" w:eastAsia="en-GB"/>
          </w:rPr>
          <w:t>Hasan, 2010b</w:t>
        </w:r>
      </w:hyperlink>
      <w:r w:rsidR="006E0A56" w:rsidRPr="007A2976">
        <w:rPr>
          <w:rFonts w:ascii="Times New Roman" w:eastAsia="Times New Roman" w:hAnsi="Times New Roman"/>
          <w:sz w:val="20"/>
          <w:szCs w:val="20"/>
          <w:lang w:val="en-GB" w:eastAsia="en-GB"/>
        </w:rPr>
        <w:t>)</w:t>
      </w:r>
      <w:bookmarkEnd w:id="24"/>
      <w:r w:rsidR="006E0A56" w:rsidRPr="007A2976">
        <w:rPr>
          <w:rFonts w:ascii="Times New Roman" w:eastAsia="Times New Roman" w:hAnsi="Times New Roman"/>
          <w:sz w:val="20"/>
          <w:szCs w:val="20"/>
          <w:lang w:val="en-GB" w:eastAsia="en-GB"/>
        </w:rPr>
        <w:fldChar w:fldCharType="end"/>
      </w:r>
    </w:p>
    <w:p w14:paraId="33903234" w14:textId="77777777" w:rsidR="007A2976" w:rsidRPr="007A2976" w:rsidRDefault="007A2976" w:rsidP="007A2976">
      <w:pPr>
        <w:jc w:val="center"/>
        <w:rPr>
          <w:rFonts w:ascii="Times New Roman" w:eastAsia="Times New Roman" w:hAnsi="Times New Roman"/>
          <w:sz w:val="20"/>
          <w:szCs w:val="20"/>
          <w:lang w:val="en-GB" w:eastAsia="en-GB"/>
        </w:rPr>
      </w:pPr>
    </w:p>
    <w:p w14:paraId="68B8770B" w14:textId="5813A2BF" w:rsidR="00265C2C" w:rsidRPr="00965E66" w:rsidRDefault="006E0A56" w:rsidP="00CD09F4">
      <w:pPr>
        <w:spacing w:line="360" w:lineRule="auto"/>
        <w:jc w:val="both"/>
        <w:rPr>
          <w:rFonts w:ascii="Times New Roman" w:eastAsia="Times New Roman" w:hAnsi="Times New Roman"/>
          <w:sz w:val="20"/>
          <w:szCs w:val="20"/>
          <w:lang w:val="en-GB" w:eastAsia="en-GB"/>
        </w:rPr>
      </w:pPr>
      <w:r w:rsidRPr="005444B3">
        <w:rPr>
          <w:rFonts w:ascii="Times New Roman" w:eastAsia="Times New Roman" w:hAnsi="Times New Roman"/>
          <w:lang w:val="en-GB" w:eastAsia="en-GB"/>
        </w:rPr>
        <w:t xml:space="preserve">The thermal behaviour of the PV/PCM system was simulated for hot climatic conditions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&lt;EndNote&gt;&lt;Cite&gt;&lt;Author&gt;Cellura&lt;/Author&gt;&lt;Year&gt;2008&lt;/Year&gt;&lt;RecNum&gt;84&lt;/RecNum&gt;&lt;DisplayText&gt;(Cellura et al., 2008)&lt;/DisplayText&gt;&lt;record&gt;&lt;rec-number&gt;84&lt;/rec-number&gt;&lt;foreign-keys&gt;&lt;key app="EN" db-id="0z5fdztp6e9z5uerfrlvat9mvrxpssrs95da" timestamp="0"&gt;84&lt;/key&gt;&lt;/foreign-keys&gt;&lt;ref-type name="Conference Proceedings"&gt;10&lt;/ref-type&gt;&lt;contributors&gt;&lt;authors&gt;&lt;author&gt;Cellura, M. Ciulla, &lt;/author&gt;&lt;author&gt;Branco, G. Lo &lt;/author&gt;&lt;author&gt;Marvaglia, V&lt;/author&gt;&lt;author&gt;Orioli, A&lt;/author&gt;&lt;/authors&gt;&lt;/contributors&gt;&lt;titles&gt;&lt;title&gt;A photovoltaic panel coupled with a phase changing material heat storage system in hot climates&lt;/title&gt;&lt;secondary-title&gt;25th Conference on Passive and Low Energy Architecture&lt;/secondary-title&gt;&lt;/titles&gt;&lt;dates&gt;&lt;year&gt;2008&lt;/year&gt;&lt;/dates&gt;&lt;pub-location&gt; Dublin&lt;/pub-location&gt;&lt;urls&gt;&lt;related-urls&gt;&lt;url&gt;http://www.plea-arch.org/ARCHIVE/2008/content/papers/oral/PLEA_FinalPaper_ref_582.pdf&lt;/url&gt;&lt;/related-urls&gt;&lt;/urls&gt;&lt;/record&gt;&lt;/Cite&gt;&lt;/EndNote&gt;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48" w:tooltip="Cellura, 2008 #84" w:history="1">
        <w:r w:rsidRPr="005444B3">
          <w:rPr>
            <w:rFonts w:ascii="Times New Roman" w:eastAsia="Times New Roman" w:hAnsi="Times New Roman"/>
            <w:lang w:val="en-GB" w:eastAsia="en-GB"/>
          </w:rPr>
          <w:t>Cellura et al., 2008</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with three paraffin waxes, that melted at 26 ºC  - 28 ºC, 31 ºC, 28 ºC  - 32ºC for PCM1, PCM2 and PCM3, respectively. </w:t>
      </w:r>
    </w:p>
    <w:p w14:paraId="2088658F" w14:textId="7D361CE6"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A</w:t>
      </w:r>
      <w:r w:rsidRPr="00265C2C">
        <w:rPr>
          <w:rFonts w:ascii="Times New Roman" w:eastAsia="Times New Roman" w:hAnsi="Times New Roman"/>
          <w:lang w:val="en-GB" w:eastAsia="en-GB"/>
        </w:rPr>
        <w:t xml:space="preserve"> proposed BIPV PV/PCM system using microencapsulated PCM (MEPCM) as shown in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REF _Ref384376264 \h  \* MERGEFORMAT </w:instrText>
      </w:r>
      <w:r w:rsidRPr="00265C2C">
        <w:rPr>
          <w:rFonts w:ascii="Times New Roman" w:eastAsia="Times New Roman" w:hAnsi="Times New Roman"/>
          <w:lang w:val="en-GB" w:eastAsia="en-GB"/>
        </w:rPr>
      </w:r>
      <w:r w:rsidRPr="00265C2C">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265C2C">
        <w:rPr>
          <w:rFonts w:ascii="Times New Roman" w:eastAsia="Times New Roman" w:hAnsi="Times New Roman"/>
          <w:lang w:val="en-GB" w:eastAsia="en-GB"/>
        </w:rPr>
        <w:t xml:space="preserve"> </w:t>
      </w:r>
      <w:r w:rsidRPr="00265C2C">
        <w:rPr>
          <w:rFonts w:ascii="Times New Roman" w:eastAsia="Times New Roman" w:hAnsi="Times New Roman"/>
          <w:lang w:val="en-GB" w:eastAsia="en-GB"/>
        </w:rPr>
        <w:fldChar w:fldCharType="end"/>
      </w:r>
      <w:r w:rsidR="00AB02F7">
        <w:rPr>
          <w:rFonts w:ascii="Times New Roman" w:eastAsia="Times New Roman" w:hAnsi="Times New Roman"/>
          <w:lang w:val="en-GB" w:eastAsia="en-GB"/>
        </w:rPr>
        <w:t>1</w:t>
      </w:r>
      <w:r w:rsidR="00CE1E03">
        <w:rPr>
          <w:rFonts w:ascii="Times New Roman" w:eastAsia="Times New Roman" w:hAnsi="Times New Roman"/>
          <w:lang w:val="en-GB" w:eastAsia="en-GB"/>
        </w:rPr>
        <w:t>4</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&lt;EndNote&gt;&lt;Cite&gt;&lt;Author&gt;Ho&lt;/Author&gt;&lt;Year&gt;2012&lt;/Year&gt;&lt;RecNum&gt;293&lt;/RecNum&gt;&lt;DisplayText&gt;(Ho et al., 2012)&lt;/DisplayText&gt;&lt;record&gt;&lt;rec-number&gt;293&lt;/rec-number&gt;&lt;foreign-keys&gt;&lt;key app="EN" db-id="0z5fdztp6e9z5uerfrlvat9mvrxpssrs95da" timestamp="0"&gt;293&lt;/key&gt;&lt;/foreign-keys&gt;&lt;ref-type name="Journal Article"&gt;17&lt;/ref-type&gt;&lt;contributors&gt;&lt;authors&gt;&lt;author&gt;Ho, C. J.&lt;/author&gt;&lt;author&gt;Tanuwijava, A. O.&lt;/author&gt;&lt;author&gt;Lai, Chi-Ming&lt;/author&gt;&lt;/authors&gt;&lt;/contributors&gt;&lt;titles&gt;&lt;title&gt;Thermal and electrical performance of a BIPV integrated with a microencapsulated phase change material layer&lt;/title&gt;&lt;secondary-title&gt;Energy and Buildings&lt;/secondary-title&gt;&lt;/titles&gt;&lt;periodical&gt;&lt;full-title&gt;Energy and Buildings&lt;/full-title&gt;&lt;/periodical&gt;&lt;pages&gt;331-338&lt;/pages&gt;&lt;volume&gt;50&lt;/volume&gt;&lt;number&gt;0&lt;/number&gt;&lt;keywords&gt;&lt;keyword&gt;Microencapsulated phase change material&lt;/keyword&gt;&lt;keyword&gt;Thermal management&lt;/keyword&gt;&lt;keyword&gt;Photovoltaic&lt;/keyword&gt;&lt;keyword&gt;Building-integrated photovoltaic&lt;/keyword&gt;&lt;/keywords&gt;&lt;dates&gt;&lt;year&gt;2012&lt;/year&gt;&lt;/dates&gt;&lt;urls&gt;&lt;related-urls&gt;&lt;url&gt;http://www.sciencedirect.com/science/article/pii/S0378778812002058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28" w:tooltip="Ho, 2012 #293" w:history="1">
        <w:r w:rsidRPr="005444B3">
          <w:rPr>
            <w:rFonts w:ascii="Times New Roman" w:eastAsia="Times New Roman" w:hAnsi="Times New Roman"/>
            <w:lang w:val="en-GB" w:eastAsia="en-GB"/>
          </w:rPr>
          <w:t>Ho et al., 2012</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where navy is glass layer in PV, yellow is plastic layer in PV and grey is PCM and each number represents a surface of the calculation model, each having its own boundary conditions. The model showed an increase of 14 % in the PV/PCM system when compared to a system without PCM, although this model had yet to be validated experimentally.</w:t>
      </w:r>
    </w:p>
    <w:p w14:paraId="2BACD413"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2B3FABA0" wp14:editId="36BC0F4E">
            <wp:extent cx="3376990" cy="2209800"/>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383118" cy="2213810"/>
                    </a:xfrm>
                    <a:prstGeom prst="rect">
                      <a:avLst/>
                    </a:prstGeom>
                    <a:noFill/>
                    <a:ln w="9525">
                      <a:noFill/>
                      <a:miter lim="800000"/>
                      <a:headEnd/>
                      <a:tailEnd/>
                    </a:ln>
                  </pic:spPr>
                </pic:pic>
              </a:graphicData>
            </a:graphic>
          </wp:inline>
        </w:drawing>
      </w:r>
    </w:p>
    <w:p w14:paraId="4D5CCC14" w14:textId="2DD5543E" w:rsidR="00965E66" w:rsidRPr="00B163E3" w:rsidRDefault="00917411" w:rsidP="00B163E3">
      <w:pPr>
        <w:jc w:val="center"/>
        <w:rPr>
          <w:rFonts w:ascii="Times New Roman" w:eastAsia="Times New Roman" w:hAnsi="Times New Roman"/>
          <w:sz w:val="20"/>
          <w:szCs w:val="20"/>
          <w:lang w:val="en-GB" w:eastAsia="en-GB"/>
        </w:rPr>
      </w:pPr>
      <w:bookmarkStart w:id="25" w:name="_Ref384376264"/>
      <w:bookmarkStart w:id="26" w:name="_Toc443983058"/>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25"/>
      <w:r w:rsidR="00AB02F7">
        <w:rPr>
          <w:rFonts w:ascii="Times New Roman" w:eastAsia="Times New Roman" w:hAnsi="Times New Roman"/>
          <w:sz w:val="20"/>
          <w:szCs w:val="20"/>
          <w:lang w:val="en-GB" w:eastAsia="en-GB"/>
        </w:rPr>
        <w:t>1</w:t>
      </w:r>
      <w:r w:rsidR="00CE1E03">
        <w:rPr>
          <w:rFonts w:ascii="Times New Roman" w:eastAsia="Times New Roman" w:hAnsi="Times New Roman"/>
          <w:sz w:val="20"/>
          <w:szCs w:val="20"/>
          <w:lang w:val="en-GB" w:eastAsia="en-GB"/>
        </w:rPr>
        <w:t>4</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Schematic of heat transfer through BIPV PV/PCM system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&lt;EndNote&gt;&lt;Cite&gt;&lt;Author&gt;Ho&lt;/Author&gt;&lt;Year&gt;2012&lt;/Year&gt;&lt;RecNum&gt;293&lt;/RecNum&gt;&lt;DisplayText&gt;(Ho et al., 2012)&lt;/DisplayText&gt;&lt;record&gt;&lt;rec-number&gt;293&lt;/rec-number&gt;&lt;foreign-keys&gt;&lt;key app="EN" db-id="0z5fdztp6e9z5uerfrlvat9mvrxpssrs95da" timestamp="0"&gt;293&lt;/key&gt;&lt;/foreign-keys&gt;&lt;ref-type name="Journal Article"&gt;17&lt;/ref-type&gt;&lt;contributors&gt;&lt;authors&gt;&lt;author&gt;Ho, C. J.&lt;/author&gt;&lt;author&gt;Tanuwijava, A. O.&lt;/author&gt;&lt;author&gt;Lai, Chi-Ming&lt;/author&gt;&lt;/authors&gt;&lt;/contributors&gt;&lt;titles&gt;&lt;title&gt;Thermal and electrical performance of a BIPV integrated with a microencapsulated phase change material layer&lt;/title&gt;&lt;secondary-title&gt;Energy and Buildings&lt;/secondary-title&gt;&lt;/titles&gt;&lt;periodical&gt;&lt;full-title&gt;Energy and Buildings&lt;/full-title&gt;&lt;/periodical&gt;&lt;pages&gt;331-338&lt;/pages&gt;&lt;volume&gt;50&lt;/volume&gt;&lt;number&gt;0&lt;/number&gt;&lt;keywords&gt;&lt;keyword&gt;Microencapsulated phase change material&lt;/keyword&gt;&lt;keyword&gt;Thermal management&lt;/keyword&gt;&lt;keyword&gt;Photovoltaic&lt;/keyword&gt;&lt;keyword&gt;Building-integrated photovoltaic&lt;/keyword&gt;&lt;/keywords&gt;&lt;dates&gt;&lt;year&gt;2012&lt;/year&gt;&lt;/dates&gt;&lt;urls&gt;&lt;related-urls&gt;&lt;url&gt;http://www.sciencedirect.com/science/article/pii/S0378778812002058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28" w:tooltip="Ho, 2012 #293" w:history="1">
        <w:r w:rsidR="006E0A56" w:rsidRPr="00965E66">
          <w:rPr>
            <w:rFonts w:ascii="Times New Roman" w:eastAsia="Times New Roman" w:hAnsi="Times New Roman"/>
            <w:sz w:val="20"/>
            <w:szCs w:val="20"/>
            <w:lang w:val="en-GB" w:eastAsia="en-GB"/>
          </w:rPr>
          <w:t>Ho et al., 2012</w:t>
        </w:r>
      </w:hyperlink>
      <w:r w:rsidR="006E0A56" w:rsidRPr="00965E66">
        <w:rPr>
          <w:rFonts w:ascii="Times New Roman" w:eastAsia="Times New Roman" w:hAnsi="Times New Roman"/>
          <w:sz w:val="20"/>
          <w:szCs w:val="20"/>
          <w:lang w:val="en-GB" w:eastAsia="en-GB"/>
        </w:rPr>
        <w:t>)</w:t>
      </w:r>
      <w:bookmarkEnd w:id="26"/>
      <w:r w:rsidR="006E0A56" w:rsidRPr="00965E66">
        <w:rPr>
          <w:rFonts w:ascii="Times New Roman" w:eastAsia="Times New Roman" w:hAnsi="Times New Roman"/>
          <w:sz w:val="20"/>
          <w:szCs w:val="20"/>
          <w:lang w:val="en-GB" w:eastAsia="en-GB"/>
        </w:rPr>
        <w:fldChar w:fldCharType="end"/>
      </w:r>
    </w:p>
    <w:p w14:paraId="32076F47" w14:textId="77777777" w:rsidR="0019763E" w:rsidRDefault="0019763E" w:rsidP="00CD744B">
      <w:pPr>
        <w:spacing w:line="360" w:lineRule="auto"/>
        <w:jc w:val="both"/>
        <w:rPr>
          <w:rFonts w:ascii="Times New Roman" w:eastAsia="Times New Roman" w:hAnsi="Times New Roman"/>
          <w:lang w:val="en-GB" w:eastAsia="en-GB"/>
        </w:rPr>
      </w:pPr>
    </w:p>
    <w:p w14:paraId="31966903" w14:textId="21B76ECF" w:rsidR="00965E66" w:rsidRPr="005444B3" w:rsidRDefault="006E0A56" w:rsidP="00CD744B">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A MEPCM with melting temperature of 26 ºC was simulated, during summer an increase of 0.13 % of electrical efficiency was shown with MEPCM compared to without MEPCM, winter time confirmed an increase in efficiency of 0.42 %. The optimum aspect ratio (width/height) of </w:t>
      </w:r>
      <w:r w:rsidRPr="005444B3">
        <w:rPr>
          <w:rFonts w:ascii="Times New Roman" w:eastAsia="Times New Roman" w:hAnsi="Times New Roman"/>
          <w:lang w:val="en-GB" w:eastAsia="en-GB"/>
        </w:rPr>
        <w:lastRenderedPageBreak/>
        <w:t xml:space="preserve">MEPCM incorporated in the system was recommended to be between 0.277 and 1. The melting temperature of the PCM was above ambient and close to standard test conditions of the PV, this was a small phase transition temperature which allowed for maximum transfer of latent heat to PCM. At an ambient temperature of 26 ºC and solar irradiance of 600 W/m2 PCM with melting temperatures of 26 ºC and 34ºC increase the efficiency of a PV module by 0.09 % and 0.12 %, respectively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&lt;EndNote&gt;&lt;Cite&gt;&lt;Author&gt;Ho&lt;/Author&gt;&lt;Year&gt;2012&lt;/Year&gt;&lt;RecNum&gt;293&lt;/RecNum&gt;&lt;DisplayText&gt;(Ho et al., 2012)&lt;/DisplayText&gt;&lt;record&gt;&lt;rec-number&gt;293&lt;/rec-number&gt;&lt;foreign-keys&gt;&lt;key app="EN" db-id="0z5fdztp6e9z5uerfrlvat9mvrxpssrs95da" timestamp="0"&gt;293&lt;/key&gt;&lt;/foreign-keys&gt;&lt;ref-type name="Journal Article"&gt;17&lt;/ref-type&gt;&lt;contributors&gt;&lt;authors&gt;&lt;author&gt;Ho, C. J.&lt;/author&gt;&lt;author&gt;Tanuwijava, A. O.&lt;/author&gt;&lt;author&gt;Lai, Chi-Ming&lt;/author&gt;&lt;/authors&gt;&lt;/contributors&gt;&lt;titles&gt;&lt;title&gt;Thermal and electrical performance of a BIPV integrated with a microencapsulated phase change material layer&lt;/title&gt;&lt;secondary-title&gt;Energy and Buildings&lt;/secondary-title&gt;&lt;/titles&gt;&lt;periodical&gt;&lt;full-title&gt;Energy and Buildings&lt;/full-title&gt;&lt;/periodical&gt;&lt;pages&gt;331-338&lt;/pages&gt;&lt;volume&gt;50&lt;/volume&gt;&lt;number&gt;0&lt;/number&gt;&lt;keywords&gt;&lt;keyword&gt;Microencapsulated phase change material&lt;/keyword&gt;&lt;keyword&gt;Thermal management&lt;/keyword&gt;&lt;keyword&gt;Photovoltaic&lt;/keyword&gt;&lt;keyword&gt;Building-integrated photovoltaic&lt;/keyword&gt;&lt;/keywords&gt;&lt;dates&gt;&lt;year&gt;2012&lt;/year&gt;&lt;/dates&gt;&lt;urls&gt;&lt;related-urls&gt;&lt;url&gt;http://www.sciencedirect.com/science/article/pii/S0378778812002058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28" w:tooltip="Ho, 2012 #293" w:history="1">
        <w:r w:rsidRPr="005444B3">
          <w:rPr>
            <w:rFonts w:ascii="Times New Roman" w:eastAsia="Times New Roman" w:hAnsi="Times New Roman"/>
            <w:lang w:val="en-GB" w:eastAsia="en-GB"/>
          </w:rPr>
          <w:t>Ho et al., 2012</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Corresponding results have been reported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&lt;EndNote&gt;&lt;Cite&gt;&lt;Author&gt;Tanuwijava&lt;/Author&gt;&lt;Year&gt;2013&lt;/Year&gt;&lt;RecNum&gt;356&lt;/RecNum&gt;&lt;IDText&gt;doi:10.3390/en6083922&lt;/IDText&gt;&lt;DisplayText&gt;(Tanuwijava et al., 2013)&lt;/DisplayText&gt;&lt;record&gt;&lt;rec-number&gt;356&lt;/rec-number&gt;&lt;foreign-keys&gt;&lt;key app="EN" db-id="0z5fdztp6e9z5uerfrlvat9mvrxpssrs95da" timestamp="0"&gt;356&lt;/key&gt;&lt;/foreign-keys&gt;&lt;ref-type name="Journal Article"&gt;17&lt;/ref-type&gt;&lt;contributors&gt;&lt;authors&gt;&lt;author&gt;Tanuwijava, Abednego&lt;/author&gt;&lt;author&gt;Ho, Ching&lt;/author&gt;&lt;author&gt;Lai, Chi-Ming&lt;/author&gt;&lt;author&gt;Huang, Chao-Yang&lt;/author&gt;&lt;/authors&gt;&lt;/contributors&gt;&lt;titles&gt;&lt;title&gt;Numerical Investigation of the Thermal Management Performance of MEPCM Modules for PV Applications&lt;/title&gt;&lt;secondary-title&gt;Energies&lt;/secondary-title&gt;&lt;/titles&gt;&lt;periodical&gt;&lt;full-title&gt;Energies&lt;/full-title&gt;&lt;/periodical&gt;&lt;pages&gt;3922-3936&lt;/pages&gt;&lt;volume&gt;6&lt;/volume&gt;&lt;number&gt;8&lt;/number&gt;&lt;dates&gt;&lt;year&gt;2013&lt;/year&gt;&lt;/dates&gt;&lt;isbn&gt;1996-1073&lt;/isbn&gt;&lt;accession-num&gt;doi:10.3390/en6083922&lt;/accession-num&gt;&lt;urls&gt;&lt;related-urls&gt;&lt;url&gt;http://www.mdpi.com/1996-1073/6/8/3922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304" w:tooltip="Tanuwijava, 2013 #356" w:history="1">
        <w:r w:rsidRPr="005444B3">
          <w:rPr>
            <w:rFonts w:ascii="Times New Roman" w:eastAsia="Times New Roman" w:hAnsi="Times New Roman"/>
            <w:lang w:val="en-GB" w:eastAsia="en-GB"/>
          </w:rPr>
          <w:t>Tanuwijava et al., 2013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A similar study was undertaken to assess the performance of water-saturated MEPCM/PV system, as in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REF _Ref384376288 \h  \* MERGEFORMAT </w:instrText>
      </w:r>
      <w:r w:rsidRPr="00265C2C">
        <w:rPr>
          <w:rFonts w:ascii="Times New Roman" w:eastAsia="Times New Roman" w:hAnsi="Times New Roman"/>
          <w:lang w:val="en-GB" w:eastAsia="en-GB"/>
        </w:rPr>
      </w:r>
      <w:r w:rsidRPr="00265C2C">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265C2C">
        <w:rPr>
          <w:rFonts w:ascii="Times New Roman" w:eastAsia="Times New Roman" w:hAnsi="Times New Roman"/>
          <w:lang w:val="en-GB" w:eastAsia="en-GB"/>
        </w:rPr>
        <w:t xml:space="preserve"> </w:t>
      </w:r>
      <w:r w:rsidR="0065155A">
        <w:rPr>
          <w:rFonts w:ascii="Times New Roman" w:eastAsia="Times New Roman" w:hAnsi="Times New Roman"/>
          <w:lang w:val="en-GB" w:eastAsia="en-GB"/>
        </w:rPr>
        <w:t>15</w:t>
      </w:r>
      <w:r w:rsidRPr="00265C2C">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using a CFD numerical simulation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&lt;EndNote&gt;&lt;Cite&gt;&lt;Author&gt;Ho&lt;/Author&gt;&lt;Year&gt;2013&lt;/Year&gt;&lt;RecNum&gt;326&lt;/RecNum&gt;&lt;DisplayText&gt;(Ho et al., 2013)&lt;/DisplayText&gt;&lt;record&gt;&lt;rec-number&gt;326&lt;/rec-number&gt;&lt;foreign-keys&gt;&lt;key app="EN" db-id="0z5fdztp6e9z5uerfrlvat9mvrxpssrs95da" timestamp="0"&gt;326&lt;/key&gt;&lt;/foreign-keys&gt;&lt;ref-type name="Journal Article"&gt;17&lt;/ref-type&gt;&lt;contributors&gt;&lt;authors&gt;&lt;author&gt;Ho, C. J.&lt;/author&gt;&lt;author&gt;Jou, Bor-Tyng&lt;/author&gt;&lt;author&gt;Lai, Chi-Ming&lt;/author&gt;&lt;author&gt;Huang, Chao-Yang&lt;/author&gt;&lt;/authors&gt;&lt;/contributors&gt;&lt;titles&gt;&lt;title&gt;Performance assessment of a BIPV integrated with a layer of water-saturated MEPCM&lt;/title&gt;&lt;secondary-title&gt;Energy and Buildings&lt;/secondary-title&gt;&lt;/titles&gt;&lt;periodical&gt;&lt;full-title&gt;Energy and Buildings&lt;/full-title&gt;&lt;/periodical&gt;&lt;pages&gt;322-333&lt;/pages&gt;&lt;volume&gt;67&lt;/volume&gt;&lt;number&gt;0&lt;/number&gt;&lt;keywords&gt;&lt;keyword&gt;Photovoltaic (PV)&lt;/keyword&gt;&lt;keyword&gt;Building-integrated photovoltaic (BIPV)&lt;/keyword&gt;&lt;keyword&gt;Microencapsulated phase change material (MEPCM)&lt;/keyword&gt;&lt;keyword&gt;Thermal management&lt;/keyword&gt;&lt;/keywords&gt;&lt;dates&gt;&lt;year&gt;2013&lt;/year&gt;&lt;/dates&gt;&lt;urls&gt;&lt;related-urls&gt;&lt;url&gt;http://www.sciencedirect.com/science/article/pii/S037877881300532X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27" w:tooltip="Ho, 2013 #326" w:history="1">
        <w:r w:rsidRPr="005444B3">
          <w:rPr>
            <w:rFonts w:ascii="Times New Roman" w:eastAsia="Times New Roman" w:hAnsi="Times New Roman"/>
            <w:lang w:val="en-GB" w:eastAsia="en-GB"/>
          </w:rPr>
          <w:t>Ho et al., 2013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p>
    <w:p w14:paraId="09586432"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753B8ECA" wp14:editId="2B2170CE">
            <wp:extent cx="4477908" cy="3056890"/>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4527705" cy="3090884"/>
                    </a:xfrm>
                    <a:prstGeom prst="rect">
                      <a:avLst/>
                    </a:prstGeom>
                    <a:noFill/>
                    <a:ln w="9525">
                      <a:noFill/>
                      <a:miter lim="800000"/>
                      <a:headEnd/>
                      <a:tailEnd/>
                    </a:ln>
                  </pic:spPr>
                </pic:pic>
              </a:graphicData>
            </a:graphic>
          </wp:inline>
        </w:drawing>
      </w:r>
    </w:p>
    <w:p w14:paraId="1F0876CE" w14:textId="2634A1A9" w:rsidR="006E0A56" w:rsidRDefault="00917411" w:rsidP="00965E66">
      <w:pPr>
        <w:jc w:val="center"/>
        <w:rPr>
          <w:rFonts w:ascii="Times New Roman" w:eastAsia="Times New Roman" w:hAnsi="Times New Roman"/>
          <w:sz w:val="20"/>
          <w:szCs w:val="20"/>
          <w:lang w:val="en-GB" w:eastAsia="en-GB"/>
        </w:rPr>
      </w:pPr>
      <w:bookmarkStart w:id="27" w:name="_Ref384376288"/>
      <w:bookmarkStart w:id="28" w:name="_Toc443983059"/>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27"/>
      <w:r w:rsidR="00787B88">
        <w:rPr>
          <w:rFonts w:ascii="Times New Roman" w:eastAsia="Times New Roman" w:hAnsi="Times New Roman"/>
          <w:sz w:val="20"/>
          <w:szCs w:val="20"/>
          <w:lang w:val="en-GB" w:eastAsia="en-GB"/>
        </w:rPr>
        <w:t>18</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Schematic of heat transfer in a PV/MEPCM module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&lt;EndNote&gt;&lt;Cite&gt;&lt;Author&gt;Ho&lt;/Author&gt;&lt;Year&gt;2013&lt;/Year&gt;&lt;RecNum&gt;326&lt;/RecNum&gt;&lt;DisplayText&gt;(Ho et al., 2013)&lt;/DisplayText&gt;&lt;record&gt;&lt;rec-number&gt;326&lt;/rec-number&gt;&lt;foreign-keys&gt;&lt;key app="EN" db-id="0z5fdztp6e9z5uerfrlvat9mvrxpssrs95da" timestamp="0"&gt;326&lt;/key&gt;&lt;/foreign-keys&gt;&lt;ref-type name="Journal Article"&gt;17&lt;/ref-type&gt;&lt;contributors&gt;&lt;authors&gt;&lt;author&gt;Ho, C. J.&lt;/author&gt;&lt;author&gt;Jou, Bor-Tyng&lt;/author&gt;&lt;author&gt;Lai, Chi-Ming&lt;/author&gt;&lt;author&gt;Huang, Chao-Yang&lt;/author&gt;&lt;/authors&gt;&lt;/contributors&gt;&lt;titles&gt;&lt;title&gt;Performance assessment of a BIPV integrated with a layer of water-saturated MEPCM&lt;/title&gt;&lt;secondary-title&gt;Energy and Buildings&lt;/secondary-title&gt;&lt;/titles&gt;&lt;periodical&gt;&lt;full-title&gt;Energy and Buildings&lt;/full-title&gt;&lt;/periodical&gt;&lt;pages&gt;322-333&lt;/pages&gt;&lt;volume&gt;67&lt;/volume&gt;&lt;number&gt;0&lt;/number&gt;&lt;keywords&gt;&lt;keyword&gt;Photovoltaic (PV)&lt;/keyword&gt;&lt;keyword&gt;Building-integrated photovoltaic (BIPV)&lt;/keyword&gt;&lt;keyword&gt;Microencapsulated phase change material (MEPCM)&lt;/keyword&gt;&lt;keyword&gt;Thermal management&lt;/keyword&gt;&lt;/keywords&gt;&lt;dates&gt;&lt;year&gt;2013&lt;/year&gt;&lt;/dates&gt;&lt;urls&gt;&lt;related-urls&gt;&lt;url&gt;http://www.sciencedirect.com/science/article/pii/S037877881300532X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27" w:tooltip="Ho, 2013 #326" w:history="1">
        <w:r w:rsidR="006E0A56" w:rsidRPr="00965E66">
          <w:rPr>
            <w:rFonts w:ascii="Times New Roman" w:eastAsia="Times New Roman" w:hAnsi="Times New Roman"/>
            <w:sz w:val="20"/>
            <w:szCs w:val="20"/>
            <w:lang w:val="en-GB" w:eastAsia="en-GB"/>
          </w:rPr>
          <w:t>Ho et al., 2013</w:t>
        </w:r>
      </w:hyperlink>
      <w:r w:rsidR="006E0A56" w:rsidRPr="00965E66">
        <w:rPr>
          <w:rFonts w:ascii="Times New Roman" w:eastAsia="Times New Roman" w:hAnsi="Times New Roman"/>
          <w:sz w:val="20"/>
          <w:szCs w:val="20"/>
          <w:lang w:val="en-GB" w:eastAsia="en-GB"/>
        </w:rPr>
        <w:t>)</w:t>
      </w:r>
      <w:bookmarkEnd w:id="28"/>
      <w:r w:rsidR="006E0A56" w:rsidRPr="00965E66">
        <w:rPr>
          <w:rFonts w:ascii="Times New Roman" w:eastAsia="Times New Roman" w:hAnsi="Times New Roman"/>
          <w:sz w:val="20"/>
          <w:szCs w:val="20"/>
          <w:lang w:val="en-GB" w:eastAsia="en-GB"/>
        </w:rPr>
        <w:fldChar w:fldCharType="end"/>
      </w:r>
    </w:p>
    <w:p w14:paraId="704E1351" w14:textId="77777777" w:rsidR="00CD744B" w:rsidRPr="00965E66" w:rsidRDefault="00CD744B" w:rsidP="00965E66">
      <w:pPr>
        <w:jc w:val="center"/>
        <w:rPr>
          <w:rFonts w:ascii="Times New Roman" w:eastAsia="Times New Roman" w:hAnsi="Times New Roman"/>
          <w:sz w:val="20"/>
          <w:szCs w:val="20"/>
          <w:lang w:val="en-GB" w:eastAsia="en-GB"/>
        </w:rPr>
      </w:pPr>
    </w:p>
    <w:p w14:paraId="22C28FDC" w14:textId="39D938CC" w:rsidR="006E0A56" w:rsidRPr="005444B3" w:rsidRDefault="0065155A" w:rsidP="00965E66">
      <w:pPr>
        <w:spacing w:line="360" w:lineRule="auto"/>
        <w:jc w:val="both"/>
        <w:rPr>
          <w:rFonts w:ascii="Times New Roman" w:eastAsia="Times New Roman" w:hAnsi="Times New Roman"/>
          <w:lang w:val="en-GB" w:eastAsia="en-GB"/>
        </w:rPr>
      </w:pPr>
      <w:r>
        <w:rPr>
          <w:rFonts w:ascii="Times New Roman" w:eastAsia="Times New Roman" w:hAnsi="Times New Roman"/>
          <w:lang w:val="en-GB" w:eastAsia="en-GB"/>
        </w:rPr>
        <w:t xml:space="preserve">It was concluded </w:t>
      </w:r>
      <w:r w:rsidR="006E0A56" w:rsidRPr="005444B3">
        <w:rPr>
          <w:rFonts w:ascii="Times New Roman" w:eastAsia="Times New Roman" w:hAnsi="Times New Roman"/>
          <w:lang w:val="en-GB" w:eastAsia="en-GB"/>
        </w:rPr>
        <w:t>that under summer conditions corresponding to an ambient temperature of 30 ºC and solar irradiance of 650 W/m</w:t>
      </w:r>
      <w:r w:rsidR="006E0A56" w:rsidRPr="00787B88">
        <w:rPr>
          <w:rFonts w:ascii="Times New Roman" w:eastAsia="Times New Roman" w:hAnsi="Times New Roman"/>
          <w:vertAlign w:val="superscript"/>
          <w:lang w:val="en-GB" w:eastAsia="en-GB"/>
        </w:rPr>
        <w:t>2</w:t>
      </w:r>
      <w:r w:rsidR="006E0A56" w:rsidRPr="005444B3">
        <w:rPr>
          <w:rFonts w:ascii="Times New Roman" w:eastAsia="Times New Roman" w:hAnsi="Times New Roman"/>
          <w:lang w:val="en-GB" w:eastAsia="en-GB"/>
        </w:rPr>
        <w:t xml:space="preserve"> </w:t>
      </w:r>
      <w:r>
        <w:rPr>
          <w:rFonts w:ascii="Times New Roman" w:eastAsia="Times New Roman" w:hAnsi="Times New Roman"/>
          <w:lang w:val="en-GB" w:eastAsia="en-GB"/>
        </w:rPr>
        <w:t>that a PCM with a</w:t>
      </w:r>
      <w:r w:rsidR="006E0A56" w:rsidRPr="005444B3">
        <w:rPr>
          <w:rFonts w:ascii="Times New Roman" w:eastAsia="Times New Roman" w:hAnsi="Times New Roman"/>
          <w:lang w:val="en-GB" w:eastAsia="en-GB"/>
        </w:rPr>
        <w:t xml:space="preserve"> melting point of 30 ºC and 30 cm layer of MEPCM be incorporated with the PV system. This melting temperature allows for phase change to occur during peak sunshine hours and during night time the MEPCM could discharge fully. Under these conditions an increase of 2 % in efficiency would be expected in the system compared to a PV only. A numerical study of a water-surface floating PV/MEPCM system showed a 1.8 ºC reduction in the temperature of the PV surface and 2.1 % increase in the electrical output relative to a PV system without a MEPCM layer </w:t>
      </w:r>
      <w:r w:rsidR="006E0A56" w:rsidRPr="005444B3">
        <w:rPr>
          <w:rFonts w:ascii="Times New Roman" w:eastAsia="Times New Roman" w:hAnsi="Times New Roman"/>
          <w:lang w:val="en-GB" w:eastAsia="en-GB"/>
        </w:rPr>
        <w:fldChar w:fldCharType="begin"/>
      </w:r>
      <w:r w:rsidR="006E0A56" w:rsidRPr="005444B3">
        <w:rPr>
          <w:rFonts w:ascii="Times New Roman" w:eastAsia="Times New Roman" w:hAnsi="Times New Roman"/>
          <w:lang w:val="en-GB" w:eastAsia="en-GB"/>
        </w:rPr>
        <w:instrText xml:space="preserve"> ADDIN EN.CITE &lt;EndNote&gt;&lt;Cite&gt;&lt;Author&gt;Ho&lt;/Author&gt;&lt;Year&gt;2015&lt;/Year&gt;&lt;RecNum&gt;426&lt;/RecNum&gt;&lt;DisplayText&gt;(Ho et al., 2015)&lt;/DisplayText&gt;&lt;record&gt;&lt;rec-number&gt;426&lt;/rec-number&gt;&lt;foreign-keys&gt;&lt;key app="EN" db-id="0z5fdztp6e9z5uerfrlvat9mvrxpssrs95da" timestamp="0"&gt;426&lt;/key&gt;&lt;/foreign-keys&gt;&lt;ref-type name="Journal Article"&gt;17&lt;/ref-type&gt;&lt;contributors&gt;&lt;authors&gt;&lt;author&gt;Ho, C. J.&lt;/author&gt;&lt;author&gt;Chou, Wei-Len&lt;/author&gt;&lt;author&gt;Lai, Chi-Ming&lt;/author&gt;&lt;/authors&gt;&lt;/contributors&gt;&lt;titles&gt;&lt;title&gt;Thermal and electrical performance of a water-surface floating PV integrated with a water-saturated MEPCM layer&lt;/title&gt;&lt;secondary-title&gt;Energy Conversion and Management&lt;/secondary-title&gt;&lt;/titles&gt;&lt;periodical&gt;&lt;full-title&gt;Energy Conversion and Management&lt;/full-title&gt;&lt;/periodical&gt;&lt;pages&gt;862-872&lt;/pages&gt;&lt;volume&gt;89&lt;/volume&gt;&lt;number&gt;0&lt;/number&gt;&lt;keywords&gt;&lt;keyword&gt;Photovoltaic&lt;/keyword&gt;&lt;keyword&gt;Water-surface floating photovoltaic&lt;/keyword&gt;&lt;keyword&gt;Microencapsulated phase change material&lt;/keyword&gt;&lt;keyword&gt;Temperature control&lt;/keyword&gt;&lt;/keywords&gt;&lt;dates&gt;&lt;year&gt;2015&lt;/year&gt;&lt;/dates&gt;&lt;urls&gt;&lt;related-urls&gt;&lt;url&gt;http://www.sciencedirect.com/science/article/pii/S0196890414009200 &lt;/url&gt;&lt;/related-urls&gt;&lt;/urls&gt;&lt;/record&gt;&lt;/Cite&gt;&lt;/EndNote&gt;</w:instrText>
      </w:r>
      <w:r w:rsidR="006E0A56" w:rsidRPr="005444B3">
        <w:rPr>
          <w:rFonts w:ascii="Times New Roman" w:eastAsia="Times New Roman" w:hAnsi="Times New Roman"/>
          <w:lang w:val="en-GB" w:eastAsia="en-GB"/>
        </w:rPr>
        <w:fldChar w:fldCharType="separate"/>
      </w:r>
      <w:r w:rsidR="006E0A56" w:rsidRPr="005444B3">
        <w:rPr>
          <w:rFonts w:ascii="Times New Roman" w:eastAsia="Times New Roman" w:hAnsi="Times New Roman"/>
          <w:lang w:val="en-GB" w:eastAsia="en-GB"/>
        </w:rPr>
        <w:t>(</w:t>
      </w:r>
      <w:hyperlink w:anchor="_ENREF_126" w:tooltip="Ho, 2015 #426" w:history="1">
        <w:r w:rsidR="006E0A56" w:rsidRPr="005444B3">
          <w:rPr>
            <w:rFonts w:ascii="Times New Roman" w:eastAsia="Times New Roman" w:hAnsi="Times New Roman"/>
            <w:lang w:val="en-GB" w:eastAsia="en-GB"/>
          </w:rPr>
          <w:t>Ho et al., 2015</w:t>
        </w:r>
      </w:hyperlink>
      <w:r w:rsidR="006E0A56" w:rsidRPr="005444B3">
        <w:rPr>
          <w:rFonts w:ascii="Times New Roman" w:eastAsia="Times New Roman" w:hAnsi="Times New Roman"/>
          <w:lang w:val="en-GB" w:eastAsia="en-GB"/>
        </w:rPr>
        <w:t>)</w:t>
      </w:r>
      <w:r w:rsidR="006E0A56" w:rsidRPr="005444B3">
        <w:rPr>
          <w:rFonts w:ascii="Times New Roman" w:eastAsia="Times New Roman" w:hAnsi="Times New Roman"/>
          <w:lang w:val="en-GB" w:eastAsia="en-GB"/>
        </w:rPr>
        <w:fldChar w:fldCharType="end"/>
      </w:r>
      <w:r w:rsidR="006E0A56" w:rsidRPr="005444B3">
        <w:rPr>
          <w:rFonts w:ascii="Times New Roman" w:eastAsia="Times New Roman" w:hAnsi="Times New Roman"/>
          <w:lang w:val="en-GB" w:eastAsia="en-GB"/>
        </w:rPr>
        <w:t>.</w:t>
      </w:r>
    </w:p>
    <w:p w14:paraId="1D15A84A" w14:textId="52675DE8"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lastRenderedPageBreak/>
        <w:t xml:space="preserve">Sarwar et al.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 ExcludeAuth="1"&gt;&lt;Author&gt;Sarwar&lt;/Author&gt;&lt;Year&gt;2014&lt;/Year&gt;&lt;RecNum&gt;386&lt;/RecNum&gt;&lt;DisplayText&gt;(2014)&lt;/DisplayText&gt;&lt;record&gt;&lt;rec-number&gt;386&lt;/rec-number&gt;&lt;foreign-keys&gt;&lt;key app="EN" db-id="0z5fdztp6e9z5uerfrlvat9mvrxpssrs95da" timestamp="0"&gt;386&lt;/key&gt;&lt;/foreign-keys&gt;&lt;ref-type name="Journal Article"&gt;17&lt;/ref-type&gt;&lt;contributors&gt;&lt;authors&gt;&lt;author&gt;Sarwar,J.&lt;/author&gt;&lt;author&gt;McCormack,S.J.&lt;/author&gt;&lt;author&gt;Huang, M.J.&lt;/author&gt;&lt;author&gt;Norton, B. &lt;/author&gt;&lt;/authors&gt;&lt;/contributors&gt;&lt;titles&gt;&lt;title&gt;Numerical investigation and experimental validation of thermal behaviour of organic phase change materials for temperature regulation enhancement of photovoltaics&lt;/title&gt;&lt;secondary-title&gt;International Journal of Heat and Mass Transfer&lt;/secondary-title&gt;&lt;/titles&gt;&lt;periodical&gt;&lt;full-title&gt;International Journal of Heat and Mass Transfer&lt;/full-title&gt;&lt;/periodical&gt;&lt;volume&gt;In review&lt;/volume&gt;&lt;dates&gt;&lt;year&gt;2014&lt;/year&gt;&lt;/dates&gt;&lt;work-type&gt;&lt;style face="italic" font="default" size="100%"&gt;In review&lt;/style&gt;&lt;/work-type&gt;&lt;urls&gt;&lt;/urls&gt;&lt;/record&gt;&lt;/Cite&gt;&lt;/EndNote&gt;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76" w:tooltip="Sarwar, 2014 #386" w:history="1">
        <w:r w:rsidRPr="005444B3">
          <w:rPr>
            <w:rFonts w:ascii="Times New Roman" w:eastAsia="Times New Roman" w:hAnsi="Times New Roman"/>
            <w:lang w:val="en-GB" w:eastAsia="en-GB"/>
          </w:rPr>
          <w:t>2014</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simulated the temperature regulation of the PV/PCM system illustrated in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_Ref384376530 \h </w:instrText>
      </w:r>
      <w:r>
        <w:rPr>
          <w:rFonts w:ascii="Times New Roman" w:eastAsia="Times New Roman" w:hAnsi="Times New Roman"/>
          <w:lang w:val="en-GB" w:eastAsia="en-GB"/>
        </w:rPr>
        <w:instrText xml:space="preserve">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5444B3">
        <w:rPr>
          <w:rFonts w:ascii="Times New Roman" w:eastAsia="Times New Roman" w:hAnsi="Times New Roman"/>
          <w:lang w:val="en-GB" w:eastAsia="en-GB"/>
        </w:rPr>
        <w:t xml:space="preserve"> </w:t>
      </w:r>
      <w:r w:rsidR="00787B88">
        <w:rPr>
          <w:rFonts w:ascii="Times New Roman" w:eastAsia="Times New Roman" w:hAnsi="Times New Roman"/>
          <w:lang w:val="en-GB" w:eastAsia="en-GB"/>
        </w:rPr>
        <w:t>1</w:t>
      </w:r>
      <w:r w:rsidRPr="005444B3">
        <w:rPr>
          <w:rFonts w:ascii="Times New Roman" w:eastAsia="Times New Roman" w:hAnsi="Times New Roman"/>
          <w:lang w:val="en-GB" w:eastAsia="en-GB"/>
        </w:rPr>
        <w:fldChar w:fldCharType="end"/>
      </w:r>
      <w:r w:rsidR="0065155A">
        <w:rPr>
          <w:rFonts w:ascii="Times New Roman" w:eastAsia="Times New Roman" w:hAnsi="Times New Roman"/>
          <w:lang w:val="en-GB" w:eastAsia="en-GB"/>
        </w:rPr>
        <w:t>6 using a</w:t>
      </w:r>
      <w:r w:rsidRPr="005444B3">
        <w:rPr>
          <w:rFonts w:ascii="Times New Roman" w:eastAsia="Times New Roman" w:hAnsi="Times New Roman"/>
          <w:lang w:val="en-GB" w:eastAsia="en-GB"/>
        </w:rPr>
        <w:t xml:space="preserve"> finite element numerical heat transfer simulation model </w:t>
      </w:r>
      <w:r w:rsidR="0065155A">
        <w:rPr>
          <w:rFonts w:ascii="Times New Roman" w:eastAsia="Times New Roman" w:hAnsi="Times New Roman"/>
          <w:lang w:val="en-GB" w:eastAsia="en-GB"/>
        </w:rPr>
        <w:t xml:space="preserve">that </w:t>
      </w:r>
      <w:r w:rsidRPr="005444B3">
        <w:rPr>
          <w:rFonts w:ascii="Times New Roman" w:eastAsia="Times New Roman" w:hAnsi="Times New Roman"/>
          <w:lang w:val="en-GB" w:eastAsia="en-GB"/>
        </w:rPr>
        <w:t>account</w:t>
      </w:r>
      <w:r w:rsidR="0065155A">
        <w:rPr>
          <w:rFonts w:ascii="Times New Roman" w:eastAsia="Times New Roman" w:hAnsi="Times New Roman"/>
          <w:lang w:val="en-GB" w:eastAsia="en-GB"/>
        </w:rPr>
        <w:t>ed</w:t>
      </w:r>
      <w:r w:rsidRPr="005444B3">
        <w:rPr>
          <w:rFonts w:ascii="Times New Roman" w:eastAsia="Times New Roman" w:hAnsi="Times New Roman"/>
          <w:lang w:val="en-GB" w:eastAsia="en-GB"/>
        </w:rPr>
        <w:t xml:space="preserve"> the electrical conversion of incident light and real-time heat loss boundary coefficients.   </w:t>
      </w:r>
    </w:p>
    <w:p w14:paraId="62E5EFA7"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59535673" wp14:editId="5273EBED">
            <wp:extent cx="5387099" cy="3438525"/>
            <wp:effectExtent l="0" t="0" r="4445" b="0"/>
            <wp:docPr id="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a:stretch>
                      <a:fillRect/>
                    </a:stretch>
                  </pic:blipFill>
                  <pic:spPr bwMode="auto">
                    <a:xfrm>
                      <a:off x="0" y="0"/>
                      <a:ext cx="5396227" cy="3444351"/>
                    </a:xfrm>
                    <a:prstGeom prst="rect">
                      <a:avLst/>
                    </a:prstGeom>
                    <a:noFill/>
                    <a:ln w="9525">
                      <a:noFill/>
                      <a:miter lim="800000"/>
                      <a:headEnd/>
                      <a:tailEnd/>
                    </a:ln>
                  </pic:spPr>
                </pic:pic>
              </a:graphicData>
            </a:graphic>
          </wp:inline>
        </w:drawing>
      </w:r>
    </w:p>
    <w:p w14:paraId="2A27D287" w14:textId="71C58BE4" w:rsidR="006E0A56" w:rsidRDefault="00917411" w:rsidP="00965E66">
      <w:pPr>
        <w:jc w:val="center"/>
        <w:rPr>
          <w:rFonts w:ascii="Times New Roman" w:eastAsia="Times New Roman" w:hAnsi="Times New Roman"/>
          <w:sz w:val="20"/>
          <w:szCs w:val="20"/>
          <w:lang w:val="en-GB" w:eastAsia="en-GB"/>
        </w:rPr>
      </w:pPr>
      <w:bookmarkStart w:id="29" w:name="_Ref384376530"/>
      <w:bookmarkStart w:id="30" w:name="_Toc443983060"/>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29"/>
      <w:r w:rsidR="00787B88">
        <w:rPr>
          <w:rFonts w:ascii="Times New Roman" w:eastAsia="Times New Roman" w:hAnsi="Times New Roman"/>
          <w:sz w:val="20"/>
          <w:szCs w:val="20"/>
          <w:lang w:val="en-GB" w:eastAsia="en-GB"/>
        </w:rPr>
        <w:t>1</w:t>
      </w:r>
      <w:r w:rsidR="0065155A">
        <w:rPr>
          <w:rFonts w:ascii="Times New Roman" w:eastAsia="Times New Roman" w:hAnsi="Times New Roman"/>
          <w:sz w:val="20"/>
          <w:szCs w:val="20"/>
          <w:lang w:val="en-GB" w:eastAsia="en-GB"/>
        </w:rPr>
        <w:t>6</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Optics, electrical conversion and heat transfer mechanism in PV/PCM systems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&lt;EndNote&gt;&lt;Cite&gt;&lt;Author&gt;Sarwar&lt;/Author&gt;&lt;Year&gt;2014&lt;/Year&gt;&lt;RecNum&gt;386&lt;/RecNum&gt;&lt;DisplayText&gt;(Sarwar et al., 2014)&lt;/DisplayText&gt;&lt;record&gt;&lt;rec-number&gt;386&lt;/rec-number&gt;&lt;foreign-keys&gt;&lt;key app="EN" db-id="0z5fdztp6e9z5uerfrlvat9mvrxpssrs95da" timestamp="0"&gt;386&lt;/key&gt;&lt;/foreign-keys&gt;&lt;ref-type name="Journal Article"&gt;17&lt;/ref-type&gt;&lt;contributors&gt;&lt;authors&gt;&lt;author&gt;Sarwar,J.&lt;/author&gt;&lt;author&gt;McCormack,S.J.&lt;/author&gt;&lt;author&gt;Huang, M.J.&lt;/author&gt;&lt;author&gt;Norton, B. &lt;/author&gt;&lt;/authors&gt;&lt;/contributors&gt;&lt;titles&gt;&lt;title&gt;Numerical investigation and experimental validation of thermal behaviour of organic phase change materials for temperature regulation enhancement of photovoltaics&lt;/title&gt;&lt;secondary-title&gt;International Journal of Heat and Mass Transfer&lt;/secondary-title&gt;&lt;/titles&gt;&lt;periodical&gt;&lt;full-title&gt;International Journal of Heat and Mass Transfer&lt;/full-title&gt;&lt;/periodical&gt;&lt;volume&gt;In review&lt;/volume&gt;&lt;dates&gt;&lt;year&gt;2014&lt;/year&gt;&lt;/dates&gt;&lt;work-type&gt;&lt;style face="italic" font="default" size="100%"&gt;In review&lt;/style&gt;&lt;/work-type&gt;&lt;urls&gt;&lt;/urls&gt;&lt;/record&gt;&lt;/Cite&gt;&lt;/EndNote&gt;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276" w:tooltip="Sarwar, 2014 #386" w:history="1">
        <w:r w:rsidR="006E0A56" w:rsidRPr="00965E66">
          <w:rPr>
            <w:rFonts w:ascii="Times New Roman" w:eastAsia="Times New Roman" w:hAnsi="Times New Roman"/>
            <w:sz w:val="20"/>
            <w:szCs w:val="20"/>
            <w:lang w:val="en-GB" w:eastAsia="en-GB"/>
          </w:rPr>
          <w:t>Sarwar et al., 2014</w:t>
        </w:r>
      </w:hyperlink>
      <w:r w:rsidR="006E0A56" w:rsidRPr="00965E66">
        <w:rPr>
          <w:rFonts w:ascii="Times New Roman" w:eastAsia="Times New Roman" w:hAnsi="Times New Roman"/>
          <w:sz w:val="20"/>
          <w:szCs w:val="20"/>
          <w:lang w:val="en-GB" w:eastAsia="en-GB"/>
        </w:rPr>
        <w:t>)</w:t>
      </w:r>
      <w:bookmarkEnd w:id="30"/>
      <w:r w:rsidR="006E0A56" w:rsidRPr="00965E66">
        <w:rPr>
          <w:rFonts w:ascii="Times New Roman" w:eastAsia="Times New Roman" w:hAnsi="Times New Roman"/>
          <w:sz w:val="20"/>
          <w:szCs w:val="20"/>
          <w:lang w:val="en-GB" w:eastAsia="en-GB"/>
        </w:rPr>
        <w:fldChar w:fldCharType="end"/>
      </w:r>
    </w:p>
    <w:p w14:paraId="0331EDE5" w14:textId="77777777" w:rsidR="00965E66" w:rsidRPr="00965E66" w:rsidRDefault="00965E66" w:rsidP="00965E66">
      <w:pPr>
        <w:jc w:val="center"/>
        <w:rPr>
          <w:rFonts w:ascii="Times New Roman" w:eastAsia="Times New Roman" w:hAnsi="Times New Roman"/>
          <w:sz w:val="20"/>
          <w:szCs w:val="20"/>
          <w:lang w:val="en-GB" w:eastAsia="en-GB"/>
        </w:rPr>
      </w:pPr>
    </w:p>
    <w:p w14:paraId="54C45E5B" w14:textId="580A5797"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Th</w:t>
      </w:r>
      <w:r w:rsidR="0065155A">
        <w:rPr>
          <w:rFonts w:ascii="Times New Roman" w:eastAsia="Times New Roman" w:hAnsi="Times New Roman"/>
          <w:lang w:val="en-GB" w:eastAsia="en-GB"/>
        </w:rPr>
        <w:t>is</w:t>
      </w:r>
      <w:r w:rsidRPr="005444B3">
        <w:rPr>
          <w:rFonts w:ascii="Times New Roman" w:eastAsia="Times New Roman" w:hAnsi="Times New Roman"/>
          <w:lang w:val="en-GB" w:eastAsia="en-GB"/>
        </w:rPr>
        <w:t xml:space="preserve"> model was validated by comparing the simulated and experimental temperature evolution of PV at an incident irradiance of 1000 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The small-scale indoor experiment was carried out on three inorganic PCM, capric-palmitic, capric-lauric and RT20. A 10 x 10 x 0.05 cm</w:t>
      </w:r>
      <w:r w:rsidRPr="00265C2C">
        <w:rPr>
          <w:rFonts w:ascii="Times New Roman" w:eastAsia="Times New Roman" w:hAnsi="Times New Roman"/>
          <w:vertAlign w:val="superscript"/>
          <w:lang w:val="en-GB" w:eastAsia="en-GB"/>
        </w:rPr>
        <w:t>3</w:t>
      </w:r>
      <w:r w:rsidRPr="005444B3">
        <w:rPr>
          <w:rFonts w:ascii="Times New Roman" w:eastAsia="Times New Roman" w:hAnsi="Times New Roman"/>
          <w:lang w:val="en-GB" w:eastAsia="en-GB"/>
        </w:rPr>
        <w:t xml:space="preserve"> PV cell was encapsulated in 3 mm thick Perspex and attached to an aluminium container which held the PCM. The model investigated the temperature evolution, velocities and phase change fr</w:t>
      </w:r>
      <w:r w:rsidR="00917411">
        <w:rPr>
          <w:rFonts w:ascii="Times New Roman" w:eastAsia="Times New Roman" w:hAnsi="Times New Roman"/>
          <w:lang w:val="en-GB" w:eastAsia="en-GB"/>
        </w:rPr>
        <w:t>action of the PCM and found ~1 º</w:t>
      </w:r>
      <w:r w:rsidRPr="005444B3">
        <w:rPr>
          <w:rFonts w:ascii="Times New Roman" w:eastAsia="Times New Roman" w:hAnsi="Times New Roman"/>
          <w:lang w:val="en-GB" w:eastAsia="en-GB"/>
        </w:rPr>
        <w:t>C temperature difference between the modelled and experimental results.</w:t>
      </w:r>
    </w:p>
    <w:p w14:paraId="0C64B6AF" w14:textId="4E57958C" w:rsidR="006E0A56"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Jay et al. </w:t>
      </w:r>
      <w:r w:rsidR="006E7E9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 ExcludeAuth="1"&gt;&lt;Author&gt;Jay&lt;/Author&gt;&lt;Year&gt;2010&lt;/Year&gt;&lt;RecNum&gt;85&lt;/RecNum&gt;&lt;DisplayText&gt;(2010)&lt;/DisplayText&gt;&lt;record&gt;&lt;rec-number&gt;85&lt;/rec-number&gt;&lt;foreign-keys&gt;&lt;key app="EN" db-id="0z5fdztp6e9z5uerfrlvat9mvrxpssrs95da" timestamp="0"&gt;85&lt;/key&gt;&lt;/foreign-keys&gt;&lt;ref-type name="Conference Proceedings"&gt;10&lt;/ref-type&gt;&lt;contributors&gt;&lt;authors&gt;&lt;author&gt;Jay, A; &lt;/author&gt;&lt;author&gt;Clerc, S.&lt;/author&gt;&lt;author&gt;Boillot, B&lt;/author&gt;&lt;author&gt;Bontemps, A. &lt;/author&gt;&lt;author&gt;Jay, F.&lt;/author&gt;&lt;/authors&gt;&lt;/contributors&gt;&lt;titles&gt;&lt;title&gt; Use of Phase Change Material in order to maintain the temperature of integrated PV modules at a reasonable level&lt;/title&gt;&lt;secondary-title&gt;25th European Photovoltaic Solare Energy Conference and Exhibition and 5th World Conference on Photovoltaic Energy Conversion&lt;/secondary-title&gt;&lt;/titles&gt;&lt;dates&gt;&lt;year&gt;2010&lt;/year&gt;&lt;/dates&gt;&lt;pub-location&gt;Valencia, Spain,&lt;/pub-location&gt;&lt;urls&gt;&lt;/urls&gt;&lt;/record&gt;&lt;/Cite&gt;&lt;/EndNote&gt;</w:instrText>
      </w:r>
      <w:r w:rsidRPr="005444B3">
        <w:rPr>
          <w:rFonts w:ascii="Times New Roman" w:eastAsia="Times New Roman" w:hAnsi="Times New Roman"/>
          <w:lang w:val="en-GB" w:eastAsia="en-GB"/>
        </w:rPr>
        <w:fldChar w:fldCharType="separate"/>
      </w:r>
      <w:hyperlink w:anchor="_ENREF_156" w:tooltip="Jay, 2010 #85" w:history="1">
        <w:r w:rsidRPr="005444B3">
          <w:rPr>
            <w:rFonts w:ascii="Times New Roman" w:eastAsia="Times New Roman" w:hAnsi="Times New Roman"/>
            <w:lang w:val="en-GB" w:eastAsia="en-GB"/>
          </w:rPr>
          <w:t>2010</w:t>
        </w:r>
      </w:hyperlink>
      <w:r w:rsidRPr="005444B3">
        <w:rPr>
          <w:rFonts w:ascii="Times New Roman" w:eastAsia="Times New Roman" w:hAnsi="Times New Roman"/>
          <w:lang w:val="en-GB" w:eastAsia="en-GB"/>
        </w:rPr>
        <w:fldChar w:fldCharType="end"/>
      </w:r>
      <w:r w:rsidR="006E7E93">
        <w:rPr>
          <w:rFonts w:ascii="Times New Roman" w:eastAsia="Times New Roman" w:hAnsi="Times New Roman"/>
          <w:lang w:val="en-GB" w:eastAsia="en-GB"/>
        </w:rPr>
        <w:t>)</w:t>
      </w:r>
      <w:r w:rsidR="001C03D6">
        <w:rPr>
          <w:rFonts w:ascii="Times New Roman" w:eastAsia="Times New Roman" w:hAnsi="Times New Roman"/>
          <w:lang w:val="en-GB" w:eastAsia="en-GB"/>
        </w:rPr>
        <w:t>,</w:t>
      </w:r>
      <w:r w:rsidRPr="005444B3">
        <w:rPr>
          <w:rFonts w:ascii="Times New Roman" w:eastAsia="Times New Roman" w:hAnsi="Times New Roman"/>
          <w:lang w:val="en-GB" w:eastAsia="en-GB"/>
        </w:rPr>
        <w:t xml:space="preserve"> furthered investigat</w:t>
      </w:r>
      <w:r w:rsidR="006E7E93">
        <w:rPr>
          <w:rFonts w:ascii="Times New Roman" w:eastAsia="Times New Roman" w:hAnsi="Times New Roman"/>
          <w:lang w:val="en-GB" w:eastAsia="en-GB"/>
        </w:rPr>
        <w:t xml:space="preserve">ed such systems via the </w:t>
      </w:r>
      <w:r w:rsidRPr="005444B3">
        <w:rPr>
          <w:rFonts w:ascii="Times New Roman" w:eastAsia="Times New Roman" w:hAnsi="Times New Roman"/>
          <w:lang w:val="en-GB" w:eastAsia="en-GB"/>
        </w:rPr>
        <w:t>experiment shown i</w:t>
      </w:r>
      <w:r w:rsidR="006E7E93">
        <w:rPr>
          <w:rFonts w:ascii="Times New Roman" w:eastAsia="Times New Roman" w:hAnsi="Times New Roman"/>
          <w:lang w:val="en-GB" w:eastAsia="en-GB"/>
        </w:rPr>
        <w:t>n</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_Ref384376178 \h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end"/>
      </w:r>
      <w:r w:rsidR="006E7E93">
        <w:rPr>
          <w:rFonts w:ascii="Times New Roman" w:eastAsia="Times New Roman" w:hAnsi="Times New Roman"/>
          <w:lang w:val="en-GB" w:eastAsia="en-GB"/>
        </w:rPr>
        <w:t>17</w:t>
      </w:r>
      <w:r w:rsidRPr="005444B3">
        <w:rPr>
          <w:rFonts w:ascii="Times New Roman" w:eastAsia="Times New Roman" w:hAnsi="Times New Roman"/>
          <w:lang w:val="en-GB" w:eastAsia="en-GB"/>
        </w:rPr>
        <w:t xml:space="preserve"> </w:t>
      </w:r>
      <w:r w:rsidR="006E7E93">
        <w:rPr>
          <w:rFonts w:ascii="Times New Roman" w:eastAsia="Times New Roman" w:hAnsi="Times New Roman"/>
          <w:lang w:val="en-GB" w:eastAsia="en-GB"/>
        </w:rPr>
        <w:t xml:space="preserve">which </w:t>
      </w:r>
      <w:r w:rsidRPr="005444B3">
        <w:rPr>
          <w:rFonts w:ascii="Times New Roman" w:eastAsia="Times New Roman" w:hAnsi="Times New Roman"/>
          <w:lang w:val="en-GB" w:eastAsia="en-GB"/>
        </w:rPr>
        <w:t xml:space="preserve">consisted of 4 panels, panel 1 and 2 with PCM of melting points 45 ºC and 27 ºC, respectively, panel 3 is insulated from the rear and a panel 4 is a standalone PV. </w:t>
      </w:r>
      <w:r w:rsidR="006E7E93">
        <w:rPr>
          <w:rFonts w:ascii="Times New Roman" w:eastAsia="Times New Roman" w:hAnsi="Times New Roman"/>
          <w:lang w:val="en-GB" w:eastAsia="en-GB"/>
        </w:rPr>
        <w:t xml:space="preserve">The </w:t>
      </w:r>
      <w:r w:rsidRPr="005444B3">
        <w:rPr>
          <w:rFonts w:ascii="Times New Roman" w:eastAsia="Times New Roman" w:hAnsi="Times New Roman"/>
          <w:lang w:val="en-GB" w:eastAsia="en-GB"/>
        </w:rPr>
        <w:t>PCM was encapsulated into a honeycomb made of aluminium to promote heat conduction. Three solar irradiance intensities of 600, 800 and 1000 W/m</w:t>
      </w:r>
      <w:r w:rsidRPr="00917411">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were simulated using a solar simulator and each system characterised.</w:t>
      </w:r>
    </w:p>
    <w:p w14:paraId="0EC10116"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lastRenderedPageBreak/>
        <w:drawing>
          <wp:inline distT="0" distB="0" distL="0" distR="0" wp14:anchorId="42DF9ABF" wp14:editId="17406B61">
            <wp:extent cx="2296795" cy="1722755"/>
            <wp:effectExtent l="19050" t="0" r="8255"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296795" cy="1722755"/>
                    </a:xfrm>
                    <a:prstGeom prst="rect">
                      <a:avLst/>
                    </a:prstGeom>
                    <a:noFill/>
                    <a:ln w="9525">
                      <a:noFill/>
                      <a:miter lim="800000"/>
                      <a:headEnd/>
                      <a:tailEnd/>
                    </a:ln>
                  </pic:spPr>
                </pic:pic>
              </a:graphicData>
            </a:graphic>
          </wp:inline>
        </w:drawing>
      </w:r>
      <w:r w:rsidRPr="005444B3">
        <w:rPr>
          <w:rFonts w:ascii="Times New Roman" w:eastAsia="Times New Roman" w:hAnsi="Times New Roman"/>
          <w:noProof/>
          <w:lang w:val="es-PY" w:eastAsia="es-PY"/>
        </w:rPr>
        <w:drawing>
          <wp:inline distT="0" distB="0" distL="0" distR="0" wp14:anchorId="1D64217C" wp14:editId="25656332">
            <wp:extent cx="2477135" cy="1722755"/>
            <wp:effectExtent l="1905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77135" cy="1722755"/>
                    </a:xfrm>
                    <a:prstGeom prst="rect">
                      <a:avLst/>
                    </a:prstGeom>
                    <a:noFill/>
                    <a:ln w="9525">
                      <a:noFill/>
                      <a:miter lim="800000"/>
                      <a:headEnd/>
                      <a:tailEnd/>
                    </a:ln>
                  </pic:spPr>
                </pic:pic>
              </a:graphicData>
            </a:graphic>
          </wp:inline>
        </w:drawing>
      </w:r>
    </w:p>
    <w:p w14:paraId="1D537499" w14:textId="346BAC88" w:rsidR="006E0A56" w:rsidRPr="00965E66" w:rsidRDefault="00917411" w:rsidP="00965E66">
      <w:pPr>
        <w:jc w:val="center"/>
        <w:rPr>
          <w:rFonts w:ascii="Times New Roman" w:eastAsia="Times New Roman" w:hAnsi="Times New Roman"/>
          <w:sz w:val="20"/>
          <w:szCs w:val="20"/>
          <w:lang w:val="en-GB" w:eastAsia="en-GB"/>
        </w:rPr>
      </w:pPr>
      <w:bookmarkStart w:id="31" w:name="_Ref384376178"/>
      <w:bookmarkStart w:id="32" w:name="_Toc443983061"/>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31"/>
      <w:r w:rsidR="006E7E93">
        <w:rPr>
          <w:rFonts w:ascii="Times New Roman" w:eastAsia="Times New Roman" w:hAnsi="Times New Roman"/>
          <w:sz w:val="20"/>
          <w:szCs w:val="20"/>
          <w:lang w:val="en-GB" w:eastAsia="en-GB"/>
        </w:rPr>
        <w:t>17</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(a) Aluminium honey comb (b) Experimental set up where (1) PV/PCM Tmelt 45ºC (2) PV/PCM Tmelt 27ºC (3) PV insulated and (4) PV standalone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&lt;EndNote&gt;&lt;Cite&gt;&lt;Author&gt;Jay&lt;/Author&gt;&lt;Year&gt;2010&lt;/Year&gt;&lt;RecNum&gt;85&lt;/RecNum&gt;&lt;DisplayText&gt;(Jay et al., 2010)&lt;/DisplayText&gt;&lt;record&gt;&lt;rec-number&gt;85&lt;/rec-number&gt;&lt;foreign-keys&gt;&lt;key app="EN" db-id="0z5fdztp6e9z5uerfrlvat9mvrxpssrs95da" timestamp="0"&gt;85&lt;/key&gt;&lt;/foreign-keys&gt;&lt;ref-type name="Conference Proceedings"&gt;10&lt;/ref-type&gt;&lt;contributors&gt;&lt;authors&gt;&lt;author&gt;Jay, A; &lt;/author&gt;&lt;author&gt;Clerc, S.&lt;/author&gt;&lt;author&gt;Boillot, B&lt;/author&gt;&lt;author&gt;Bontemps, A. &lt;/author&gt;&lt;author&gt;Jay, F.&lt;/author&gt;&lt;/authors&gt;&lt;/contributors&gt;&lt;titles&gt;&lt;title&gt; Use of Phase Change Material in order to maintain the temperature of integrated PV modules at a reasonable level&lt;/title&gt;&lt;secondary-title&gt;25th European Photovoltaic Solare Energy Conference and Exhibition and 5th World Conference on Photovoltaic Energy Conversion&lt;/secondary-title&gt;&lt;/titles&gt;&lt;dates&gt;&lt;year&gt;2010&lt;/year&gt;&lt;/dates&gt;&lt;pub-location&gt;Valencia, Spain,&lt;/pub-location&gt;&lt;urls&gt;&lt;/urls&gt;&lt;/record&gt;&lt;/Cite&gt;&lt;/EndNote&gt;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56" w:tooltip="Jay, 2010 #85" w:history="1">
        <w:r w:rsidR="006E0A56" w:rsidRPr="00965E66">
          <w:rPr>
            <w:rFonts w:ascii="Times New Roman" w:eastAsia="Times New Roman" w:hAnsi="Times New Roman"/>
            <w:sz w:val="20"/>
            <w:szCs w:val="20"/>
            <w:lang w:val="en-GB" w:eastAsia="en-GB"/>
          </w:rPr>
          <w:t>Jay et al., 2010</w:t>
        </w:r>
      </w:hyperlink>
      <w:r w:rsidR="006E0A56" w:rsidRPr="00965E66">
        <w:rPr>
          <w:rFonts w:ascii="Times New Roman" w:eastAsia="Times New Roman" w:hAnsi="Times New Roman"/>
          <w:sz w:val="20"/>
          <w:szCs w:val="20"/>
          <w:lang w:val="en-GB" w:eastAsia="en-GB"/>
        </w:rPr>
        <w:t>)</w:t>
      </w:r>
      <w:bookmarkEnd w:id="32"/>
      <w:r w:rsidR="006E0A56" w:rsidRPr="00965E66">
        <w:rPr>
          <w:rFonts w:ascii="Times New Roman" w:eastAsia="Times New Roman" w:hAnsi="Times New Roman"/>
          <w:sz w:val="20"/>
          <w:szCs w:val="20"/>
          <w:lang w:val="en-GB" w:eastAsia="en-GB"/>
        </w:rPr>
        <w:fldChar w:fldCharType="end"/>
      </w:r>
    </w:p>
    <w:p w14:paraId="19681AE2" w14:textId="77777777" w:rsidR="00965E66" w:rsidRPr="005444B3" w:rsidRDefault="00965E66" w:rsidP="006E0A56">
      <w:pPr>
        <w:rPr>
          <w:rFonts w:ascii="Times New Roman" w:eastAsia="Times New Roman" w:hAnsi="Times New Roman"/>
          <w:lang w:val="en-GB" w:eastAsia="en-GB"/>
        </w:rPr>
      </w:pPr>
    </w:p>
    <w:p w14:paraId="25ACCFA0" w14:textId="356BD3B4"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Under an irradiance of 800 W/m</w:t>
      </w:r>
      <w:r w:rsidRPr="00265C2C">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the temperature of the panels coupled with the PCM remained below that of the reference panels for over 5.5 hours. The increase of instantaneous electrical production due to the temperature regulation of the PV by the PCM </w:t>
      </w:r>
      <w:r w:rsidR="006E7E93">
        <w:rPr>
          <w:rFonts w:ascii="Times New Roman" w:eastAsia="Times New Roman" w:hAnsi="Times New Roman"/>
          <w:lang w:val="en-GB" w:eastAsia="en-GB"/>
        </w:rPr>
        <w:t>was</w:t>
      </w:r>
      <w:r w:rsidRPr="005444B3">
        <w:rPr>
          <w:rFonts w:ascii="Times New Roman" w:eastAsia="Times New Roman" w:hAnsi="Times New Roman"/>
          <w:lang w:val="en-GB" w:eastAsia="en-GB"/>
        </w:rPr>
        <w:t xml:space="preserve"> estimated to be about 15 % – 23 % compared to a PV system alone. Simulations carried out using CFD codes followed the same trends as the experimental investigations</w:t>
      </w:r>
      <w:r w:rsidR="006E7E93">
        <w:rPr>
          <w:rFonts w:ascii="Times New Roman" w:eastAsia="Times New Roman" w:hAnsi="Times New Roman"/>
          <w:lang w:val="en-GB" w:eastAsia="en-GB"/>
        </w:rPr>
        <w:t xml:space="preserve"> with small d</w:t>
      </w:r>
      <w:r w:rsidRPr="005444B3">
        <w:rPr>
          <w:rFonts w:ascii="Times New Roman" w:eastAsia="Times New Roman" w:hAnsi="Times New Roman"/>
          <w:lang w:val="en-GB" w:eastAsia="en-GB"/>
        </w:rPr>
        <w:t xml:space="preserve">ifferences in the predicted PV temperatures due to the approximation of material properties, heat transfer coefficients, surface emissivity and air gap depth. </w:t>
      </w:r>
    </w:p>
    <w:p w14:paraId="71A5EFE2" w14:textId="59B9AD57"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Japs et al. </w:t>
      </w:r>
      <w:r w:rsidR="006E7E9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 ExcludeAuth="1"&gt;&lt;Author&gt;Japs&lt;/Author&gt;&lt;Year&gt;2013&lt;/Year&gt;&lt;RecNum&gt;353&lt;/RecNum&gt;&lt;DisplayText&gt;(2013)&lt;/DisplayText&gt;&lt;record&gt;&lt;rec-number&gt;353&lt;/rec-number&gt;&lt;foreign-keys&gt;&lt;key app="EN" db-id="0z5fdztp6e9z5uerfrlvat9mvrxpssrs95da" timestamp="0"&gt;353&lt;/key&gt;&lt;/foreign-keys&gt;&lt;ref-type name="Conference Proceedings"&gt;10&lt;/ref-type&gt;&lt;contributors&gt;&lt;authors&gt;&lt;author&gt;Japs, E., &lt;/author&gt;&lt;author&gt;Sonnenrein,G., &lt;/author&gt;&lt;author&gt;Steube, J.,&lt;/author&gt;&lt;author&gt;Vrabec, J., &lt;/author&gt;&lt;author&gt;Kenig, E., &lt;/author&gt;&lt;author&gt;Krauter,S., &lt;/author&gt;&lt;/authors&gt;&lt;/contributors&gt;&lt;titles&gt;&lt;title&gt;Technical Investigation of a Photovoltaic Module with Integrated Improved Phase Change Material&lt;/title&gt;&lt;secondary-title&gt;28th European Photovoltaic Solar Energy Conference and Exhibition&lt;/secondary-title&gt;&lt;/titles&gt;&lt;dates&gt;&lt;year&gt;2013&lt;/year&gt;&lt;/dates&gt;&lt;pub-location&gt;Paris, France&lt;/pub-location&gt;&lt;urls&gt;&lt;/urls&gt;&lt;/record&gt;&lt;/Cite&gt;&lt;/EndNote&gt;</w:instrText>
      </w:r>
      <w:r w:rsidRPr="005444B3">
        <w:rPr>
          <w:rFonts w:ascii="Times New Roman" w:eastAsia="Times New Roman" w:hAnsi="Times New Roman"/>
          <w:lang w:val="en-GB" w:eastAsia="en-GB"/>
        </w:rPr>
        <w:fldChar w:fldCharType="separate"/>
      </w:r>
      <w:hyperlink w:anchor="_ENREF_154" w:tooltip="Japs, 2013 #353" w:history="1">
        <w:r w:rsidRPr="005444B3">
          <w:rPr>
            <w:rFonts w:ascii="Times New Roman" w:eastAsia="Times New Roman" w:hAnsi="Times New Roman"/>
            <w:lang w:val="en-GB" w:eastAsia="en-GB"/>
          </w:rPr>
          <w:t>2013</w:t>
        </w:r>
      </w:hyperlink>
      <w:r w:rsidRPr="005444B3">
        <w:rPr>
          <w:rFonts w:ascii="Times New Roman" w:eastAsia="Times New Roman" w:hAnsi="Times New Roman"/>
          <w:lang w:val="en-GB" w:eastAsia="en-GB"/>
        </w:rPr>
        <w:fldChar w:fldCharType="end"/>
      </w:r>
      <w:r w:rsidR="006E7E93">
        <w:rPr>
          <w:rFonts w:ascii="Times New Roman" w:eastAsia="Times New Roman" w:hAnsi="Times New Roman"/>
          <w:lang w:val="en-GB" w:eastAsia="en-GB"/>
        </w:rPr>
        <w:t>)</w:t>
      </w:r>
      <w:r w:rsidR="001C03D6">
        <w:rPr>
          <w:rFonts w:ascii="Times New Roman" w:eastAsia="Times New Roman" w:hAnsi="Times New Roman"/>
          <w:lang w:val="en-GB" w:eastAsia="en-GB"/>
        </w:rPr>
        <w:t>,</w:t>
      </w:r>
      <w:r w:rsidRPr="005444B3">
        <w:rPr>
          <w:rFonts w:ascii="Times New Roman" w:eastAsia="Times New Roman" w:hAnsi="Times New Roman"/>
          <w:lang w:val="en-GB" w:eastAsia="en-GB"/>
        </w:rPr>
        <w:t xml:space="preserve"> undertook an experimental analysis of a PV module integrated with a paraffin based PCM. The PCM was incorporated with an aluminium-polymer compound to improve its thermal properties. The PCM was shown to have a higher thermal conductivity but decreased storage capacity when compared to its non-improved counterpart. Macro-encapsulated PCM bags were attached to the back of a PV and were installed in Paderborn, Germany. Temperature, current, voltage and MPP were reco</w:t>
      </w:r>
      <w:r w:rsidR="00917411">
        <w:rPr>
          <w:rFonts w:ascii="Times New Roman" w:eastAsia="Times New Roman" w:hAnsi="Times New Roman"/>
          <w:lang w:val="en-GB" w:eastAsia="en-GB"/>
        </w:rPr>
        <w:t>rded and it was found over a 25</w:t>
      </w:r>
      <w:r w:rsidR="001C03D6">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t xml:space="preserve">day period the PCM minimised daily temperature fluctuation of the surface of the PV compared to a system without PCM. Also, the non-improved PCM provided lower operating temperatures of a PV module initially although when melting occurs the improved PCM regulated the temperature for 5.5 hours compared to non-improved PCM. </w:t>
      </w:r>
    </w:p>
    <w:p w14:paraId="05F0AB3D" w14:textId="45E436D6"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Full scale outdoor experiments of the use of PCM to regulate the temperature of a PV system were u</w:t>
      </w:r>
      <w:r w:rsidRPr="00265C2C">
        <w:rPr>
          <w:rFonts w:ascii="Times New Roman" w:eastAsia="Times New Roman" w:hAnsi="Times New Roman"/>
          <w:lang w:val="en-GB" w:eastAsia="en-GB"/>
        </w:rPr>
        <w:t xml:space="preserve">ndertaken in Dublin, Ireland and Vehara, Pakistan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ADDIN EN.CITE &lt;EndNote&gt;&lt;Cite&gt;&lt;Author&gt;Hasan&lt;/Author&gt;&lt;Year&gt;2014&lt;/Year&gt;&lt;RecNum&gt;366&lt;/RecNum&gt;&lt;IDText&gt;doi:10.3390/en7031318&lt;/IDText&gt;&lt;DisplayText&gt;(Hasan et al., 2014a)&lt;/DisplayText&gt;&lt;record&gt;&lt;rec-number&gt;366&lt;/rec-number&gt;&lt;foreign-keys&gt;&lt;key app="EN" db-id="0z5fdztp6e9z5uerfrlvat9mvrxpssrs95da" timestamp="0"&gt;366&lt;/key&gt;&lt;/foreign-keys&gt;&lt;ref-type name="Journal Article"&gt;17&lt;/ref-type&gt;&lt;contributors&gt;&lt;authors&gt;&lt;author&gt;Hasan, Ahmad&lt;/author&gt;&lt;author&gt;McCormack, Sarah&lt;/author&gt;&lt;author&gt;Huang, Ming&lt;/author&gt;&lt;author&gt;Norton, Brian&lt;/author&gt;&lt;/authors&gt;&lt;/contributors&gt;&lt;titles&gt;&lt;title&gt;Energy and Cost Saving of a Photovoltaic-Phase Change Materials (PV-PCM) System through Temperature Regulation and Performance Enhancement of Photovoltaics&lt;/title&gt;&lt;secondary-title&gt;Energies&lt;/secondary-title&gt;&lt;/titles&gt;&lt;periodical&gt;&lt;full-title&gt;Energies&lt;/full-title&gt;&lt;/periodical&gt;&lt;pages&gt;1318-1331&lt;/pages&gt;&lt;volume&gt;7&lt;/volume&gt;&lt;number&gt;3&lt;/number&gt;&lt;dates&gt;&lt;year&gt;2014&lt;/year&gt;&lt;/dates&gt;&lt;isbn&gt;1996-1073&lt;/isbn&gt;&lt;work-type&gt;&lt;style face="italic" font="default" size="100%"&gt;In press&lt;/style&gt;&lt;/work-type&gt;&lt;urls&gt;&lt;related-urls&gt;&lt;url&gt;http://www.mdpi.com/1996-1073/7/3/1318 &lt;/url&gt;&lt;/related-urls&gt;&lt;/urls&gt;&lt;/record&gt;&lt;/Cite&gt;&lt;/EndNote&gt;</w:instrText>
      </w:r>
      <w:r w:rsidRPr="00265C2C">
        <w:rPr>
          <w:rFonts w:ascii="Times New Roman" w:eastAsia="Times New Roman" w:hAnsi="Times New Roman"/>
          <w:lang w:val="en-GB" w:eastAsia="en-GB"/>
        </w:rPr>
        <w:fldChar w:fldCharType="separate"/>
      </w:r>
      <w:r w:rsidRPr="00265C2C">
        <w:rPr>
          <w:rFonts w:ascii="Times New Roman" w:eastAsia="Times New Roman" w:hAnsi="Times New Roman"/>
          <w:lang w:val="en-GB" w:eastAsia="en-GB"/>
        </w:rPr>
        <w:t>(</w:t>
      </w:r>
      <w:hyperlink w:anchor="_ENREF_116" w:tooltip="Hasan, 2014 #366" w:history="1">
        <w:r w:rsidRPr="00265C2C">
          <w:rPr>
            <w:rFonts w:ascii="Times New Roman" w:eastAsia="Times New Roman" w:hAnsi="Times New Roman"/>
            <w:lang w:val="en-GB" w:eastAsia="en-GB"/>
          </w:rPr>
          <w:t>Hasan et al., 2014a</w:t>
        </w:r>
      </w:hyperlink>
      <w:r w:rsidRPr="00265C2C">
        <w:rPr>
          <w:rFonts w:ascii="Times New Roman" w:eastAsia="Times New Roman" w:hAnsi="Times New Roman"/>
          <w:lang w:val="en-GB" w:eastAsia="en-GB"/>
        </w:rPr>
        <w:t>)</w:t>
      </w:r>
      <w:r w:rsidRPr="00265C2C">
        <w:rPr>
          <w:rFonts w:ascii="Times New Roman" w:eastAsia="Times New Roman" w:hAnsi="Times New Roman"/>
          <w:lang w:val="en-GB" w:eastAsia="en-GB"/>
        </w:rPr>
        <w:fldChar w:fldCharType="end"/>
      </w:r>
      <w:r w:rsidRPr="00265C2C">
        <w:rPr>
          <w:rFonts w:ascii="Times New Roman" w:eastAsia="Times New Roman" w:hAnsi="Times New Roman"/>
          <w:lang w:val="en-GB" w:eastAsia="en-GB"/>
        </w:rPr>
        <w:t xml:space="preserve">. Three 65W PV, as in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REF _Ref384376465 \h  \* MERGEFORMAT </w:instrText>
      </w:r>
      <w:r w:rsidRPr="00265C2C">
        <w:rPr>
          <w:rFonts w:ascii="Times New Roman" w:eastAsia="Times New Roman" w:hAnsi="Times New Roman"/>
          <w:lang w:val="en-GB" w:eastAsia="en-GB"/>
        </w:rPr>
      </w:r>
      <w:r w:rsidRPr="00265C2C">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265C2C">
        <w:rPr>
          <w:rFonts w:ascii="Times New Roman" w:eastAsia="Times New Roman" w:hAnsi="Times New Roman"/>
          <w:lang w:val="en-GB" w:eastAsia="en-GB"/>
        </w:rPr>
        <w:t xml:space="preserve"> </w:t>
      </w:r>
      <w:r w:rsidRPr="00265C2C">
        <w:rPr>
          <w:rFonts w:ascii="Times New Roman" w:eastAsia="Times New Roman" w:hAnsi="Times New Roman"/>
          <w:lang w:val="en-GB" w:eastAsia="en-GB"/>
        </w:rPr>
        <w:fldChar w:fldCharType="end"/>
      </w:r>
      <w:r w:rsidR="006E7E93">
        <w:rPr>
          <w:rFonts w:ascii="Times New Roman" w:eastAsia="Times New Roman" w:hAnsi="Times New Roman"/>
          <w:lang w:val="en-GB" w:eastAsia="en-GB"/>
        </w:rPr>
        <w:t>18</w:t>
      </w:r>
      <w:r w:rsidRPr="005444B3">
        <w:rPr>
          <w:rFonts w:ascii="Times New Roman" w:eastAsia="Times New Roman" w:hAnsi="Times New Roman"/>
          <w:lang w:val="en-GB" w:eastAsia="en-GB"/>
        </w:rPr>
        <w:t>, were used in the experiment where one served as a reference and the other two were PV-PCM systems with a eutectic mixture of capric-palmitic and salt hydrate, respectively.</w:t>
      </w:r>
    </w:p>
    <w:p w14:paraId="7CE5F9A1"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lastRenderedPageBreak/>
        <w:drawing>
          <wp:inline distT="0" distB="0" distL="0" distR="0" wp14:anchorId="3D9B4424" wp14:editId="0891DDCB">
            <wp:extent cx="4710430" cy="2445385"/>
            <wp:effectExtent l="1905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710430" cy="2445385"/>
                    </a:xfrm>
                    <a:prstGeom prst="rect">
                      <a:avLst/>
                    </a:prstGeom>
                    <a:noFill/>
                    <a:ln w="9525">
                      <a:noFill/>
                      <a:miter lim="800000"/>
                      <a:headEnd/>
                      <a:tailEnd/>
                    </a:ln>
                  </pic:spPr>
                </pic:pic>
              </a:graphicData>
            </a:graphic>
          </wp:inline>
        </w:drawing>
      </w:r>
    </w:p>
    <w:p w14:paraId="1DA697B7" w14:textId="05192B18" w:rsidR="006E0A56" w:rsidRDefault="00917411" w:rsidP="00965E66">
      <w:pPr>
        <w:jc w:val="center"/>
        <w:rPr>
          <w:rFonts w:ascii="Times New Roman" w:eastAsia="Times New Roman" w:hAnsi="Times New Roman"/>
          <w:sz w:val="20"/>
          <w:szCs w:val="20"/>
          <w:lang w:val="en-GB" w:eastAsia="en-GB"/>
        </w:rPr>
      </w:pPr>
      <w:bookmarkStart w:id="33" w:name="_Ref384376465"/>
      <w:bookmarkStart w:id="34" w:name="_Toc443983062"/>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33"/>
      <w:r w:rsidR="006E7E93">
        <w:rPr>
          <w:rFonts w:ascii="Times New Roman" w:eastAsia="Times New Roman" w:hAnsi="Times New Roman"/>
          <w:sz w:val="20"/>
          <w:szCs w:val="20"/>
          <w:lang w:val="en-GB" w:eastAsia="en-GB"/>
        </w:rPr>
        <w:t>18</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Experimental set-up of PV-PCM systems, location of thermocouples and attachment of PV to PCM container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&lt;EndNote&gt;&lt;Cite&gt;&lt;Author&gt;Hasan&lt;/Author&gt;&lt;Year&gt;2014&lt;/Year&gt;&lt;RecNum&gt;366&lt;/RecNum&gt;&lt;DisplayText&gt;(Hasan et al., 2014a)&lt;/DisplayText&gt;&lt;record&gt;&lt;rec-number&gt;366&lt;/rec-number&gt;&lt;foreign-keys&gt;&lt;key app="EN" db-id="0z5fdztp6e9z5uerfrlvat9mvrxpssrs95da" timestamp="0"&gt;366&lt;/key&gt;&lt;/foreign-keys&gt;&lt;ref-type name="Journal Article"&gt;17&lt;/ref-type&gt;&lt;contributors&gt;&lt;authors&gt;&lt;author&gt;Hasan, Ahmad&lt;/author&gt;&lt;author&gt;McCormack, Sarah&lt;/author&gt;&lt;author&gt;Huang, Ming&lt;/author&gt;&lt;author&gt;Norton, Brian&lt;/author&gt;&lt;/authors&gt;&lt;/contributors&gt;&lt;titles&gt;&lt;title&gt;Energy and Cost Saving of a Photovoltaic-Phase Change Materials (PV-PCM) System through Temperature Regulation and Performance Enhancement of Photovoltaics&lt;/title&gt;&lt;secondary-title&gt;Energies&lt;/secondary-title&gt;&lt;/titles&gt;&lt;periodical&gt;&lt;full-title&gt;Energies&lt;/full-title&gt;&lt;/periodical&gt;&lt;pages&gt;1318-1331&lt;/pages&gt;&lt;volume&gt;7&lt;/volume&gt;&lt;number&gt;3&lt;/number&gt;&lt;dates&gt;&lt;year&gt;2014&lt;/year&gt;&lt;/dates&gt;&lt;isbn&gt;1996-1073&lt;/isbn&gt;&lt;work-type&gt;&lt;style face="italic" font="default" size="100%"&gt;In press&lt;/style&gt;&lt;/work-type&gt;&lt;urls&gt;&lt;related-urls&gt;&lt;url&gt;http://www.mdpi.com/1996-1073/7/3/1318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16" w:tooltip="Hasan, 2014 #366" w:history="1">
        <w:r w:rsidR="006E0A56" w:rsidRPr="00965E66">
          <w:rPr>
            <w:rFonts w:ascii="Times New Roman" w:eastAsia="Times New Roman" w:hAnsi="Times New Roman"/>
            <w:sz w:val="20"/>
            <w:szCs w:val="20"/>
            <w:lang w:val="en-GB" w:eastAsia="en-GB"/>
          </w:rPr>
          <w:t>Hasan et al., 2014a</w:t>
        </w:r>
      </w:hyperlink>
      <w:r w:rsidR="006E0A56" w:rsidRPr="00965E66">
        <w:rPr>
          <w:rFonts w:ascii="Times New Roman" w:eastAsia="Times New Roman" w:hAnsi="Times New Roman"/>
          <w:sz w:val="20"/>
          <w:szCs w:val="20"/>
          <w:lang w:val="en-GB" w:eastAsia="en-GB"/>
        </w:rPr>
        <w:t>)</w:t>
      </w:r>
      <w:bookmarkEnd w:id="34"/>
      <w:r w:rsidR="006E0A56" w:rsidRPr="00965E66">
        <w:rPr>
          <w:rFonts w:ascii="Times New Roman" w:eastAsia="Times New Roman" w:hAnsi="Times New Roman"/>
          <w:sz w:val="20"/>
          <w:szCs w:val="20"/>
          <w:lang w:val="en-GB" w:eastAsia="en-GB"/>
        </w:rPr>
        <w:fldChar w:fldCharType="end"/>
      </w:r>
    </w:p>
    <w:p w14:paraId="6A00D52A" w14:textId="77777777" w:rsidR="00CD744B" w:rsidRPr="00965E66" w:rsidRDefault="00CD744B" w:rsidP="00965E66">
      <w:pPr>
        <w:jc w:val="center"/>
        <w:rPr>
          <w:rFonts w:ascii="Times New Roman" w:eastAsia="Times New Roman" w:hAnsi="Times New Roman"/>
          <w:sz w:val="20"/>
          <w:szCs w:val="20"/>
          <w:lang w:val="en-GB" w:eastAsia="en-GB"/>
        </w:rPr>
      </w:pPr>
    </w:p>
    <w:p w14:paraId="1B1715A2"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5EF65783" wp14:editId="29CF8D9A">
            <wp:extent cx="5734721" cy="2238375"/>
            <wp:effectExtent l="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746189" cy="2242851"/>
                    </a:xfrm>
                    <a:prstGeom prst="rect">
                      <a:avLst/>
                    </a:prstGeom>
                    <a:noFill/>
                    <a:ln w="9525">
                      <a:noFill/>
                      <a:miter lim="800000"/>
                      <a:headEnd/>
                      <a:tailEnd/>
                    </a:ln>
                  </pic:spPr>
                </pic:pic>
              </a:graphicData>
            </a:graphic>
          </wp:inline>
        </w:drawing>
      </w:r>
    </w:p>
    <w:p w14:paraId="5FA5ACA2" w14:textId="0048682D" w:rsidR="006E0A56" w:rsidRPr="00965E66" w:rsidRDefault="00917411" w:rsidP="00965E66">
      <w:pPr>
        <w:jc w:val="center"/>
        <w:rPr>
          <w:rFonts w:ascii="Times New Roman" w:eastAsia="Times New Roman" w:hAnsi="Times New Roman"/>
          <w:sz w:val="20"/>
          <w:szCs w:val="20"/>
          <w:lang w:val="en-GB" w:eastAsia="en-GB"/>
        </w:rPr>
      </w:pPr>
      <w:bookmarkStart w:id="35" w:name="_Ref384376499"/>
      <w:bookmarkStart w:id="36" w:name="_Toc443983063"/>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35"/>
      <w:r w:rsidR="006E7E93">
        <w:rPr>
          <w:rFonts w:ascii="Times New Roman" w:eastAsia="Times New Roman" w:hAnsi="Times New Roman"/>
          <w:sz w:val="20"/>
          <w:szCs w:val="20"/>
          <w:lang w:val="en-GB" w:eastAsia="en-GB"/>
        </w:rPr>
        <w:t>19</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Surface temperatures of reference PV and PV-PCM systems measured in (a) Dublin and (b) Vehari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&lt;EndNote&gt;&lt;Cite&gt;&lt;Author&gt;Hasan&lt;/Author&gt;&lt;Year&gt;2014&lt;/Year&gt;&lt;RecNum&gt;366&lt;/RecNum&gt;&lt;DisplayText&gt;(Hasan et al., 2014a)&lt;/DisplayText&gt;&lt;record&gt;&lt;rec-number&gt;366&lt;/rec-number&gt;&lt;foreign-keys&gt;&lt;key app="EN" db-id="0z5fdztp6e9z5uerfrlvat9mvrxpssrs95da" timestamp="0"&gt;366&lt;/key&gt;&lt;/foreign-keys&gt;&lt;ref-type name="Journal Article"&gt;17&lt;/ref-type&gt;&lt;contributors&gt;&lt;authors&gt;&lt;author&gt;Hasan, Ahmad&lt;/author&gt;&lt;author&gt;McCormack, Sarah&lt;/author&gt;&lt;author&gt;Huang, Ming&lt;/author&gt;&lt;author&gt;Norton, Brian&lt;/author&gt;&lt;/authors&gt;&lt;/contributors&gt;&lt;titles&gt;&lt;title&gt;Energy and Cost Saving of a Photovoltaic-Phase Change Materials (PV-PCM) System through Temperature Regulation and Performance Enhancement of Photovoltaics&lt;/title&gt;&lt;secondary-title&gt;Energies&lt;/secondary-title&gt;&lt;/titles&gt;&lt;periodical&gt;&lt;full-title&gt;Energies&lt;/full-title&gt;&lt;/periodical&gt;&lt;pages&gt;1318-1331&lt;/pages&gt;&lt;volume&gt;7&lt;/volume&gt;&lt;number&gt;3&lt;/number&gt;&lt;dates&gt;&lt;year&gt;2014&lt;/year&gt;&lt;/dates&gt;&lt;isbn&gt;1996-1073&lt;/isbn&gt;&lt;work-type&gt;&lt;style face="italic" font="default" size="100%"&gt;In press&lt;/style&gt;&lt;/work-type&gt;&lt;urls&gt;&lt;related-urls&gt;&lt;url&gt;http://www.mdpi.com/1996-1073/7/3/1318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16" w:tooltip="Hasan, 2014 #366" w:history="1">
        <w:r w:rsidR="006E0A56" w:rsidRPr="00965E66">
          <w:rPr>
            <w:rFonts w:ascii="Times New Roman" w:eastAsia="Times New Roman" w:hAnsi="Times New Roman"/>
            <w:sz w:val="20"/>
            <w:szCs w:val="20"/>
            <w:lang w:val="en-GB" w:eastAsia="en-GB"/>
          </w:rPr>
          <w:t>Hasan et al., 2014a</w:t>
        </w:r>
      </w:hyperlink>
      <w:r w:rsidR="006E0A56" w:rsidRPr="00965E66">
        <w:rPr>
          <w:rFonts w:ascii="Times New Roman" w:eastAsia="Times New Roman" w:hAnsi="Times New Roman"/>
          <w:sz w:val="20"/>
          <w:szCs w:val="20"/>
          <w:lang w:val="en-GB" w:eastAsia="en-GB"/>
        </w:rPr>
        <w:t>)</w:t>
      </w:r>
      <w:bookmarkEnd w:id="36"/>
      <w:r w:rsidR="006E0A56" w:rsidRPr="00965E66">
        <w:rPr>
          <w:rFonts w:ascii="Times New Roman" w:eastAsia="Times New Roman" w:hAnsi="Times New Roman"/>
          <w:sz w:val="20"/>
          <w:szCs w:val="20"/>
          <w:lang w:val="en-GB" w:eastAsia="en-GB"/>
        </w:rPr>
        <w:fldChar w:fldCharType="end"/>
      </w:r>
    </w:p>
    <w:p w14:paraId="71DCB94F" w14:textId="0A4131A3"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The results were compared at peak instantaneous temperature of the reference PV. Capric:palmitic PV-PCM system regulated the PV by 7 °C and the PV-PCM system with salt hydrate maintained a temperature reduction of 10 °C compared to the reference PV as illustrated in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REF _Ref384376499 \h  \* MERGEFORMAT </w:instrText>
      </w:r>
      <w:r w:rsidRPr="00265C2C">
        <w:rPr>
          <w:rFonts w:ascii="Times New Roman" w:eastAsia="Times New Roman" w:hAnsi="Times New Roman"/>
          <w:lang w:val="en-GB" w:eastAsia="en-GB"/>
        </w:rPr>
      </w:r>
      <w:r w:rsidRPr="00265C2C">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265C2C">
        <w:rPr>
          <w:rFonts w:ascii="Times New Roman" w:eastAsia="Times New Roman" w:hAnsi="Times New Roman"/>
          <w:lang w:val="en-GB" w:eastAsia="en-GB"/>
        </w:rPr>
        <w:t xml:space="preserve"> </w:t>
      </w:r>
      <w:r w:rsidRPr="00265C2C">
        <w:rPr>
          <w:rFonts w:ascii="Times New Roman" w:eastAsia="Times New Roman" w:hAnsi="Times New Roman"/>
          <w:lang w:val="en-GB" w:eastAsia="en-GB"/>
        </w:rPr>
        <w:fldChar w:fldCharType="end"/>
      </w:r>
      <w:r w:rsidR="006E7E93">
        <w:rPr>
          <w:rFonts w:ascii="Times New Roman" w:eastAsia="Times New Roman" w:hAnsi="Times New Roman"/>
          <w:lang w:val="en-GB" w:eastAsia="en-GB"/>
        </w:rPr>
        <w:t>19</w:t>
      </w:r>
      <w:r w:rsidRPr="00265C2C">
        <w:rPr>
          <w:rFonts w:ascii="Times New Roman" w:eastAsia="Times New Roman" w:hAnsi="Times New Roman"/>
          <w:lang w:val="en-GB" w:eastAsia="en-GB"/>
        </w:rPr>
        <w:t xml:space="preserve">(a). This trend was also shown in Vehari, where capric:palmitic maintained a temperature reduction of 10 °C and salt hydrate 21 °C when compared to the reference PV as shown in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REF _Ref384376499 \h  \* MERGEFORMAT </w:instrText>
      </w:r>
      <w:r w:rsidRPr="00265C2C">
        <w:rPr>
          <w:rFonts w:ascii="Times New Roman" w:eastAsia="Times New Roman" w:hAnsi="Times New Roman"/>
          <w:lang w:val="en-GB" w:eastAsia="en-GB"/>
        </w:rPr>
      </w:r>
      <w:r w:rsidRPr="00265C2C">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265C2C">
        <w:rPr>
          <w:rFonts w:ascii="Times New Roman" w:eastAsia="Times New Roman" w:hAnsi="Times New Roman"/>
          <w:lang w:val="en-GB" w:eastAsia="en-GB"/>
        </w:rPr>
        <w:t xml:space="preserve"> </w:t>
      </w:r>
      <w:r w:rsidRPr="00265C2C">
        <w:rPr>
          <w:rFonts w:ascii="Times New Roman" w:eastAsia="Times New Roman" w:hAnsi="Times New Roman"/>
          <w:lang w:val="en-GB" w:eastAsia="en-GB"/>
        </w:rPr>
        <w:fldChar w:fldCharType="end"/>
      </w:r>
      <w:r w:rsidR="006E7E93">
        <w:rPr>
          <w:rFonts w:ascii="Times New Roman" w:eastAsia="Times New Roman" w:hAnsi="Times New Roman"/>
          <w:lang w:val="en-GB" w:eastAsia="en-GB"/>
        </w:rPr>
        <w:t>19</w:t>
      </w:r>
      <w:r w:rsidRPr="00265C2C">
        <w:rPr>
          <w:rFonts w:ascii="Times New Roman" w:eastAsia="Times New Roman" w:hAnsi="Times New Roman"/>
          <w:lang w:val="en-GB" w:eastAsia="en-GB"/>
        </w:rPr>
        <w:t>(b).</w:t>
      </w:r>
    </w:p>
    <w:p w14:paraId="3BBE1292" w14:textId="0929870B"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Lo Brano et al. </w:t>
      </w:r>
      <w:r w:rsidR="006E7E9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begin">
          <w:fldData xml:space="preserve">PEVuZE5vdGU+PENpdGUgRXhjbHVkZUF1dGg9IjEiPjxBdXRob3I+TG8gQnJhbm88L0F1dGhvcj48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==
</w:fldData>
        </w:fldChar>
      </w:r>
      <w:r w:rsidRPr="001C03D6">
        <w:rPr>
          <w:rFonts w:ascii="Times New Roman" w:eastAsia="Times New Roman" w:hAnsi="Times New Roman"/>
          <w:lang w:val="en-GB" w:eastAsia="en-GB"/>
        </w:rPr>
        <w:instrText xml:space="preserve"> ADDIN EN.CITE </w:instrText>
      </w:r>
      <w:r w:rsidRPr="001C03D6">
        <w:rPr>
          <w:rFonts w:ascii="Times New Roman" w:eastAsia="Times New Roman" w:hAnsi="Times New Roman"/>
          <w:lang w:val="en-GB" w:eastAsia="en-GB"/>
        </w:rPr>
        <w:fldChar w:fldCharType="begin">
          <w:fldData xml:space="preserve">PEVuZE5vdGU+PENpdGUgRXhjbHVkZUF1dGg9IjEiPjxBdXRob3I+TG8gQnJhbm88L0F1dGhvcj48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==
</w:fldData>
        </w:fldChar>
      </w:r>
      <w:r w:rsidRPr="001C03D6">
        <w:rPr>
          <w:rFonts w:ascii="Times New Roman" w:eastAsia="Times New Roman" w:hAnsi="Times New Roman"/>
          <w:lang w:val="en-GB" w:eastAsia="en-GB"/>
        </w:rPr>
        <w:instrText xml:space="preserve"> ADDIN EN.CITE.DATA </w:instrText>
      </w:r>
      <w:r w:rsidRPr="001C03D6">
        <w:rPr>
          <w:rFonts w:ascii="Times New Roman" w:eastAsia="Times New Roman" w:hAnsi="Times New Roman"/>
          <w:lang w:val="en-GB" w:eastAsia="en-GB"/>
        </w:rPr>
      </w:r>
      <w:r w:rsidRPr="001C03D6">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hyperlink w:anchor="_ENREF_195" w:tooltip="Lo Brano, 2013 #357" w:history="1">
        <w:r w:rsidRPr="001C03D6">
          <w:rPr>
            <w:rFonts w:ascii="Times New Roman" w:eastAsia="Times New Roman" w:hAnsi="Times New Roman"/>
            <w:lang w:val="en-GB" w:eastAsia="en-GB"/>
          </w:rPr>
          <w:t>2013</w:t>
        </w:r>
      </w:hyperlink>
      <w:r w:rsidRPr="001C03D6">
        <w:rPr>
          <w:rFonts w:ascii="Times New Roman" w:eastAsia="Times New Roman" w:hAnsi="Times New Roman"/>
          <w:lang w:val="en-GB" w:eastAsia="en-GB"/>
        </w:rPr>
        <w:t xml:space="preserve">; </w:t>
      </w:r>
      <w:hyperlink w:anchor="_ENREF_196" w:tooltip="Lo Brano, 2014 #393" w:history="1">
        <w:r w:rsidRPr="001C03D6">
          <w:rPr>
            <w:rFonts w:ascii="Times New Roman" w:eastAsia="Times New Roman" w:hAnsi="Times New Roman"/>
            <w:lang w:val="en-GB" w:eastAsia="en-GB"/>
          </w:rPr>
          <w:t>2014</w:t>
        </w:r>
      </w:hyperlink>
      <w:r w:rsidRPr="001C03D6">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developed a one-dimen</w:t>
      </w:r>
      <w:r w:rsidR="006E7E93">
        <w:rPr>
          <w:rFonts w:ascii="Times New Roman" w:eastAsia="Times New Roman" w:hAnsi="Times New Roman"/>
          <w:lang w:val="en-GB" w:eastAsia="en-GB"/>
        </w:rPr>
        <w:t>sional finite difference model that</w:t>
      </w:r>
      <w:r w:rsidRPr="005444B3">
        <w:rPr>
          <w:rFonts w:ascii="Times New Roman" w:eastAsia="Times New Roman" w:hAnsi="Times New Roman"/>
          <w:lang w:val="en-GB" w:eastAsia="en-GB"/>
        </w:rPr>
        <w:t xml:space="preserve"> simulated the variable temperature profile of PV, the temperature change in the PCM and melting fraction of the PCM. In the model first the temperature at each node was calculated then the liquid fraction </w:t>
      </w:r>
      <w:r w:rsidRPr="005444B3">
        <w:rPr>
          <w:rFonts w:ascii="Times New Roman" w:eastAsia="Times New Roman" w:hAnsi="Times New Roman"/>
          <w:lang w:val="en-GB" w:eastAsia="en-GB"/>
        </w:rPr>
        <w:lastRenderedPageBreak/>
        <w:t xml:space="preserve">of the PCM. The simulation was validated using data derived from a full scale experiment in Palermo, Italy illustrated in </w:t>
      </w:r>
      <w:r w:rsidRPr="00265C2C">
        <w:rPr>
          <w:rFonts w:ascii="Times New Roman" w:eastAsia="Times New Roman" w:hAnsi="Times New Roman"/>
          <w:lang w:val="en-GB" w:eastAsia="en-GB"/>
        </w:rPr>
        <w:fldChar w:fldCharType="begin"/>
      </w:r>
      <w:r w:rsidRPr="00265C2C">
        <w:rPr>
          <w:rFonts w:ascii="Times New Roman" w:eastAsia="Times New Roman" w:hAnsi="Times New Roman"/>
          <w:lang w:val="en-GB" w:eastAsia="en-GB"/>
        </w:rPr>
        <w:instrText xml:space="preserve"> REF _Ref384376340 \h  \* MERGEFORMAT </w:instrText>
      </w:r>
      <w:r w:rsidRPr="00265C2C">
        <w:rPr>
          <w:rFonts w:ascii="Times New Roman" w:eastAsia="Times New Roman" w:hAnsi="Times New Roman"/>
          <w:lang w:val="en-GB" w:eastAsia="en-GB"/>
        </w:rPr>
      </w:r>
      <w:r w:rsidRPr="00265C2C">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265C2C">
        <w:rPr>
          <w:rFonts w:ascii="Times New Roman" w:eastAsia="Times New Roman" w:hAnsi="Times New Roman"/>
          <w:lang w:val="en-GB" w:eastAsia="en-GB"/>
        </w:rPr>
        <w:t xml:space="preserve"> </w:t>
      </w:r>
      <w:r w:rsidR="00265C2C" w:rsidRPr="00265C2C">
        <w:rPr>
          <w:rFonts w:ascii="Times New Roman" w:eastAsia="Times New Roman" w:hAnsi="Times New Roman"/>
          <w:lang w:val="en-GB" w:eastAsia="en-GB"/>
        </w:rPr>
        <w:t>2</w:t>
      </w:r>
      <w:r w:rsidRPr="00265C2C">
        <w:rPr>
          <w:rFonts w:ascii="Times New Roman" w:eastAsia="Times New Roman" w:hAnsi="Times New Roman"/>
          <w:lang w:val="en-GB" w:eastAsia="en-GB"/>
        </w:rPr>
        <w:fldChar w:fldCharType="end"/>
      </w:r>
      <w:r w:rsidR="00273453">
        <w:rPr>
          <w:rFonts w:ascii="Times New Roman" w:eastAsia="Times New Roman" w:hAnsi="Times New Roman"/>
          <w:lang w:val="en-GB" w:eastAsia="en-GB"/>
        </w:rPr>
        <w:t>0</w:t>
      </w:r>
      <w:r w:rsidRPr="00265C2C">
        <w:rPr>
          <w:rFonts w:ascii="Times New Roman" w:eastAsia="Times New Roman" w:hAnsi="Times New Roman"/>
          <w:lang w:val="en-GB" w:eastAsia="en-GB"/>
        </w:rPr>
        <w:t>.</w:t>
      </w:r>
    </w:p>
    <w:p w14:paraId="05DB4315"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206F3903" wp14:editId="65EAEF7F">
            <wp:extent cx="4231640" cy="3168650"/>
            <wp:effectExtent l="19050" t="0" r="0" b="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4231640" cy="3168650"/>
                    </a:xfrm>
                    <a:prstGeom prst="rect">
                      <a:avLst/>
                    </a:prstGeom>
                    <a:noFill/>
                    <a:ln w="9525">
                      <a:noFill/>
                      <a:miter lim="800000"/>
                      <a:headEnd/>
                      <a:tailEnd/>
                    </a:ln>
                  </pic:spPr>
                </pic:pic>
              </a:graphicData>
            </a:graphic>
          </wp:inline>
        </w:drawing>
      </w:r>
    </w:p>
    <w:p w14:paraId="47A94084" w14:textId="22335A41" w:rsidR="006E0A56" w:rsidRPr="00965E66" w:rsidRDefault="00917411" w:rsidP="00965E66">
      <w:pPr>
        <w:jc w:val="center"/>
        <w:rPr>
          <w:rFonts w:ascii="Times New Roman" w:eastAsia="Times New Roman" w:hAnsi="Times New Roman"/>
          <w:sz w:val="20"/>
          <w:szCs w:val="20"/>
          <w:lang w:val="en-GB" w:eastAsia="en-GB"/>
        </w:rPr>
      </w:pPr>
      <w:bookmarkStart w:id="37" w:name="_Ref384376340"/>
      <w:bookmarkStart w:id="38" w:name="_Toc443983064"/>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37"/>
      <w:r w:rsidR="00AB02F7">
        <w:rPr>
          <w:rFonts w:ascii="Times New Roman" w:eastAsia="Times New Roman" w:hAnsi="Times New Roman"/>
          <w:sz w:val="20"/>
          <w:szCs w:val="20"/>
          <w:lang w:val="en-GB" w:eastAsia="en-GB"/>
        </w:rPr>
        <w:t>2</w:t>
      </w:r>
      <w:r w:rsidR="00273453">
        <w:rPr>
          <w:rFonts w:ascii="Times New Roman" w:eastAsia="Times New Roman" w:hAnsi="Times New Roman"/>
          <w:sz w:val="20"/>
          <w:szCs w:val="20"/>
          <w:lang w:val="en-GB" w:eastAsia="en-GB"/>
        </w:rPr>
        <w:t>0</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Encapsulation of PCM and experimental installation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&lt;EndNote&gt;&lt;Cite&gt;&lt;Author&gt;Lo Brano&lt;/Author&gt;&lt;Year&gt;2013&lt;/Year&gt;&lt;RecNum&gt;357&lt;/RecNum&gt;&lt;IDText&gt;doi:10.3390/en6126188&lt;/IDText&gt;&lt;DisplayText&gt;(Lo Brano et al., 2013)&lt;/DisplayText&gt;&lt;record&gt;&lt;rec-number&gt;357&lt;/rec-number&gt;&lt;foreign-keys&gt;&lt;key app="EN" db-id="0z5fdztp6e9z5uerfrlvat9mvrxpssrs95da" timestamp="0"&gt;357&lt;/key&gt;&lt;/foreign-keys&gt;&lt;ref-type name="Journal Article"&gt;17&lt;/ref-type&gt;&lt;contributors&gt;&lt;authors&gt;&lt;author&gt;Lo Brano, Valerio&lt;/author&gt;&lt;author&gt;Ciulla, Giuseppina&lt;/author&gt;&lt;author&gt;Piacentino, Antonio&lt;/author&gt;&lt;author&gt;Cardona, Fabio&lt;/author&gt;&lt;/authors&gt;&lt;/contributors&gt;&lt;titles&gt;&lt;title&gt;On the Efficacy of PCM to Shave Peak Temperature of Crystalline Photovoltaic Panels: An FDM Model and Field Validation&lt;/title&gt;&lt;secondary-title&gt;Energies&lt;/secondary-title&gt;&lt;/titles&gt;&lt;periodical&gt;&lt;full-title&gt;Energies&lt;/full-title&gt;&lt;/periodical&gt;&lt;pages&gt;6188-6210&lt;/pages&gt;&lt;volume&gt;6&lt;/volume&gt;&lt;number&gt;12&lt;/number&gt;&lt;dates&gt;&lt;year&gt;2013&lt;/year&gt;&lt;/dates&gt;&lt;isbn&gt;1996-1073&lt;/isbn&gt;&lt;accession-num&gt;doi:10.3390/en6126188&lt;/accession-num&gt;&lt;urls&gt;&lt;related-urls&gt;&lt;url&gt;http://www.mdpi.com/1996-1073/6/12/6188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195" w:tooltip="Lo Brano, 2013 #357" w:history="1">
        <w:r w:rsidR="006E0A56" w:rsidRPr="00965E66">
          <w:rPr>
            <w:rFonts w:ascii="Times New Roman" w:eastAsia="Times New Roman" w:hAnsi="Times New Roman"/>
            <w:sz w:val="20"/>
            <w:szCs w:val="20"/>
            <w:lang w:val="en-GB" w:eastAsia="en-GB"/>
          </w:rPr>
          <w:t>Lo Brano et al., 2013</w:t>
        </w:r>
      </w:hyperlink>
      <w:r w:rsidR="006E0A56" w:rsidRPr="00965E66">
        <w:rPr>
          <w:rFonts w:ascii="Times New Roman" w:eastAsia="Times New Roman" w:hAnsi="Times New Roman"/>
          <w:sz w:val="20"/>
          <w:szCs w:val="20"/>
          <w:lang w:val="en-GB" w:eastAsia="en-GB"/>
        </w:rPr>
        <w:t>)</w:t>
      </w:r>
      <w:bookmarkEnd w:id="38"/>
      <w:r w:rsidR="006E0A56" w:rsidRPr="00965E66">
        <w:rPr>
          <w:rFonts w:ascii="Times New Roman" w:eastAsia="Times New Roman" w:hAnsi="Times New Roman"/>
          <w:sz w:val="20"/>
          <w:szCs w:val="20"/>
          <w:lang w:val="en-GB" w:eastAsia="en-GB"/>
        </w:rPr>
        <w:fldChar w:fldCharType="end"/>
      </w:r>
    </w:p>
    <w:p w14:paraId="570A81A7" w14:textId="77777777" w:rsidR="00965E66" w:rsidRDefault="00965E66" w:rsidP="006E0A56">
      <w:pPr>
        <w:rPr>
          <w:rFonts w:ascii="Times New Roman" w:eastAsia="Times New Roman" w:hAnsi="Times New Roman"/>
          <w:lang w:val="en-GB" w:eastAsia="en-GB"/>
        </w:rPr>
      </w:pPr>
    </w:p>
    <w:p w14:paraId="431CD129" w14:textId="56DC287F"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The phase change temperature of the PCM was 26 ºC – 28 ºC and experimental results were in agreement with simulations. The investigation demonstrated that discharging at night is essential to PCM performance. At night, it was found the PCM would not discharge fully as the temperature of the PCM is higher than the solidification temperature therefore it was unable to solidify so no latent heat storage capacity was available for the next day.</w:t>
      </w:r>
    </w:p>
    <w:p w14:paraId="4390D721" w14:textId="774606BD" w:rsidR="006E0A56" w:rsidRPr="005444B3" w:rsidRDefault="006E0A56" w:rsidP="00965E66">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Using computational fluid dynamics (CFD) a 2D model was developed assessing the heat and mass transfer of PCM located in the back of a PV panel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&lt;EndNote&gt;&lt;Cite&gt;&lt;Author&gt;Biwole&lt;/Author&gt;&lt;Year&gt;2013&lt;/Year&gt;&lt;RecNum&gt;141&lt;/RecNum&gt;&lt;DisplayText&gt;(Biwole et al., 2013)&lt;/DisplayText&gt;&lt;record&gt;&lt;rec-number&gt;141&lt;/rec-number&gt;&lt;foreign-keys&gt;&lt;key app="EN" db-id="0z5fdztp6e9z5uerfrlvat9mvrxpssrs95da" timestamp="0"&gt;141&lt;/key&gt;&lt;/foreign-keys&gt;&lt;ref-type name="Journal Article"&gt;17&lt;/ref-type&gt;&lt;contributors&gt;&lt;authors&gt;&lt;author&gt;Biwole, Pascal Henry&lt;/author&gt;&lt;author&gt;Eclache, Pierre&lt;/author&gt;&lt;author&gt;Kuznik, Frederic&lt;/author&gt;&lt;/authors&gt;&lt;/contributors&gt;&lt;titles&gt;&lt;title&gt;Phase-change materials to improve solar panel&amp;apos;s performance&lt;/title&gt;&lt;secondary-title&gt;Energy and Buildings&lt;/secondary-title&gt;&lt;/titles&gt;&lt;periodical&gt;&lt;full-title&gt;Energy and Buildings&lt;/full-title&gt;&lt;/periodical&gt;&lt;pages&gt;59-67&lt;/pages&gt;&lt;volume&gt;62&lt;/volume&gt;&lt;number&gt;0&lt;/number&gt;&lt;keywords&gt;&lt;keyword&gt;Solar panel&lt;/keyword&gt;&lt;keyword&gt;Operating temperature&lt;/keyword&gt;&lt;keyword&gt;Phase change material&lt;/keyword&gt;&lt;/keywords&gt;&lt;dates&gt;&lt;year&gt;2013&lt;/year&gt;&lt;/dates&gt;&lt;urls&gt;&lt;related-urls&gt;&lt;url&gt;http://www.sciencedirect.com/science/article/pii/S0378778813001539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31" w:tooltip="Biwole, 2013 #141" w:history="1">
        <w:r w:rsidRPr="005444B3">
          <w:rPr>
            <w:rFonts w:ascii="Times New Roman" w:eastAsia="Times New Roman" w:hAnsi="Times New Roman"/>
            <w:lang w:val="en-GB" w:eastAsia="en-GB"/>
          </w:rPr>
          <w:t>Biwole et al., 2013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An indoor validation experiment was conducted</w:t>
      </w:r>
      <w:r w:rsidR="00273453">
        <w:rPr>
          <w:rFonts w:ascii="Times New Roman" w:eastAsia="Times New Roman" w:hAnsi="Times New Roman"/>
          <w:lang w:val="en-GB" w:eastAsia="en-GB"/>
        </w:rPr>
        <w:t xml:space="preserve"> using t</w:t>
      </w:r>
      <w:r w:rsidRPr="005444B3">
        <w:rPr>
          <w:rFonts w:ascii="Times New Roman" w:eastAsia="Times New Roman" w:hAnsi="Times New Roman"/>
          <w:lang w:val="en-GB" w:eastAsia="en-GB"/>
        </w:rPr>
        <w:t xml:space="preserve">he set-up shown in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_Ref384376316 \h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r w:rsidR="00917411">
        <w:rPr>
          <w:rFonts w:ascii="Times New Roman" w:eastAsia="Times New Roman" w:hAnsi="Times New Roman"/>
          <w:lang w:val="en-GB" w:eastAsia="en-GB"/>
        </w:rPr>
        <w:t>Fig.</w:t>
      </w:r>
      <w:r w:rsidRPr="005444B3">
        <w:rPr>
          <w:rFonts w:ascii="Times New Roman" w:eastAsia="Times New Roman" w:hAnsi="Times New Roman"/>
          <w:lang w:val="en-GB" w:eastAsia="en-GB"/>
        </w:rPr>
        <w:t xml:space="preserve"> </w:t>
      </w:r>
      <w:r w:rsidR="00265C2C">
        <w:rPr>
          <w:rFonts w:ascii="Times New Roman" w:eastAsia="Times New Roman" w:hAnsi="Times New Roman"/>
          <w:lang w:val="en-GB" w:eastAsia="en-GB"/>
        </w:rPr>
        <w:t>2</w:t>
      </w:r>
      <w:r w:rsidRPr="005444B3">
        <w:rPr>
          <w:rFonts w:ascii="Times New Roman" w:eastAsia="Times New Roman" w:hAnsi="Times New Roman"/>
          <w:lang w:val="en-GB" w:eastAsia="en-GB"/>
        </w:rPr>
        <w:fldChar w:fldCharType="end"/>
      </w:r>
      <w:r w:rsidR="00273453">
        <w:rPr>
          <w:rFonts w:ascii="Times New Roman" w:eastAsia="Times New Roman" w:hAnsi="Times New Roman"/>
          <w:lang w:val="en-GB" w:eastAsia="en-GB"/>
        </w:rPr>
        <w:t>1</w:t>
      </w:r>
      <w:r w:rsidRPr="005444B3">
        <w:rPr>
          <w:rFonts w:ascii="Times New Roman" w:eastAsia="Times New Roman" w:hAnsi="Times New Roman"/>
          <w:lang w:val="en-GB" w:eastAsia="en-GB"/>
        </w:rPr>
        <w:t xml:space="preserve">. </w:t>
      </w:r>
    </w:p>
    <w:p w14:paraId="2699E089" w14:textId="77777777" w:rsidR="006E0A56" w:rsidRPr="005444B3" w:rsidRDefault="006E0A56" w:rsidP="006E0A56">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lastRenderedPageBreak/>
        <w:drawing>
          <wp:inline distT="0" distB="0" distL="0" distR="0" wp14:anchorId="00F2B8F3" wp14:editId="7AAE05A2">
            <wp:extent cx="4965700" cy="2806700"/>
            <wp:effectExtent l="19050" t="0" r="6350" b="0"/>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4965700" cy="2806700"/>
                    </a:xfrm>
                    <a:prstGeom prst="rect">
                      <a:avLst/>
                    </a:prstGeom>
                    <a:noFill/>
                    <a:ln w="9525">
                      <a:noFill/>
                      <a:miter lim="800000"/>
                      <a:headEnd/>
                      <a:tailEnd/>
                    </a:ln>
                  </pic:spPr>
                </pic:pic>
              </a:graphicData>
            </a:graphic>
          </wp:inline>
        </w:drawing>
      </w:r>
    </w:p>
    <w:p w14:paraId="7847AF8C" w14:textId="19FA4D7D" w:rsidR="006E0A56" w:rsidRPr="00965E66" w:rsidRDefault="00917411" w:rsidP="00965E66">
      <w:pPr>
        <w:jc w:val="center"/>
        <w:rPr>
          <w:rFonts w:ascii="Times New Roman" w:eastAsia="Times New Roman" w:hAnsi="Times New Roman"/>
          <w:sz w:val="20"/>
          <w:szCs w:val="20"/>
          <w:lang w:val="en-GB" w:eastAsia="en-GB"/>
        </w:rPr>
      </w:pPr>
      <w:bookmarkStart w:id="39" w:name="_Ref384376316"/>
      <w:bookmarkStart w:id="40" w:name="_Toc443983065"/>
      <w:r>
        <w:rPr>
          <w:rFonts w:ascii="Times New Roman" w:eastAsia="Times New Roman" w:hAnsi="Times New Roman"/>
          <w:sz w:val="20"/>
          <w:szCs w:val="20"/>
          <w:lang w:val="en-GB" w:eastAsia="en-GB"/>
        </w:rPr>
        <w:t>Fig.</w:t>
      </w:r>
      <w:r w:rsidR="006E0A56" w:rsidRPr="00965E66">
        <w:rPr>
          <w:rFonts w:ascii="Times New Roman" w:eastAsia="Times New Roman" w:hAnsi="Times New Roman"/>
          <w:sz w:val="20"/>
          <w:szCs w:val="20"/>
          <w:lang w:val="en-GB" w:eastAsia="en-GB"/>
        </w:rPr>
        <w:t xml:space="preserve"> </w:t>
      </w:r>
      <w:bookmarkEnd w:id="39"/>
      <w:r w:rsidR="00AB02F7">
        <w:rPr>
          <w:rFonts w:ascii="Times New Roman" w:eastAsia="Times New Roman" w:hAnsi="Times New Roman"/>
          <w:sz w:val="20"/>
          <w:szCs w:val="20"/>
          <w:lang w:val="en-GB" w:eastAsia="en-GB"/>
        </w:rPr>
        <w:t>2</w:t>
      </w:r>
      <w:r w:rsidR="00681193">
        <w:rPr>
          <w:rFonts w:ascii="Times New Roman" w:eastAsia="Times New Roman" w:hAnsi="Times New Roman"/>
          <w:sz w:val="20"/>
          <w:szCs w:val="20"/>
          <w:lang w:val="en-GB" w:eastAsia="en-GB"/>
        </w:rPr>
        <w:t>1</w:t>
      </w:r>
      <w:r>
        <w:rPr>
          <w:rFonts w:ascii="Times New Roman" w:eastAsia="Times New Roman" w:hAnsi="Times New Roman"/>
          <w:sz w:val="20"/>
          <w:szCs w:val="20"/>
          <w:lang w:val="en-GB" w:eastAsia="en-GB"/>
        </w:rPr>
        <w:t>.</w:t>
      </w:r>
      <w:r w:rsidR="006E0A56" w:rsidRPr="00965E66">
        <w:rPr>
          <w:rFonts w:ascii="Times New Roman" w:eastAsia="Times New Roman" w:hAnsi="Times New Roman"/>
          <w:sz w:val="20"/>
          <w:szCs w:val="20"/>
          <w:lang w:val="en-GB" w:eastAsia="en-GB"/>
        </w:rPr>
        <w:t xml:space="preserve"> Experimental equipment (1) PCM, (2) heat exchangers, (3) PCM intake valve, (4) structure system, (5) flowmeter, (6) air intake valve, (7) metal stand and (8) insulation material </w:t>
      </w:r>
      <w:r w:rsidR="006E0A56" w:rsidRPr="00965E66">
        <w:rPr>
          <w:rFonts w:ascii="Times New Roman" w:eastAsia="Times New Roman" w:hAnsi="Times New Roman"/>
          <w:sz w:val="20"/>
          <w:szCs w:val="20"/>
          <w:lang w:val="en-GB" w:eastAsia="en-GB"/>
        </w:rPr>
        <w:fldChar w:fldCharType="begin"/>
      </w:r>
      <w:r w:rsidR="006E0A56" w:rsidRPr="00965E66">
        <w:rPr>
          <w:rFonts w:ascii="Times New Roman" w:eastAsia="Times New Roman" w:hAnsi="Times New Roman"/>
          <w:sz w:val="20"/>
          <w:szCs w:val="20"/>
          <w:lang w:val="en-GB" w:eastAsia="en-GB"/>
        </w:rPr>
        <w:instrText xml:space="preserve"> ADDIN EN.CITE &lt;EndNote&gt;&lt;Cite&gt;&lt;Author&gt;Biwole&lt;/Author&gt;&lt;Year&gt;2013&lt;/Year&gt;&lt;RecNum&gt;141&lt;/RecNum&gt;&lt;DisplayText&gt;(Biwole et al., 2013)&lt;/DisplayText&gt;&lt;record&gt;&lt;rec-number&gt;141&lt;/rec-number&gt;&lt;foreign-keys&gt;&lt;key app="EN" db-id="0z5fdztp6e9z5uerfrlvat9mvrxpssrs95da" timestamp="0"&gt;141&lt;/key&gt;&lt;/foreign-keys&gt;&lt;ref-type name="Journal Article"&gt;17&lt;/ref-type&gt;&lt;contributors&gt;&lt;authors&gt;&lt;author&gt;Biwole, Pascal Henry&lt;/author&gt;&lt;author&gt;Eclache, Pierre&lt;/author&gt;&lt;author&gt;Kuznik, Frederic&lt;/author&gt;&lt;/authors&gt;&lt;/contributors&gt;&lt;titles&gt;&lt;title&gt;Phase-change materials to improve solar panel&amp;apos;s performance&lt;/title&gt;&lt;secondary-title&gt;Energy and Buildings&lt;/secondary-title&gt;&lt;/titles&gt;&lt;periodical&gt;&lt;full-title&gt;Energy and Buildings&lt;/full-title&gt;&lt;/periodical&gt;&lt;pages&gt;59-67&lt;/pages&gt;&lt;volume&gt;62&lt;/volume&gt;&lt;number&gt;0&lt;/number&gt;&lt;keywords&gt;&lt;keyword&gt;Solar panel&lt;/keyword&gt;&lt;keyword&gt;Operating temperature&lt;/keyword&gt;&lt;keyword&gt;Phase change material&lt;/keyword&gt;&lt;/keywords&gt;&lt;dates&gt;&lt;year&gt;2013&lt;/year&gt;&lt;/dates&gt;&lt;urls&gt;&lt;related-urls&gt;&lt;url&gt;http://www.sciencedirect.com/science/article/pii/S0378778813001539 &lt;/url&gt;&lt;/related-urls&gt;&lt;/urls&gt;&lt;/record&gt;&lt;/Cite&gt;&lt;/EndNote&gt;</w:instrText>
      </w:r>
      <w:r w:rsidR="006E0A56" w:rsidRPr="00965E66">
        <w:rPr>
          <w:rFonts w:ascii="Times New Roman" w:eastAsia="Times New Roman" w:hAnsi="Times New Roman"/>
          <w:sz w:val="20"/>
          <w:szCs w:val="20"/>
          <w:lang w:val="en-GB" w:eastAsia="en-GB"/>
        </w:rPr>
        <w:fldChar w:fldCharType="separate"/>
      </w:r>
      <w:r w:rsidR="006E0A56" w:rsidRPr="00965E66">
        <w:rPr>
          <w:rFonts w:ascii="Times New Roman" w:eastAsia="Times New Roman" w:hAnsi="Times New Roman"/>
          <w:sz w:val="20"/>
          <w:szCs w:val="20"/>
          <w:lang w:val="en-GB" w:eastAsia="en-GB"/>
        </w:rPr>
        <w:t>(</w:t>
      </w:r>
      <w:hyperlink w:anchor="_ENREF_31" w:tooltip="Biwole, 2013 #141" w:history="1">
        <w:r w:rsidR="006E0A56" w:rsidRPr="00965E66">
          <w:rPr>
            <w:rFonts w:ascii="Times New Roman" w:eastAsia="Times New Roman" w:hAnsi="Times New Roman"/>
            <w:sz w:val="20"/>
            <w:szCs w:val="20"/>
            <w:lang w:val="en-GB" w:eastAsia="en-GB"/>
          </w:rPr>
          <w:t>Biwole et al., 2013</w:t>
        </w:r>
      </w:hyperlink>
      <w:r w:rsidR="006E0A56" w:rsidRPr="00965E66">
        <w:rPr>
          <w:rFonts w:ascii="Times New Roman" w:eastAsia="Times New Roman" w:hAnsi="Times New Roman"/>
          <w:sz w:val="20"/>
          <w:szCs w:val="20"/>
          <w:lang w:val="en-GB" w:eastAsia="en-GB"/>
        </w:rPr>
        <w:t>)</w:t>
      </w:r>
      <w:bookmarkEnd w:id="40"/>
      <w:r w:rsidR="006E0A56" w:rsidRPr="00965E66">
        <w:rPr>
          <w:rFonts w:ascii="Times New Roman" w:eastAsia="Times New Roman" w:hAnsi="Times New Roman"/>
          <w:sz w:val="20"/>
          <w:szCs w:val="20"/>
          <w:lang w:val="en-GB" w:eastAsia="en-GB"/>
        </w:rPr>
        <w:fldChar w:fldCharType="end"/>
      </w:r>
    </w:p>
    <w:p w14:paraId="0A969960" w14:textId="77777777" w:rsidR="00965E66" w:rsidRDefault="00965E66" w:rsidP="006E0A56">
      <w:pPr>
        <w:rPr>
          <w:rFonts w:ascii="Times New Roman" w:eastAsia="Times New Roman" w:hAnsi="Times New Roman"/>
          <w:lang w:val="en-GB" w:eastAsia="en-GB"/>
        </w:rPr>
      </w:pPr>
    </w:p>
    <w:p w14:paraId="71268E82" w14:textId="0BCDA79C" w:rsidR="006E0A56" w:rsidRDefault="006E0A56" w:rsidP="00265C2C">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The dimensions of the cavity containing the PCM was 167mm x 167mm x 30mm. Heat plates were positioned on each side of the tank to simulate the heating from a solar panel. The PCM used was RT25. The PCM was shown to maintain the PV temperature under 40 ºC for 80 minutes of constant exposure at 1000W/m</w:t>
      </w:r>
      <w:r w:rsidRPr="00BE2857">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compared to 5 minutes without PCM. </w:t>
      </w:r>
    </w:p>
    <w:p w14:paraId="35E8430B" w14:textId="6B69A8B6" w:rsidR="00B61C6F" w:rsidRDefault="00AB6D42" w:rsidP="00AB6D42">
      <w:pPr>
        <w:pStyle w:val="StandardText"/>
      </w:pPr>
      <w:r>
        <w:rPr>
          <w:rFonts w:eastAsia="Times New Roman"/>
          <w:lang w:val="en-GB" w:eastAsia="en-GB"/>
        </w:rPr>
        <w:t>Browne et al.</w:t>
      </w:r>
      <w:r w:rsidR="00917411">
        <w:rPr>
          <w:rFonts w:eastAsia="Times New Roman"/>
          <w:lang w:val="en-GB" w:eastAsia="en-GB"/>
        </w:rPr>
        <w:t xml:space="preserve"> </w:t>
      </w:r>
      <w:r w:rsidR="00681193">
        <w:rPr>
          <w:rFonts w:eastAsia="Times New Roman"/>
          <w:lang w:val="en-GB" w:eastAsia="en-GB"/>
        </w:rPr>
        <w:t>(</w:t>
      </w:r>
      <w:r w:rsidR="00D03089">
        <w:rPr>
          <w:rFonts w:eastAsia="Times New Roman"/>
          <w:lang w:val="en-GB" w:eastAsia="en-GB"/>
        </w:rPr>
        <w:t>2016</w:t>
      </w:r>
      <w:r w:rsidR="00681193">
        <w:rPr>
          <w:rFonts w:eastAsia="Times New Roman"/>
          <w:lang w:val="en-GB" w:eastAsia="en-GB"/>
        </w:rPr>
        <w:t>)</w:t>
      </w:r>
      <w:r>
        <w:rPr>
          <w:rFonts w:eastAsia="Times New Roman"/>
          <w:lang w:val="en-GB" w:eastAsia="en-GB"/>
        </w:rPr>
        <w:t xml:space="preserve"> investigated a novel PV/T/PCM system which generated electricity, stores heat and pre-heats water under the climatic conditions of Dublin, Ireland. </w:t>
      </w:r>
      <w:r w:rsidRPr="000F3C5A">
        <w:t xml:space="preserve">The system combines a PV module with a thermal collector; in which heat is removed from a heat exchanger embedded in PCM through a thermosyphon flow. </w:t>
      </w:r>
      <w:r>
        <w:rPr>
          <w:color w:val="222222"/>
          <w:shd w:val="clear" w:color="auto" w:fill="FFFFFF"/>
        </w:rPr>
        <w:t>System performance was compared against a) the same system without PCM, b) the same system without heat exchanger or PCM, and c) the PV module alone</w:t>
      </w:r>
      <w:r w:rsidR="00917411">
        <w:rPr>
          <w:color w:val="222222"/>
          <w:shd w:val="clear" w:color="auto" w:fill="FFFFFF"/>
        </w:rPr>
        <w:t xml:space="preserve"> as shown in Fig.</w:t>
      </w:r>
      <w:r w:rsidR="00C07912">
        <w:rPr>
          <w:color w:val="222222"/>
          <w:shd w:val="clear" w:color="auto" w:fill="FFFFFF"/>
        </w:rPr>
        <w:t xml:space="preserve"> </w:t>
      </w:r>
      <w:r w:rsidR="00BE2857">
        <w:rPr>
          <w:color w:val="222222"/>
          <w:shd w:val="clear" w:color="auto" w:fill="FFFFFF"/>
        </w:rPr>
        <w:t>2</w:t>
      </w:r>
      <w:r w:rsidR="00681193">
        <w:rPr>
          <w:color w:val="222222"/>
          <w:shd w:val="clear" w:color="auto" w:fill="FFFFFF"/>
        </w:rPr>
        <w:t>2</w:t>
      </w:r>
      <w:r w:rsidRPr="000F3C5A">
        <w:t>.</w:t>
      </w:r>
      <w:r>
        <w:t xml:space="preserve"> It was shown that the temperature attained by the water was approximately 5.5 ºC higher when compared to a PV/T system with no PCM. PCM are shown to be an effective means of storing heat for later heat removal in a PV/T system</w:t>
      </w:r>
      <w:r w:rsidR="00BE2857">
        <w:t>.</w:t>
      </w:r>
    </w:p>
    <w:p w14:paraId="726D335C" w14:textId="4CF0724D" w:rsidR="00B61C6F" w:rsidRPr="00CA1C3F" w:rsidRDefault="00B61C6F" w:rsidP="00CA1C3F">
      <w:pPr>
        <w:suppressAutoHyphens w:val="0"/>
        <w:rPr>
          <w:rFonts w:ascii="Times New Roman" w:hAnsi="Times New Roman"/>
          <w:szCs w:val="24"/>
        </w:rPr>
      </w:pPr>
      <w:r>
        <w:br w:type="page"/>
      </w:r>
    </w:p>
    <w:p w14:paraId="62584B61" w14:textId="77777777" w:rsidR="00B61C6F" w:rsidRDefault="00B61C6F" w:rsidP="00B61C6F">
      <w:pPr>
        <w:spacing w:line="360" w:lineRule="auto"/>
        <w:jc w:val="both"/>
        <w:rPr>
          <w:rFonts w:ascii="Times New Roman" w:eastAsia="Times New Roman" w:hAnsi="Times New Roman"/>
          <w:lang w:val="en-GB" w:eastAsia="en-GB"/>
        </w:rPr>
      </w:pPr>
      <w:r w:rsidRPr="00A120EF">
        <w:rPr>
          <w:noProof/>
          <w:lang w:val="es-PY" w:eastAsia="es-PY"/>
        </w:rPr>
        <w:lastRenderedPageBreak/>
        <w:drawing>
          <wp:inline distT="0" distB="0" distL="0" distR="0" wp14:anchorId="19EF038D" wp14:editId="01680A20">
            <wp:extent cx="2625090" cy="1835150"/>
            <wp:effectExtent l="19050" t="0" r="381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2625090" cy="1835150"/>
                    </a:xfrm>
                    <a:prstGeom prst="rect">
                      <a:avLst/>
                    </a:prstGeom>
                    <a:noFill/>
                    <a:ln w="9525">
                      <a:noFill/>
                      <a:miter lim="800000"/>
                      <a:headEnd/>
                      <a:tailEnd/>
                    </a:ln>
                  </pic:spPr>
                </pic:pic>
              </a:graphicData>
            </a:graphic>
          </wp:inline>
        </w:drawing>
      </w:r>
      <w:r w:rsidRPr="00A120EF">
        <w:rPr>
          <w:noProof/>
          <w:lang w:val="es-PY" w:eastAsia="es-PY"/>
        </w:rPr>
        <w:drawing>
          <wp:inline distT="0" distB="0" distL="0" distR="0" wp14:anchorId="0F590F32" wp14:editId="66A8B306">
            <wp:extent cx="2574054" cy="1840676"/>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575665" cy="1841828"/>
                    </a:xfrm>
                    <a:prstGeom prst="rect">
                      <a:avLst/>
                    </a:prstGeom>
                    <a:noFill/>
                    <a:ln w="9525">
                      <a:noFill/>
                      <a:miter lim="800000"/>
                      <a:headEnd/>
                      <a:tailEnd/>
                    </a:ln>
                  </pic:spPr>
                </pic:pic>
              </a:graphicData>
            </a:graphic>
          </wp:inline>
        </w:drawing>
      </w:r>
    </w:p>
    <w:p w14:paraId="7050A4EC" w14:textId="77777777" w:rsidR="00B61C6F" w:rsidRPr="00AB6D42" w:rsidRDefault="00B61C6F" w:rsidP="00B61C6F">
      <w:pPr>
        <w:pStyle w:val="ListParagraph"/>
        <w:numPr>
          <w:ilvl w:val="0"/>
          <w:numId w:val="16"/>
        </w:numPr>
        <w:spacing w:line="360" w:lineRule="auto"/>
        <w:jc w:val="both"/>
      </w:pPr>
      <w:r>
        <w:t xml:space="preserve">                                                         (b)</w:t>
      </w:r>
    </w:p>
    <w:p w14:paraId="60D3E605" w14:textId="77777777" w:rsidR="00B61C6F" w:rsidRDefault="00B61C6F" w:rsidP="00B61C6F">
      <w:pPr>
        <w:spacing w:line="360" w:lineRule="auto"/>
        <w:jc w:val="both"/>
        <w:rPr>
          <w:rFonts w:ascii="Times New Roman" w:eastAsia="Times New Roman" w:hAnsi="Times New Roman"/>
          <w:lang w:val="en-GB" w:eastAsia="en-GB"/>
        </w:rPr>
      </w:pPr>
      <w:r w:rsidRPr="00A120EF">
        <w:rPr>
          <w:noProof/>
          <w:lang w:val="es-PY" w:eastAsia="es-PY"/>
        </w:rPr>
        <w:drawing>
          <wp:inline distT="0" distB="0" distL="0" distR="0" wp14:anchorId="70E8EBEB" wp14:editId="32AF8CD5">
            <wp:extent cx="2386330" cy="1767205"/>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386330" cy="1767205"/>
                    </a:xfrm>
                    <a:prstGeom prst="rect">
                      <a:avLst/>
                    </a:prstGeom>
                    <a:noFill/>
                    <a:ln w="9525">
                      <a:noFill/>
                      <a:miter lim="800000"/>
                      <a:headEnd/>
                      <a:tailEnd/>
                    </a:ln>
                  </pic:spPr>
                </pic:pic>
              </a:graphicData>
            </a:graphic>
          </wp:inline>
        </w:drawing>
      </w:r>
      <w:r w:rsidRPr="00A120EF">
        <w:rPr>
          <w:noProof/>
          <w:lang w:val="es-PY" w:eastAsia="es-PY"/>
        </w:rPr>
        <w:drawing>
          <wp:inline distT="0" distB="0" distL="0" distR="0" wp14:anchorId="13BAA7F7" wp14:editId="7ACA675F">
            <wp:extent cx="2533650" cy="161163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533650" cy="1611630"/>
                    </a:xfrm>
                    <a:prstGeom prst="rect">
                      <a:avLst/>
                    </a:prstGeom>
                    <a:noFill/>
                    <a:ln w="9525">
                      <a:noFill/>
                      <a:miter lim="800000"/>
                      <a:headEnd/>
                      <a:tailEnd/>
                    </a:ln>
                  </pic:spPr>
                </pic:pic>
              </a:graphicData>
            </a:graphic>
          </wp:inline>
        </w:drawing>
      </w:r>
    </w:p>
    <w:p w14:paraId="3C2C4A6C" w14:textId="77777777" w:rsidR="00B61C6F" w:rsidRPr="00C07912" w:rsidRDefault="00B61C6F" w:rsidP="00B61C6F">
      <w:pPr>
        <w:pStyle w:val="ListParagraph"/>
        <w:spacing w:line="360" w:lineRule="auto"/>
        <w:ind w:left="1800"/>
        <w:jc w:val="both"/>
      </w:pPr>
      <w:r>
        <w:t>(c)                                                                 (d)</w:t>
      </w:r>
    </w:p>
    <w:p w14:paraId="0A2FEDB3" w14:textId="0A26FD27" w:rsidR="00B61C6F" w:rsidRPr="00BE2857" w:rsidRDefault="00B61C6F" w:rsidP="00B61C6F">
      <w:pPr>
        <w:spacing w:line="360" w:lineRule="auto"/>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BE2857">
        <w:rPr>
          <w:rFonts w:ascii="Times New Roman" w:eastAsia="Times New Roman" w:hAnsi="Times New Roman"/>
          <w:sz w:val="20"/>
          <w:szCs w:val="20"/>
          <w:lang w:val="en-GB" w:eastAsia="en-GB"/>
        </w:rPr>
        <w:t xml:space="preserve"> </w:t>
      </w:r>
      <w:r w:rsidR="0089624A">
        <w:rPr>
          <w:rFonts w:ascii="Times New Roman" w:eastAsia="Times New Roman" w:hAnsi="Times New Roman"/>
          <w:sz w:val="20"/>
          <w:szCs w:val="20"/>
          <w:lang w:val="en-GB" w:eastAsia="en-GB"/>
        </w:rPr>
        <w:t>2</w:t>
      </w:r>
      <w:r>
        <w:rPr>
          <w:rFonts w:ascii="Times New Roman" w:eastAsia="Times New Roman" w:hAnsi="Times New Roman"/>
          <w:sz w:val="20"/>
          <w:szCs w:val="20"/>
          <w:lang w:val="en-GB" w:eastAsia="en-GB"/>
        </w:rPr>
        <w:t>2</w:t>
      </w:r>
      <w:r w:rsidRPr="00BE2857">
        <w:rPr>
          <w:rFonts w:ascii="Times New Roman" w:eastAsia="Times New Roman" w:hAnsi="Times New Roman"/>
          <w:sz w:val="20"/>
          <w:szCs w:val="20"/>
          <w:lang w:val="en-GB" w:eastAsia="en-GB"/>
        </w:rPr>
        <w:t xml:space="preserve"> Schematic illustrating the design of (a) System 1(PV/T/PCM) (b) System 2 (PV/T) (c) System 3 (PV with container) and (d) System 4 (PV) in the experiment</w:t>
      </w:r>
    </w:p>
    <w:p w14:paraId="6BBEA50C" w14:textId="77777777" w:rsidR="00B61C6F" w:rsidRDefault="00B61C6F" w:rsidP="00B61C6F">
      <w:pPr>
        <w:spacing w:line="360" w:lineRule="auto"/>
        <w:jc w:val="both"/>
        <w:rPr>
          <w:rFonts w:ascii="Times New Roman" w:eastAsia="Times New Roman" w:hAnsi="Times New Roman"/>
          <w:lang w:val="en-GB" w:eastAsia="en-GB"/>
        </w:rPr>
      </w:pPr>
    </w:p>
    <w:p w14:paraId="0BCE9FF8" w14:textId="0BF29EA5" w:rsidR="00B61C6F" w:rsidRDefault="00B61C6F" w:rsidP="00B61C6F">
      <w:pPr>
        <w:spacing w:line="360" w:lineRule="auto"/>
        <w:jc w:val="both"/>
        <w:rPr>
          <w:rFonts w:ascii="Times New Roman" w:eastAsia="Times New Roman" w:hAnsi="Times New Roman"/>
          <w:lang w:val="en-GB" w:eastAsia="en-GB"/>
        </w:rPr>
      </w:pPr>
      <w:r>
        <w:rPr>
          <w:rFonts w:ascii="Times New Roman" w:eastAsia="Times New Roman" w:hAnsi="Times New Roman"/>
          <w:lang w:val="en-GB" w:eastAsia="en-GB"/>
        </w:rPr>
        <w:t>An experimental study compared the performance of a</w:t>
      </w:r>
      <w:r w:rsidRPr="00BE2857">
        <w:rPr>
          <w:rFonts w:ascii="Times New Roman" w:eastAsia="Times New Roman" w:hAnsi="Times New Roman"/>
          <w:lang w:val="en-GB" w:eastAsia="en-GB"/>
        </w:rPr>
        <w:t> Canadian Solar CS6P-M PV panel with and without the PCM RT28HC</w:t>
      </w:r>
      <w:r>
        <w:rPr>
          <w:rFonts w:ascii="Times New Roman" w:eastAsia="Times New Roman" w:hAnsi="Times New Roman"/>
          <w:lang w:val="en-GB" w:eastAsia="en-GB"/>
        </w:rPr>
        <w:t xml:space="preserve"> (Stropnik et al. 2016).</w:t>
      </w:r>
      <w:r w:rsidRPr="00BE2857">
        <w:rPr>
          <w:rFonts w:ascii="Times New Roman" w:eastAsia="Times New Roman" w:hAnsi="Times New Roman"/>
          <w:lang w:val="en-GB" w:eastAsia="en-GB"/>
        </w:rPr>
        <w:t xml:space="preserve"> It was found the maximum experimental temperature difference of PV and PV-PCM was 35.6 °C</w:t>
      </w:r>
      <w:r>
        <w:rPr>
          <w:rFonts w:ascii="Times New Roman" w:eastAsia="Times New Roman" w:hAnsi="Times New Roman"/>
          <w:lang w:val="en-GB" w:eastAsia="en-GB"/>
        </w:rPr>
        <w:t xml:space="preserve"> with an average increase in PV efficiency of 1.7% as shown in (Fig. 23)</w:t>
      </w:r>
      <w:r w:rsidRPr="00BE2857">
        <w:rPr>
          <w:rFonts w:ascii="Times New Roman" w:eastAsia="Times New Roman" w:hAnsi="Times New Roman"/>
          <w:lang w:val="en-GB" w:eastAsia="en-GB"/>
        </w:rPr>
        <w:t>.</w:t>
      </w:r>
      <w:r>
        <w:rPr>
          <w:rFonts w:ascii="Times New Roman" w:eastAsia="Times New Roman" w:hAnsi="Times New Roman"/>
          <w:lang w:val="en-GB" w:eastAsia="en-GB"/>
        </w:rPr>
        <w:t xml:space="preserve">  The experimental data was used to validate a model which showed an increase of 7.3% in power production of the PV/PCM system compared to just the PV over a period of one year.</w:t>
      </w:r>
    </w:p>
    <w:p w14:paraId="10DBA212" w14:textId="77777777" w:rsidR="00B61C6F" w:rsidRDefault="00B61C6F" w:rsidP="00B61C6F">
      <w:pPr>
        <w:spacing w:line="360" w:lineRule="auto"/>
        <w:jc w:val="both"/>
        <w:rPr>
          <w:rFonts w:ascii="Times New Roman" w:eastAsia="Times New Roman" w:hAnsi="Times New Roman"/>
          <w:lang w:val="en-GB" w:eastAsia="en-GB"/>
        </w:rPr>
      </w:pPr>
      <w:r>
        <w:rPr>
          <w:rFonts w:ascii="Times New Roman" w:eastAsia="Times New Roman" w:hAnsi="Times New Roman"/>
          <w:noProof/>
          <w:lang w:val="es-PY" w:eastAsia="es-PY"/>
        </w:rPr>
        <w:lastRenderedPageBreak/>
        <w:drawing>
          <wp:anchor distT="0" distB="0" distL="114300" distR="114300" simplePos="0" relativeHeight="251676672" behindDoc="1" locked="0" layoutInCell="1" allowOverlap="1" wp14:anchorId="41ECB401" wp14:editId="30C25405">
            <wp:simplePos x="0" y="0"/>
            <wp:positionH relativeFrom="margin">
              <wp:posOffset>453390</wp:posOffset>
            </wp:positionH>
            <wp:positionV relativeFrom="paragraph">
              <wp:posOffset>0</wp:posOffset>
            </wp:positionV>
            <wp:extent cx="4485640" cy="2524125"/>
            <wp:effectExtent l="0" t="0" r="0" b="9525"/>
            <wp:wrapTight wrapText="bothSides">
              <wp:wrapPolygon edited="0">
                <wp:start x="0" y="0"/>
                <wp:lineTo x="0" y="21518"/>
                <wp:lineTo x="21465" y="21518"/>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85640" cy="2524125"/>
                    </a:xfrm>
                    <a:prstGeom prst="rect">
                      <a:avLst/>
                    </a:prstGeom>
                  </pic:spPr>
                </pic:pic>
              </a:graphicData>
            </a:graphic>
            <wp14:sizeRelH relativeFrom="page">
              <wp14:pctWidth>0</wp14:pctWidth>
            </wp14:sizeRelH>
            <wp14:sizeRelV relativeFrom="page">
              <wp14:pctHeight>0</wp14:pctHeight>
            </wp14:sizeRelV>
          </wp:anchor>
        </w:drawing>
      </w:r>
    </w:p>
    <w:p w14:paraId="54E55020" w14:textId="77777777" w:rsidR="00B61C6F" w:rsidRDefault="00B61C6F" w:rsidP="00B61C6F">
      <w:pPr>
        <w:spacing w:line="360" w:lineRule="auto"/>
        <w:jc w:val="both"/>
        <w:rPr>
          <w:rFonts w:ascii="Times New Roman" w:eastAsia="Times New Roman" w:hAnsi="Times New Roman"/>
          <w:lang w:val="en-GB" w:eastAsia="en-GB"/>
        </w:rPr>
      </w:pPr>
    </w:p>
    <w:p w14:paraId="7C3FAF51" w14:textId="77777777" w:rsidR="00B61C6F" w:rsidRDefault="00B61C6F" w:rsidP="00B61C6F">
      <w:pPr>
        <w:spacing w:line="360" w:lineRule="auto"/>
        <w:jc w:val="both"/>
        <w:rPr>
          <w:rFonts w:ascii="Times New Roman" w:eastAsia="Times New Roman" w:hAnsi="Times New Roman"/>
          <w:lang w:val="en-GB" w:eastAsia="en-GB"/>
        </w:rPr>
      </w:pPr>
    </w:p>
    <w:p w14:paraId="3235B282" w14:textId="77777777" w:rsidR="00B61C6F" w:rsidRDefault="00B61C6F" w:rsidP="00B61C6F">
      <w:pPr>
        <w:spacing w:line="360" w:lineRule="auto"/>
        <w:jc w:val="both"/>
        <w:rPr>
          <w:rFonts w:ascii="Times New Roman" w:eastAsia="Times New Roman" w:hAnsi="Times New Roman"/>
          <w:lang w:val="en-GB" w:eastAsia="en-GB"/>
        </w:rPr>
      </w:pPr>
    </w:p>
    <w:p w14:paraId="510DF746" w14:textId="77777777" w:rsidR="00B61C6F" w:rsidRDefault="00B61C6F" w:rsidP="00B61C6F">
      <w:pPr>
        <w:spacing w:line="360" w:lineRule="auto"/>
        <w:jc w:val="both"/>
        <w:rPr>
          <w:rFonts w:ascii="Times New Roman" w:eastAsia="Times New Roman" w:hAnsi="Times New Roman"/>
          <w:lang w:val="en-GB" w:eastAsia="en-GB"/>
        </w:rPr>
      </w:pPr>
    </w:p>
    <w:p w14:paraId="1FD40E4D" w14:textId="77777777" w:rsidR="00B61C6F" w:rsidRDefault="00B61C6F" w:rsidP="00B61C6F">
      <w:pPr>
        <w:spacing w:line="360" w:lineRule="auto"/>
        <w:jc w:val="both"/>
        <w:rPr>
          <w:rFonts w:ascii="Times New Roman" w:eastAsia="Times New Roman" w:hAnsi="Times New Roman"/>
          <w:lang w:val="en-GB" w:eastAsia="en-GB"/>
        </w:rPr>
      </w:pPr>
    </w:p>
    <w:p w14:paraId="25355998" w14:textId="77777777" w:rsidR="00B61C6F" w:rsidRDefault="00B61C6F" w:rsidP="00B61C6F">
      <w:pPr>
        <w:spacing w:line="360" w:lineRule="auto"/>
        <w:jc w:val="both"/>
        <w:rPr>
          <w:rFonts w:ascii="Times New Roman" w:eastAsia="Times New Roman" w:hAnsi="Times New Roman"/>
          <w:lang w:val="en-GB" w:eastAsia="en-GB"/>
        </w:rPr>
      </w:pPr>
    </w:p>
    <w:p w14:paraId="0ABAE9D9" w14:textId="77777777" w:rsidR="00B61C6F" w:rsidRDefault="00B61C6F" w:rsidP="00B61C6F">
      <w:pPr>
        <w:spacing w:line="360" w:lineRule="auto"/>
        <w:jc w:val="center"/>
        <w:rPr>
          <w:rFonts w:ascii="Times New Roman" w:eastAsia="Times New Roman" w:hAnsi="Times New Roman"/>
          <w:sz w:val="20"/>
          <w:szCs w:val="20"/>
          <w:lang w:val="en-GB" w:eastAsia="en-GB"/>
        </w:rPr>
      </w:pPr>
    </w:p>
    <w:p w14:paraId="3FA9E434" w14:textId="3825B5E1" w:rsidR="00B61C6F" w:rsidRDefault="00B61C6F" w:rsidP="00B61C6F">
      <w:pPr>
        <w:spacing w:line="360" w:lineRule="auto"/>
        <w:jc w:val="center"/>
        <w:rPr>
          <w:rFonts w:ascii="Times New Roman" w:eastAsia="Times New Roman" w:hAnsi="Times New Roman"/>
          <w:lang w:val="en-GB" w:eastAsia="en-GB"/>
        </w:rPr>
      </w:pPr>
      <w:r>
        <w:rPr>
          <w:rFonts w:ascii="Times New Roman" w:eastAsia="Times New Roman" w:hAnsi="Times New Roman"/>
          <w:sz w:val="20"/>
          <w:szCs w:val="20"/>
          <w:lang w:val="en-GB" w:eastAsia="en-GB"/>
        </w:rPr>
        <w:t>Fig.</w:t>
      </w:r>
      <w:r w:rsidRPr="00BE2857">
        <w:rPr>
          <w:rFonts w:ascii="Times New Roman" w:eastAsia="Times New Roman" w:hAnsi="Times New Roman"/>
          <w:sz w:val="20"/>
          <w:szCs w:val="20"/>
          <w:lang w:val="en-GB" w:eastAsia="en-GB"/>
        </w:rPr>
        <w:t xml:space="preserve"> </w:t>
      </w:r>
      <w:r w:rsidR="0089624A">
        <w:rPr>
          <w:rFonts w:ascii="Times New Roman" w:eastAsia="Times New Roman" w:hAnsi="Times New Roman"/>
          <w:sz w:val="20"/>
          <w:szCs w:val="20"/>
          <w:lang w:val="en-GB" w:eastAsia="en-GB"/>
        </w:rPr>
        <w:t>2</w:t>
      </w:r>
      <w:r>
        <w:rPr>
          <w:rFonts w:ascii="Times New Roman" w:eastAsia="Times New Roman" w:hAnsi="Times New Roman"/>
          <w:sz w:val="20"/>
          <w:szCs w:val="20"/>
          <w:lang w:val="en-GB" w:eastAsia="en-GB"/>
        </w:rPr>
        <w:t>3</w:t>
      </w:r>
      <w:r w:rsidRPr="00BE2857">
        <w:rPr>
          <w:rFonts w:ascii="Times New Roman" w:eastAsia="Times New Roman" w:hAnsi="Times New Roman"/>
          <w:sz w:val="20"/>
          <w:szCs w:val="20"/>
          <w:lang w:val="en-GB" w:eastAsia="en-GB"/>
        </w:rPr>
        <w:t xml:space="preserve"> Schematic</w:t>
      </w:r>
      <w:r>
        <w:rPr>
          <w:rFonts w:ascii="Times New Roman" w:eastAsia="Times New Roman" w:hAnsi="Times New Roman"/>
          <w:sz w:val="20"/>
          <w:szCs w:val="20"/>
          <w:lang w:val="en-GB" w:eastAsia="en-GB"/>
        </w:rPr>
        <w:t xml:space="preserve"> of heat transfer in the PV-PCM panel</w:t>
      </w:r>
    </w:p>
    <w:p w14:paraId="73A46578" w14:textId="77777777" w:rsidR="00B61C6F" w:rsidRDefault="00B61C6F" w:rsidP="00B61C6F">
      <w:pPr>
        <w:spacing w:line="360" w:lineRule="auto"/>
        <w:jc w:val="both"/>
      </w:pPr>
      <w:r>
        <w:rPr>
          <w:rFonts w:ascii="Times New Roman" w:eastAsia="Times New Roman" w:hAnsi="Times New Roman"/>
          <w:lang w:val="en-GB" w:eastAsia="en-GB"/>
        </w:rPr>
        <w:t xml:space="preserve">Preet et al., (2017), have investigated the thermal and electrical performance of the three different systems, as shown in Fig. 24, which include a) a </w:t>
      </w:r>
      <w:r w:rsidRPr="00CC0D7C">
        <w:rPr>
          <w:rFonts w:ascii="Times New Roman" w:eastAsia="Times New Roman" w:hAnsi="Times New Roman"/>
          <w:lang w:val="en-GB" w:eastAsia="en-GB"/>
        </w:rPr>
        <w:t xml:space="preserve">convectional PV panel, </w:t>
      </w:r>
      <w:r>
        <w:rPr>
          <w:rFonts w:ascii="Times New Roman" w:eastAsia="Times New Roman" w:hAnsi="Times New Roman"/>
          <w:lang w:val="en-GB" w:eastAsia="en-GB"/>
        </w:rPr>
        <w:t xml:space="preserve">b) </w:t>
      </w:r>
      <w:r w:rsidRPr="00CC0D7C">
        <w:rPr>
          <w:rFonts w:ascii="Times New Roman" w:eastAsia="Times New Roman" w:hAnsi="Times New Roman"/>
          <w:lang w:val="en-GB" w:eastAsia="en-GB"/>
        </w:rPr>
        <w:t xml:space="preserve">water based photovoltaic/thermal system (PV/T) with double absorber plate and </w:t>
      </w:r>
      <w:r>
        <w:rPr>
          <w:rFonts w:ascii="Times New Roman" w:eastAsia="Times New Roman" w:hAnsi="Times New Roman"/>
          <w:lang w:val="en-GB" w:eastAsia="en-GB"/>
        </w:rPr>
        <w:t xml:space="preserve">c) </w:t>
      </w:r>
      <w:r w:rsidRPr="00CC0D7C">
        <w:rPr>
          <w:rFonts w:ascii="Times New Roman" w:eastAsia="Times New Roman" w:hAnsi="Times New Roman"/>
          <w:lang w:val="en-GB" w:eastAsia="en-GB"/>
        </w:rPr>
        <w:t xml:space="preserve">water based photovoltaic/thermal system </w:t>
      </w:r>
      <w:r w:rsidRPr="00CF73CC">
        <w:rPr>
          <w:rFonts w:ascii="Times New Roman" w:eastAsia="Times New Roman" w:hAnsi="Times New Roman"/>
          <w:lang w:val="en-GB" w:eastAsia="en-GB"/>
        </w:rPr>
        <w:t>with PCM RT-20</w:t>
      </w:r>
      <w:r w:rsidRPr="00CC0D7C">
        <w:rPr>
          <w:rFonts w:ascii="Times New Roman" w:eastAsia="Times New Roman" w:hAnsi="Times New Roman"/>
          <w:lang w:val="en-GB" w:eastAsia="en-GB"/>
        </w:rPr>
        <w:t>.</w:t>
      </w:r>
      <w:r>
        <w:rPr>
          <w:rFonts w:ascii="Times New Roman" w:eastAsia="Times New Roman" w:hAnsi="Times New Roman"/>
          <w:lang w:val="en-GB" w:eastAsia="en-GB"/>
        </w:rPr>
        <w:t xml:space="preserve"> The mass flow rate was varied and its effect on the electrical and thermal efficiency was analysed. It was found that the inclusion of thermal application in PV can provide a system with increased thermal and electrical output. The maximum temperature reduction of</w:t>
      </w:r>
      <w:r w:rsidRPr="00CC0D7C">
        <w:rPr>
          <w:rFonts w:ascii="Times New Roman" w:eastAsia="Times New Roman" w:hAnsi="Times New Roman"/>
          <w:lang w:val="en-GB" w:eastAsia="en-GB"/>
        </w:rPr>
        <w:t xml:space="preserve"> 47% with water based PV/T and 53% with water based PV/T-PCM </w:t>
      </w:r>
      <w:r>
        <w:rPr>
          <w:rFonts w:ascii="Times New Roman" w:eastAsia="Times New Roman" w:hAnsi="Times New Roman"/>
          <w:lang w:val="en-GB" w:eastAsia="en-GB"/>
        </w:rPr>
        <w:t xml:space="preserve">has been </w:t>
      </w:r>
      <w:r w:rsidRPr="00CC0D7C">
        <w:rPr>
          <w:rFonts w:ascii="Times New Roman" w:eastAsia="Times New Roman" w:hAnsi="Times New Roman"/>
          <w:lang w:val="en-GB" w:eastAsia="en-GB"/>
        </w:rPr>
        <w:t>achieved at mass flow rate of 0.031 kg/sec of water</w:t>
      </w:r>
      <w:r>
        <w:rPr>
          <w:rFonts w:ascii="Times New Roman" w:eastAsia="Times New Roman" w:hAnsi="Times New Roman"/>
          <w:lang w:val="en-GB" w:eastAsia="en-GB"/>
        </w:rPr>
        <w:t xml:space="preserve">. It has been observed that the </w:t>
      </w:r>
      <w:r w:rsidRPr="00531EB6">
        <w:rPr>
          <w:rFonts w:ascii="Times New Roman" w:eastAsia="Times New Roman" w:hAnsi="Times New Roman"/>
          <w:lang w:val="en-GB" w:eastAsia="en-GB"/>
        </w:rPr>
        <w:t>Maximum increment in electrical efficiency was 10.66 with water based PV/T and 12.6 with water based PV/T-PCM</w:t>
      </w:r>
      <w:r>
        <w:rPr>
          <w:rFonts w:ascii="Times New Roman" w:eastAsia="Times New Roman" w:hAnsi="Times New Roman"/>
          <w:lang w:val="en-GB" w:eastAsia="en-GB"/>
        </w:rPr>
        <w:t xml:space="preserve"> </w:t>
      </w:r>
      <w:r w:rsidRPr="00C95666">
        <w:rPr>
          <w:rFonts w:ascii="Times New Roman" w:eastAsia="Times New Roman" w:hAnsi="Times New Roman"/>
          <w:lang w:val="en-GB" w:eastAsia="en-GB"/>
        </w:rPr>
        <w:fldChar w:fldCharType="begin" w:fldLock="1"/>
      </w:r>
      <w:r>
        <w:rPr>
          <w:rFonts w:ascii="Times New Roman" w:eastAsia="Times New Roman" w:hAnsi="Times New Roman"/>
          <w:lang w:val="en-GB" w:eastAsia="en-GB"/>
        </w:rPr>
        <w:instrText>ADDIN CSL_CITATION { "citationItems" : [ { "id" : "ITEM-1", "itemData" : { "DOI" : "10.1016/J.SOLENER.2017.07.040", "ISSN" : "0038-092X", "author" : [ { "dropping-particle" : "", "family" : "Sajan Preet", "given" : "Brij Bhushan and Tarun Mahajan", "non-dropping-particle" : "", "parse-names" : false, "suffix" : "" } ], "container-title" : "Solar Energy", "id" : "ITEM-1", "issued" : { "date-parts" : [ [ "2017", "10", "1" ] ] }, "page" : "1104-1120", "publisher" : "Pergamon", "title" : "Experimental investigation of water based photovoltaic/thermal (PV/T) system with and without phase change material (PCM)", "type" : "article-journal", "volume" : "155" }, "uris" : [ "http://www.mendeley.com/documents/?uuid=e95a400f-de4c-3708-85dd-da013de4c44b" ] } ], "mendeley" : { "formattedCitation" : "(Sajan Preet, 2017)", "manualFormatting" : "(Preet et al,. 2017)", "plainTextFormattedCitation" : "(Sajan Preet, 2017)", "previouslyFormattedCitation" : "(Sajan Preet, 2017)" }, "properties" : { "noteIndex" : 0 }, "schema" : "https://github.com/citation-style-language/schema/raw/master/csl-citation.json" }</w:instrText>
      </w:r>
      <w:r w:rsidRPr="00C95666">
        <w:rPr>
          <w:rFonts w:ascii="Times New Roman" w:eastAsia="Times New Roman" w:hAnsi="Times New Roman"/>
          <w:lang w:val="en-GB" w:eastAsia="en-GB"/>
        </w:rPr>
        <w:fldChar w:fldCharType="separate"/>
      </w:r>
      <w:r>
        <w:rPr>
          <w:rFonts w:ascii="Times New Roman" w:eastAsia="Times New Roman" w:hAnsi="Times New Roman"/>
          <w:noProof/>
          <w:lang w:val="en-GB" w:eastAsia="en-GB"/>
        </w:rPr>
        <w:t>(</w:t>
      </w:r>
      <w:r w:rsidRPr="00C95666">
        <w:rPr>
          <w:rFonts w:ascii="Times New Roman" w:eastAsia="Times New Roman" w:hAnsi="Times New Roman"/>
          <w:noProof/>
          <w:lang w:val="en-GB" w:eastAsia="en-GB"/>
        </w:rPr>
        <w:t>Preet</w:t>
      </w:r>
      <w:r>
        <w:rPr>
          <w:rFonts w:ascii="Times New Roman" w:eastAsia="Times New Roman" w:hAnsi="Times New Roman"/>
          <w:noProof/>
          <w:lang w:val="en-GB" w:eastAsia="en-GB"/>
        </w:rPr>
        <w:t xml:space="preserve"> et al</w:t>
      </w:r>
      <w:r w:rsidRPr="00C95666">
        <w:rPr>
          <w:rFonts w:ascii="Times New Roman" w:eastAsia="Times New Roman" w:hAnsi="Times New Roman"/>
          <w:noProof/>
          <w:lang w:val="en-GB" w:eastAsia="en-GB"/>
        </w:rPr>
        <w:t>,</w:t>
      </w:r>
      <w:r>
        <w:rPr>
          <w:rFonts w:ascii="Times New Roman" w:eastAsia="Times New Roman" w:hAnsi="Times New Roman"/>
          <w:noProof/>
          <w:lang w:val="en-GB" w:eastAsia="en-GB"/>
        </w:rPr>
        <w:t>.</w:t>
      </w:r>
      <w:r w:rsidRPr="00C95666">
        <w:rPr>
          <w:rFonts w:ascii="Times New Roman" w:eastAsia="Times New Roman" w:hAnsi="Times New Roman"/>
          <w:noProof/>
          <w:lang w:val="en-GB" w:eastAsia="en-GB"/>
        </w:rPr>
        <w:t xml:space="preserve"> 2017)</w:t>
      </w:r>
      <w:r w:rsidRPr="00C95666">
        <w:rPr>
          <w:rFonts w:ascii="Times New Roman" w:eastAsia="Times New Roman" w:hAnsi="Times New Roman"/>
          <w:lang w:val="en-GB" w:eastAsia="en-GB"/>
        </w:rPr>
        <w:fldChar w:fldCharType="end"/>
      </w:r>
      <w:r w:rsidRPr="00C95666">
        <w:rPr>
          <w:rFonts w:ascii="Times New Roman" w:eastAsia="Times New Roman" w:hAnsi="Times New Roman"/>
          <w:lang w:val="en-GB" w:eastAsia="en-GB"/>
        </w:rPr>
        <w:t>.</w:t>
      </w:r>
    </w:p>
    <w:p w14:paraId="04D5B0D9" w14:textId="77777777" w:rsidR="00B61C6F" w:rsidRDefault="00B61C6F" w:rsidP="00B61C6F">
      <w:pPr>
        <w:spacing w:line="360" w:lineRule="auto"/>
        <w:jc w:val="both"/>
        <w:rPr>
          <w:rFonts w:ascii="Times New Roman" w:eastAsia="Times New Roman" w:hAnsi="Times New Roman"/>
          <w:lang w:val="en-GB" w:eastAsia="en-GB"/>
        </w:rPr>
      </w:pPr>
      <w:r>
        <w:rPr>
          <w:rFonts w:ascii="Times New Roman" w:eastAsia="Times New Roman" w:hAnsi="Times New Roman"/>
          <w:noProof/>
          <w:lang w:val="es-PY" w:eastAsia="es-PY"/>
        </w:rPr>
        <w:drawing>
          <wp:anchor distT="0" distB="0" distL="114300" distR="114300" simplePos="0" relativeHeight="251677696" behindDoc="0" locked="0" layoutInCell="1" allowOverlap="1" wp14:anchorId="2A1E0C80" wp14:editId="5DD24551">
            <wp:simplePos x="0" y="0"/>
            <wp:positionH relativeFrom="margin">
              <wp:posOffset>403860</wp:posOffset>
            </wp:positionH>
            <wp:positionV relativeFrom="paragraph">
              <wp:posOffset>199390</wp:posOffset>
            </wp:positionV>
            <wp:extent cx="4695825" cy="1951355"/>
            <wp:effectExtent l="0" t="0" r="9525" b="0"/>
            <wp:wrapThrough wrapText="bothSides">
              <wp:wrapPolygon edited="0">
                <wp:start x="0" y="0"/>
                <wp:lineTo x="0" y="21298"/>
                <wp:lineTo x="21556" y="21298"/>
                <wp:lineTo x="2155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30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5825" cy="1951355"/>
                    </a:xfrm>
                    <a:prstGeom prst="rect">
                      <a:avLst/>
                    </a:prstGeom>
                  </pic:spPr>
                </pic:pic>
              </a:graphicData>
            </a:graphic>
            <wp14:sizeRelH relativeFrom="page">
              <wp14:pctWidth>0</wp14:pctWidth>
            </wp14:sizeRelH>
            <wp14:sizeRelV relativeFrom="page">
              <wp14:pctHeight>0</wp14:pctHeight>
            </wp14:sizeRelV>
          </wp:anchor>
        </w:drawing>
      </w:r>
    </w:p>
    <w:p w14:paraId="14EE18E0" w14:textId="77777777" w:rsidR="00B61C6F" w:rsidRDefault="00B61C6F" w:rsidP="00B61C6F">
      <w:pPr>
        <w:spacing w:line="360" w:lineRule="auto"/>
        <w:jc w:val="both"/>
        <w:rPr>
          <w:rFonts w:ascii="Times New Roman" w:eastAsia="Times New Roman" w:hAnsi="Times New Roman"/>
          <w:lang w:val="en-GB" w:eastAsia="en-GB"/>
        </w:rPr>
      </w:pPr>
    </w:p>
    <w:p w14:paraId="0D3D0B04" w14:textId="77777777" w:rsidR="00B61C6F" w:rsidRDefault="00B61C6F" w:rsidP="00B61C6F">
      <w:pPr>
        <w:spacing w:line="360" w:lineRule="auto"/>
        <w:jc w:val="both"/>
        <w:rPr>
          <w:rFonts w:ascii="Times New Roman" w:eastAsia="Times New Roman" w:hAnsi="Times New Roman"/>
          <w:lang w:val="en-GB" w:eastAsia="en-GB"/>
        </w:rPr>
      </w:pPr>
    </w:p>
    <w:p w14:paraId="79DC506C" w14:textId="77777777" w:rsidR="00B61C6F" w:rsidRDefault="00B61C6F" w:rsidP="00B61C6F">
      <w:pPr>
        <w:spacing w:line="360" w:lineRule="auto"/>
        <w:jc w:val="both"/>
        <w:rPr>
          <w:rFonts w:ascii="Times New Roman" w:eastAsia="Times New Roman" w:hAnsi="Times New Roman"/>
          <w:lang w:val="en-GB" w:eastAsia="en-GB"/>
        </w:rPr>
      </w:pPr>
    </w:p>
    <w:p w14:paraId="14063360" w14:textId="77777777" w:rsidR="00B61C6F" w:rsidRDefault="00B61C6F" w:rsidP="00B61C6F">
      <w:pPr>
        <w:spacing w:line="360" w:lineRule="auto"/>
        <w:jc w:val="both"/>
        <w:rPr>
          <w:rFonts w:ascii="Times New Roman" w:eastAsia="Times New Roman" w:hAnsi="Times New Roman"/>
          <w:lang w:val="en-GB" w:eastAsia="en-GB"/>
        </w:rPr>
      </w:pPr>
    </w:p>
    <w:p w14:paraId="4CEDB22E" w14:textId="77777777" w:rsidR="00B61C6F" w:rsidRDefault="00B61C6F" w:rsidP="00B61C6F">
      <w:pPr>
        <w:spacing w:line="360" w:lineRule="auto"/>
        <w:jc w:val="both"/>
        <w:rPr>
          <w:rFonts w:ascii="Times New Roman" w:eastAsia="Times New Roman" w:hAnsi="Times New Roman"/>
          <w:lang w:val="en-GB" w:eastAsia="en-GB"/>
        </w:rPr>
      </w:pPr>
    </w:p>
    <w:p w14:paraId="55D9736A" w14:textId="77777777" w:rsidR="00B61C6F" w:rsidRDefault="00B61C6F" w:rsidP="00B61C6F">
      <w:pPr>
        <w:spacing w:line="360" w:lineRule="auto"/>
        <w:jc w:val="both"/>
      </w:pPr>
      <w:r>
        <w:tab/>
      </w:r>
      <w:r>
        <w:tab/>
      </w:r>
      <w:r>
        <w:tab/>
      </w:r>
      <w:r>
        <w:tab/>
      </w:r>
    </w:p>
    <w:p w14:paraId="122D8825" w14:textId="77777777" w:rsidR="00B61C6F" w:rsidRPr="00E7043E" w:rsidRDefault="00B61C6F" w:rsidP="00B61C6F">
      <w:pPr>
        <w:spacing w:line="360" w:lineRule="auto"/>
        <w:jc w:val="both"/>
        <w:rPr>
          <w:rFonts w:ascii="Times New Roman" w:hAnsi="Times New Roman"/>
        </w:rPr>
      </w:pPr>
      <w:r>
        <w:tab/>
      </w:r>
      <w:r>
        <w:tab/>
      </w:r>
      <w:r>
        <w:tab/>
      </w:r>
      <w:r>
        <w:tab/>
      </w:r>
      <w:r w:rsidRPr="00E7043E">
        <w:rPr>
          <w:rFonts w:ascii="Times New Roman" w:hAnsi="Times New Roman"/>
        </w:rPr>
        <w:t xml:space="preserve">                        (a)</w:t>
      </w:r>
    </w:p>
    <w:p w14:paraId="77CCB6B9" w14:textId="77777777" w:rsidR="00B61C6F" w:rsidRPr="00E7043E" w:rsidRDefault="00B61C6F" w:rsidP="00B61C6F">
      <w:pPr>
        <w:spacing w:line="360" w:lineRule="auto"/>
        <w:jc w:val="both"/>
        <w:rPr>
          <w:sz w:val="16"/>
          <w:szCs w:val="16"/>
        </w:rPr>
      </w:pPr>
      <w:r>
        <w:rPr>
          <w:rFonts w:ascii="Times New Roman" w:eastAsia="Times New Roman" w:hAnsi="Times New Roman"/>
          <w:noProof/>
          <w:lang w:val="es-PY" w:eastAsia="es-PY"/>
        </w:rPr>
        <w:lastRenderedPageBreak/>
        <w:drawing>
          <wp:anchor distT="0" distB="0" distL="114300" distR="114300" simplePos="0" relativeHeight="251678720" behindDoc="0" locked="0" layoutInCell="1" allowOverlap="1" wp14:anchorId="66BA24D1" wp14:editId="0E235174">
            <wp:simplePos x="0" y="0"/>
            <wp:positionH relativeFrom="margin">
              <wp:align>center</wp:align>
            </wp:positionH>
            <wp:positionV relativeFrom="paragraph">
              <wp:posOffset>0</wp:posOffset>
            </wp:positionV>
            <wp:extent cx="4941675" cy="1857375"/>
            <wp:effectExtent l="0" t="0" r="0" b="0"/>
            <wp:wrapThrough wrapText="bothSides">
              <wp:wrapPolygon edited="0">
                <wp:start x="0" y="0"/>
                <wp:lineTo x="0" y="21268"/>
                <wp:lineTo x="21483" y="21268"/>
                <wp:lineTo x="2148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30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41675" cy="185737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38ADBC2" w14:textId="77777777" w:rsidR="00B61C6F" w:rsidRPr="00E7043E" w:rsidRDefault="00B61C6F" w:rsidP="00B61C6F">
      <w:pPr>
        <w:spacing w:line="360" w:lineRule="auto"/>
        <w:jc w:val="both"/>
        <w:rPr>
          <w:rFonts w:ascii="Times New Roman" w:hAnsi="Times New Roman"/>
        </w:rPr>
      </w:pPr>
      <w:r>
        <w:tab/>
      </w:r>
      <w:r>
        <w:tab/>
      </w:r>
      <w:r>
        <w:tab/>
      </w:r>
      <w:r>
        <w:tab/>
      </w:r>
      <w:r>
        <w:tab/>
      </w:r>
      <w:r>
        <w:tab/>
      </w:r>
      <w:r w:rsidRPr="00E7043E">
        <w:rPr>
          <w:rFonts w:ascii="Times New Roman" w:hAnsi="Times New Roman"/>
        </w:rPr>
        <w:t>(b)</w:t>
      </w:r>
    </w:p>
    <w:p w14:paraId="011D6165" w14:textId="77777777" w:rsidR="00B61C6F" w:rsidRPr="00BE2857" w:rsidRDefault="00B61C6F" w:rsidP="00B61C6F">
      <w:pPr>
        <w:spacing w:after="0" w:line="360" w:lineRule="auto"/>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BE2857">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24.</w:t>
      </w:r>
      <w:r w:rsidRPr="00BE2857">
        <w:rPr>
          <w:rFonts w:ascii="Times New Roman" w:eastAsia="Times New Roman" w:hAnsi="Times New Roman"/>
          <w:sz w:val="20"/>
          <w:szCs w:val="20"/>
          <w:lang w:val="en-GB" w:eastAsia="en-GB"/>
        </w:rPr>
        <w:t xml:space="preserve"> Schematic illustrating the design of (a)</w:t>
      </w:r>
      <w:r>
        <w:rPr>
          <w:rFonts w:ascii="Times New Roman" w:eastAsia="Times New Roman" w:hAnsi="Times New Roman"/>
          <w:sz w:val="20"/>
          <w:szCs w:val="20"/>
          <w:lang w:val="en-GB" w:eastAsia="en-GB"/>
        </w:rPr>
        <w:t>Water based PV/T system</w:t>
      </w:r>
      <w:r w:rsidRPr="00BE2857">
        <w:rPr>
          <w:rFonts w:ascii="Times New Roman" w:eastAsia="Times New Roman" w:hAnsi="Times New Roman"/>
          <w:sz w:val="20"/>
          <w:szCs w:val="20"/>
          <w:lang w:val="en-GB" w:eastAsia="en-GB"/>
        </w:rPr>
        <w:t xml:space="preserve"> (b) </w:t>
      </w:r>
      <w:r>
        <w:rPr>
          <w:rFonts w:ascii="Times New Roman" w:eastAsia="Times New Roman" w:hAnsi="Times New Roman"/>
          <w:sz w:val="20"/>
          <w:szCs w:val="20"/>
          <w:lang w:val="en-GB" w:eastAsia="en-GB"/>
        </w:rPr>
        <w:t>Water based PV/T-PCM system</w:t>
      </w:r>
    </w:p>
    <w:p w14:paraId="5F2E10D8" w14:textId="77777777" w:rsidR="00B61C6F" w:rsidRDefault="00B61C6F" w:rsidP="00B61C6F">
      <w:pPr>
        <w:spacing w:line="360" w:lineRule="auto"/>
        <w:jc w:val="both"/>
        <w:rPr>
          <w:rFonts w:ascii="Times New Roman" w:eastAsia="Times New Roman" w:hAnsi="Times New Roman"/>
          <w:lang w:val="en-GB" w:eastAsia="en-GB"/>
        </w:rPr>
      </w:pPr>
      <w:r>
        <w:rPr>
          <w:rFonts w:ascii="Times New Roman" w:eastAsia="Times New Roman" w:hAnsi="Times New Roman"/>
          <w:lang w:val="en-GB" w:eastAsia="en-GB"/>
        </w:rPr>
        <w:t xml:space="preserve">The integration of PCM has also been shown to act as a passive cooling method for photovoltaics in the extremely hot and high insolation environment of United Arab Emirates (UAE) (Hasan et al., 2017). A PV/PCM system was monitored for a one year period.  Results were used to validate a heat transfer model employing an enthalpy-based formulation. </w:t>
      </w:r>
      <w:r w:rsidRPr="00614079">
        <w:rPr>
          <w:rFonts w:ascii="Times New Roman" w:eastAsia="Times New Roman" w:hAnsi="Times New Roman"/>
          <w:lang w:val="en-GB" w:eastAsia="en-GB"/>
        </w:rPr>
        <w:t>The PV-PCM system enhanced the PV annual electrical</w:t>
      </w:r>
      <w:r>
        <w:rPr>
          <w:rFonts w:ascii="Times New Roman" w:eastAsia="Times New Roman" w:hAnsi="Times New Roman"/>
          <w:lang w:val="en-GB" w:eastAsia="en-GB"/>
        </w:rPr>
        <w:t xml:space="preserve"> energy yield by 5.9% in there</w:t>
      </w:r>
      <w:r w:rsidRPr="00614079">
        <w:rPr>
          <w:rFonts w:ascii="Times New Roman" w:eastAsia="Times New Roman" w:hAnsi="Times New Roman"/>
          <w:lang w:val="en-GB" w:eastAsia="en-GB"/>
        </w:rPr>
        <w:t xml:space="preserve"> climatic conditions.</w:t>
      </w:r>
      <w:r>
        <w:rPr>
          <w:rFonts w:ascii="Times New Roman" w:eastAsia="Times New Roman" w:hAnsi="Times New Roman"/>
          <w:lang w:val="en-GB" w:eastAsia="en-GB"/>
        </w:rPr>
        <w:t xml:space="preserve"> Fig. 25, present the energy flow in the PV-PCM system.</w:t>
      </w:r>
    </w:p>
    <w:p w14:paraId="05490E4F" w14:textId="77777777" w:rsidR="00B61C6F" w:rsidRDefault="00B61C6F" w:rsidP="00B61C6F">
      <w:pPr>
        <w:spacing w:line="360" w:lineRule="auto"/>
        <w:jc w:val="both"/>
        <w:rPr>
          <w:rFonts w:ascii="Times New Roman" w:eastAsia="Times New Roman" w:hAnsi="Times New Roman"/>
          <w:u w:val="single"/>
          <w:lang w:val="en-GB" w:eastAsia="en-GB"/>
        </w:rPr>
      </w:pPr>
      <w:r>
        <w:rPr>
          <w:rFonts w:ascii="Times New Roman" w:eastAsia="Times New Roman" w:hAnsi="Times New Roman"/>
          <w:noProof/>
          <w:u w:val="single"/>
          <w:lang w:val="es-PY" w:eastAsia="es-PY"/>
        </w:rPr>
        <w:drawing>
          <wp:anchor distT="0" distB="0" distL="114300" distR="114300" simplePos="0" relativeHeight="251679744" behindDoc="0" locked="0" layoutInCell="1" allowOverlap="1" wp14:anchorId="7BF8755A" wp14:editId="05BAEFF7">
            <wp:simplePos x="0" y="0"/>
            <wp:positionH relativeFrom="margin">
              <wp:align>center</wp:align>
            </wp:positionH>
            <wp:positionV relativeFrom="paragraph">
              <wp:posOffset>6350</wp:posOffset>
            </wp:positionV>
            <wp:extent cx="3819525" cy="3361690"/>
            <wp:effectExtent l="0" t="0" r="9525" b="0"/>
            <wp:wrapThrough wrapText="bothSides">
              <wp:wrapPolygon edited="0">
                <wp:start x="0" y="0"/>
                <wp:lineTo x="0" y="21420"/>
                <wp:lineTo x="21546" y="21420"/>
                <wp:lineTo x="2154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3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19525" cy="3361690"/>
                    </a:xfrm>
                    <a:prstGeom prst="rect">
                      <a:avLst/>
                    </a:prstGeom>
                  </pic:spPr>
                </pic:pic>
              </a:graphicData>
            </a:graphic>
            <wp14:sizeRelH relativeFrom="page">
              <wp14:pctWidth>0</wp14:pctWidth>
            </wp14:sizeRelH>
            <wp14:sizeRelV relativeFrom="page">
              <wp14:pctHeight>0</wp14:pctHeight>
            </wp14:sizeRelV>
          </wp:anchor>
        </w:drawing>
      </w:r>
    </w:p>
    <w:p w14:paraId="5EB6917D" w14:textId="77777777" w:rsidR="00B61C6F" w:rsidRDefault="00B61C6F" w:rsidP="00B61C6F">
      <w:pPr>
        <w:spacing w:line="360" w:lineRule="auto"/>
        <w:jc w:val="both"/>
        <w:rPr>
          <w:rFonts w:ascii="Times New Roman" w:eastAsia="Times New Roman" w:hAnsi="Times New Roman"/>
          <w:u w:val="single"/>
          <w:lang w:val="en-GB" w:eastAsia="en-GB"/>
        </w:rPr>
      </w:pPr>
    </w:p>
    <w:p w14:paraId="1CF8495F" w14:textId="77777777" w:rsidR="00B61C6F" w:rsidRDefault="00B61C6F" w:rsidP="00B61C6F">
      <w:pPr>
        <w:spacing w:line="360" w:lineRule="auto"/>
        <w:jc w:val="both"/>
        <w:rPr>
          <w:rFonts w:ascii="Times New Roman" w:eastAsia="Times New Roman" w:hAnsi="Times New Roman"/>
          <w:u w:val="single"/>
          <w:lang w:val="en-GB" w:eastAsia="en-GB"/>
        </w:rPr>
      </w:pPr>
    </w:p>
    <w:p w14:paraId="7C2376A2" w14:textId="77777777" w:rsidR="00B61C6F" w:rsidRDefault="00B61C6F" w:rsidP="00B61C6F">
      <w:pPr>
        <w:spacing w:line="360" w:lineRule="auto"/>
        <w:jc w:val="both"/>
        <w:rPr>
          <w:rFonts w:ascii="Times New Roman" w:eastAsia="Times New Roman" w:hAnsi="Times New Roman"/>
          <w:u w:val="single"/>
          <w:lang w:val="en-GB" w:eastAsia="en-GB"/>
        </w:rPr>
      </w:pPr>
    </w:p>
    <w:p w14:paraId="778B1CBC" w14:textId="77777777" w:rsidR="00B61C6F" w:rsidRDefault="00B61C6F" w:rsidP="00B61C6F">
      <w:pPr>
        <w:spacing w:line="360" w:lineRule="auto"/>
        <w:jc w:val="both"/>
        <w:rPr>
          <w:rFonts w:ascii="Times New Roman" w:eastAsia="Times New Roman" w:hAnsi="Times New Roman"/>
          <w:u w:val="single"/>
          <w:lang w:val="en-GB" w:eastAsia="en-GB"/>
        </w:rPr>
      </w:pPr>
    </w:p>
    <w:p w14:paraId="2EDA4A1D" w14:textId="77777777" w:rsidR="00B61C6F" w:rsidRDefault="00B61C6F" w:rsidP="00B61C6F">
      <w:pPr>
        <w:spacing w:line="360" w:lineRule="auto"/>
        <w:jc w:val="both"/>
        <w:rPr>
          <w:rFonts w:ascii="Times New Roman" w:eastAsia="Times New Roman" w:hAnsi="Times New Roman"/>
          <w:u w:val="single"/>
          <w:lang w:val="en-GB" w:eastAsia="en-GB"/>
        </w:rPr>
      </w:pPr>
    </w:p>
    <w:p w14:paraId="075A1115" w14:textId="77777777" w:rsidR="00B61C6F" w:rsidRDefault="00B61C6F" w:rsidP="00B61C6F">
      <w:pPr>
        <w:spacing w:line="360" w:lineRule="auto"/>
        <w:jc w:val="both"/>
        <w:rPr>
          <w:rFonts w:ascii="Times New Roman" w:eastAsia="Times New Roman" w:hAnsi="Times New Roman"/>
          <w:u w:val="single"/>
          <w:lang w:val="en-GB" w:eastAsia="en-GB"/>
        </w:rPr>
      </w:pPr>
    </w:p>
    <w:p w14:paraId="254DFE3D" w14:textId="77777777" w:rsidR="00B61C6F" w:rsidRDefault="00B61C6F" w:rsidP="00B61C6F">
      <w:pPr>
        <w:spacing w:line="360" w:lineRule="auto"/>
        <w:jc w:val="both"/>
        <w:rPr>
          <w:rFonts w:ascii="Times New Roman" w:eastAsia="Times New Roman" w:hAnsi="Times New Roman"/>
          <w:u w:val="single"/>
          <w:lang w:val="en-GB" w:eastAsia="en-GB"/>
        </w:rPr>
      </w:pPr>
    </w:p>
    <w:p w14:paraId="3C1F390F" w14:textId="77777777" w:rsidR="00B61C6F" w:rsidRDefault="00B61C6F" w:rsidP="00B61C6F">
      <w:pPr>
        <w:spacing w:line="360" w:lineRule="auto"/>
        <w:jc w:val="both"/>
        <w:rPr>
          <w:rFonts w:ascii="Times New Roman" w:eastAsia="Times New Roman" w:hAnsi="Times New Roman"/>
          <w:u w:val="single"/>
          <w:lang w:val="en-GB" w:eastAsia="en-GB"/>
        </w:rPr>
      </w:pPr>
    </w:p>
    <w:p w14:paraId="14DCD88E" w14:textId="77777777" w:rsidR="00B61C6F" w:rsidRDefault="00B61C6F" w:rsidP="00B61C6F">
      <w:pPr>
        <w:spacing w:line="360" w:lineRule="auto"/>
        <w:jc w:val="both"/>
        <w:rPr>
          <w:rFonts w:ascii="Times New Roman" w:eastAsia="Times New Roman" w:hAnsi="Times New Roman"/>
          <w:u w:val="single"/>
          <w:lang w:val="en-GB" w:eastAsia="en-GB"/>
        </w:rPr>
      </w:pPr>
    </w:p>
    <w:p w14:paraId="776C8CD5" w14:textId="77777777" w:rsidR="00B61C6F" w:rsidRDefault="00B61C6F" w:rsidP="00B61C6F">
      <w:pPr>
        <w:spacing w:line="360" w:lineRule="auto"/>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BE2857">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25.</w:t>
      </w:r>
      <w:r w:rsidRPr="00BE2857">
        <w:rPr>
          <w:rFonts w:ascii="Times New Roman" w:eastAsia="Times New Roman" w:hAnsi="Times New Roman"/>
          <w:sz w:val="20"/>
          <w:szCs w:val="20"/>
          <w:lang w:val="en-GB" w:eastAsia="en-GB"/>
        </w:rPr>
        <w:t xml:space="preserve"> Schematic</w:t>
      </w:r>
      <w:r>
        <w:rPr>
          <w:rFonts w:ascii="Times New Roman" w:eastAsia="Times New Roman" w:hAnsi="Times New Roman"/>
          <w:sz w:val="20"/>
          <w:szCs w:val="20"/>
          <w:lang w:val="en-GB" w:eastAsia="en-GB"/>
        </w:rPr>
        <w:t xml:space="preserve"> of the heat transfer model of PV-PCM</w:t>
      </w:r>
    </w:p>
    <w:p w14:paraId="1A63D200" w14:textId="77777777" w:rsidR="00B61C6F" w:rsidRPr="00561BEC" w:rsidRDefault="00B61C6F" w:rsidP="00B61C6F">
      <w:pPr>
        <w:pStyle w:val="ListParagraph"/>
        <w:keepNext/>
        <w:keepLines/>
        <w:numPr>
          <w:ilvl w:val="0"/>
          <w:numId w:val="1"/>
        </w:numPr>
        <w:spacing w:before="480"/>
        <w:outlineLvl w:val="0"/>
        <w:rPr>
          <w:rFonts w:ascii="Calibri Light" w:hAnsi="Calibri Light"/>
          <w:b/>
          <w:bCs/>
          <w:vanish/>
          <w:color w:val="2E74B5"/>
          <w:sz w:val="28"/>
          <w:szCs w:val="28"/>
        </w:rPr>
      </w:pPr>
    </w:p>
    <w:p w14:paraId="027BFED4" w14:textId="77777777" w:rsidR="00B61C6F" w:rsidRPr="00561BEC" w:rsidRDefault="00B61C6F" w:rsidP="00B61C6F">
      <w:pPr>
        <w:pStyle w:val="ListParagraph"/>
        <w:keepNext/>
        <w:keepLines/>
        <w:numPr>
          <w:ilvl w:val="0"/>
          <w:numId w:val="1"/>
        </w:numPr>
        <w:spacing w:before="480"/>
        <w:outlineLvl w:val="0"/>
        <w:rPr>
          <w:rFonts w:ascii="Calibri Light" w:hAnsi="Calibri Light"/>
          <w:b/>
          <w:bCs/>
          <w:vanish/>
          <w:color w:val="2E74B5"/>
          <w:sz w:val="28"/>
          <w:szCs w:val="28"/>
        </w:rPr>
      </w:pPr>
    </w:p>
    <w:p w14:paraId="69EBC0A9" w14:textId="77777777" w:rsidR="00B61C6F" w:rsidRPr="00561BEC" w:rsidRDefault="00B61C6F" w:rsidP="00B61C6F">
      <w:pPr>
        <w:pStyle w:val="ListParagraph"/>
        <w:keepNext/>
        <w:keepLines/>
        <w:numPr>
          <w:ilvl w:val="1"/>
          <w:numId w:val="1"/>
        </w:numPr>
        <w:spacing w:before="200"/>
        <w:outlineLvl w:val="1"/>
        <w:rPr>
          <w:rFonts w:ascii="Calibri Light" w:hAnsi="Calibri Light"/>
          <w:b/>
          <w:bCs/>
          <w:vanish/>
          <w:color w:val="5B9BD5"/>
          <w:sz w:val="26"/>
          <w:szCs w:val="26"/>
        </w:rPr>
      </w:pPr>
    </w:p>
    <w:p w14:paraId="144B15B3" w14:textId="77777777" w:rsidR="00B61C6F" w:rsidRPr="00561BEC" w:rsidRDefault="00B61C6F" w:rsidP="00B61C6F">
      <w:pPr>
        <w:pStyle w:val="ListParagraph"/>
        <w:keepNext/>
        <w:keepLines/>
        <w:numPr>
          <w:ilvl w:val="1"/>
          <w:numId w:val="1"/>
        </w:numPr>
        <w:spacing w:before="200"/>
        <w:outlineLvl w:val="1"/>
        <w:rPr>
          <w:rFonts w:ascii="Calibri Light" w:hAnsi="Calibri Light"/>
          <w:b/>
          <w:bCs/>
          <w:vanish/>
          <w:color w:val="5B9BD5"/>
          <w:sz w:val="26"/>
          <w:szCs w:val="26"/>
        </w:rPr>
      </w:pPr>
    </w:p>
    <w:p w14:paraId="1F8C39A3" w14:textId="77777777" w:rsidR="00B61C6F" w:rsidRPr="00561BEC" w:rsidRDefault="00B61C6F" w:rsidP="00B61C6F">
      <w:pPr>
        <w:pStyle w:val="ListParagraph"/>
        <w:keepNext/>
        <w:keepLines/>
        <w:numPr>
          <w:ilvl w:val="2"/>
          <w:numId w:val="1"/>
        </w:numPr>
        <w:spacing w:before="200"/>
        <w:outlineLvl w:val="2"/>
        <w:rPr>
          <w:rFonts w:ascii="Calibri Light" w:hAnsi="Calibri Light"/>
          <w:b/>
          <w:bCs/>
          <w:vanish/>
          <w:color w:val="5B9BD5"/>
        </w:rPr>
      </w:pPr>
    </w:p>
    <w:p w14:paraId="618BF23D" w14:textId="77777777" w:rsidR="00B61C6F" w:rsidRPr="00561BEC" w:rsidRDefault="00B61C6F" w:rsidP="00B61C6F">
      <w:pPr>
        <w:pStyle w:val="ListParagraph"/>
        <w:keepNext/>
        <w:keepLines/>
        <w:numPr>
          <w:ilvl w:val="2"/>
          <w:numId w:val="1"/>
        </w:numPr>
        <w:spacing w:before="200"/>
        <w:outlineLvl w:val="2"/>
        <w:rPr>
          <w:rFonts w:ascii="Calibri Light" w:hAnsi="Calibri Light"/>
          <w:b/>
          <w:bCs/>
          <w:vanish/>
          <w:color w:val="5B9BD5"/>
        </w:rPr>
      </w:pPr>
    </w:p>
    <w:p w14:paraId="50D8E7B3" w14:textId="77777777" w:rsidR="00B61C6F" w:rsidRPr="0019763E" w:rsidRDefault="00B61C6F" w:rsidP="00B61C6F">
      <w:pPr>
        <w:pStyle w:val="Heading3"/>
        <w:rPr>
          <w:rFonts w:ascii="Times New Roman" w:hAnsi="Times New Roman"/>
          <w:b w:val="0"/>
          <w:bCs w:val="0"/>
          <w:color w:val="auto"/>
          <w:sz w:val="22"/>
          <w:szCs w:val="22"/>
        </w:rPr>
      </w:pPr>
      <w:r w:rsidRPr="0019763E">
        <w:rPr>
          <w:rFonts w:ascii="Times New Roman" w:hAnsi="Times New Roman"/>
          <w:b w:val="0"/>
          <w:bCs w:val="0"/>
          <w:color w:val="auto"/>
          <w:sz w:val="22"/>
          <w:szCs w:val="22"/>
        </w:rPr>
        <w:t>Thermal Management of Concentrating PV (CPV) using PCM</w:t>
      </w:r>
    </w:p>
    <w:p w14:paraId="2C3D9A31" w14:textId="77777777" w:rsidR="00B61C6F" w:rsidRPr="00561BEC" w:rsidRDefault="00B61C6F" w:rsidP="00B61C6F">
      <w:pPr>
        <w:rPr>
          <w:lang w:val="en-GB" w:eastAsia="en-GB"/>
        </w:rPr>
      </w:pPr>
    </w:p>
    <w:p w14:paraId="52510D4F"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PCM was first used in CPV in a patent in 1993,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&lt;EndNote&gt;&lt;Cite&gt;&lt;Author&gt;Horne&lt;/Author&gt;&lt;Year&gt;1993&lt;/Year&gt;&lt;RecNum&gt;352&lt;/RecNum&gt;&lt;DisplayText&gt;(Horne, 1993)&lt;/DisplayText&gt;&lt;record&gt;&lt;rec-number&gt;352&lt;/rec-number&gt;&lt;foreign-keys&gt;&lt;key app="EN" db-id="0z5fdztp6e9z5uerfrlvat9mvrxpssrs95da" timestamp="0"&gt;352&lt;/key&gt;&lt;/foreign-keys&gt;&lt;ref-type name="Patent"&gt;25&lt;/ref-type&gt;&lt;contributors&gt;&lt;authors&gt;&lt;author&gt;Horne, W. E.&lt;/author&gt;&lt;/authors&gt;&lt;/contributors&gt;&lt;titles&gt;&lt;title&gt;Solar energy system&lt;/title&gt;&lt;secondary-title&gt;US5269851&lt;/secondary-title&gt;&lt;/titles&gt;&lt;volume&gt;US5269851&lt;/volume&gt;&lt;dates&gt;&lt;year&gt;1993&lt;/year&gt;&lt;/dates&gt;&lt;urls&gt;&lt;related-urls&gt;&lt;url&gt;http://www.google.com/patents/US5269851 &lt;/url&gt;&lt;url&gt;https://docs.google.com/viewer?url=patentimages.storage.googleapis.com/pdfs/US5269851.pdf&lt;/url&gt;&lt;/related-urls&gt;&lt;/urls&gt;&lt;/record&gt;&lt;/Cite&gt;&lt;/EndNote&gt;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32" w:tooltip="Horne, 1993 #352" w:history="1">
        <w:r w:rsidRPr="005444B3">
          <w:rPr>
            <w:rFonts w:ascii="Times New Roman" w:eastAsia="Times New Roman" w:hAnsi="Times New Roman"/>
            <w:lang w:val="en-GB" w:eastAsia="en-GB"/>
          </w:rPr>
          <w:t>Horne, 1993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where the concept of PCM to protect PV cells in a solar concentrator from excessive temperatures was included. The selected PCM melted at a temperature higher than the normal operating temperature range of the PV cells, but less than the temperature at which the PV cells suffer thermal damage. </w:t>
      </w:r>
      <w:r>
        <w:rPr>
          <w:rFonts w:ascii="Times New Roman" w:eastAsia="Times New Roman" w:hAnsi="Times New Roman"/>
          <w:lang w:val="en-GB" w:eastAsia="en-GB"/>
        </w:rPr>
        <w:t xml:space="preserve"> Further to</w:t>
      </w:r>
      <w:r w:rsidRPr="005444B3">
        <w:rPr>
          <w:rFonts w:ascii="Times New Roman" w:eastAsia="Times New Roman" w:hAnsi="Times New Roman"/>
          <w:lang w:val="en-GB" w:eastAsia="en-GB"/>
        </w:rPr>
        <w:t xml:space="preserve"> work on asymmetric compound parabolic photovoltaic concentrators (ACPPVC)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&lt;EndNote&gt;&lt;Cite&gt;&lt;Author&gt;Wu&lt;/Author&gt;&lt;Year&gt;2009&lt;/Year&gt;&lt;RecNum&gt;94&lt;/RecNum&gt;&lt;DisplayText&gt;(Wu, 2009;  Wu and Eames, 2011)&lt;/DisplayText&gt;&lt;record&gt;&lt;rec-number&gt;94&lt;/rec-number&gt;&lt;foreign-keys&gt;&lt;key app="EN" db-id="0z5fdztp6e9z5uerfrlvat9mvrxpssrs95da" timestamp="0"&gt;94&lt;/key&gt;&lt;/foreign-keys&gt;&lt;ref-type name="Thesis"&gt;32&lt;/ref-type&gt;&lt;contributors&gt;&lt;authors&gt;&lt;author&gt;Wu, Y. &lt;/author&gt;&lt;/authors&gt;&lt;/contributors&gt;&lt;titles&gt;&lt;title&gt;Thermal management of concentrator photovoltaics, PhD Thesis&lt;/title&gt;&lt;secondary-title&gt;School of Engineering&lt;/secondary-title&gt;&lt;/titles&gt;&lt;dates&gt;&lt;year&gt;2009&lt;/year&gt;&lt;/dates&gt;&lt;publisher&gt;University of Warwick, UK&lt;/publisher&gt;&lt;urls&gt;&lt;related-urls&gt;&lt;url&gt;http://wrap.warwick.ac.uk/3218/&lt;/url&gt;&lt;/related-urls&gt;&lt;/urls&gt;&lt;/record&gt;&lt;/Cite&gt;&lt;Cite&gt;&lt;Author&gt;Wu&lt;/Author&gt;&lt;Year&gt;2011&lt;/Year&gt;&lt;RecNum&gt;95&lt;/RecNum&gt;&lt;record&gt;&lt;rec-number&gt;95&lt;/rec-number&gt;&lt;foreign-keys&gt;&lt;key app="EN" db-id="0z5fdztp6e9z5uerfrlvat9mvrxpssrs95da" timestamp="0"&gt;95&lt;/key&gt;&lt;/foreign-keys&gt;&lt;ref-type name="Conference Proceedings"&gt;10&lt;/ref-type&gt;&lt;contributors&gt;&lt;authors&gt;&lt;author&gt;Wu, Y.&lt;/author&gt;&lt;author&gt;Eames, P.  &lt;/author&gt;&lt;/authors&gt;&lt;/contributors&gt;&lt;titles&gt;&lt;title&gt;Experimental Characterisation of an Asymmetric Compound Parabolic PV Concentrator Complied with a Phase Change Material&lt;/title&gt;&lt;secondary-title&gt;7th Photovoltaic Science, Applications and Technology Conference&lt;/secondary-title&gt;&lt;/titles&gt;&lt;dates&gt;&lt;year&gt;2011&lt;/year&gt;&lt;/dates&gt;&lt;pub-location&gt;Heriot-Watt University, Edinburgh, Scotland&lt;/pub-location&gt;&lt;urls&gt;&lt;/urls&gt;&lt;/record&gt;&lt;/Cite&gt;&lt;/EndNote&gt;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r>
        <w:rPr>
          <w:rFonts w:ascii="Times New Roman" w:eastAsia="Times New Roman" w:hAnsi="Times New Roman"/>
          <w:lang w:val="en-GB" w:eastAsia="en-GB"/>
        </w:rPr>
        <w:t xml:space="preserve">Mallick et al, 2004, </w:t>
      </w:r>
      <w:hyperlink w:anchor="_ENREF_324" w:tooltip="Wu, 2009 #94" w:history="1">
        <w:r w:rsidRPr="005444B3">
          <w:rPr>
            <w:rFonts w:ascii="Times New Roman" w:eastAsia="Times New Roman" w:hAnsi="Times New Roman"/>
            <w:lang w:val="en-GB" w:eastAsia="en-GB"/>
          </w:rPr>
          <w:t>Wu, 2009</w:t>
        </w:r>
      </w:hyperlink>
      <w:r w:rsidRPr="005444B3">
        <w:rPr>
          <w:rFonts w:ascii="Times New Roman" w:eastAsia="Times New Roman" w:hAnsi="Times New Roman"/>
          <w:lang w:val="en-GB" w:eastAsia="en-GB"/>
        </w:rPr>
        <w:t xml:space="preserve">;  </w:t>
      </w:r>
      <w:hyperlink w:anchor="_ENREF_325" w:tooltip="Wu, 2011 #95" w:history="1">
        <w:r w:rsidRPr="005444B3">
          <w:rPr>
            <w:rFonts w:ascii="Times New Roman" w:eastAsia="Times New Roman" w:hAnsi="Times New Roman"/>
            <w:lang w:val="en-GB" w:eastAsia="en-GB"/>
          </w:rPr>
          <w:t>Wu and Eames,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which concentrate significant diffuse solar radiation, Wu et al. designed and constructed an ACPPVC integrating PCM RT27 to the back, as in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_Ref384376551 \h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r>
        <w:rPr>
          <w:rFonts w:ascii="Times New Roman" w:eastAsia="Times New Roman" w:hAnsi="Times New Roman"/>
          <w:lang w:val="en-GB" w:eastAsia="en-GB"/>
        </w:rPr>
        <w:t>Fig.</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end"/>
      </w:r>
      <w:r>
        <w:rPr>
          <w:rFonts w:ascii="Times New Roman" w:eastAsia="Times New Roman" w:hAnsi="Times New Roman"/>
          <w:lang w:val="en-GB" w:eastAsia="en-GB"/>
        </w:rPr>
        <w:t>26</w:t>
      </w:r>
      <w:r w:rsidRPr="005444B3">
        <w:rPr>
          <w:rFonts w:ascii="Times New Roman" w:eastAsia="Times New Roman" w:hAnsi="Times New Roman"/>
          <w:lang w:val="en-GB" w:eastAsia="en-GB"/>
        </w:rPr>
        <w:t xml:space="preserve">, to regulate the temperature. The system had a concentration ratio of 2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&lt;EndNote&gt;&lt;Cite&gt;&lt;Author&gt;Wu&lt;/Author&gt;&lt;Year&gt;2009&lt;/Year&gt;&lt;RecNum&gt;94&lt;/RecNum&gt;&lt;DisplayText&gt;(Wu, 2009)&lt;/DisplayText&gt;&lt;record&gt;&lt;rec-number&gt;94&lt;/rec-number&gt;&lt;foreign-keys&gt;&lt;key app="EN" db-id="0z5fdztp6e9z5uerfrlvat9mvrxpssrs95da" timestamp="0"&gt;94&lt;/key&gt;&lt;/foreign-keys&gt;&lt;ref-type name="Thesis"&gt;32&lt;/ref-type&gt;&lt;contributors&gt;&lt;authors&gt;&lt;author&gt;Wu, Y. &lt;/author&gt;&lt;/authors&gt;&lt;/contributors&gt;&lt;titles&gt;&lt;title&gt;Thermal management of concentrator photovoltaics, PhD Thesis&lt;/title&gt;&lt;secondary-title&gt;School of Engineering&lt;/secondary-title&gt;&lt;/titles&gt;&lt;dates&gt;&lt;year&gt;2009&lt;/year&gt;&lt;/dates&gt;&lt;publisher&gt;University of Warwick, UK&lt;/publisher&gt;&lt;urls&gt;&lt;related-urls&gt;&lt;url&gt;http://wrap.warwick.ac.uk/3218/&lt;/url&gt;&lt;/related-urls&gt;&lt;/urls&gt;&lt;/record&gt;&lt;/Cite&gt;&lt;/EndNote&gt;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324" w:tooltip="Wu, 2009 #94" w:history="1">
        <w:r w:rsidRPr="005444B3">
          <w:rPr>
            <w:rFonts w:ascii="Times New Roman" w:eastAsia="Times New Roman" w:hAnsi="Times New Roman"/>
            <w:lang w:val="en-GB" w:eastAsia="en-GB"/>
          </w:rPr>
          <w:t>Wu, 2009</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217"/>
      </w:tblGrid>
      <w:tr w:rsidR="00B61C6F" w:rsidRPr="006E0A56" w14:paraId="0EF1B162" w14:textId="77777777" w:rsidTr="008745AD">
        <w:tc>
          <w:tcPr>
            <w:tcW w:w="4360" w:type="dxa"/>
          </w:tcPr>
          <w:p w14:paraId="0A7882CB" w14:textId="77777777" w:rsidR="00B61C6F" w:rsidRPr="005444B3" w:rsidRDefault="00B61C6F" w:rsidP="008745AD">
            <w:pPr>
              <w:rPr>
                <w:rFonts w:ascii="Times New Roman" w:eastAsia="Times New Roman" w:hAnsi="Times New Roman" w:cs="Times New Roman"/>
                <w:lang w:val="en-GB" w:eastAsia="en-GB"/>
              </w:rPr>
            </w:pPr>
            <w:r w:rsidRPr="005444B3">
              <w:rPr>
                <w:rFonts w:ascii="Times New Roman" w:eastAsia="Times New Roman" w:hAnsi="Times New Roman"/>
                <w:noProof/>
                <w:lang w:val="es-PY" w:eastAsia="es-PY"/>
              </w:rPr>
              <w:drawing>
                <wp:inline distT="0" distB="0" distL="0" distR="0" wp14:anchorId="6F948A5A" wp14:editId="308CA4AB">
                  <wp:extent cx="2477135" cy="146748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2477135" cy="1467485"/>
                          </a:xfrm>
                          <a:prstGeom prst="rect">
                            <a:avLst/>
                          </a:prstGeom>
                          <a:noFill/>
                          <a:ln w="9525">
                            <a:noFill/>
                            <a:miter lim="800000"/>
                            <a:headEnd/>
                            <a:tailEnd/>
                          </a:ln>
                        </pic:spPr>
                      </pic:pic>
                    </a:graphicData>
                  </a:graphic>
                </wp:inline>
              </w:drawing>
            </w:r>
          </w:p>
        </w:tc>
        <w:tc>
          <w:tcPr>
            <w:tcW w:w="4361" w:type="dxa"/>
          </w:tcPr>
          <w:p w14:paraId="4C3E5939" w14:textId="77777777" w:rsidR="00B61C6F" w:rsidRPr="005444B3" w:rsidRDefault="00B61C6F" w:rsidP="008745AD">
            <w:pPr>
              <w:rPr>
                <w:rFonts w:ascii="Times New Roman" w:eastAsia="Times New Roman" w:hAnsi="Times New Roman" w:cs="Times New Roman"/>
                <w:lang w:val="en-GB" w:eastAsia="en-GB"/>
              </w:rPr>
            </w:pPr>
            <w:r w:rsidRPr="005444B3">
              <w:rPr>
                <w:rFonts w:ascii="Times New Roman" w:eastAsia="Times New Roman" w:hAnsi="Times New Roman"/>
                <w:noProof/>
                <w:lang w:val="es-PY" w:eastAsia="es-PY"/>
              </w:rPr>
              <w:drawing>
                <wp:inline distT="0" distB="0" distL="0" distR="0" wp14:anchorId="1E960545" wp14:editId="7C54F70A">
                  <wp:extent cx="2349500" cy="17754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2349500" cy="1775460"/>
                          </a:xfrm>
                          <a:prstGeom prst="rect">
                            <a:avLst/>
                          </a:prstGeom>
                          <a:noFill/>
                          <a:ln w="9525">
                            <a:noFill/>
                            <a:miter lim="800000"/>
                            <a:headEnd/>
                            <a:tailEnd/>
                          </a:ln>
                        </pic:spPr>
                      </pic:pic>
                    </a:graphicData>
                  </a:graphic>
                </wp:inline>
              </w:drawing>
            </w:r>
          </w:p>
        </w:tc>
      </w:tr>
      <w:tr w:rsidR="00B61C6F" w:rsidRPr="006E0A56" w14:paraId="10C1153C" w14:textId="77777777" w:rsidTr="008745AD">
        <w:tc>
          <w:tcPr>
            <w:tcW w:w="4360" w:type="dxa"/>
          </w:tcPr>
          <w:p w14:paraId="692EAFA0" w14:textId="77777777" w:rsidR="00B61C6F" w:rsidRPr="005444B3" w:rsidRDefault="00B61C6F" w:rsidP="008745AD">
            <w:pPr>
              <w:jc w:val="center"/>
              <w:rPr>
                <w:rFonts w:ascii="Times New Roman" w:eastAsia="Times New Roman" w:hAnsi="Times New Roman" w:cs="Times New Roman"/>
                <w:lang w:val="en-GB" w:eastAsia="en-GB"/>
              </w:rPr>
            </w:pPr>
            <w:r w:rsidRPr="005444B3">
              <w:rPr>
                <w:rFonts w:ascii="Times New Roman" w:eastAsia="Times New Roman" w:hAnsi="Times New Roman"/>
                <w:lang w:val="en-GB" w:eastAsia="en-GB"/>
              </w:rPr>
              <w:t>(a)</w:t>
            </w:r>
          </w:p>
        </w:tc>
        <w:tc>
          <w:tcPr>
            <w:tcW w:w="4361" w:type="dxa"/>
          </w:tcPr>
          <w:p w14:paraId="3F1481B7" w14:textId="77777777" w:rsidR="00B61C6F" w:rsidRPr="005444B3" w:rsidRDefault="00B61C6F" w:rsidP="008745AD">
            <w:pPr>
              <w:jc w:val="center"/>
              <w:rPr>
                <w:rFonts w:ascii="Times New Roman" w:eastAsia="Times New Roman" w:hAnsi="Times New Roman" w:cs="Times New Roman"/>
                <w:lang w:val="en-GB" w:eastAsia="en-GB"/>
              </w:rPr>
            </w:pPr>
            <w:r w:rsidRPr="005444B3">
              <w:rPr>
                <w:rFonts w:ascii="Times New Roman" w:eastAsia="Times New Roman" w:hAnsi="Times New Roman"/>
                <w:lang w:val="en-GB" w:eastAsia="en-GB"/>
              </w:rPr>
              <w:t>(b)</w:t>
            </w:r>
          </w:p>
        </w:tc>
      </w:tr>
    </w:tbl>
    <w:p w14:paraId="5A586AC6" w14:textId="77777777" w:rsidR="00B61C6F" w:rsidRDefault="00B61C6F" w:rsidP="00B61C6F">
      <w:pPr>
        <w:jc w:val="center"/>
        <w:rPr>
          <w:rFonts w:ascii="Times New Roman" w:eastAsia="Times New Roman" w:hAnsi="Times New Roman"/>
          <w:sz w:val="20"/>
          <w:szCs w:val="20"/>
          <w:lang w:val="en-GB" w:eastAsia="en-GB"/>
        </w:rPr>
      </w:pPr>
    </w:p>
    <w:p w14:paraId="0D050ED1" w14:textId="77777777" w:rsidR="00B61C6F" w:rsidRPr="00A01EAA" w:rsidRDefault="00B61C6F" w:rsidP="00B61C6F">
      <w:pPr>
        <w:jc w:val="center"/>
        <w:rPr>
          <w:rFonts w:ascii="Times New Roman" w:eastAsia="Times New Roman" w:hAnsi="Times New Roman"/>
          <w:sz w:val="20"/>
          <w:szCs w:val="20"/>
          <w:lang w:val="en-GB" w:eastAsia="en-GB"/>
        </w:rPr>
      </w:pPr>
      <w:r w:rsidRPr="00A01EAA">
        <w:rPr>
          <w:rFonts w:ascii="Times New Roman" w:eastAsia="Times New Roman" w:hAnsi="Times New Roman"/>
          <w:sz w:val="20"/>
          <w:szCs w:val="20"/>
          <w:lang w:val="en-GB" w:eastAsia="en-GB"/>
        </w:rPr>
        <w:t>F</w:t>
      </w:r>
      <w:r>
        <w:rPr>
          <w:rFonts w:ascii="Times New Roman" w:eastAsia="Times New Roman" w:hAnsi="Times New Roman"/>
          <w:sz w:val="20"/>
          <w:szCs w:val="20"/>
          <w:lang w:val="en-GB" w:eastAsia="en-GB"/>
        </w:rPr>
        <w:t>ig.</w:t>
      </w:r>
      <w:r w:rsidRPr="00A01EAA">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26.</w:t>
      </w:r>
      <w:r w:rsidRPr="00A01EAA">
        <w:rPr>
          <w:rFonts w:ascii="Times New Roman" w:eastAsia="Times New Roman" w:hAnsi="Times New Roman"/>
          <w:sz w:val="20"/>
          <w:szCs w:val="20"/>
          <w:lang w:val="en-GB" w:eastAsia="en-GB"/>
        </w:rPr>
        <w:t xml:space="preserve"> ACPPVC integrated with PCM (a) schematic and (b) photo </w:t>
      </w:r>
      <w:r w:rsidRPr="00A01EAA">
        <w:rPr>
          <w:rFonts w:ascii="Times New Roman" w:eastAsia="Times New Roman" w:hAnsi="Times New Roman"/>
          <w:sz w:val="20"/>
          <w:szCs w:val="20"/>
          <w:lang w:val="en-GB" w:eastAsia="en-GB"/>
        </w:rPr>
        <w:fldChar w:fldCharType="begin"/>
      </w:r>
      <w:r w:rsidRPr="00A01EAA">
        <w:rPr>
          <w:rFonts w:ascii="Times New Roman" w:eastAsia="Times New Roman" w:hAnsi="Times New Roman"/>
          <w:sz w:val="20"/>
          <w:szCs w:val="20"/>
          <w:lang w:val="en-GB" w:eastAsia="en-GB"/>
        </w:rPr>
        <w:instrText xml:space="preserve"> ADDIN EN.CITE &lt;EndNote&gt;&lt;Cite&gt;&lt;Author&gt;Wu&lt;/Author&gt;&lt;Year&gt;2009&lt;/Year&gt;&lt;RecNum&gt;94&lt;/RecNum&gt;&lt;DisplayText&gt;(Wu, 2009)&lt;/DisplayText&gt;&lt;record&gt;&lt;rec-number&gt;94&lt;/rec-number&gt;&lt;foreign-keys&gt;&lt;key app="EN" db-id="0z5fdztp6e9z5uerfrlvat9mvrxpssrs95da" timestamp="0"&gt;94&lt;/key&gt;&lt;/foreign-keys&gt;&lt;ref-type name="Thesis"&gt;32&lt;/ref-type&gt;&lt;contributors&gt;&lt;authors&gt;&lt;author&gt;Wu, Y. &lt;/author&gt;&lt;/authors&gt;&lt;/contributors&gt;&lt;titles&gt;&lt;title&gt;Thermal management of concentrator photovoltaics, PhD Thesis&lt;/title&gt;&lt;secondary-title&gt;School of Engineering&lt;/secondary-title&gt;&lt;/titles&gt;&lt;dates&gt;&lt;year&gt;2009&lt;/year&gt;&lt;/dates&gt;&lt;publisher&gt;University of Warwick, UK&lt;/publisher&gt;&lt;urls&gt;&lt;related-urls&gt;&lt;url&gt;http://wrap.warwick.ac.uk/3218/&lt;/url&gt;&lt;/related-urls&gt;&lt;/urls&gt;&lt;/record&gt;&lt;/Cite&gt;&lt;/EndNote&gt;</w:instrText>
      </w:r>
      <w:r w:rsidRPr="00A01EAA">
        <w:rPr>
          <w:rFonts w:ascii="Times New Roman" w:eastAsia="Times New Roman" w:hAnsi="Times New Roman"/>
          <w:sz w:val="20"/>
          <w:szCs w:val="20"/>
          <w:lang w:val="en-GB" w:eastAsia="en-GB"/>
        </w:rPr>
        <w:fldChar w:fldCharType="separate"/>
      </w:r>
      <w:r w:rsidRPr="00A01EAA">
        <w:rPr>
          <w:rFonts w:ascii="Times New Roman" w:eastAsia="Times New Roman" w:hAnsi="Times New Roman"/>
          <w:sz w:val="20"/>
          <w:szCs w:val="20"/>
          <w:lang w:val="en-GB" w:eastAsia="en-GB"/>
        </w:rPr>
        <w:t>(</w:t>
      </w:r>
      <w:hyperlink w:anchor="_ENREF_324" w:tooltip="Wu, 2009 #94" w:history="1">
        <w:r w:rsidRPr="00A01EAA">
          <w:rPr>
            <w:rFonts w:ascii="Times New Roman" w:eastAsia="Times New Roman" w:hAnsi="Times New Roman"/>
            <w:sz w:val="20"/>
            <w:szCs w:val="20"/>
            <w:lang w:val="en-GB" w:eastAsia="en-GB"/>
          </w:rPr>
          <w:t>Wu, 2009</w:t>
        </w:r>
      </w:hyperlink>
      <w:r w:rsidRPr="00A01EAA">
        <w:rPr>
          <w:rFonts w:ascii="Times New Roman" w:eastAsia="Times New Roman" w:hAnsi="Times New Roman"/>
          <w:sz w:val="20"/>
          <w:szCs w:val="20"/>
          <w:lang w:val="en-GB" w:eastAsia="en-GB"/>
        </w:rPr>
        <w:t>)</w:t>
      </w:r>
      <w:r w:rsidRPr="00A01EAA">
        <w:rPr>
          <w:rFonts w:ascii="Times New Roman" w:eastAsia="Times New Roman" w:hAnsi="Times New Roman"/>
          <w:sz w:val="20"/>
          <w:szCs w:val="20"/>
          <w:lang w:val="en-GB" w:eastAsia="en-GB"/>
        </w:rPr>
        <w:fldChar w:fldCharType="end"/>
      </w:r>
    </w:p>
    <w:p w14:paraId="16161616" w14:textId="77777777" w:rsidR="00B61C6F" w:rsidRDefault="00B61C6F" w:rsidP="00B61C6F">
      <w:pPr>
        <w:rPr>
          <w:rFonts w:ascii="Times New Roman" w:eastAsia="Times New Roman" w:hAnsi="Times New Roman"/>
          <w:lang w:val="en-GB" w:eastAsia="en-GB"/>
        </w:rPr>
      </w:pPr>
    </w:p>
    <w:p w14:paraId="6859F945"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At an incident solar irradiance of 672 W/m</w:t>
      </w:r>
      <w:r w:rsidRPr="00265C2C">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and incident angle of 0 º the temperature of the solar cells of the ACPPVC-55/ PCM was reduced by 18 ºC during the phase change compared to ACPPVC-55 system. The predicted electrical conversion efficiency of the ACPPVC-55/PCM is 10 %. Further tests under various incident angles and solar irradiance intensities found that at solar irradiance intensities of 280 W/m</w:t>
      </w:r>
      <w:r w:rsidRPr="00265C2C">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the PV temperature was reduced by 7ºC for approximately 10 hours when using RT27 with an increase of 5 % in the electrical conversion compared to ACPPVC-55.</w:t>
      </w:r>
    </w:p>
    <w:p w14:paraId="5EBCBD82" w14:textId="77777777" w:rsidR="00B61C6F"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A V-trough CPV system was investigated where a metal-wax composite PCM was used to regulate PV temperature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&lt;EndNote&gt;&lt;Cite&gt;&lt;Author&gt;Maiti&lt;/Author&gt;&lt;Year&gt;2011&lt;/Year&gt;&lt;RecNum&gt;358&lt;/RecNum&gt;&lt;DisplayText&gt;(Maiti et al., 2011)&lt;/DisplayText&gt;&lt;record&gt;&lt;rec-number&gt;358&lt;/rec-number&gt;&lt;foreign-keys&gt;&lt;key app="EN" db-id="0z5fdztp6e9z5uerfrlvat9mvrxpssrs95da" timestamp="0"&gt;358&lt;/key&gt;&lt;/foreign-keys&gt;&lt;ref-type name="Journal Article"&gt;17&lt;/ref-type&gt;&lt;contributors&gt;&lt;authors&gt;&lt;author&gt;Maiti, Subarna&lt;/author&gt;&lt;author&gt;Banerjee, Sudhanya&lt;/author&gt;&lt;author&gt;Vyas, Kairavi&lt;/author&gt;&lt;author&gt;Patel, Pankaj&lt;/author&gt;&lt;author&gt;Ghosh, Pushpito K.&lt;/author&gt;&lt;/authors&gt;&lt;/contributors&gt;&lt;titles&gt;&lt;title&gt;Self regulation of photovoltaic module temperature in V-trough using a metal-wax composite phase change matrix&lt;/title&gt;&lt;secondary-title&gt;Solar Energy&lt;/secondary-title&gt;&lt;/titles&gt;&lt;periodical&gt;&lt;full-title&gt;Solar Energy&lt;/full-title&gt;&lt;/periodical&gt;&lt;pages&gt;1805-1816&lt;/pages&gt;&lt;volume&gt;85&lt;/volume&gt;&lt;number&gt;9&lt;/number&gt;&lt;keywords&gt;&lt;keyword&gt;Solar photovoltaics&lt;/keyword&gt;&lt;keyword&gt;V-trough&lt;/keyword&gt;&lt;keyword&gt;Temperature control&lt;/keyword&gt;&lt;keyword&gt;Phase change material&lt;/keyword&gt;&lt;keyword&gt;Power output&lt;/keyword&gt;&lt;/keywords&gt;&lt;dates&gt;&lt;year&gt;2011&lt;/year&gt;&lt;/dates&gt;&lt;urls&gt;&lt;related-urls&gt;&lt;url&gt;http://www.sciencedirect.com/science/article/pii/S0038092X11001411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04" w:tooltip="Maiti, 2011 #358" w:history="1">
        <w:r w:rsidRPr="005444B3">
          <w:rPr>
            <w:rFonts w:ascii="Times New Roman" w:eastAsia="Times New Roman" w:hAnsi="Times New Roman"/>
            <w:lang w:val="en-GB" w:eastAsia="en-GB"/>
          </w:rPr>
          <w:t>Maiti et al.,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illustrated in </w:t>
      </w:r>
      <w:r>
        <w:rPr>
          <w:rFonts w:ascii="Times New Roman" w:eastAsia="Times New Roman" w:hAnsi="Times New Roman"/>
          <w:lang w:val="en-GB" w:eastAsia="en-GB"/>
        </w:rPr>
        <w:t>27</w:t>
      </w:r>
      <w:r w:rsidRPr="00265C2C">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t>Paraffin wax with a phase change range of 56 ºC - 58 ºC was located on the rear of the module. To enhance low thermal conduction in the PCM, aluminium lathe turnings were embedded. Indoor experiments maintained the temperature between 65 ºC - 68ºC for 3 hours at 2300 W/m</w:t>
      </w:r>
      <w:r w:rsidRPr="00D9485E">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generated using a solar simulator. The temperature of the PV rose to 90ºC in absence of the PCM. Outdoor experiments showed </w:t>
      </w:r>
      <w:r w:rsidRPr="005444B3">
        <w:rPr>
          <w:rFonts w:ascii="Times New Roman" w:eastAsia="Times New Roman" w:hAnsi="Times New Roman"/>
          <w:lang w:val="en-GB" w:eastAsia="en-GB"/>
        </w:rPr>
        <w:lastRenderedPageBreak/>
        <w:t>maximum temperatures of between 78 ºC – 80 ºC i</w:t>
      </w:r>
      <w:r>
        <w:rPr>
          <w:rFonts w:ascii="Times New Roman" w:eastAsia="Times New Roman" w:hAnsi="Times New Roman"/>
          <w:lang w:val="en-GB" w:eastAsia="en-GB"/>
        </w:rPr>
        <w:t xml:space="preserve">n the absence of PCM and 64 ºC </w:t>
      </w:r>
      <w:r w:rsidRPr="005444B3">
        <w:rPr>
          <w:rFonts w:ascii="Times New Roman" w:eastAsia="Times New Roman" w:hAnsi="Times New Roman"/>
          <w:lang w:val="en-GB" w:eastAsia="en-GB"/>
        </w:rPr>
        <w:t>- 65 ºC with the PCM as a temperature regulation mechanism though this was at a lower solar irradiance intensity of 1982 W/m</w:t>
      </w:r>
      <w:r w:rsidRPr="00D9485E">
        <w:rPr>
          <w:rFonts w:ascii="Times New Roman" w:eastAsia="Times New Roman" w:hAnsi="Times New Roman"/>
          <w:vertAlign w:val="superscript"/>
          <w:lang w:val="en-GB" w:eastAsia="en-GB"/>
        </w:rPr>
        <w:t>2</w:t>
      </w:r>
      <w:r w:rsidRPr="005444B3">
        <w:rPr>
          <w:rFonts w:ascii="Times New Roman" w:eastAsia="Times New Roman" w:hAnsi="Times New Roman"/>
          <w:lang w:val="en-GB" w:eastAsia="en-GB"/>
        </w:rPr>
        <w:t xml:space="preserve"> generated by the initial radiation being concentrated in the V-trough.</w:t>
      </w:r>
    </w:p>
    <w:p w14:paraId="09BEFE38" w14:textId="77777777" w:rsidR="00B61C6F" w:rsidRPr="005444B3" w:rsidRDefault="00B61C6F" w:rsidP="00B61C6F">
      <w:pPr>
        <w:spacing w:line="360" w:lineRule="auto"/>
        <w:jc w:val="both"/>
        <w:rPr>
          <w:rFonts w:ascii="Times New Roman" w:eastAsia="Times New Roman" w:hAnsi="Times New Roman"/>
          <w:lang w:val="en-GB" w:eastAsia="en-GB"/>
        </w:rPr>
      </w:pPr>
    </w:p>
    <w:p w14:paraId="7F2B6396" w14:textId="77777777" w:rsidR="00B61C6F" w:rsidRPr="005444B3" w:rsidRDefault="00B61C6F" w:rsidP="00B61C6F">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629625B4" wp14:editId="353159F6">
            <wp:extent cx="5562373" cy="3276600"/>
            <wp:effectExtent l="0" t="0" r="635"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578497" cy="3286098"/>
                    </a:xfrm>
                    <a:prstGeom prst="rect">
                      <a:avLst/>
                    </a:prstGeom>
                    <a:noFill/>
                    <a:ln w="9525">
                      <a:noFill/>
                      <a:miter lim="800000"/>
                      <a:headEnd/>
                      <a:tailEnd/>
                    </a:ln>
                  </pic:spPr>
                </pic:pic>
              </a:graphicData>
            </a:graphic>
          </wp:inline>
        </w:drawing>
      </w:r>
    </w:p>
    <w:p w14:paraId="3E986901" w14:textId="77777777" w:rsidR="00B61C6F" w:rsidRPr="00A01EAA" w:rsidRDefault="00B61C6F" w:rsidP="00B61C6F">
      <w:pPr>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A01EAA">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27.</w:t>
      </w:r>
      <w:r w:rsidRPr="00A01EAA">
        <w:rPr>
          <w:rFonts w:ascii="Times New Roman" w:eastAsia="Times New Roman" w:hAnsi="Times New Roman"/>
          <w:sz w:val="20"/>
          <w:szCs w:val="20"/>
          <w:lang w:val="en-GB" w:eastAsia="en-GB"/>
        </w:rPr>
        <w:t xml:space="preserve"> V-trough PV system with integrated metal-wax composite PCM </w:t>
      </w:r>
      <w:r w:rsidRPr="00A01EAA">
        <w:rPr>
          <w:rFonts w:ascii="Times New Roman" w:eastAsia="Times New Roman" w:hAnsi="Times New Roman"/>
          <w:sz w:val="20"/>
          <w:szCs w:val="20"/>
          <w:lang w:val="en-GB" w:eastAsia="en-GB"/>
        </w:rPr>
        <w:fldChar w:fldCharType="begin"/>
      </w:r>
      <w:r w:rsidRPr="00A01EAA">
        <w:rPr>
          <w:rFonts w:ascii="Times New Roman" w:eastAsia="Times New Roman" w:hAnsi="Times New Roman"/>
          <w:sz w:val="20"/>
          <w:szCs w:val="20"/>
          <w:lang w:val="en-GB" w:eastAsia="en-GB"/>
        </w:rPr>
        <w:instrText xml:space="preserve"> ADDIN EN.CITE &lt;EndNote&gt;&lt;Cite&gt;&lt;Author&gt;Maiti&lt;/Author&gt;&lt;Year&gt;2011&lt;/Year&gt;&lt;RecNum&gt;358&lt;/RecNum&gt;&lt;DisplayText&gt;(Maiti et al., 2011)&lt;/DisplayText&gt;&lt;record&gt;&lt;rec-number&gt;358&lt;/rec-number&gt;&lt;foreign-keys&gt;&lt;key app="EN" db-id="0z5fdztp6e9z5uerfrlvat9mvrxpssrs95da" timestamp="0"&gt;358&lt;/key&gt;&lt;/foreign-keys&gt;&lt;ref-type name="Journal Article"&gt;17&lt;/ref-type&gt;&lt;contributors&gt;&lt;authors&gt;&lt;author&gt;Maiti, Subarna&lt;/author&gt;&lt;author&gt;Banerjee, Sudhanya&lt;/author&gt;&lt;author&gt;Vyas, Kairavi&lt;/author&gt;&lt;author&gt;Patel, Pankaj&lt;/author&gt;&lt;author&gt;Ghosh, Pushpito K.&lt;/author&gt;&lt;/authors&gt;&lt;/contributors&gt;&lt;titles&gt;&lt;title&gt;Self regulation of photovoltaic module temperature in V-trough using a metal-wax composite phase change matrix&lt;/title&gt;&lt;secondary-title&gt;Solar Energy&lt;/secondary-title&gt;&lt;/titles&gt;&lt;periodical&gt;&lt;full-title&gt;Solar Energy&lt;/full-title&gt;&lt;/periodical&gt;&lt;pages&gt;1805-1816&lt;/pages&gt;&lt;volume&gt;85&lt;/volume&gt;&lt;number&gt;9&lt;/number&gt;&lt;keywords&gt;&lt;keyword&gt;Solar photovoltaics&lt;/keyword&gt;&lt;keyword&gt;V-trough&lt;/keyword&gt;&lt;keyword&gt;Temperature control&lt;/keyword&gt;&lt;keyword&gt;Phase change material&lt;/keyword&gt;&lt;keyword&gt;Power output&lt;/keyword&gt;&lt;/keywords&gt;&lt;dates&gt;&lt;year&gt;2011&lt;/year&gt;&lt;/dates&gt;&lt;urls&gt;&lt;related-urls&gt;&lt;url&gt;http://www.sciencedirect.com/science/article/pii/S0038092X11001411 &lt;/url&gt;&lt;/related-urls&gt;&lt;/urls&gt;&lt;/record&gt;&lt;/Cite&gt;&lt;/EndNote&gt;</w:instrText>
      </w:r>
      <w:r w:rsidRPr="00A01EAA">
        <w:rPr>
          <w:rFonts w:ascii="Times New Roman" w:eastAsia="Times New Roman" w:hAnsi="Times New Roman"/>
          <w:sz w:val="20"/>
          <w:szCs w:val="20"/>
          <w:lang w:val="en-GB" w:eastAsia="en-GB"/>
        </w:rPr>
        <w:fldChar w:fldCharType="separate"/>
      </w:r>
      <w:r w:rsidRPr="00A01EAA">
        <w:rPr>
          <w:rFonts w:ascii="Times New Roman" w:eastAsia="Times New Roman" w:hAnsi="Times New Roman"/>
          <w:sz w:val="20"/>
          <w:szCs w:val="20"/>
          <w:lang w:val="en-GB" w:eastAsia="en-GB"/>
        </w:rPr>
        <w:t>(</w:t>
      </w:r>
      <w:hyperlink w:anchor="_ENREF_204" w:tooltip="Maiti, 2011 #358" w:history="1">
        <w:r w:rsidRPr="00A01EAA">
          <w:rPr>
            <w:rFonts w:ascii="Times New Roman" w:eastAsia="Times New Roman" w:hAnsi="Times New Roman"/>
            <w:sz w:val="20"/>
            <w:szCs w:val="20"/>
            <w:lang w:val="en-GB" w:eastAsia="en-GB"/>
          </w:rPr>
          <w:t>Maiti et al., 2011</w:t>
        </w:r>
      </w:hyperlink>
      <w:r w:rsidRPr="00A01EAA">
        <w:rPr>
          <w:rFonts w:ascii="Times New Roman" w:eastAsia="Times New Roman" w:hAnsi="Times New Roman"/>
          <w:sz w:val="20"/>
          <w:szCs w:val="20"/>
          <w:lang w:val="en-GB" w:eastAsia="en-GB"/>
        </w:rPr>
        <w:t>)</w:t>
      </w:r>
      <w:r w:rsidRPr="00A01EAA">
        <w:rPr>
          <w:rFonts w:ascii="Times New Roman" w:eastAsia="Times New Roman" w:hAnsi="Times New Roman"/>
          <w:sz w:val="20"/>
          <w:szCs w:val="20"/>
          <w:lang w:val="en-GB" w:eastAsia="en-GB"/>
        </w:rPr>
        <w:fldChar w:fldCharType="end"/>
      </w:r>
    </w:p>
    <w:p w14:paraId="78011A69" w14:textId="77777777" w:rsidR="00B61C6F" w:rsidRDefault="00B61C6F" w:rsidP="00B61C6F">
      <w:pPr>
        <w:rPr>
          <w:rFonts w:ascii="Times New Roman" w:eastAsia="Times New Roman" w:hAnsi="Times New Roman"/>
          <w:lang w:val="en-GB" w:eastAsia="en-GB"/>
        </w:rPr>
      </w:pPr>
    </w:p>
    <w:p w14:paraId="5D5F202F"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PCM was further investigated theoretically in a CPV system with concentration of 2 suns and was found to be a technically feasible option for suitable sites with high solar concentration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&lt;EndNote&gt;&lt;Cite&gt;&lt;Author&gt;Lillo-Bravo&lt;/Author&gt;&lt;Year&gt;2011&lt;/Year&gt;&lt;RecNum&gt;92&lt;/RecNum&gt;&lt;DisplayText&gt;(Lillo-Bravo et al., 2011)&lt;/DisplayText&gt;&lt;record&gt;&lt;rec-number&gt;92&lt;/rec-number&gt;&lt;foreign-keys&gt;&lt;key app="EN" db-id="0z5fdztp6e9z5uerfrlvat9mvrxpssrs95da" timestamp="0"&gt;92&lt;/key&gt;&lt;/foreign-keys&gt;&lt;ref-type name="Conference Proceedings"&gt;10&lt;/ref-type&gt;&lt;contributors&gt;&lt;authors&gt;&lt;author&gt;Lillo-Bravo, I.&lt;/author&gt;&lt;author&gt;Silva-Perez, M. &lt;/author&gt;&lt;author&gt;Larraneta Gomez-Caminero, M. &lt;/author&gt;&lt;/authors&gt;&lt;/contributors&gt;&lt;titles&gt;&lt;title&gt;Use of Phase Change Materials in Photovoltaic Modules with Solar Concentration of up to 2x &lt;/title&gt;&lt;secondary-title&gt;26th European Photovoltaic Solar Energy Conference and Exhibition&lt;/secondary-title&gt;&lt;/titles&gt;&lt;pages&gt;634-639&lt;/pages&gt;&lt;dates&gt;&lt;year&gt;2011&lt;/year&gt;&lt;pub-dates&gt;&lt;date&gt;September&lt;/date&gt;&lt;/pub-dates&gt;&lt;/dates&gt;&lt;pub-location&gt;Hamburg, Germany&lt;/pub-location&gt;&lt;urls&gt;&lt;/urls&gt;&lt;/record&gt;&lt;/Cite&gt;&lt;/EndNote&gt;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89" w:tooltip="Lillo-Bravo, 2011 #92" w:history="1">
        <w:r w:rsidRPr="005444B3">
          <w:rPr>
            <w:rFonts w:ascii="Times New Roman" w:eastAsia="Times New Roman" w:hAnsi="Times New Roman"/>
            <w:lang w:val="en-GB" w:eastAsia="en-GB"/>
          </w:rPr>
          <w:t>Lillo-Bravo et al.,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Twelve sites were chosen for which a CPV/PCM model was simulated under the environmental conditions of each site. Four phase change temperatures were tested, 25 ºC, 35 ºC, 45 ºC, and 55 ºC. It was found that a concentrated system located in Cairo generated 37.2 % more electrical power than a system without PCM, followed closely by Cairo and London produced the least increase in energy of 18 %. The im</w:t>
      </w:r>
      <w:r>
        <w:rPr>
          <w:rFonts w:ascii="Times New Roman" w:eastAsia="Times New Roman" w:hAnsi="Times New Roman"/>
          <w:lang w:val="en-GB" w:eastAsia="en-GB"/>
        </w:rPr>
        <w:t>provement in efficiency was</w:t>
      </w:r>
      <w:r w:rsidRPr="005444B3">
        <w:rPr>
          <w:rFonts w:ascii="Times New Roman" w:eastAsia="Times New Roman" w:hAnsi="Times New Roman"/>
          <w:lang w:val="en-GB" w:eastAsia="en-GB"/>
        </w:rPr>
        <w:t xml:space="preserve"> closely linked with the location of installation and the possibility of solar concentration. It should be noted that this model has not yet been validated.</w:t>
      </w:r>
    </w:p>
    <w:p w14:paraId="25629673" w14:textId="77777777" w:rsidR="00B61C6F"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A hybrid CPV-thermoelectric concept integrated PCM as a store of heat generated by a concentrator as in </w:t>
      </w:r>
      <w:r>
        <w:rPr>
          <w:rFonts w:ascii="Times New Roman" w:eastAsia="Times New Roman" w:hAnsi="Times New Roman"/>
          <w:lang w:val="en-GB" w:eastAsia="en-GB"/>
        </w:rPr>
        <w:t xml:space="preserve">Fig. 28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&lt;EndNote&gt;&lt;Cite&gt;&lt;Author&gt;Li&lt;/Author&gt;&lt;Year&gt;2013&lt;/Year&gt;&lt;RecNum&gt;328&lt;/RecNum&gt;&lt;DisplayText&gt;(Li et al., 2013)&lt;/DisplayText&gt;&lt;record&gt;&lt;rec-number&gt;328&lt;/rec-number&gt;&lt;foreign-keys&gt;&lt;key app="EN" db-id="0z5fdztp6e9z5uerfrlvat9mvrxpssrs95da" timestamp="0"&gt;328&lt;/key&gt;&lt;/foreign-keys&gt;&lt;ref-type name="Journal Article"&gt;17&lt;/ref-type&gt;&lt;contributors&gt;&lt;authors&gt;&lt;author&gt;Li, Yongliang&lt;/author&gt;&lt;author&gt;Witharana, Sanjeeva&lt;/author&gt;&lt;author&gt;Cao, Hui&lt;/author&gt;&lt;author&gt;Lasfargues, Mathieu&lt;/author&gt;&lt;author&gt;Huang, Yun&lt;/author&gt;&lt;author&gt;Ding, Yulong&lt;/author&gt;&lt;/authors&gt;&lt;/contributors&gt;&lt;titles&gt;&lt;title&gt;Wide spectrum solar energy harvesting through an integrated photovoltaic and thermoelectric system&lt;/title&gt;&lt;secondary-title&gt;Particuology&lt;/secondary-title&gt;&lt;/titles&gt;&lt;periodical&gt;&lt;full-title&gt;Particuology&lt;/full-title&gt;&lt;/periodical&gt;&lt;pages&gt;39-44&lt;/pages&gt;&lt;volume&gt;15&lt;/volume&gt;&lt;number&gt;0&lt;/number&gt;&lt;keywords&gt;&lt;keyword&gt;Solar power&lt;/keyword&gt;&lt;keyword&gt;Photovoltaic panel&lt;/keyword&gt;&lt;keyword&gt;Spectrum beam splitting&lt;/keyword&gt;&lt;keyword&gt;Thermoelectric generator&lt;/keyword&gt;&lt;keyword&gt;Energy storage&lt;/keyword&gt;&lt;/keywords&gt;&lt;dates&gt;&lt;year&gt;2013&lt;/year&gt;&lt;/dates&gt;&lt;urls&gt;&lt;related-urls&gt;&lt;url&gt;http://www.sciencedirect.com/science/article/pii/S167420011300196X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187" w:tooltip="Li, 2013 #328" w:history="1">
        <w:r w:rsidRPr="005444B3">
          <w:rPr>
            <w:rFonts w:ascii="Times New Roman" w:eastAsia="Times New Roman" w:hAnsi="Times New Roman"/>
            <w:lang w:val="en-GB" w:eastAsia="en-GB"/>
          </w:rPr>
          <w:t>Li</w:t>
        </w:r>
        <w:r>
          <w:rPr>
            <w:rFonts w:ascii="Times New Roman" w:eastAsia="Times New Roman" w:hAnsi="Times New Roman"/>
            <w:lang w:val="en-GB" w:eastAsia="en-GB"/>
          </w:rPr>
          <w:t>,. Y,</w:t>
        </w:r>
        <w:r w:rsidRPr="005444B3">
          <w:rPr>
            <w:rFonts w:ascii="Times New Roman" w:eastAsia="Times New Roman" w:hAnsi="Times New Roman"/>
            <w:lang w:val="en-GB" w:eastAsia="en-GB"/>
          </w:rPr>
          <w:t xml:space="preserve"> et al., 2013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A series of calculations based on conversion efficiencies of the PV cell and thermoelectric generator suggest system efficiency improved by 30 % when a high-grade cold energy storage system was added.</w:t>
      </w:r>
    </w:p>
    <w:p w14:paraId="5232786B" w14:textId="77777777" w:rsidR="00B61C6F" w:rsidRPr="00CD744B" w:rsidRDefault="00B61C6F" w:rsidP="00B61C6F">
      <w:pPr>
        <w:spacing w:line="360" w:lineRule="auto"/>
        <w:jc w:val="center"/>
        <w:rPr>
          <w:rFonts w:ascii="Times New Roman" w:eastAsia="Times New Roman" w:hAnsi="Times New Roman"/>
          <w:sz w:val="20"/>
          <w:szCs w:val="20"/>
          <w:lang w:val="en-GB" w:eastAsia="en-GB"/>
        </w:rPr>
      </w:pPr>
      <w:r w:rsidRPr="005444B3">
        <w:rPr>
          <w:rFonts w:ascii="Times New Roman" w:eastAsia="Times New Roman" w:hAnsi="Times New Roman"/>
          <w:noProof/>
          <w:lang w:val="es-PY" w:eastAsia="es-PY"/>
        </w:rPr>
        <w:lastRenderedPageBreak/>
        <w:drawing>
          <wp:anchor distT="0" distB="0" distL="114300" distR="114300" simplePos="0" relativeHeight="251675648" behindDoc="1" locked="0" layoutInCell="1" allowOverlap="1" wp14:anchorId="4154F79A" wp14:editId="73ABA27D">
            <wp:simplePos x="0" y="0"/>
            <wp:positionH relativeFrom="margin">
              <wp:align>left</wp:align>
            </wp:positionH>
            <wp:positionV relativeFrom="paragraph">
              <wp:posOffset>0</wp:posOffset>
            </wp:positionV>
            <wp:extent cx="5505450" cy="3409315"/>
            <wp:effectExtent l="0" t="0" r="0" b="635"/>
            <wp:wrapTight wrapText="bothSides">
              <wp:wrapPolygon edited="0">
                <wp:start x="0" y="0"/>
                <wp:lineTo x="0" y="21483"/>
                <wp:lineTo x="21525" y="21483"/>
                <wp:lineTo x="21525" y="0"/>
                <wp:lineTo x="0" y="0"/>
              </wp:wrapPolygon>
            </wp:wrapTight>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5450" cy="3409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0"/>
          <w:szCs w:val="20"/>
          <w:lang w:val="en-GB" w:eastAsia="en-GB"/>
        </w:rPr>
        <w:t>Fig.</w:t>
      </w:r>
      <w:r w:rsidRPr="00696D6D">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28.</w:t>
      </w:r>
      <w:r w:rsidRPr="00696D6D">
        <w:rPr>
          <w:rFonts w:ascii="Times New Roman" w:eastAsia="Times New Roman" w:hAnsi="Times New Roman"/>
          <w:sz w:val="20"/>
          <w:szCs w:val="20"/>
          <w:lang w:val="en-GB" w:eastAsia="en-GB"/>
        </w:rPr>
        <w:t xml:space="preserve"> Schematic of PV-thermoelectric power system with the use of PCM as TES </w:t>
      </w:r>
      <w:r w:rsidRPr="00696D6D">
        <w:rPr>
          <w:rFonts w:ascii="Times New Roman" w:eastAsia="Times New Roman" w:hAnsi="Times New Roman"/>
          <w:sz w:val="20"/>
          <w:szCs w:val="20"/>
          <w:lang w:val="en-GB" w:eastAsia="en-GB"/>
        </w:rPr>
        <w:fldChar w:fldCharType="begin"/>
      </w:r>
      <w:r w:rsidRPr="00696D6D">
        <w:rPr>
          <w:rFonts w:ascii="Times New Roman" w:eastAsia="Times New Roman" w:hAnsi="Times New Roman"/>
          <w:sz w:val="20"/>
          <w:szCs w:val="20"/>
          <w:lang w:val="en-GB" w:eastAsia="en-GB"/>
        </w:rPr>
        <w:instrText xml:space="preserve"> ADDIN EN.CITE &lt;EndNote&gt;&lt;Cite&gt;&lt;Author&gt;Li&lt;/Author&gt;&lt;Year&gt;2013&lt;/Year&gt;&lt;RecNum&gt;328&lt;/RecNum&gt;&lt;DisplayText&gt;(Li et al., 2013)&lt;/DisplayText&gt;&lt;record&gt;&lt;rec-number&gt;328&lt;/rec-number&gt;&lt;foreign-keys&gt;&lt;key app="EN" db-id="0z5fdztp6e9z5uerfrlvat9mvrxpssrs95da" timestamp="0"&gt;328&lt;/key&gt;&lt;/foreign-keys&gt;&lt;ref-type name="Journal Article"&gt;17&lt;/ref-type&gt;&lt;contributors&gt;&lt;authors&gt;&lt;author&gt;Li, Yongliang&lt;/author&gt;&lt;author&gt;Witharana, Sanjeeva&lt;/author&gt;&lt;author&gt;Cao, Hui&lt;/author&gt;&lt;author&gt;Lasfargues, Mathieu&lt;/author&gt;&lt;author&gt;Huang, Yun&lt;/author&gt;&lt;author&gt;Ding, Yulong&lt;/author&gt;&lt;/authors&gt;&lt;/contributors&gt;&lt;titles&gt;&lt;title&gt;Wide spectrum solar energy harvesting through an integrated photovoltaic and thermoelectric system&lt;/title&gt;&lt;secondary-title&gt;Particuology&lt;/secondary-title&gt;&lt;/titles&gt;&lt;periodical&gt;&lt;full-title&gt;Particuology&lt;/full-title&gt;&lt;/periodical&gt;&lt;pages&gt;39-44&lt;/pages&gt;&lt;volume&gt;15&lt;/volume&gt;&lt;number&gt;0&lt;/number&gt;&lt;keywords&gt;&lt;keyword&gt;Solar power&lt;/keyword&gt;&lt;keyword&gt;Photovoltaic panel&lt;/keyword&gt;&lt;keyword&gt;Spectrum beam splitting&lt;/keyword&gt;&lt;keyword&gt;Thermoelectric generator&lt;/keyword&gt;&lt;keyword&gt;Energy storage&lt;/keyword&gt;&lt;/keywords&gt;&lt;dates&gt;&lt;year&gt;2013&lt;/year&gt;&lt;/dates&gt;&lt;urls&gt;&lt;related-urls&gt;&lt;url&gt;http://www.sciencedirect.com/science/article/pii/S167420011300196X &lt;/url&gt;&lt;/related-urls&gt;&lt;/urls&gt;&lt;/record&gt;&lt;/Cite&gt;&lt;/EndNote&gt;</w:instrText>
      </w:r>
      <w:r w:rsidRPr="00696D6D">
        <w:rPr>
          <w:rFonts w:ascii="Times New Roman" w:eastAsia="Times New Roman" w:hAnsi="Times New Roman"/>
          <w:sz w:val="20"/>
          <w:szCs w:val="20"/>
          <w:lang w:val="en-GB" w:eastAsia="en-GB"/>
        </w:rPr>
        <w:fldChar w:fldCharType="separate"/>
      </w:r>
      <w:r w:rsidRPr="00696D6D">
        <w:rPr>
          <w:rFonts w:ascii="Times New Roman" w:eastAsia="Times New Roman" w:hAnsi="Times New Roman"/>
          <w:sz w:val="20"/>
          <w:szCs w:val="20"/>
          <w:lang w:val="en-GB" w:eastAsia="en-GB"/>
        </w:rPr>
        <w:t>(</w:t>
      </w:r>
      <w:hyperlink w:anchor="_ENREF_187" w:tooltip="Li, 2013 #328" w:history="1">
        <w:r w:rsidRPr="00696D6D">
          <w:rPr>
            <w:rFonts w:ascii="Times New Roman" w:eastAsia="Times New Roman" w:hAnsi="Times New Roman"/>
            <w:sz w:val="20"/>
            <w:szCs w:val="20"/>
            <w:lang w:val="en-GB" w:eastAsia="en-GB"/>
          </w:rPr>
          <w:t>Li et al., 2013</w:t>
        </w:r>
      </w:hyperlink>
      <w:r w:rsidRPr="00696D6D">
        <w:rPr>
          <w:rFonts w:ascii="Times New Roman" w:eastAsia="Times New Roman" w:hAnsi="Times New Roman"/>
          <w:sz w:val="20"/>
          <w:szCs w:val="20"/>
          <w:lang w:val="en-GB" w:eastAsia="en-GB"/>
        </w:rPr>
        <w:t>)</w:t>
      </w:r>
      <w:r w:rsidRPr="00696D6D">
        <w:rPr>
          <w:rFonts w:ascii="Times New Roman" w:eastAsia="Times New Roman" w:hAnsi="Times New Roman"/>
          <w:sz w:val="20"/>
          <w:szCs w:val="20"/>
          <w:lang w:val="en-GB" w:eastAsia="en-GB"/>
        </w:rPr>
        <w:fldChar w:fldCharType="end"/>
      </w:r>
    </w:p>
    <w:p w14:paraId="75427503"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A two-axis concentrating photovoltaic system thermally regulated by PCM was fabricated and tested outdoors in Pakistan as in</w:t>
      </w:r>
      <w:r w:rsidRPr="00265C2C">
        <w:rPr>
          <w:rFonts w:ascii="Times New Roman" w:eastAsia="Times New Roman" w:hAnsi="Times New Roman"/>
          <w:lang w:val="en-GB" w:eastAsia="en-GB"/>
        </w:rPr>
        <w:t xml:space="preserve"> </w:t>
      </w:r>
      <w:r>
        <w:rPr>
          <w:rFonts w:ascii="Times New Roman" w:eastAsia="Times New Roman" w:hAnsi="Times New Roman"/>
          <w:lang w:val="en-GB" w:eastAsia="en-GB"/>
        </w:rPr>
        <w:t xml:space="preserve">Fig. 29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&lt;EndNote&gt;&lt;Cite&gt;&lt;Author&gt;Sarwar&lt;/Author&gt;&lt;Year&gt;2012&lt;/Year&gt;&lt;RecNum&gt;159&lt;/RecNum&gt;&lt;DisplayText&gt;(Sarwar, 2012)&lt;/DisplayText&gt;&lt;record&gt;&lt;rec-number&gt;159&lt;/rec-number&gt;&lt;ref-type name="Thesis"&gt;32&lt;/ref-type&gt;&lt;contributors&gt;&lt;authors&gt;&lt;author&gt;Sarwar, Jawad &lt;/author&gt;&lt;/authors&gt;&lt;/contributors&gt;&lt;titles&gt;&lt;title&gt;Experimental and Numerical Investigation of Thermal Regulation of Photovoltaic and Concentrated Photovoltaic using Phase Change Materials, PhD Thesis&lt;/title&gt;&lt;secondary-title&gt;Engineering &lt;/secondary-title&gt;&lt;/titles&gt;&lt;dates&gt;&lt;year&gt;2012&lt;/year&gt;&lt;/dates&gt;&lt;pub-location&gt;Dublin&lt;/pub-location&gt;&lt;publisher&gt;Dublin Institute of Technology&lt;/publisher&gt;&lt;image&gt;1245497876sis PhD submitted.pdf&lt;/image&gt;&lt;urls&gt;&lt;/urls&gt;&lt;/record&gt;&lt;/Cite&gt;&lt;/EndNote&gt;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74" w:tooltip="Sarwar, 2012 #159" w:history="1">
        <w:r w:rsidRPr="005444B3">
          <w:rPr>
            <w:rFonts w:ascii="Times New Roman" w:eastAsia="Times New Roman" w:hAnsi="Times New Roman"/>
            <w:lang w:val="en-GB" w:eastAsia="en-GB"/>
          </w:rPr>
          <w:t>Sarwar, 2012</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p>
    <w:p w14:paraId="118FF39F" w14:textId="77777777" w:rsidR="00B61C6F" w:rsidRPr="005444B3" w:rsidRDefault="00B61C6F" w:rsidP="00B61C6F">
      <w:pPr>
        <w:pStyle w:val="Caption"/>
        <w:rPr>
          <w:b w:val="0"/>
          <w:bCs w:val="0"/>
          <w:sz w:val="22"/>
          <w:szCs w:val="22"/>
          <w:lang w:val="en-GB" w:eastAsia="en-GB"/>
        </w:rPr>
      </w:pPr>
      <w:r w:rsidRPr="005444B3">
        <w:rPr>
          <w:b w:val="0"/>
          <w:bCs w:val="0"/>
          <w:noProof/>
          <w:sz w:val="22"/>
          <w:szCs w:val="22"/>
          <w:lang w:val="es-PY" w:eastAsia="es-PY"/>
        </w:rPr>
        <w:drawing>
          <wp:inline distT="0" distB="0" distL="0" distR="0" wp14:anchorId="1A85838F" wp14:editId="0F14B8E1">
            <wp:extent cx="4120515" cy="2887392"/>
            <wp:effectExtent l="0" t="0" r="0" b="8255"/>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4136727" cy="2898752"/>
                    </a:xfrm>
                    <a:prstGeom prst="rect">
                      <a:avLst/>
                    </a:prstGeom>
                    <a:noFill/>
                    <a:ln w="9525">
                      <a:noFill/>
                      <a:miter lim="800000"/>
                      <a:headEnd/>
                      <a:tailEnd/>
                    </a:ln>
                  </pic:spPr>
                </pic:pic>
              </a:graphicData>
            </a:graphic>
          </wp:inline>
        </w:drawing>
      </w:r>
    </w:p>
    <w:p w14:paraId="5A81D415" w14:textId="77777777" w:rsidR="00B61C6F" w:rsidRPr="00696D6D" w:rsidRDefault="00B61C6F" w:rsidP="00B61C6F">
      <w:pPr>
        <w:pStyle w:val="Caption"/>
        <w:rPr>
          <w:b w:val="0"/>
          <w:bCs w:val="0"/>
          <w:sz w:val="20"/>
          <w:szCs w:val="20"/>
          <w:lang w:val="en-GB" w:eastAsia="en-GB"/>
        </w:rPr>
      </w:pPr>
      <w:r w:rsidRPr="00696D6D">
        <w:rPr>
          <w:b w:val="0"/>
          <w:bCs w:val="0"/>
          <w:sz w:val="20"/>
          <w:szCs w:val="20"/>
          <w:lang w:val="en-GB" w:eastAsia="en-GB"/>
        </w:rPr>
        <w:t xml:space="preserve"> </w:t>
      </w:r>
      <w:r>
        <w:rPr>
          <w:b w:val="0"/>
          <w:bCs w:val="0"/>
          <w:sz w:val="20"/>
          <w:szCs w:val="20"/>
          <w:lang w:val="en-GB" w:eastAsia="en-GB"/>
        </w:rPr>
        <w:t>Fig.</w:t>
      </w:r>
      <w:r w:rsidRPr="00696D6D">
        <w:rPr>
          <w:b w:val="0"/>
          <w:bCs w:val="0"/>
          <w:sz w:val="20"/>
          <w:szCs w:val="20"/>
          <w:lang w:val="en-GB" w:eastAsia="en-GB"/>
        </w:rPr>
        <w:t xml:space="preserve"> </w:t>
      </w:r>
      <w:r>
        <w:rPr>
          <w:b w:val="0"/>
          <w:bCs w:val="0"/>
          <w:sz w:val="20"/>
          <w:szCs w:val="20"/>
          <w:lang w:val="en-GB" w:eastAsia="en-GB"/>
        </w:rPr>
        <w:t>29.</w:t>
      </w:r>
      <w:r w:rsidRPr="00696D6D">
        <w:rPr>
          <w:b w:val="0"/>
          <w:bCs w:val="0"/>
          <w:sz w:val="20"/>
          <w:szCs w:val="20"/>
          <w:lang w:val="en-GB" w:eastAsia="en-GB"/>
        </w:rPr>
        <w:t xml:space="preserve"> Concentrating PV system with PCM and fins for cooling </w:t>
      </w:r>
      <w:r w:rsidRPr="00696D6D">
        <w:rPr>
          <w:b w:val="0"/>
          <w:bCs w:val="0"/>
          <w:sz w:val="20"/>
          <w:szCs w:val="20"/>
          <w:lang w:val="en-GB" w:eastAsia="en-GB"/>
        </w:rPr>
        <w:fldChar w:fldCharType="begin"/>
      </w:r>
      <w:r w:rsidRPr="00696D6D">
        <w:rPr>
          <w:b w:val="0"/>
          <w:bCs w:val="0"/>
          <w:sz w:val="20"/>
          <w:szCs w:val="20"/>
          <w:lang w:val="en-GB" w:eastAsia="en-GB"/>
        </w:rPr>
        <w:instrText xml:space="preserve"> ADDIN EN.CITE &lt;EndNote&gt;&lt;Cite&gt;&lt;Author&gt;Sarwar&lt;/Author&gt;&lt;Year&gt;2012&lt;/Year&gt;&lt;RecNum&gt;159&lt;/RecNum&gt;&lt;DisplayText&gt;(Sarwar, 2012)&lt;/DisplayText&gt;&lt;record&gt;&lt;rec-number&gt;159&lt;/rec-number&gt;&lt;ref-type name="Thesis"&gt;32&lt;/ref-type&gt;&lt;contributors&gt;&lt;authors&gt;&lt;author&gt;Sarwar, Jawad &lt;/author&gt;&lt;/authors&gt;&lt;/contributors&gt;&lt;titles&gt;&lt;title&gt;Experimental and Numerical Investigation of Thermal Regulation of Photovoltaic and Concentrated Photovoltaic using Phase Change Materials, PhD Thesis&lt;/title&gt;&lt;secondary-title&gt;Engineering &lt;/secondary-title&gt;&lt;/titles&gt;&lt;dates&gt;&lt;year&gt;2012&lt;/year&gt;&lt;/dates&gt;&lt;pub-location&gt;Dublin&lt;/pub-location&gt;&lt;publisher&gt;Dublin Institute of Technology&lt;/publisher&gt;&lt;image&gt;1245497876sis PhD submitted.pdf&lt;/image&gt;&lt;urls&gt;&lt;/urls&gt;&lt;/record&gt;&lt;/Cite&gt;&lt;/EndNote&gt;</w:instrText>
      </w:r>
      <w:r w:rsidRPr="00696D6D">
        <w:rPr>
          <w:b w:val="0"/>
          <w:bCs w:val="0"/>
          <w:sz w:val="20"/>
          <w:szCs w:val="20"/>
          <w:lang w:val="en-GB" w:eastAsia="en-GB"/>
        </w:rPr>
        <w:fldChar w:fldCharType="separate"/>
      </w:r>
      <w:r w:rsidRPr="00696D6D">
        <w:rPr>
          <w:b w:val="0"/>
          <w:bCs w:val="0"/>
          <w:sz w:val="20"/>
          <w:szCs w:val="20"/>
          <w:lang w:val="en-GB" w:eastAsia="en-GB"/>
        </w:rPr>
        <w:t>(</w:t>
      </w:r>
      <w:hyperlink w:anchor="_ENREF_274" w:tooltip="Sarwar, 2012 #159" w:history="1">
        <w:r w:rsidRPr="00696D6D">
          <w:rPr>
            <w:b w:val="0"/>
            <w:bCs w:val="0"/>
            <w:sz w:val="20"/>
            <w:szCs w:val="20"/>
            <w:lang w:val="en-GB" w:eastAsia="en-GB"/>
          </w:rPr>
          <w:t>Sarwar, 2012</w:t>
        </w:r>
      </w:hyperlink>
      <w:r w:rsidRPr="00696D6D">
        <w:rPr>
          <w:b w:val="0"/>
          <w:bCs w:val="0"/>
          <w:sz w:val="20"/>
          <w:szCs w:val="20"/>
          <w:lang w:val="en-GB" w:eastAsia="en-GB"/>
        </w:rPr>
        <w:t>)</w:t>
      </w:r>
      <w:r w:rsidRPr="00696D6D">
        <w:rPr>
          <w:b w:val="0"/>
          <w:bCs w:val="0"/>
          <w:sz w:val="20"/>
          <w:szCs w:val="20"/>
          <w:lang w:val="en-GB" w:eastAsia="en-GB"/>
        </w:rPr>
        <w:fldChar w:fldCharType="end"/>
      </w:r>
    </w:p>
    <w:p w14:paraId="64F9C73D" w14:textId="19BF43AB" w:rsidR="00B61C6F" w:rsidRPr="00C67B14"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Numerous PCM were tested and it was found that selection of the optimum PCM depends on application. Lauric acid was found to reduce the peak PV temperature by 22 ºC and palmitic found </w:t>
      </w:r>
      <w:r w:rsidRPr="005444B3">
        <w:rPr>
          <w:rFonts w:ascii="Times New Roman" w:eastAsia="Times New Roman" w:hAnsi="Times New Roman"/>
          <w:lang w:val="en-GB" w:eastAsia="en-GB"/>
        </w:rPr>
        <w:lastRenderedPageBreak/>
        <w:t>a maximum temperature difference of 19.5 ºC. However, palmitic has a higher heat of fusion and temperature regulation capabilities.</w:t>
      </w:r>
    </w:p>
    <w:p w14:paraId="5D5D5A9B" w14:textId="77777777" w:rsidR="00B61C6F" w:rsidRPr="0019763E" w:rsidRDefault="00B61C6F" w:rsidP="00B61C6F">
      <w:pPr>
        <w:pStyle w:val="Heading3"/>
        <w:rPr>
          <w:rFonts w:ascii="Times New Roman" w:hAnsi="Times New Roman"/>
          <w:b w:val="0"/>
          <w:bCs w:val="0"/>
          <w:color w:val="auto"/>
          <w:sz w:val="22"/>
          <w:szCs w:val="22"/>
        </w:rPr>
      </w:pPr>
      <w:r w:rsidRPr="0019763E">
        <w:rPr>
          <w:rFonts w:ascii="Times New Roman" w:hAnsi="Times New Roman"/>
          <w:b w:val="0"/>
          <w:bCs w:val="0"/>
          <w:color w:val="auto"/>
          <w:sz w:val="22"/>
          <w:szCs w:val="22"/>
        </w:rPr>
        <w:t xml:space="preserve">Hybrid Photovoltaic/Thermal/Phase Change Material Systems </w:t>
      </w:r>
    </w:p>
    <w:p w14:paraId="6169D847" w14:textId="77777777" w:rsidR="00B61C6F" w:rsidRPr="00E46AB6" w:rsidRDefault="00B61C6F" w:rsidP="00B61C6F">
      <w:pPr>
        <w:rPr>
          <w:lang w:val="en-GB" w:eastAsia="en-GB"/>
        </w:rPr>
      </w:pPr>
    </w:p>
    <w:p w14:paraId="349B122E"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A photovoltaic/thermal (PV/T) system converts solar radiation into electrical and thermal energy. The incorporation of thermal collectors with PV technology can increase the overall efficiency of a PV system as thermal energy is produced as a by-product of the production of electrical energy. Passive cooling is a </w:t>
      </w:r>
      <w:r>
        <w:rPr>
          <w:rFonts w:ascii="Times New Roman" w:eastAsia="Times New Roman" w:hAnsi="Times New Roman"/>
          <w:lang w:val="en-GB" w:eastAsia="en-GB"/>
        </w:rPr>
        <w:t>buoyancy-driven</w:t>
      </w:r>
      <w:r w:rsidRPr="005444B3">
        <w:rPr>
          <w:rFonts w:ascii="Times New Roman" w:eastAsia="Times New Roman" w:hAnsi="Times New Roman"/>
          <w:lang w:val="en-GB" w:eastAsia="en-GB"/>
        </w:rPr>
        <w:t xml:space="preserve"> and the use of an external mechanical system is known as active or forced cooling. The removal of heat from the PV occurs immediately once a temperature differential develops between the PV and the transfer fluid. There are two options for disposal of excess thermal energy collected from the PV; transfer of heat to air or water. The pre-heated fluid is diverted directly to an end application such as warm water or air which can be used for purposes such a space heating or domestic hot water requirements. </w:t>
      </w:r>
    </w:p>
    <w:p w14:paraId="3C154840"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Several review papers have been published in the use of PCM as a thermal management technique of PV, emphasising the growing body of literature in the area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&lt;EndNote&gt;&lt;Cite&gt;&lt;Author&gt;Browne&lt;/Author&gt;&lt;Year&gt;2015&lt;/Year&gt;&lt;RecNum&gt;430&lt;/RecNum&gt;&lt;DisplayText&gt;(Browne et al., 2015a;  Ma et al., 2015)&lt;/DisplayText&gt;&lt;record&gt;&lt;rec-number&gt;430&lt;/rec-number&gt;&lt;foreign-keys&gt;&lt;key app="EN" db-id="0z5fdztp6e9z5uerfrlvat9mvrxpssrs95da" timestamp="0"&gt;430&lt;/key&gt;&lt;/foreign-keys&gt;&lt;ref-type name="Journal Article"&gt;17&lt;/ref-type&gt;&lt;contributors&gt;&lt;authors&gt;&lt;author&gt;Browne, Maria&lt;/author&gt;&lt;author&gt;Norton, Brian&lt;/author&gt;&lt;author&gt;McCormack, Sarah&lt;/author&gt;&lt;/authors&gt;&lt;/contributors&gt;&lt;titles&gt;&lt;title&gt;Phase change materials for photovoltaic thermal management&lt;/title&gt;&lt;secondary-title&gt;&lt;style face="italic" font="default" size="100%"&gt;In Review &lt;/style&gt;&lt;style face="normal" font="default" size="100%"&gt;Renewable and sustainable energy reviews&lt;/style&gt;&lt;/secondary-title&gt;&lt;/titles&gt;&lt;periodical&gt;&lt;full-title&gt;In Review Renewable and sustainable energy reviews&lt;/full-title&gt;&lt;/periodical&gt;&lt;dates&gt;&lt;year&gt;2015&lt;/year&gt;&lt;/dates&gt;&lt;work-type&gt;In review&lt;/work-type&gt;&lt;urls&gt;&lt;/urls&gt;&lt;/record&gt;&lt;/Cite&gt;&lt;Cite&gt;&lt;Author&gt;Ma&lt;/Author&gt;&lt;Year&gt;2015&lt;/Year&gt;&lt;RecNum&gt;487&lt;/RecNum&gt;&lt;record&gt;&lt;rec-number&gt;487&lt;/rec-number&gt;&lt;foreign-keys&gt;&lt;key app="EN" db-id="0z5fdztp6e9z5uerfrlvat9mvrxpssrs95da" timestamp="1424444613"&gt;487&lt;/key&gt;&lt;/foreign-keys&gt;&lt;ref-type name="Journal Article"&gt;17&lt;/ref-type&gt;&lt;contributors&gt;&lt;authors&gt;&lt;author&gt;Ma, Tao&lt;/author&gt;&lt;author&gt;Yang, Hongxing&lt;/author&gt;&lt;author&gt;Zhang, Yinping&lt;/author&gt;&lt;author&gt;Lu, Lin&lt;/author&gt;&lt;author&gt;Wang, Xin&lt;/author&gt;&lt;/authors&gt;&lt;/contributors&gt;&lt;titles&gt;&lt;title&gt;Using phase change materials in photovoltaic systems for thermal regulation and electrical efficiency improvement: A review and outlook&lt;/title&gt;&lt;secondary-title&gt;Renewable and Sustainable Energy Reviews&lt;/secondary-title&gt;&lt;/titles&gt;&lt;periodical&gt;&lt;full-title&gt;Renewable and Sustainable Energy Reviews&lt;/full-title&gt;&lt;/periodical&gt;&lt;pages&gt;1273-1284&lt;/pages&gt;&lt;volume&gt;43&lt;/volume&gt;&lt;dates&gt;&lt;year&gt;2015&lt;/year&gt;&lt;/dates&gt;&lt;isbn&gt;1364-0321&lt;/isbn&gt;&lt;urls&gt;&lt;related-urls&gt;&lt;url&gt;http://www.sciencedirect.com/science/article/pii/S1364032114010557&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36" w:tooltip="Browne, 2015 #430" w:history="1">
        <w:r w:rsidRPr="005444B3">
          <w:rPr>
            <w:rFonts w:ascii="Times New Roman" w:eastAsia="Times New Roman" w:hAnsi="Times New Roman"/>
            <w:lang w:val="en-GB" w:eastAsia="en-GB"/>
          </w:rPr>
          <w:t>Browne et al., 2015a</w:t>
        </w:r>
      </w:hyperlink>
      <w:r w:rsidRPr="005444B3">
        <w:rPr>
          <w:rFonts w:ascii="Times New Roman" w:eastAsia="Times New Roman" w:hAnsi="Times New Roman"/>
          <w:lang w:val="en-GB" w:eastAsia="en-GB"/>
        </w:rPr>
        <w:t xml:space="preserve">;  </w:t>
      </w:r>
      <w:hyperlink w:anchor="_ENREF_203" w:tooltip="Ma, 2015 #487" w:history="1">
        <w:r w:rsidRPr="005444B3">
          <w:rPr>
            <w:rFonts w:ascii="Times New Roman" w:eastAsia="Times New Roman" w:hAnsi="Times New Roman"/>
            <w:lang w:val="en-GB" w:eastAsia="en-GB"/>
          </w:rPr>
          <w:t>Ma et al., 2015</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hyperlink w:anchor="_ENREF_328" w:tooltip="Yin, 2013 #333" w:history="1">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 AuthorYear="1"&gt;&lt;Author&gt;Yin&lt;/Author&gt;&lt;Year&gt;2013&lt;/Year&gt;&lt;RecNum&gt;333&lt;/RecNum&gt;&lt;DisplayText&gt;Yin et al. (2013)&lt;/DisplayText&gt;&lt;record&gt;&lt;rec-number&gt;333&lt;/rec-number&gt;&lt;foreign-keys&gt;&lt;key app="EN" db-id="0z5fdztp6e9z5uerfrlvat9mvrxpssrs95da" timestamp="0"&gt;333&lt;/key&gt;&lt;/foreign-keys&gt;&lt;ref-type name="Journal Article"&gt;17&lt;/ref-type&gt;&lt;contributors&gt;&lt;authors&gt;&lt;author&gt;Yin, H. M.&lt;/author&gt;&lt;author&gt;Yang, D. J.&lt;/author&gt;&lt;author&gt;Kelly, G.&lt;/author&gt;&lt;author&gt;Garant, J.&lt;/author&gt;&lt;/authors&gt;&lt;/contributors&gt;&lt;titles&gt;&lt;title&gt;Design and performance of a novel building integrated PV/thermal system for energy efficiency of buildings&lt;/title&gt;&lt;secondary-title&gt;Solar Energy&lt;/secondary-title&gt;&lt;/titles&gt;&lt;periodical&gt;&lt;full-title&gt;Solar Energy&lt;/full-title&gt;&lt;/periodical&gt;&lt;pages&gt;184-195&lt;/pages&gt;&lt;volume&gt;87&lt;/volume&gt;&lt;number&gt;0&lt;/number&gt;&lt;keywords&gt;&lt;keyword&gt;Building integrated photovoltaic/thermal system&lt;/keyword&gt;&lt;keyword&gt;Hybrid solar roofing panel&lt;/keyword&gt;&lt;keyword&gt;Modular design&lt;/keyword&gt;&lt;keyword&gt;Phase change materials&lt;/keyword&gt;&lt;keyword&gt;Solar heat collector&lt;/keyword&gt;&lt;keyword&gt;Functionally graded materials&lt;/keyword&gt;&lt;/keywords&gt;&lt;dates&gt;&lt;year&gt;2013&lt;/year&gt;&lt;/dates&gt;&lt;urls&gt;&lt;related-urls&gt;&lt;url&gt;http://www.sciencedirect.com/science/article/pii/S0038092X12003878 &lt;/url&gt;&lt;/related-urls&gt;&lt;/urls&gt;&lt;/record&gt;&lt;/Cite&gt;&lt;/EndNote&gt;</w:instrText>
        </w:r>
        <w:r w:rsidRPr="005444B3">
          <w:rPr>
            <w:rFonts w:ascii="Times New Roman" w:eastAsia="Times New Roman" w:hAnsi="Times New Roman"/>
            <w:lang w:val="en-GB" w:eastAsia="en-GB"/>
          </w:rPr>
          <w:fldChar w:fldCharType="separate"/>
        </w:r>
        <w:r>
          <w:rPr>
            <w:rFonts w:ascii="Times New Roman" w:eastAsia="Times New Roman" w:hAnsi="Times New Roman"/>
            <w:lang w:val="en-GB" w:eastAsia="en-GB"/>
          </w:rPr>
          <w:t xml:space="preserve">Yin et al. </w:t>
        </w:r>
        <w:r w:rsidRPr="005444B3">
          <w:rPr>
            <w:rFonts w:ascii="Times New Roman" w:eastAsia="Times New Roman" w:hAnsi="Times New Roman"/>
            <w:lang w:val="en-GB" w:eastAsia="en-GB"/>
          </w:rPr>
          <w:t>2013</w:t>
        </w:r>
        <w:r w:rsidRPr="005444B3">
          <w:rPr>
            <w:rFonts w:ascii="Times New Roman" w:eastAsia="Times New Roman" w:hAnsi="Times New Roman"/>
            <w:lang w:val="en-GB" w:eastAsia="en-GB"/>
          </w:rPr>
          <w:fldChar w:fldCharType="end"/>
        </w:r>
      </w:hyperlink>
      <w:r>
        <w:rPr>
          <w:rFonts w:ascii="Times New Roman" w:eastAsia="Times New Roman" w:hAnsi="Times New Roman"/>
          <w:lang w:val="en-GB" w:eastAsia="en-GB"/>
        </w:rPr>
        <w:t>,</w:t>
      </w:r>
      <w:r w:rsidRPr="005444B3">
        <w:rPr>
          <w:rFonts w:ascii="Times New Roman" w:eastAsia="Times New Roman" w:hAnsi="Times New Roman"/>
          <w:lang w:val="en-GB" w:eastAsia="en-GB"/>
        </w:rPr>
        <w:t xml:space="preserve"> have presented a PV/T system with integrated heat storage using PCM as shown in </w:t>
      </w:r>
      <w:r w:rsidRPr="00C36E68">
        <w:rPr>
          <w:rFonts w:ascii="Times New Roman" w:eastAsia="Times New Roman" w:hAnsi="Times New Roman"/>
          <w:lang w:val="en-GB" w:eastAsia="en-GB"/>
        </w:rPr>
        <w:fldChar w:fldCharType="begin"/>
      </w:r>
      <w:r w:rsidRPr="00C36E68">
        <w:rPr>
          <w:rFonts w:ascii="Times New Roman" w:eastAsia="Times New Roman" w:hAnsi="Times New Roman"/>
          <w:lang w:val="en-GB" w:eastAsia="en-GB"/>
        </w:rPr>
        <w:instrText xml:space="preserve"> REF _Ref384376691 \h  \* MERGEFORMAT </w:instrText>
      </w:r>
      <w:r w:rsidRPr="00C36E68">
        <w:rPr>
          <w:rFonts w:ascii="Times New Roman" w:eastAsia="Times New Roman" w:hAnsi="Times New Roman"/>
          <w:lang w:val="en-GB" w:eastAsia="en-GB"/>
        </w:rPr>
      </w:r>
      <w:r w:rsidRPr="00C36E68">
        <w:rPr>
          <w:rFonts w:ascii="Times New Roman" w:eastAsia="Times New Roman" w:hAnsi="Times New Roman"/>
          <w:lang w:val="en-GB" w:eastAsia="en-GB"/>
        </w:rPr>
        <w:fldChar w:fldCharType="separate"/>
      </w:r>
      <w:r>
        <w:rPr>
          <w:rFonts w:ascii="Times New Roman" w:eastAsia="Times New Roman" w:hAnsi="Times New Roman"/>
          <w:lang w:val="en-GB" w:eastAsia="en-GB"/>
        </w:rPr>
        <w:t>Fig.</w:t>
      </w:r>
      <w:r w:rsidRPr="00C36E68">
        <w:rPr>
          <w:rFonts w:ascii="Times New Roman" w:eastAsia="Times New Roman" w:hAnsi="Times New Roman"/>
          <w:lang w:val="en-GB" w:eastAsia="en-GB"/>
        </w:rPr>
        <w:t xml:space="preserve"> </w:t>
      </w:r>
      <w:r w:rsidRPr="00C36E68">
        <w:rPr>
          <w:rFonts w:ascii="Times New Roman" w:eastAsia="Times New Roman" w:hAnsi="Times New Roman"/>
          <w:lang w:val="en-GB" w:eastAsia="en-GB"/>
        </w:rPr>
        <w:fldChar w:fldCharType="end"/>
      </w:r>
      <w:r>
        <w:rPr>
          <w:rFonts w:ascii="Times New Roman" w:eastAsia="Times New Roman" w:hAnsi="Times New Roman"/>
          <w:lang w:val="en-GB" w:eastAsia="en-GB"/>
        </w:rPr>
        <w:t>30</w:t>
      </w:r>
      <w:r w:rsidRPr="00C36E68">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t>Water is directly heated by thermal energy from the PV; it flows via a thermosyphon through the PCM which will store the heat from the water for later applications.</w:t>
      </w:r>
    </w:p>
    <w:p w14:paraId="17819B6A" w14:textId="77777777" w:rsidR="00B61C6F" w:rsidRPr="005444B3" w:rsidRDefault="00B61C6F" w:rsidP="00B61C6F">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29053E7F" wp14:editId="493B4ECD">
            <wp:extent cx="4836419" cy="3324225"/>
            <wp:effectExtent l="0" t="0" r="254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5" cstate="print"/>
                    <a:srcRect r="22440"/>
                    <a:stretch/>
                  </pic:blipFill>
                  <pic:spPr bwMode="auto">
                    <a:xfrm>
                      <a:off x="0" y="0"/>
                      <a:ext cx="4844940" cy="3330082"/>
                    </a:xfrm>
                    <a:prstGeom prst="rect">
                      <a:avLst/>
                    </a:prstGeom>
                    <a:noFill/>
                    <a:ln>
                      <a:noFill/>
                    </a:ln>
                    <a:extLst>
                      <a:ext uri="{53640926-AAD7-44D8-BBD7-CCE9431645EC}">
                        <a14:shadowObscured xmlns:a14="http://schemas.microsoft.com/office/drawing/2010/main"/>
                      </a:ext>
                    </a:extLst>
                  </pic:spPr>
                </pic:pic>
              </a:graphicData>
            </a:graphic>
          </wp:inline>
        </w:drawing>
      </w:r>
    </w:p>
    <w:p w14:paraId="6233F504" w14:textId="14B356D7" w:rsidR="00B61C6F" w:rsidRDefault="00B61C6F" w:rsidP="00B61C6F">
      <w:pPr>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696D6D">
        <w:rPr>
          <w:rFonts w:ascii="Times New Roman" w:eastAsia="Times New Roman" w:hAnsi="Times New Roman"/>
          <w:sz w:val="20"/>
          <w:szCs w:val="20"/>
          <w:lang w:val="en-GB" w:eastAsia="en-GB"/>
        </w:rPr>
        <w:t xml:space="preserve"> </w:t>
      </w:r>
      <w:r w:rsidR="0089624A">
        <w:rPr>
          <w:rFonts w:ascii="Times New Roman" w:eastAsia="Times New Roman" w:hAnsi="Times New Roman"/>
          <w:sz w:val="20"/>
          <w:szCs w:val="20"/>
          <w:lang w:val="en-GB" w:eastAsia="en-GB"/>
        </w:rPr>
        <w:t>30</w:t>
      </w:r>
      <w:r>
        <w:rPr>
          <w:rFonts w:ascii="Times New Roman" w:eastAsia="Times New Roman" w:hAnsi="Times New Roman"/>
          <w:sz w:val="20"/>
          <w:szCs w:val="20"/>
          <w:lang w:val="en-GB" w:eastAsia="en-GB"/>
        </w:rPr>
        <w:t>.</w:t>
      </w:r>
      <w:r w:rsidRPr="00696D6D">
        <w:rPr>
          <w:rFonts w:ascii="Times New Roman" w:eastAsia="Times New Roman" w:hAnsi="Times New Roman"/>
          <w:sz w:val="20"/>
          <w:szCs w:val="20"/>
          <w:lang w:val="en-GB" w:eastAsia="en-GB"/>
        </w:rPr>
        <w:t xml:space="preserve"> Cross section of residential PV/T system  </w:t>
      </w:r>
      <w:r w:rsidRPr="00696D6D">
        <w:rPr>
          <w:rFonts w:ascii="Times New Roman" w:eastAsia="Times New Roman" w:hAnsi="Times New Roman"/>
          <w:sz w:val="20"/>
          <w:szCs w:val="20"/>
          <w:lang w:val="en-GB" w:eastAsia="en-GB"/>
        </w:rPr>
        <w:fldChar w:fldCharType="begin"/>
      </w:r>
      <w:r w:rsidRPr="00696D6D">
        <w:rPr>
          <w:rFonts w:ascii="Times New Roman" w:eastAsia="Times New Roman" w:hAnsi="Times New Roman"/>
          <w:sz w:val="20"/>
          <w:szCs w:val="20"/>
          <w:lang w:val="en-GB" w:eastAsia="en-GB"/>
        </w:rPr>
        <w:instrText xml:space="preserve"> ADDIN EN.CITE &lt;EndNote&gt;&lt;Cite&gt;&lt;Author&gt;Yin&lt;/Author&gt;&lt;Year&gt;2013&lt;/Year&gt;&lt;RecNum&gt;333&lt;/RecNum&gt;&lt;DisplayText&gt;(Yin et al., 2013)&lt;/DisplayText&gt;&lt;record&gt;&lt;rec-number&gt;333&lt;/rec-number&gt;&lt;foreign-keys&gt;&lt;key app="EN" db-id="0z5fdztp6e9z5uerfrlvat9mvrxpssrs95da" timestamp="0"&gt;333&lt;/key&gt;&lt;/foreign-keys&gt;&lt;ref-type name="Journal Article"&gt;17&lt;/ref-type&gt;&lt;contributors&gt;&lt;authors&gt;&lt;author&gt;Yin, H. M.&lt;/author&gt;&lt;author&gt;Yang, D. J.&lt;/author&gt;&lt;author&gt;Kelly, G.&lt;/author&gt;&lt;author&gt;Garant, J.&lt;/author&gt;&lt;/authors&gt;&lt;/contributors&gt;&lt;titles&gt;&lt;title&gt;Design and performance of a novel building integrated PV/thermal system for energy efficiency of buildings&lt;/title&gt;&lt;secondary-title&gt;Solar Energy&lt;/secondary-title&gt;&lt;/titles&gt;&lt;periodical&gt;&lt;full-title&gt;Solar Energy&lt;/full-title&gt;&lt;/periodical&gt;&lt;pages&gt;184-195&lt;/pages&gt;&lt;volume&gt;87&lt;/volume&gt;&lt;number&gt;0&lt;/number&gt;&lt;keywords&gt;&lt;keyword&gt;Building integrated photovoltaic/thermal system&lt;/keyword&gt;&lt;keyword&gt;Hybrid solar roofing panel&lt;/keyword&gt;&lt;keyword&gt;Modular design&lt;/keyword&gt;&lt;keyword&gt;Phase change materials&lt;/keyword&gt;&lt;keyword&gt;Solar heat collector&lt;/keyword&gt;&lt;keyword&gt;Functionally graded materials&lt;/keyword&gt;&lt;/keywords&gt;&lt;dates&gt;&lt;year&gt;2013&lt;/year&gt;&lt;/dates&gt;&lt;urls&gt;&lt;related-urls&gt;&lt;url&gt;http://www.sciencedirect.com/science/article/pii/S0038092X12003878 &lt;/url&gt;&lt;/related-urls&gt;&lt;/urls&gt;&lt;/record&gt;&lt;/Cite&gt;&lt;/EndNote&gt;</w:instrText>
      </w:r>
      <w:r w:rsidRPr="00696D6D">
        <w:rPr>
          <w:rFonts w:ascii="Times New Roman" w:eastAsia="Times New Roman" w:hAnsi="Times New Roman"/>
          <w:sz w:val="20"/>
          <w:szCs w:val="20"/>
          <w:lang w:val="en-GB" w:eastAsia="en-GB"/>
        </w:rPr>
        <w:fldChar w:fldCharType="separate"/>
      </w:r>
      <w:r w:rsidRPr="00696D6D">
        <w:rPr>
          <w:rFonts w:ascii="Times New Roman" w:eastAsia="Times New Roman" w:hAnsi="Times New Roman"/>
          <w:sz w:val="20"/>
          <w:szCs w:val="20"/>
          <w:lang w:val="en-GB" w:eastAsia="en-GB"/>
        </w:rPr>
        <w:t>(</w:t>
      </w:r>
      <w:hyperlink w:anchor="_ENREF_328" w:tooltip="Yin, 2013 #333" w:history="1">
        <w:r w:rsidRPr="00696D6D">
          <w:rPr>
            <w:rFonts w:ascii="Times New Roman" w:eastAsia="Times New Roman" w:hAnsi="Times New Roman"/>
            <w:sz w:val="20"/>
            <w:szCs w:val="20"/>
            <w:lang w:val="en-GB" w:eastAsia="en-GB"/>
          </w:rPr>
          <w:t>Yin et al., 2013</w:t>
        </w:r>
      </w:hyperlink>
      <w:r w:rsidRPr="00696D6D">
        <w:rPr>
          <w:rFonts w:ascii="Times New Roman" w:eastAsia="Times New Roman" w:hAnsi="Times New Roman"/>
          <w:sz w:val="20"/>
          <w:szCs w:val="20"/>
          <w:lang w:val="en-GB" w:eastAsia="en-GB"/>
        </w:rPr>
        <w:t>)</w:t>
      </w:r>
      <w:r w:rsidRPr="00696D6D">
        <w:rPr>
          <w:rFonts w:ascii="Times New Roman" w:eastAsia="Times New Roman" w:hAnsi="Times New Roman"/>
          <w:sz w:val="20"/>
          <w:szCs w:val="20"/>
          <w:lang w:val="en-GB" w:eastAsia="en-GB"/>
        </w:rPr>
        <w:fldChar w:fldCharType="end"/>
      </w:r>
    </w:p>
    <w:p w14:paraId="7E4B8D8A" w14:textId="77777777" w:rsidR="00B61C6F" w:rsidRPr="00696D6D" w:rsidRDefault="00B61C6F" w:rsidP="00B61C6F">
      <w:pPr>
        <w:jc w:val="center"/>
        <w:rPr>
          <w:rFonts w:ascii="Times New Roman" w:eastAsia="Times New Roman" w:hAnsi="Times New Roman"/>
          <w:sz w:val="20"/>
          <w:szCs w:val="20"/>
          <w:lang w:val="en-GB" w:eastAsia="en-GB"/>
        </w:rPr>
      </w:pPr>
    </w:p>
    <w:p w14:paraId="3381E756"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The water reached a temperature which was found to be useful in domestic applications. In ambient temperatures heat captured by the PCM prevented it entering the domestic dwelling and significantly reducing the cooling load.</w:t>
      </w:r>
    </w:p>
    <w:p w14:paraId="19949FFE"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A one-dimensional energy balance model of a PV/T/PCM (PV/Thermal/PCM) system was simulated as shown in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REF _Ref384376639 \h  \* MERGEFORMAT </w:instrText>
      </w:r>
      <w:r w:rsidRPr="005444B3">
        <w:rPr>
          <w:rFonts w:ascii="Times New Roman" w:eastAsia="Times New Roman" w:hAnsi="Times New Roman"/>
          <w:lang w:val="en-GB" w:eastAsia="en-GB"/>
        </w:rPr>
      </w:r>
      <w:r w:rsidRPr="005444B3">
        <w:rPr>
          <w:rFonts w:ascii="Times New Roman" w:eastAsia="Times New Roman" w:hAnsi="Times New Roman"/>
          <w:lang w:val="en-GB" w:eastAsia="en-GB"/>
        </w:rPr>
        <w:fldChar w:fldCharType="separate"/>
      </w:r>
      <w:r>
        <w:rPr>
          <w:rFonts w:ascii="Times New Roman" w:eastAsia="Times New Roman" w:hAnsi="Times New Roman"/>
          <w:lang w:val="en-GB" w:eastAsia="en-GB"/>
        </w:rPr>
        <w:t>Fig.</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end"/>
      </w:r>
      <w:r>
        <w:rPr>
          <w:rFonts w:ascii="Times New Roman" w:eastAsia="Times New Roman" w:hAnsi="Times New Roman"/>
          <w:lang w:val="en-GB" w:eastAsia="en-GB"/>
        </w:rPr>
        <w:t>31</w:t>
      </w:r>
      <w:r w:rsidRPr="005444B3">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&lt;EndNote&gt;&lt;Cite&gt;&lt;Author&gt;Malvi&lt;/Author&gt;&lt;Year&gt;2011&lt;/Year&gt;&lt;RecNum&gt;291&lt;/RecNum&gt;&lt;DisplayText&gt;(Malvi et al., 2011)&lt;/DisplayText&gt;&lt;record&gt;&lt;rec-number&gt;291&lt;/rec-number&gt;&lt;foreign-keys&gt;&lt;key app="EN" db-id="0z5fdztp6e9z5uerfrlvat9mvrxpssrs95da" timestamp="0"&gt;291&lt;/key&gt;&lt;/foreign-keys&gt;&lt;ref-type name="Journal Article"&gt;17&lt;/ref-type&gt;&lt;contributors&gt;&lt;authors&gt;&lt;author&gt;Malvi, C. S.&lt;/author&gt;&lt;author&gt;Dixon-Hardy, D. W.&lt;/author&gt;&lt;author&gt;Crook, R.&lt;/author&gt;&lt;/authors&gt;&lt;/contributors&gt;&lt;titles&gt;&lt;title&gt;Energy balance model of combined photovoltaic solar-thermal system incorporating phase change material&lt;/title&gt;&lt;secondary-title&gt;Solar Energy&lt;/secondary-title&gt;&lt;/titles&gt;&lt;periodical&gt;&lt;full-title&gt;Solar Energy&lt;/full-title&gt;&lt;/periodical&gt;&lt;pages&gt;1440-1446&lt;/pages&gt;&lt;volume&gt;85&lt;/volume&gt;&lt;number&gt;7&lt;/number&gt;&lt;keywords&gt;&lt;keyword&gt;Photovoltaic&lt;/keyword&gt;&lt;keyword&gt;Solar thermal&lt;/keyword&gt;&lt;keyword&gt;Phase change material&lt;/keyword&gt;&lt;keyword&gt;Energy balance&lt;/keyword&gt;&lt;keyword&gt;Simulation&lt;/keyword&gt;&lt;/keywords&gt;&lt;dates&gt;&lt;year&gt;2011&lt;/year&gt;&lt;/dates&gt;&lt;urls&gt;&lt;related-urls&gt;&lt;url&gt;http://www.sciencedirect.com/science/article/pii/S0038092X11001101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05" w:tooltip="Malvi, 2011 #291" w:history="1">
        <w:r w:rsidRPr="005444B3">
          <w:rPr>
            <w:rFonts w:ascii="Times New Roman" w:eastAsia="Times New Roman" w:hAnsi="Times New Roman"/>
            <w:lang w:val="en-GB" w:eastAsia="en-GB"/>
          </w:rPr>
          <w:t>Malvi et al.,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The model is divided up into a series of nodes; at each of which a temperature is calculated.  Investigations into water flow rate, PCM thickness, PCM melting point and PCM conductance were carried out using the model. The most effective flow rate for PV cooling is approximately 10 l/h; however, this is undesired for water heating applications as the water outlet temperature is reduced. The optimum thickness of PCM was found to be 0.03 m which increases the PV efficiency by approximately 6.5 %. The temperature range changes throughout the year which emphasises the issue of having to change the melting temperature of the PCM throughout the year. The PV output increases by 3 % if the conductance of the PCM is increased by a factor of 10. New PCM with improved thermal conductivities would be required. The electrical output of the PV/T/PCM system was shown to increase by 9 % when compared to a PV system only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&lt;EndNote&gt;&lt;Cite&gt;&lt;Author&gt;Malvi&lt;/Author&gt;&lt;Year&gt;2011&lt;/Year&gt;&lt;RecNum&gt;291&lt;/RecNum&gt;&lt;DisplayText&gt;(Malvi et al., 2011)&lt;/DisplayText&gt;&lt;record&gt;&lt;rec-number&gt;291&lt;/rec-number&gt;&lt;foreign-keys&gt;&lt;key app="EN" db-id="0z5fdztp6e9z5uerfrlvat9mvrxpssrs95da" timestamp="0"&gt;291&lt;/key&gt;&lt;/foreign-keys&gt;&lt;ref-type name="Journal Article"&gt;17&lt;/ref-type&gt;&lt;contributors&gt;&lt;authors&gt;&lt;author&gt;Malvi, C. S.&lt;/author&gt;&lt;author&gt;Dixon-Hardy, D. W.&lt;/author&gt;&lt;author&gt;Crook, R.&lt;/author&gt;&lt;/authors&gt;&lt;/contributors&gt;&lt;titles&gt;&lt;title&gt;Energy balance model of combined photovoltaic solar-thermal system incorporating phase change material&lt;/title&gt;&lt;secondary-title&gt;Solar Energy&lt;/secondary-title&gt;&lt;/titles&gt;&lt;periodical&gt;&lt;full-title&gt;Solar Energy&lt;/full-title&gt;&lt;/periodical&gt;&lt;pages&gt;1440-1446&lt;/pages&gt;&lt;volume&gt;85&lt;/volume&gt;&lt;number&gt;7&lt;/number&gt;&lt;keywords&gt;&lt;keyword&gt;Photovoltaic&lt;/keyword&gt;&lt;keyword&gt;Solar thermal&lt;/keyword&gt;&lt;keyword&gt;Phase change material&lt;/keyword&gt;&lt;keyword&gt;Energy balance&lt;/keyword&gt;&lt;keyword&gt;Simulation&lt;/keyword&gt;&lt;/keywords&gt;&lt;dates&gt;&lt;year&gt;2011&lt;/year&gt;&lt;/dates&gt;&lt;urls&gt;&lt;related-urls&gt;&lt;url&gt;http://www.sciencedirect.com/science/article/pii/S0038092X11001101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05" w:tooltip="Malvi, 2011 #291" w:history="1">
        <w:r w:rsidRPr="005444B3">
          <w:rPr>
            <w:rFonts w:ascii="Times New Roman" w:eastAsia="Times New Roman" w:hAnsi="Times New Roman"/>
            <w:lang w:val="en-GB" w:eastAsia="en-GB"/>
          </w:rPr>
          <w:t>Malvi et al.,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p>
    <w:p w14:paraId="75CA8D44" w14:textId="77777777" w:rsidR="00B61C6F" w:rsidRPr="005444B3" w:rsidRDefault="00B61C6F" w:rsidP="00B61C6F">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034ADEF3" wp14:editId="6A57C6E6">
            <wp:extent cx="4321580" cy="2705100"/>
            <wp:effectExtent l="0" t="0" r="3175"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4328719" cy="2709568"/>
                    </a:xfrm>
                    <a:prstGeom prst="rect">
                      <a:avLst/>
                    </a:prstGeom>
                    <a:noFill/>
                    <a:ln w="9525">
                      <a:noFill/>
                      <a:miter lim="800000"/>
                      <a:headEnd/>
                      <a:tailEnd/>
                    </a:ln>
                  </pic:spPr>
                </pic:pic>
              </a:graphicData>
            </a:graphic>
          </wp:inline>
        </w:drawing>
      </w:r>
    </w:p>
    <w:p w14:paraId="769A5A2B" w14:textId="77777777" w:rsidR="00B61C6F" w:rsidRDefault="00B61C6F" w:rsidP="00B61C6F">
      <w:pPr>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696D6D">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31.</w:t>
      </w:r>
      <w:r w:rsidRPr="00696D6D">
        <w:rPr>
          <w:rFonts w:ascii="Times New Roman" w:eastAsia="Times New Roman" w:hAnsi="Times New Roman"/>
          <w:sz w:val="20"/>
          <w:szCs w:val="20"/>
          <w:lang w:val="en-GB" w:eastAsia="en-GB"/>
        </w:rPr>
        <w:t xml:space="preserve"> Schematic of simulated system </w:t>
      </w:r>
      <w:r w:rsidRPr="00696D6D">
        <w:rPr>
          <w:rFonts w:ascii="Times New Roman" w:eastAsia="Times New Roman" w:hAnsi="Times New Roman"/>
          <w:sz w:val="20"/>
          <w:szCs w:val="20"/>
          <w:lang w:val="en-GB" w:eastAsia="en-GB"/>
        </w:rPr>
        <w:fldChar w:fldCharType="begin"/>
      </w:r>
      <w:r w:rsidRPr="00696D6D">
        <w:rPr>
          <w:rFonts w:ascii="Times New Roman" w:eastAsia="Times New Roman" w:hAnsi="Times New Roman"/>
          <w:sz w:val="20"/>
          <w:szCs w:val="20"/>
          <w:lang w:val="en-GB" w:eastAsia="en-GB"/>
        </w:rPr>
        <w:instrText xml:space="preserve"> ADDIN EN.CITE &lt;EndNote&gt;&lt;Cite&gt;&lt;Author&gt;Malvi&lt;/Author&gt;&lt;Year&gt;2011&lt;/Year&gt;&lt;RecNum&gt;291&lt;/RecNum&gt;&lt;DisplayText&gt;(Malvi et al., 2011)&lt;/DisplayText&gt;&lt;record&gt;&lt;rec-number&gt;291&lt;/rec-number&gt;&lt;foreign-keys&gt;&lt;key app="EN" db-id="0z5fdztp6e9z5uerfrlvat9mvrxpssrs95da" timestamp="0"&gt;291&lt;/key&gt;&lt;/foreign-keys&gt;&lt;ref-type name="Journal Article"&gt;17&lt;/ref-type&gt;&lt;contributors&gt;&lt;authors&gt;&lt;author&gt;Malvi, C. S.&lt;/author&gt;&lt;author&gt;Dixon-Hardy, D. W.&lt;/author&gt;&lt;author&gt;Crook, R.&lt;/author&gt;&lt;/authors&gt;&lt;/contributors&gt;&lt;titles&gt;&lt;title&gt;Energy balance model of combined photovoltaic solar-thermal system incorporating phase change material&lt;/title&gt;&lt;secondary-title&gt;Solar Energy&lt;/secondary-title&gt;&lt;/titles&gt;&lt;periodical&gt;&lt;full-title&gt;Solar Energy&lt;/full-title&gt;&lt;/periodical&gt;&lt;pages&gt;1440-1446&lt;/pages&gt;&lt;volume&gt;85&lt;/volume&gt;&lt;number&gt;7&lt;/number&gt;&lt;keywords&gt;&lt;keyword&gt;Photovoltaic&lt;/keyword&gt;&lt;keyword&gt;Solar thermal&lt;/keyword&gt;&lt;keyword&gt;Phase change material&lt;/keyword&gt;&lt;keyword&gt;Energy balance&lt;/keyword&gt;&lt;keyword&gt;Simulation&lt;/keyword&gt;&lt;/keywords&gt;&lt;dates&gt;&lt;year&gt;2011&lt;/year&gt;&lt;/dates&gt;&lt;urls&gt;&lt;related-urls&gt;&lt;url&gt;http://www.sciencedirect.com/science/article/pii/S0038092X11001101 &lt;/url&gt;&lt;/related-urls&gt;&lt;/urls&gt;&lt;/record&gt;&lt;/Cite&gt;&lt;/EndNote&gt;</w:instrText>
      </w:r>
      <w:r w:rsidRPr="00696D6D">
        <w:rPr>
          <w:rFonts w:ascii="Times New Roman" w:eastAsia="Times New Roman" w:hAnsi="Times New Roman"/>
          <w:sz w:val="20"/>
          <w:szCs w:val="20"/>
          <w:lang w:val="en-GB" w:eastAsia="en-GB"/>
        </w:rPr>
        <w:fldChar w:fldCharType="separate"/>
      </w:r>
      <w:r w:rsidRPr="00696D6D">
        <w:rPr>
          <w:rFonts w:ascii="Times New Roman" w:eastAsia="Times New Roman" w:hAnsi="Times New Roman"/>
          <w:sz w:val="20"/>
          <w:szCs w:val="20"/>
          <w:lang w:val="en-GB" w:eastAsia="en-GB"/>
        </w:rPr>
        <w:t>(</w:t>
      </w:r>
      <w:hyperlink w:anchor="_ENREF_205" w:tooltip="Malvi, 2011 #291" w:history="1">
        <w:r w:rsidRPr="00696D6D">
          <w:rPr>
            <w:rFonts w:ascii="Times New Roman" w:eastAsia="Times New Roman" w:hAnsi="Times New Roman"/>
            <w:sz w:val="20"/>
            <w:szCs w:val="20"/>
            <w:lang w:val="en-GB" w:eastAsia="en-GB"/>
          </w:rPr>
          <w:t>Malvi et al., 2011</w:t>
        </w:r>
      </w:hyperlink>
      <w:r w:rsidRPr="00696D6D">
        <w:rPr>
          <w:rFonts w:ascii="Times New Roman" w:eastAsia="Times New Roman" w:hAnsi="Times New Roman"/>
          <w:sz w:val="20"/>
          <w:szCs w:val="20"/>
          <w:lang w:val="en-GB" w:eastAsia="en-GB"/>
        </w:rPr>
        <w:t>)</w:t>
      </w:r>
      <w:r w:rsidRPr="00696D6D">
        <w:rPr>
          <w:rFonts w:ascii="Times New Roman" w:eastAsia="Times New Roman" w:hAnsi="Times New Roman"/>
          <w:sz w:val="20"/>
          <w:szCs w:val="20"/>
          <w:lang w:val="en-GB" w:eastAsia="en-GB"/>
        </w:rPr>
        <w:fldChar w:fldCharType="end"/>
      </w:r>
    </w:p>
    <w:p w14:paraId="1A821630" w14:textId="77777777" w:rsidR="00B61C6F" w:rsidRPr="00696D6D" w:rsidRDefault="00B61C6F" w:rsidP="00B61C6F">
      <w:pPr>
        <w:jc w:val="center"/>
        <w:rPr>
          <w:rFonts w:ascii="Times New Roman" w:eastAsia="Times New Roman" w:hAnsi="Times New Roman"/>
          <w:sz w:val="20"/>
          <w:szCs w:val="20"/>
          <w:lang w:val="en-GB" w:eastAsia="en-GB"/>
        </w:rPr>
      </w:pPr>
    </w:p>
    <w:p w14:paraId="0B99FEF1"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The addition of PCM in PV/PCM systems has been shown to lower the operating temperature of PV by removing excess heat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&lt;EndNote&gt;&lt;Cite&gt;&lt;Author&gt;Malvi&lt;/Author&gt;&lt;Year&gt;2011&lt;/Year&gt;&lt;RecNum&gt;291&lt;/RecNum&gt;&lt;DisplayText&gt;(Malvi et al., 2011)&lt;/DisplayText&gt;&lt;record&gt;&lt;rec-number&gt;291&lt;/rec-number&gt;&lt;foreign-keys&gt;&lt;key app="EN" db-id="0z5fdztp6e9z5uerfrlvat9mvrxpssrs95da" timestamp="0"&gt;291&lt;/key&gt;&lt;/foreign-keys&gt;&lt;ref-type name="Journal Article"&gt;17&lt;/ref-type&gt;&lt;contributors&gt;&lt;authors&gt;&lt;author&gt;Malvi, C. S.&lt;/author&gt;&lt;author&gt;Dixon-Hardy, D. W.&lt;/author&gt;&lt;author&gt;Crook, R.&lt;/author&gt;&lt;/authors&gt;&lt;/contributors&gt;&lt;titles&gt;&lt;title&gt;Energy balance model of combined photovoltaic solar-thermal system incorporating phase change material&lt;/title&gt;&lt;secondary-title&gt;Solar Energy&lt;/secondary-title&gt;&lt;/titles&gt;&lt;periodical&gt;&lt;full-title&gt;Solar Energy&lt;/full-title&gt;&lt;/periodical&gt;&lt;pages&gt;1440-1446&lt;/pages&gt;&lt;volume&gt;85&lt;/volume&gt;&lt;number&gt;7&lt;/number&gt;&lt;keywords&gt;&lt;keyword&gt;Photovoltaic&lt;/keyword&gt;&lt;keyword&gt;Solar thermal&lt;/keyword&gt;&lt;keyword&gt;Phase change material&lt;/keyword&gt;&lt;keyword&gt;Energy balance&lt;/keyword&gt;&lt;keyword&gt;Simulation&lt;/keyword&gt;&lt;/keywords&gt;&lt;dates&gt;&lt;year&gt;2011&lt;/year&gt;&lt;/dates&gt;&lt;urls&gt;&lt;related-urls&gt;&lt;url&gt;http://www.sciencedirect.com/science/article/pii/S0038092X11001101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05" w:tooltip="Malvi, 2011 #291" w:history="1">
        <w:r w:rsidRPr="005444B3">
          <w:rPr>
            <w:rFonts w:ascii="Times New Roman" w:eastAsia="Times New Roman" w:hAnsi="Times New Roman"/>
            <w:lang w:val="en-GB" w:eastAsia="en-GB"/>
          </w:rPr>
          <w:t>Malvi et al., 2011</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w:t>
      </w:r>
    </w:p>
    <w:p w14:paraId="2DD60C50" w14:textId="77777777" w:rsidR="00B61C6F" w:rsidRPr="005444B3"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lastRenderedPageBreak/>
        <w:t xml:space="preserve">A numerical simulation of BIPV/T-PCM vented and un-vented Trombe-Michel walls, illustrated in </w:t>
      </w:r>
      <w:r w:rsidRPr="00BE2857">
        <w:rPr>
          <w:rFonts w:ascii="Times New Roman" w:eastAsia="Times New Roman" w:hAnsi="Times New Roman"/>
          <w:lang w:val="en-GB" w:eastAsia="en-GB"/>
        </w:rPr>
        <w:fldChar w:fldCharType="begin"/>
      </w:r>
      <w:r w:rsidRPr="00BE2857">
        <w:rPr>
          <w:rFonts w:ascii="Times New Roman" w:eastAsia="Times New Roman" w:hAnsi="Times New Roman"/>
          <w:lang w:val="en-GB" w:eastAsia="en-GB"/>
        </w:rPr>
        <w:instrText xml:space="preserve"> REF _Ref384376704 \h  \* MERGEFORMAT </w:instrText>
      </w:r>
      <w:r w:rsidRPr="00BE2857">
        <w:rPr>
          <w:rFonts w:ascii="Times New Roman" w:eastAsia="Times New Roman" w:hAnsi="Times New Roman"/>
          <w:lang w:val="en-GB" w:eastAsia="en-GB"/>
        </w:rPr>
      </w:r>
      <w:r w:rsidRPr="00BE2857">
        <w:rPr>
          <w:rFonts w:ascii="Times New Roman" w:eastAsia="Times New Roman" w:hAnsi="Times New Roman"/>
          <w:lang w:val="en-GB" w:eastAsia="en-GB"/>
        </w:rPr>
        <w:fldChar w:fldCharType="separate"/>
      </w:r>
      <w:r>
        <w:rPr>
          <w:rFonts w:ascii="Times New Roman" w:eastAsia="Times New Roman" w:hAnsi="Times New Roman"/>
          <w:lang w:val="en-GB" w:eastAsia="en-GB"/>
        </w:rPr>
        <w:t>Fig.</w:t>
      </w:r>
      <w:r w:rsidRPr="00BE2857">
        <w:rPr>
          <w:rFonts w:ascii="Times New Roman" w:eastAsia="Times New Roman" w:hAnsi="Times New Roman"/>
          <w:lang w:val="en-GB" w:eastAsia="en-GB"/>
        </w:rPr>
        <w:t xml:space="preserve"> </w:t>
      </w:r>
      <w:r w:rsidRPr="00BE2857">
        <w:rPr>
          <w:rFonts w:ascii="Times New Roman" w:eastAsia="Times New Roman" w:hAnsi="Times New Roman"/>
          <w:lang w:val="en-GB" w:eastAsia="en-GB"/>
        </w:rPr>
        <w:fldChar w:fldCharType="end"/>
      </w:r>
      <w:r>
        <w:rPr>
          <w:rFonts w:ascii="Times New Roman" w:eastAsia="Times New Roman" w:hAnsi="Times New Roman"/>
          <w:lang w:val="en-GB" w:eastAsia="en-GB"/>
        </w:rPr>
        <w:t>32</w:t>
      </w:r>
      <w:r w:rsidRPr="00BE2857">
        <w:rPr>
          <w:rFonts w:ascii="Times New Roman" w:eastAsia="Times New Roman" w:hAnsi="Times New Roman"/>
          <w:lang w:val="en-GB" w:eastAsia="en-GB"/>
        </w:rPr>
        <w:t xml:space="preserve">, </w:t>
      </w:r>
      <w:r w:rsidRPr="005444B3">
        <w:rPr>
          <w:rFonts w:ascii="Times New Roman" w:eastAsia="Times New Roman" w:hAnsi="Times New Roman"/>
          <w:lang w:val="en-GB" w:eastAsia="en-GB"/>
        </w:rPr>
        <w:t xml:space="preserve">was validated via comparison with the experimental results from a BIPV/T system in this case ventilation wall is part of PV/T collector system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&lt;EndNote&gt;&lt;Cite&gt;&lt;Author&gt;Aelenei&lt;/Author&gt;&lt;Year&gt;2013&lt;/Year&gt;&lt;RecNum&gt;361&lt;/RecNum&gt;&lt;DisplayText&gt;(Aelenei et al., 2013)&lt;/DisplayText&gt;&lt;record&gt;&lt;rec-number&gt;361&lt;/rec-number&gt;&lt;foreign-keys&gt;&lt;key app="EN" db-id="0z5fdztp6e9z5uerfrlvat9mvrxpssrs95da" timestamp="0"&gt;361&lt;/key&gt;&lt;/foreign-keys&gt;&lt;ref-type name="Conference Proceedings"&gt;10&lt;/ref-type&gt;&lt;contributors&gt;&lt;authors&gt;&lt;author&gt;Aelenei, Laura&lt;/author&gt;&lt;author&gt;Pereira, Ricardo&lt;/author&gt;&lt;author&gt;Goçalves, Helder&lt;/author&gt;&lt;/authors&gt;&lt;/contributors&gt;&lt;titles&gt;&lt;title&gt;BIPV/T versus BIPV/T-PCM: A numerical investigation of advanced system integrated into Solar XXI building façade&lt;/title&gt;&lt;secondary-title&gt;2nd International Conference on Sustainable Energy Storage&lt;/secondary-title&gt;&lt;/titles&gt;&lt;dates&gt;&lt;year&gt;2013&lt;/year&gt;&lt;/dates&gt;&lt;pub-location&gt;Trinity College, Dublin, Ireland&lt;/pub-location&gt;&lt;urls&gt;&lt;/urls&gt;&lt;/record&gt;&lt;/Cite&gt;&lt;/EndNote&gt;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 w:tooltip="Aelenei, 2013 #361" w:history="1">
        <w:r w:rsidRPr="005444B3">
          <w:rPr>
            <w:rFonts w:ascii="Times New Roman" w:eastAsia="Times New Roman" w:hAnsi="Times New Roman"/>
            <w:lang w:val="en-GB" w:eastAsia="en-GB"/>
          </w:rPr>
          <w:t>Aelenei et al., 2013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The air cavity allows for ventilation and each system has been investigated with and without it. The results of non-ventilation showed the PCM caused a decrease of 7 ºC when comparing the tempe</w:t>
      </w:r>
      <w:r>
        <w:rPr>
          <w:rFonts w:ascii="Times New Roman" w:eastAsia="Times New Roman" w:hAnsi="Times New Roman"/>
          <w:lang w:val="en-GB" w:eastAsia="en-GB"/>
        </w:rPr>
        <w:t>rature of the air cavity</w:t>
      </w:r>
      <w:r w:rsidRPr="005444B3">
        <w:rPr>
          <w:rFonts w:ascii="Times New Roman" w:eastAsia="Times New Roman" w:hAnsi="Times New Roman"/>
          <w:lang w:val="en-GB" w:eastAsia="en-GB"/>
        </w:rPr>
        <w:t xml:space="preserve"> due to the latent heat storage of the PCM. However, ventilation of the systems showed a much lower difference of 2 ºC (BIPV/T-PCM 28 ºC and BIPV/T 30 ºC) </w:t>
      </w:r>
      <w:r>
        <w:rPr>
          <w:rFonts w:ascii="Times New Roman" w:eastAsia="Times New Roman" w:hAnsi="Times New Roman"/>
          <w:lang w:val="en-GB" w:eastAsia="en-GB"/>
        </w:rPr>
        <w:t xml:space="preserve">suggesting that heat is </w:t>
      </w:r>
      <w:r w:rsidRPr="005444B3">
        <w:rPr>
          <w:rFonts w:ascii="Times New Roman" w:eastAsia="Times New Roman" w:hAnsi="Times New Roman"/>
          <w:lang w:val="en-GB" w:eastAsia="en-GB"/>
        </w:rPr>
        <w:t>removed by ventilation rather than</w:t>
      </w:r>
      <w:r>
        <w:rPr>
          <w:rFonts w:ascii="Times New Roman" w:eastAsia="Times New Roman" w:hAnsi="Times New Roman"/>
          <w:lang w:val="en-GB" w:eastAsia="en-GB"/>
        </w:rPr>
        <w:t xml:space="preserve"> to</w:t>
      </w:r>
      <w:r w:rsidRPr="005444B3">
        <w:rPr>
          <w:rFonts w:ascii="Times New Roman" w:eastAsia="Times New Roman" w:hAnsi="Times New Roman"/>
          <w:lang w:val="en-GB" w:eastAsia="en-GB"/>
        </w:rPr>
        <w:t xml:space="preserve"> the PCM.</w:t>
      </w:r>
    </w:p>
    <w:p w14:paraId="07A32BB6" w14:textId="77777777" w:rsidR="00B61C6F" w:rsidRPr="005444B3" w:rsidRDefault="00B61C6F" w:rsidP="00B61C6F">
      <w:pPr>
        <w:jc w:val="center"/>
        <w:rPr>
          <w:rFonts w:ascii="Times New Roman" w:eastAsia="Times New Roman" w:hAnsi="Times New Roman"/>
          <w:lang w:val="en-GB" w:eastAsia="en-GB"/>
        </w:rPr>
      </w:pPr>
      <w:r w:rsidRPr="005444B3">
        <w:rPr>
          <w:rFonts w:ascii="Times New Roman" w:eastAsia="Times New Roman" w:hAnsi="Times New Roman"/>
          <w:noProof/>
          <w:lang w:val="es-PY" w:eastAsia="es-PY"/>
        </w:rPr>
        <w:drawing>
          <wp:inline distT="0" distB="0" distL="0" distR="0" wp14:anchorId="44764F5B" wp14:editId="09CF32D3">
            <wp:extent cx="4427005" cy="3181350"/>
            <wp:effectExtent l="0" t="0" r="0" b="0"/>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4476936" cy="3217231"/>
                    </a:xfrm>
                    <a:prstGeom prst="rect">
                      <a:avLst/>
                    </a:prstGeom>
                    <a:noFill/>
                    <a:ln w="9525">
                      <a:noFill/>
                      <a:miter lim="800000"/>
                      <a:headEnd/>
                      <a:tailEnd/>
                    </a:ln>
                  </pic:spPr>
                </pic:pic>
              </a:graphicData>
            </a:graphic>
          </wp:inline>
        </w:drawing>
      </w:r>
    </w:p>
    <w:p w14:paraId="19D0A602" w14:textId="77777777" w:rsidR="00B61C6F" w:rsidRDefault="00B61C6F" w:rsidP="00B61C6F">
      <w:pPr>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w:t>
      </w:r>
      <w:r w:rsidRPr="00696D6D">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en-GB" w:eastAsia="en-GB"/>
        </w:rPr>
        <w:t>32.</w:t>
      </w:r>
      <w:r w:rsidRPr="00696D6D">
        <w:rPr>
          <w:rFonts w:ascii="Times New Roman" w:eastAsia="Times New Roman" w:hAnsi="Times New Roman"/>
          <w:sz w:val="20"/>
          <w:szCs w:val="20"/>
          <w:lang w:val="en-GB" w:eastAsia="en-GB"/>
        </w:rPr>
        <w:t xml:space="preserve"> Simulated BIPV/T system with integrated PCM wallboard </w:t>
      </w:r>
      <w:r w:rsidRPr="00696D6D">
        <w:rPr>
          <w:rFonts w:ascii="Times New Roman" w:eastAsia="Times New Roman" w:hAnsi="Times New Roman"/>
          <w:sz w:val="20"/>
          <w:szCs w:val="20"/>
          <w:lang w:val="en-GB" w:eastAsia="en-GB"/>
        </w:rPr>
        <w:fldChar w:fldCharType="begin"/>
      </w:r>
      <w:r w:rsidRPr="00696D6D">
        <w:rPr>
          <w:rFonts w:ascii="Times New Roman" w:eastAsia="Times New Roman" w:hAnsi="Times New Roman"/>
          <w:sz w:val="20"/>
          <w:szCs w:val="20"/>
          <w:lang w:val="en-GB" w:eastAsia="en-GB"/>
        </w:rPr>
        <w:instrText xml:space="preserve"> ADDIN EN.CITE &lt;EndNote&gt;&lt;Cite&gt;&lt;Author&gt;Aelenei&lt;/Author&gt;&lt;Year&gt;2013&lt;/Year&gt;&lt;RecNum&gt;361&lt;/RecNum&gt;&lt;DisplayText&gt;(Aelenei et al., 2013)&lt;/DisplayText&gt;&lt;record&gt;&lt;rec-number&gt;361&lt;/rec-number&gt;&lt;foreign-keys&gt;&lt;key app="EN" db-id="0z5fdztp6e9z5uerfrlvat9mvrxpssrs95da" timestamp="0"&gt;361&lt;/key&gt;&lt;/foreign-keys&gt;&lt;ref-type name="Conference Proceedings"&gt;10&lt;/ref-type&gt;&lt;contributors&gt;&lt;authors&gt;&lt;author&gt;Aelenei, Laura&lt;/author&gt;&lt;author&gt;Pereira, Ricardo&lt;/author&gt;&lt;author&gt;Goçalves, Helder&lt;/author&gt;&lt;/authors&gt;&lt;/contributors&gt;&lt;titles&gt;&lt;title&gt;BIPV/T versus BIPV/T-PCM: A numerical investigation of advanced system integrated into Solar XXI building façade&lt;/title&gt;&lt;secondary-title&gt;2nd International Conference on Sustainable Energy Storage&lt;/secondary-title&gt;&lt;/titles&gt;&lt;dates&gt;&lt;year&gt;2013&lt;/year&gt;&lt;/dates&gt;&lt;pub-location&gt;Trinity College, Dublin, Ireland&lt;/pub-location&gt;&lt;urls&gt;&lt;/urls&gt;&lt;/record&gt;&lt;/Cite&gt;&lt;/EndNote&gt;</w:instrText>
      </w:r>
      <w:r w:rsidRPr="00696D6D">
        <w:rPr>
          <w:rFonts w:ascii="Times New Roman" w:eastAsia="Times New Roman" w:hAnsi="Times New Roman"/>
          <w:sz w:val="20"/>
          <w:szCs w:val="20"/>
          <w:lang w:val="en-GB" w:eastAsia="en-GB"/>
        </w:rPr>
        <w:fldChar w:fldCharType="separate"/>
      </w:r>
      <w:r w:rsidRPr="00696D6D">
        <w:rPr>
          <w:rFonts w:ascii="Times New Roman" w:eastAsia="Times New Roman" w:hAnsi="Times New Roman"/>
          <w:sz w:val="20"/>
          <w:szCs w:val="20"/>
          <w:lang w:val="en-GB" w:eastAsia="en-GB"/>
        </w:rPr>
        <w:t>(</w:t>
      </w:r>
      <w:hyperlink w:anchor="_ENREF_2" w:tooltip="Aelenei, 2013 #361" w:history="1">
        <w:r w:rsidRPr="00696D6D">
          <w:rPr>
            <w:rFonts w:ascii="Times New Roman" w:eastAsia="Times New Roman" w:hAnsi="Times New Roman"/>
            <w:sz w:val="20"/>
            <w:szCs w:val="20"/>
            <w:lang w:val="en-GB" w:eastAsia="en-GB"/>
          </w:rPr>
          <w:t>Aelenei et al., 2013</w:t>
        </w:r>
      </w:hyperlink>
      <w:r w:rsidRPr="00696D6D">
        <w:rPr>
          <w:rFonts w:ascii="Times New Roman" w:eastAsia="Times New Roman" w:hAnsi="Times New Roman"/>
          <w:sz w:val="20"/>
          <w:szCs w:val="20"/>
          <w:lang w:val="en-GB" w:eastAsia="en-GB"/>
        </w:rPr>
        <w:t>)</w:t>
      </w:r>
      <w:r w:rsidRPr="00696D6D">
        <w:rPr>
          <w:rFonts w:ascii="Times New Roman" w:eastAsia="Times New Roman" w:hAnsi="Times New Roman"/>
          <w:sz w:val="20"/>
          <w:szCs w:val="20"/>
          <w:lang w:val="en-GB" w:eastAsia="en-GB"/>
        </w:rPr>
        <w:fldChar w:fldCharType="end"/>
      </w:r>
    </w:p>
    <w:p w14:paraId="747D59BD" w14:textId="77777777" w:rsidR="00B61C6F" w:rsidRPr="00B163E3" w:rsidRDefault="00B61C6F" w:rsidP="00B61C6F">
      <w:pPr>
        <w:jc w:val="center"/>
        <w:rPr>
          <w:rFonts w:ascii="Times New Roman" w:eastAsia="Times New Roman" w:hAnsi="Times New Roman"/>
          <w:sz w:val="20"/>
          <w:szCs w:val="20"/>
          <w:lang w:val="en-GB" w:eastAsia="en-GB"/>
        </w:rPr>
      </w:pPr>
    </w:p>
    <w:p w14:paraId="07E89EA6" w14:textId="77777777" w:rsidR="00B61C6F" w:rsidRPr="00CD744B" w:rsidRDefault="00B61C6F" w:rsidP="00B61C6F">
      <w:pPr>
        <w:spacing w:line="360" w:lineRule="auto"/>
        <w:jc w:val="both"/>
        <w:rPr>
          <w:rFonts w:ascii="Times New Roman" w:eastAsia="Times New Roman" w:hAnsi="Times New Roman"/>
          <w:lang w:val="en-GB" w:eastAsia="en-GB"/>
        </w:rPr>
      </w:pPr>
      <w:r w:rsidRPr="005444B3">
        <w:rPr>
          <w:rFonts w:ascii="Times New Roman" w:eastAsia="Times New Roman" w:hAnsi="Times New Roman"/>
          <w:lang w:val="en-GB" w:eastAsia="en-GB"/>
        </w:rPr>
        <w:t xml:space="preserve">The investigations show that the effect of the storage in the PCM reduces the PV temperature and thus raises the PV efficiency.  However, during winter conditions the storage of heat causes adverse effects as the heat transfer from air cavity to the interior of the room is reduced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&lt;EndNote&gt;&lt;Cite&gt;&lt;Author&gt;Aelenei&lt;/Author&gt;&lt;Year&gt;2013&lt;/Year&gt;&lt;RecNum&gt;361&lt;/RecNum&gt;&lt;DisplayText&gt;(Aelenei et al., 2013)&lt;/DisplayText&gt;&lt;record&gt;&lt;rec-number&gt;361&lt;/rec-number&gt;&lt;foreign-keys&gt;&lt;key app="EN" db-id="0z5fdztp6e9z5uerfrlvat9mvrxpssrs95da" timestamp="0"&gt;361&lt;/key&gt;&lt;/foreign-keys&gt;&lt;ref-type name="Conference Proceedings"&gt;10&lt;/ref-type&gt;&lt;contributors&gt;&lt;authors&gt;&lt;author&gt;Aelenei, Laura&lt;/author&gt;&lt;author&gt;Pereira, Ricardo&lt;/author&gt;&lt;author&gt;Goçalves, Helder&lt;/author&gt;&lt;/authors&gt;&lt;/contributors&gt;&lt;titles&gt;&lt;title&gt;BIPV/T versus BIPV/T-PCM: A numerical investigation of advanced system integrated into Solar XXI building façade&lt;/title&gt;&lt;secondary-title&gt;2nd International Conference on Sustainable Energy Storage&lt;/secondary-title&gt;&lt;/titles&gt;&lt;dates&gt;&lt;year&gt;2013&lt;/year&gt;&lt;/dates&gt;&lt;pub-location&gt;Trinity College, Dublin, Ireland&lt;/pub-location&gt;&lt;urls&gt;&lt;/urls&gt;&lt;/record&gt;&lt;/Cite&gt;&lt;/EndNote&gt;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2" w:tooltip="Aelenei, 2013 #361" w:history="1">
        <w:r w:rsidRPr="005444B3">
          <w:rPr>
            <w:rFonts w:ascii="Times New Roman" w:eastAsia="Times New Roman" w:hAnsi="Times New Roman"/>
            <w:lang w:val="en-GB" w:eastAsia="en-GB"/>
          </w:rPr>
          <w:t>Aelenei et al., 2013</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sidRPr="005444B3">
        <w:rPr>
          <w:rFonts w:ascii="Times New Roman" w:eastAsia="Times New Roman" w:hAnsi="Times New Roman"/>
          <w:lang w:val="en-GB" w:eastAsia="en-GB"/>
        </w:rPr>
        <w:t xml:space="preserve">.  In a numerical and experimental study of this system the maximum electrical and thermal efficiencies reached were 10 % and 12 %, respectively </w:t>
      </w:r>
      <w:r w:rsidRPr="005444B3">
        <w:rPr>
          <w:rFonts w:ascii="Times New Roman" w:eastAsia="Times New Roman" w:hAnsi="Times New Roman"/>
          <w:lang w:val="en-GB" w:eastAsia="en-GB"/>
        </w:rPr>
        <w:fldChar w:fldCharType="begin"/>
      </w:r>
      <w:r w:rsidRPr="005444B3">
        <w:rPr>
          <w:rFonts w:ascii="Times New Roman" w:eastAsia="Times New Roman" w:hAnsi="Times New Roman"/>
          <w:lang w:val="en-GB" w:eastAsia="en-GB"/>
        </w:rPr>
        <w:instrText xml:space="preserve"> ADDIN EN.CITE &lt;EndNote&gt;&lt;Cite&gt;&lt;Author&gt;Aelenei&lt;/Author&gt;&lt;Year&gt;2014&lt;/Year&gt;&lt;RecNum&gt;410&lt;/RecNum&gt;&lt;DisplayText&gt;(Aelenei et al., 2014)&lt;/DisplayText&gt;&lt;record&gt;&lt;rec-number&gt;410&lt;/rec-number&gt;&lt;foreign-keys&gt;&lt;key app="EN" db-id="0z5fdztp6e9z5uerfrlvat9mvrxpssrs95da" timestamp="0"&gt;410&lt;/key&gt;&lt;/foreign-keys&gt;&lt;ref-type name="Journal Article"&gt;17&lt;/ref-type&gt;&lt;contributors&gt;&lt;authors&gt;&lt;author&gt;Aelenei, Laura&lt;/author&gt;&lt;author&gt;Pereira, Ricardo&lt;/author&gt;&lt;author&gt;Goçalves, Helder&lt;/author&gt;&lt;author&gt;Athienitis, Andreas&lt;/author&gt;&lt;/authors&gt;&lt;/contributors&gt;&lt;titles&gt;&lt;title&gt;Thermal Performance of a Hybrid BIPV-PCM: Modeling, Design and Experimental Investigation&lt;/title&gt;&lt;secondary-title&gt;Energy Procedia&lt;/secondary-title&gt;&lt;/titles&gt;&lt;periodical&gt;&lt;full-title&gt;Energy Procedia&lt;/full-title&gt;&lt;/periodical&gt;&lt;pages&gt;474-483&lt;/pages&gt;&lt;volume&gt;48&lt;/volume&gt;&lt;number&gt;0&lt;/number&gt;&lt;keywords&gt;&lt;keyword&gt;Building-integrated photovoltaic&lt;/keyword&gt;&lt;keyword&gt;Energy storage&lt;/keyword&gt;&lt;keyword&gt;Net Zero-Energy Buildings&lt;/keyword&gt;&lt;keyword&gt;Phase Change Material&lt;/keyword&gt;&lt;keyword&gt;Thermal modeling&lt;/keyword&gt;&lt;/keywords&gt;&lt;dates&gt;&lt;year&gt;2014&lt;/year&gt;&lt;/dates&gt;&lt;urls&gt;&lt;related-urls&gt;&lt;url&gt;http://www.sciencedirect.com/science/article/pii/S187661021400318X &lt;/url&gt;&lt;/related-urls&gt;&lt;/urls&gt;&lt;/record&gt;&lt;/Cite&gt;&lt;/EndNote&gt;</w:instrText>
      </w:r>
      <w:r w:rsidRPr="005444B3">
        <w:rPr>
          <w:rFonts w:ascii="Times New Roman" w:eastAsia="Times New Roman" w:hAnsi="Times New Roman"/>
          <w:lang w:val="en-GB" w:eastAsia="en-GB"/>
        </w:rPr>
        <w:fldChar w:fldCharType="separate"/>
      </w:r>
      <w:r w:rsidRPr="005444B3">
        <w:rPr>
          <w:rFonts w:ascii="Times New Roman" w:eastAsia="Times New Roman" w:hAnsi="Times New Roman"/>
          <w:lang w:val="en-GB" w:eastAsia="en-GB"/>
        </w:rPr>
        <w:t>(</w:t>
      </w:r>
      <w:hyperlink w:anchor="_ENREF_3" w:tooltip="Aelenei, 2014 #410" w:history="1">
        <w:r w:rsidRPr="005444B3">
          <w:rPr>
            <w:rFonts w:ascii="Times New Roman" w:eastAsia="Times New Roman" w:hAnsi="Times New Roman"/>
            <w:lang w:val="en-GB" w:eastAsia="en-GB"/>
          </w:rPr>
          <w:t>Aelenei et al., 2014</w:t>
        </w:r>
      </w:hyperlink>
      <w:r w:rsidRPr="005444B3">
        <w:rPr>
          <w:rFonts w:ascii="Times New Roman" w:eastAsia="Times New Roman" w:hAnsi="Times New Roman"/>
          <w:lang w:val="en-GB" w:eastAsia="en-GB"/>
        </w:rPr>
        <w:t>)</w:t>
      </w:r>
      <w:r w:rsidRPr="005444B3">
        <w:rPr>
          <w:rFonts w:ascii="Times New Roman" w:eastAsia="Times New Roman" w:hAnsi="Times New Roman"/>
          <w:lang w:val="en-GB" w:eastAsia="en-GB"/>
        </w:rPr>
        <w:fldChar w:fldCharType="end"/>
      </w:r>
      <w:r>
        <w:rPr>
          <w:rFonts w:ascii="Times New Roman" w:eastAsia="Times New Roman" w:hAnsi="Times New Roman"/>
          <w:lang w:val="en-GB" w:eastAsia="en-GB"/>
        </w:rPr>
        <w:t>.</w:t>
      </w:r>
    </w:p>
    <w:p w14:paraId="021B0ADE" w14:textId="77777777" w:rsidR="00B61C6F" w:rsidRPr="0019763E" w:rsidRDefault="00B61C6F" w:rsidP="00B61C6F">
      <w:pPr>
        <w:pStyle w:val="Heading3"/>
        <w:rPr>
          <w:rFonts w:ascii="Times New Roman" w:hAnsi="Times New Roman"/>
          <w:b w:val="0"/>
          <w:bCs w:val="0"/>
          <w:color w:val="auto"/>
          <w:sz w:val="22"/>
          <w:szCs w:val="22"/>
        </w:rPr>
      </w:pPr>
      <w:r w:rsidRPr="0019763E">
        <w:rPr>
          <w:rFonts w:ascii="Times New Roman" w:hAnsi="Times New Roman"/>
          <w:b w:val="0"/>
          <w:bCs w:val="0"/>
          <w:color w:val="auto"/>
          <w:sz w:val="22"/>
          <w:szCs w:val="22"/>
        </w:rPr>
        <w:t>Use of Sensible Heat Storage in PV applications</w:t>
      </w:r>
    </w:p>
    <w:p w14:paraId="627CA1D7" w14:textId="77777777" w:rsidR="00B61C6F" w:rsidRPr="00E46AB6" w:rsidRDefault="00B61C6F" w:rsidP="00B61C6F">
      <w:pPr>
        <w:rPr>
          <w:lang w:val="en-GB" w:eastAsia="en-GB"/>
        </w:rPr>
      </w:pPr>
    </w:p>
    <w:p w14:paraId="6259A1FA" w14:textId="77777777" w:rsidR="00B61C6F" w:rsidRPr="00787B88" w:rsidRDefault="00B61C6F" w:rsidP="00B61C6F">
      <w:pPr>
        <w:spacing w:after="200" w:line="360" w:lineRule="auto"/>
        <w:jc w:val="both"/>
        <w:rPr>
          <w:b/>
          <w:lang w:val="en-US"/>
        </w:rPr>
      </w:pPr>
      <w:r w:rsidRPr="00787B88">
        <w:rPr>
          <w:rFonts w:ascii="AdvOT987ad488" w:hAnsi="AdvOT987ad488"/>
          <w:lang w:val="en-US"/>
        </w:rPr>
        <w:t>In sensible heat storage, thermal energy is stored/released by raising/decreasing the temperature of a storage material. It is a pure physical process without any phase change during charge or discharge. Therefore, the amount of heat stored depends on the product of the mass, speci</w:t>
      </w:r>
      <w:r w:rsidRPr="00822C70">
        <w:rPr>
          <w:rFonts w:ascii="AdvOT987ad488+fb" w:hAnsi="AdvOT987ad488+fb"/>
          <w:lang w:val="en-US"/>
        </w:rPr>
        <w:t>fi</w:t>
      </w:r>
      <w:r w:rsidRPr="00787B88">
        <w:rPr>
          <w:rFonts w:ascii="AdvOT987ad488" w:hAnsi="AdvOT987ad488"/>
          <w:lang w:val="en-US"/>
        </w:rPr>
        <w:t xml:space="preserve">c heat, </w:t>
      </w:r>
      <w:r w:rsidRPr="00787B88">
        <w:rPr>
          <w:rFonts w:ascii="AdvOT987ad488" w:hAnsi="AdvOT987ad488"/>
          <w:lang w:val="en-US"/>
        </w:rPr>
        <w:lastRenderedPageBreak/>
        <w:t>and temperature variation of the storage material. In addition to the density and the speci</w:t>
      </w:r>
      <w:r w:rsidRPr="00822C70">
        <w:rPr>
          <w:rFonts w:ascii="AdvOT987ad488+fb" w:hAnsi="AdvOT987ad488+fb"/>
          <w:lang w:val="en-US"/>
        </w:rPr>
        <w:t>fi</w:t>
      </w:r>
      <w:r w:rsidRPr="00787B88">
        <w:rPr>
          <w:rFonts w:ascii="AdvOT987ad488" w:hAnsi="AdvOT987ad488"/>
          <w:lang w:val="en-US"/>
        </w:rPr>
        <w:t>c heat of the storage material, other properties are also important for sensible heat storage: operating temperature, thermal conductivity and di</w:t>
      </w:r>
      <w:r w:rsidRPr="00822C70">
        <w:rPr>
          <w:rFonts w:ascii="AdvOT987ad488+fb" w:hAnsi="AdvOT987ad488+fb"/>
          <w:lang w:val="en-US"/>
        </w:rPr>
        <w:t>ff</w:t>
      </w:r>
      <w:r>
        <w:rPr>
          <w:rFonts w:ascii="AdvOT987ad488" w:hAnsi="AdvOT987ad488"/>
          <w:lang w:val="en-US"/>
        </w:rPr>
        <w:t>usivity, chemical and ther</w:t>
      </w:r>
      <w:r w:rsidRPr="00787B88">
        <w:rPr>
          <w:rFonts w:ascii="AdvOT987ad488" w:hAnsi="AdvOT987ad488"/>
          <w:lang w:val="en-US"/>
        </w:rPr>
        <w:t>mo-chemical stability of the materials and the cost, (Gil et al., 2010).</w:t>
      </w:r>
    </w:p>
    <w:p w14:paraId="23A7E1BE" w14:textId="77777777" w:rsidR="00B61C6F" w:rsidRPr="00822C70" w:rsidRDefault="00B61C6F" w:rsidP="00B61C6F">
      <w:pPr>
        <w:suppressAutoHyphens w:val="0"/>
        <w:autoSpaceDN/>
        <w:spacing w:before="100" w:beforeAutospacing="1" w:after="100" w:afterAutospacing="1"/>
        <w:jc w:val="both"/>
        <w:textAlignment w:val="auto"/>
        <w:rPr>
          <w:lang w:val="en-US"/>
        </w:rPr>
      </w:pPr>
    </w:p>
    <w:p w14:paraId="7A8BFB67" w14:textId="77777777" w:rsidR="00B61C6F" w:rsidRDefault="00B61C6F" w:rsidP="00B61C6F">
      <w:pPr>
        <w:suppressAutoHyphens w:val="0"/>
        <w:autoSpaceDE w:val="0"/>
        <w:adjustRightInd w:val="0"/>
        <w:spacing w:line="360" w:lineRule="auto"/>
        <w:jc w:val="both"/>
        <w:textAlignment w:val="auto"/>
        <w:rPr>
          <w:b/>
          <w:lang w:val="en-US"/>
        </w:rPr>
      </w:pPr>
    </w:p>
    <w:p w14:paraId="6738A643" w14:textId="77777777" w:rsidR="00B61C6F" w:rsidRPr="00024DFD" w:rsidRDefault="00B61C6F" w:rsidP="00B61C6F">
      <w:pPr>
        <w:suppressAutoHyphens w:val="0"/>
        <w:autoSpaceDE w:val="0"/>
        <w:adjustRightInd w:val="0"/>
        <w:spacing w:line="360" w:lineRule="auto"/>
        <w:jc w:val="both"/>
        <w:textAlignment w:val="auto"/>
        <w:rPr>
          <w:rFonts w:ascii="Times New Roman" w:hAnsi="Times New Roman"/>
          <w:lang w:val="en-US"/>
        </w:rPr>
      </w:pPr>
      <w:r w:rsidRPr="00024DFD">
        <w:rPr>
          <w:rFonts w:ascii="Times New Roman" w:hAnsi="Times New Roman"/>
          <w:lang w:val="en-US"/>
        </w:rPr>
        <w:t xml:space="preserve">The incorporation of PV modules in a building can create additional functionality for the PV as wall and roofing elements, canopies and/or shading devices that replace “conventional” building materials; this is referred to as building integrated PV (BIPV). </w:t>
      </w:r>
    </w:p>
    <w:p w14:paraId="034F3E52" w14:textId="77777777" w:rsidR="00B61C6F" w:rsidRPr="00024DFD" w:rsidRDefault="00B61C6F" w:rsidP="00B61C6F">
      <w:pPr>
        <w:spacing w:after="200" w:line="360" w:lineRule="auto"/>
        <w:jc w:val="both"/>
        <w:rPr>
          <w:rFonts w:ascii="Times New Roman" w:hAnsi="Times New Roman"/>
          <w:lang w:val="en-US"/>
        </w:rPr>
      </w:pPr>
      <w:r w:rsidRPr="00024DFD">
        <w:rPr>
          <w:rFonts w:ascii="Times New Roman" w:hAnsi="Times New Roman"/>
          <w:lang w:val="en-US"/>
        </w:rPr>
        <w:t xml:space="preserve">Elevated operating temperatures arise as buildings can thermally insulate incorporated PV. A full-scale assessment of BIPV modular temperature for six different types of PV has been analysed by Maturi et al. </w:t>
      </w:r>
      <w:r w:rsidRPr="00024DFD">
        <w:rPr>
          <w:rFonts w:ascii="Times New Roman" w:hAnsi="Times New Roman"/>
          <w:lang w:val="en-US"/>
        </w:rPr>
        <w:fldChar w:fldCharType="begin" w:fldLock="1"/>
      </w:r>
      <w:r w:rsidRPr="00024DFD">
        <w:rPr>
          <w:rFonts w:ascii="Times New Roman" w:hAnsi="Times New Roman"/>
          <w:lang w:val="en-US"/>
        </w:rPr>
        <w:instrText>ADDIN CSL_CITATION { "citationItems" : [ { "id" : "ITEM-1", "itemData" : { "DOI" : "10.1016/j.egypro.2014.02.148", "ISSN" : "18766102", "abstract" : "A typical problem of BiPV systems (Building Integrated Photovoltaic) is the power loss due to temperature increase, because modules often operate close to the building envelope with low ventilation. It is thus essential to properly evaluate and compare the PV temperature conditions of different PV module categories (in terms of PV technology and material type). Several explicit correlations exist for the evaluation of the PV module temperature, among which the simplest and most handy is a linear expression (i.e. Tmod=T amd+k G) which links Tmodwith the ambient temperature (Tamd) and the incident solar radiation flux (G). Within this expression the value of the dimensional parameter k, known as the Ross coefficient, depends on several aspects (i.e. module type, wind velocity and integration characteristics). However, dispersed values for this parameter can be found in literature (in the range of 0.02-0.06 K m2/W) according to different module types, while more information are provided regarding different integration characteristics. This paper aims at giving an overview of the value of k for different module types according to monitored data registered over one year time period at the ABD-PV plant in Bolzano (Italy). The highest values of k, which means the highest module temperature at a certain G, are registered for the three glass-glass (G-G) module types (Kmok,c from 0.033 K m2/W to 0.037 K m2/W). The glass-tedlar (G-T) module types operate at slight lower temperature values (Kmok,c ranging from 0.029 K m2/W to 0.032 K m2/W).", "author" : [ { "dropping-particle" : "", "family" : "Maturi", "given" : "Laura", "non-dropping-particle" : "", "parse-names" : false, "suffix" : "" }, { "dropping-particle" : "", "family" : "Belluardo", "given" : "Giorgio", "non-dropping-particle" : "", "parse-names" : false, "suffix" : "" }, { "dropping-particle" : "", "family" : "Moser", "given" : "David", "non-dropping-particle" : "", "parse-names" : false, "suffix" : "" }, { "dropping-particle" : "", "family" : "Buono", "given" : "Matteo", "non-dropping-particle" : "Del", "parse-names" : false, "suffix" : "" } ], "container-title" : "Energy Procedia", "id" : "ITEM-1", "issued" : { "date-parts" : [ [ "2014" ] ] }, "page" : "1311-1319", "title" : "BiPV system performance and efficiency drops: Overview on PV module temperature conditions of different module types", "type" : "paper-conference", "volume" : "48" }, "uris" : [ "http://www.mendeley.com/documents/?uuid=404f0fb6-0200-4fbd-a5dd-eadf5d09519f" ] } ], "mendeley" : { "formattedCitation" : "(Maturi, Belluardo, Moser, &amp; Del Buono, 2014)", "plainTextFormattedCitation" : "(Maturi, Belluardo, Moser, &amp; Del Buono, 2014)", "previouslyFormattedCitation" : "(Maturi, Belluardo, Moser, &amp; Del Buono, 2014)" }, "properties" : { "noteIndex" : 0 }, "schema" : "https://github.com/citation-style-language/schema/raw/master/csl-citation.json" }</w:instrText>
      </w:r>
      <w:r w:rsidRPr="00024DFD">
        <w:rPr>
          <w:rFonts w:ascii="Times New Roman" w:hAnsi="Times New Roman"/>
          <w:lang w:val="en-US"/>
        </w:rPr>
        <w:fldChar w:fldCharType="separate"/>
      </w:r>
      <w:r w:rsidRPr="00024DFD">
        <w:rPr>
          <w:rFonts w:ascii="Times New Roman" w:hAnsi="Times New Roman"/>
          <w:noProof/>
          <w:lang w:val="en-US"/>
        </w:rPr>
        <w:t>(Maturi, Belluardo, Moser, &amp; Del Buono, 2014)</w:t>
      </w:r>
      <w:r w:rsidRPr="00024DFD">
        <w:rPr>
          <w:rFonts w:ascii="Times New Roman" w:hAnsi="Times New Roman"/>
          <w:lang w:val="en-US"/>
        </w:rPr>
        <w:fldChar w:fldCharType="end"/>
      </w:r>
      <w:r w:rsidRPr="00024DFD">
        <w:rPr>
          <w:rFonts w:ascii="Times New Roman" w:hAnsi="Times New Roman"/>
          <w:lang w:val="en-US"/>
        </w:rPr>
        <w:t>. It was found that copper indium gallium selenide (CIGS) PV operate at a temperature 8ºC higher than the operating temperature of mono crystalline potentially affecting the efficiency by 3%, while the environmental conditions was kept constant at 1000W/m</w:t>
      </w:r>
      <w:r w:rsidRPr="00DE0080">
        <w:rPr>
          <w:rFonts w:ascii="Times New Roman" w:hAnsi="Times New Roman"/>
          <w:vertAlign w:val="superscript"/>
          <w:lang w:val="en-US"/>
        </w:rPr>
        <w:t>2</w:t>
      </w:r>
      <w:r w:rsidRPr="00024DFD">
        <w:rPr>
          <w:rFonts w:ascii="Times New Roman" w:hAnsi="Times New Roman"/>
          <w:lang w:val="en-US"/>
        </w:rPr>
        <w:t xml:space="preserve">. The thermal behavior of various PV facades have been investigated by </w:t>
      </w:r>
      <w:r w:rsidRPr="00024DFD">
        <w:rPr>
          <w:rFonts w:ascii="Times New Roman" w:hAnsi="Times New Roman"/>
          <w:lang w:val="en-US"/>
        </w:rPr>
        <w:fldChar w:fldCharType="begin" w:fldLock="1"/>
      </w:r>
      <w:r w:rsidRPr="00024DFD">
        <w:rPr>
          <w:rFonts w:ascii="Times New Roman" w:hAnsi="Times New Roman"/>
          <w:lang w:val="en-US"/>
        </w:rPr>
        <w:instrText>ADDIN CSL_CITATION { "citationItems" : [ { "id" : "ITEM-1", "itemData" : { "DOI" : "10.1016/S0038-092X(00)00071-2", "ISBN" : "0038-092X", "ISSN" : "0038092X", "abstract" : "Most photovoltaic (PV) facades are built as curtain facades in front of thermally insulated buildings, with air ducts in between. This causes additional costs for support structure and installation, while heat dissipation from the solar cells is often not optimal. Measurements carried out are facing both concerns: integration of a thermal insulating layer (which meets the latest German heat-preserving regulation, WSV 95) into the PV facade, plus additional cooling by active ventilation or water flow. Active ventilation at conventional curtain PV facades allows a reduction of cell operating temperatures of 18 K, resulting in an 8% increase in electrical energy output at an airspeed of about 2 m/s. Cell temperatures increase by 20.7 K at thermal insulating PV facade elements (TIPVE) without cooling, which causes a 9.3% loss of electrical yield, but installation costs can be reduced by 20% (all related to a conventional PV curtain plus a heat-insulating facade at a building). HYTIPVE, a hybrid thermal insulating PV facade element combined with a water cooling system, which could also serve for heating up water, lowers the operating cell temperature by 20 K and increases electrical yield by 9% (compared with conventional curtain PV facades). Further economic investigations of such a HYTIPVE, including its operational costs and substitution effect, related to the electrical and thermal yield, are in progress", "author" : [ { "dropping-particle" : "", "family" : "Krauter", "given" : "Stefan", "non-dropping-particle" : "", "parse-names" : false, "suffix" : "" }, { "dropping-particle" : "", "family" : "Ara\u00fajo", "given" : "Rodrigo Guido", "non-dropping-particle" : "", "parse-names" : false, "suffix" : "" }, { "dropping-particle" : "", "family" : "Schroer", "given" : "Sandra", "non-dropping-particle" : "", "parse-names" : false, "suffix" : "" }, { "dropping-particle" : "", "family" : "Hanitsch", "given" : "Rolf", "non-dropping-particle" : "", "parse-names" : false, "suffix" : "" }, { "dropping-particle" : "", "family" : "Salhi", "given" : "Mohammed J", "non-dropping-particle" : "", "parse-names" : false, "suffix" : "" }, { "dropping-particle" : "", "family" : "Triebel", "given" : "Clemens", "non-dropping-particle" : "", "parse-names" : false, "suffix" : "" }, { "dropping-particle" : "", "family" : "Lemoine", "given" : "Reiner", "non-dropping-particle" : "", "parse-names" : false, "suffix" : "" } ], "container-title" : "Solar Energy", "id" : "ITEM-1", "issue" : "4-6", "issued" : { "date-parts" : [ [ "1999" ] ] }, "page" : "239-248", "title" : "Combined photovoltaic and solar thermal systems for facade integration and building insulation", "type" : "article-journal", "volume" : "67" }, "uris" : [ "http://www.mendeley.com/documents/?uuid=54677af5-bcbf-4694-8379-00ab2ee150c2" ] } ], "mendeley" : { "formattedCitation" : "(Krauter et al., 1999)", "plainTextFormattedCitation" : "(Krauter et al., 1999)", "previouslyFormattedCitation" : "(Krauter et al., 1999)" }, "properties" : { "noteIndex" : 0 }, "schema" : "https://github.com/citation-style-language/schema/raw/master/csl-citation.json" }</w:instrText>
      </w:r>
      <w:r w:rsidRPr="00024DFD">
        <w:rPr>
          <w:rFonts w:ascii="Times New Roman" w:hAnsi="Times New Roman"/>
          <w:lang w:val="en-US"/>
        </w:rPr>
        <w:fldChar w:fldCharType="separate"/>
      </w:r>
      <w:r w:rsidRPr="00024DFD">
        <w:rPr>
          <w:rFonts w:ascii="Times New Roman" w:hAnsi="Times New Roman"/>
          <w:noProof/>
          <w:lang w:val="en-US"/>
        </w:rPr>
        <w:t>(Krauter et al., 1999)</w:t>
      </w:r>
      <w:r w:rsidRPr="00024DFD">
        <w:rPr>
          <w:rFonts w:ascii="Times New Roman" w:hAnsi="Times New Roman"/>
          <w:lang w:val="en-US"/>
        </w:rPr>
        <w:fldChar w:fldCharType="end"/>
      </w:r>
      <w:r w:rsidRPr="00024DFD">
        <w:rPr>
          <w:rFonts w:ascii="Times New Roman" w:hAnsi="Times New Roman"/>
          <w:lang w:val="en-US"/>
        </w:rPr>
        <w:t xml:space="preserve">. The experimental results showed that the thermal-insulating building facade increased PV cell temperature by 20.7K causing a 9.3% loss of electrical yield compared to an actively cooled PV cell. Another solution to limit the rise of the temperature of system is to combine with a solar water heating collector and PV cells using photovoltaics/thermal (PV/T) collector. Therefore, the recovered energy (heat) can be used for the heating system as well as for the domestic hot water by a flow of glycol water at the back side of PV modules (poly-crystalline in our study). The annual photovoltaic cell efficiency for Mâcon, France, showed a BIPV system to operate a cell efficiency of 6.8%, which is equivalent to a 28% lower efficiency than to a non-integrated PV system, </w:t>
      </w:r>
      <w:r w:rsidRPr="00024DFD">
        <w:rPr>
          <w:rFonts w:ascii="Times New Roman" w:hAnsi="Times New Roman"/>
          <w:lang w:val="en-US"/>
        </w:rPr>
        <w:fldChar w:fldCharType="begin" w:fldLock="1"/>
      </w:r>
      <w:r>
        <w:rPr>
          <w:rFonts w:ascii="Times New Roman" w:hAnsi="Times New Roman"/>
          <w:lang w:val="en-US"/>
        </w:rPr>
        <w:instrText>ADDIN CSL_CITATION { "citationItems" : [ { "id" : "ITEM-1", "itemData" : { "DOI" : "10.1016/j.solener.2006.11.017", "ISSN" : "0038092X", "author" : [ { "dropping-particle" : "", "family" : "Fraisse", "given" : "G.", "non-dropping-particle" : "", "parse-names" : false, "suffix" : "" }, { "dropping-particle" : "", "family" : "M\u00e9n\u00e9zo", "given" : "C.", "non-dropping-particle" : "", "parse-names" : false, "suffix" : "" }, { "dropping-particle" : "", "family" : "Johannes", "given" : "K.", "non-dropping-particle" : "", "parse-names" : false, "suffix" : "" } ], "container-title" : "Solar Energy", "id" : "ITEM-1", "issue" : "11", "issued" : { "date-parts" : [ [ "2007", "11" ] ] }, "page" : "1426-1438", "title" : "Energy performance of water hybrid PV/T collectors applied to combisystems of Direct Solar Floor type", "type" : "article-journal", "volume" : "81" }, "uris" : [ "http://www.mendeley.com/documents/?uuid=e8643420-d6f2-4069-ba5d-8f54a96e77d2" ] } ], "mendeley" : { "formattedCitation" : "(Fraisse, M\u00e9n\u00e9zo, &amp; Johannes, 2007)", "plainTextFormattedCitation" : "(Fraisse, M\u00e9n\u00e9zo, &amp; Johannes, 2007)", "previouslyFormattedCitation" : "(Fraisse, M\u00e9n\u00e9zo, &amp; Johannes, 2007)" }, "properties" : { "noteIndex" : 0 }, "schema" : "https://github.com/citation-style-language/schema/raw/master/csl-citation.json" }</w:instrText>
      </w:r>
      <w:r w:rsidRPr="00024DFD">
        <w:rPr>
          <w:rFonts w:ascii="Times New Roman" w:hAnsi="Times New Roman"/>
          <w:lang w:val="en-US"/>
        </w:rPr>
        <w:fldChar w:fldCharType="separate"/>
      </w:r>
      <w:r w:rsidRPr="00D03089">
        <w:rPr>
          <w:rFonts w:ascii="Times New Roman" w:hAnsi="Times New Roman"/>
          <w:noProof/>
          <w:lang w:val="en-US"/>
        </w:rPr>
        <w:t>(Fraisse, Ménézo, &amp; Johannes, 2007)</w:t>
      </w:r>
      <w:r w:rsidRPr="00024DFD">
        <w:rPr>
          <w:rFonts w:ascii="Times New Roman" w:hAnsi="Times New Roman"/>
          <w:lang w:val="en-US"/>
        </w:rPr>
        <w:fldChar w:fldCharType="end"/>
      </w:r>
      <w:r w:rsidRPr="00024DFD">
        <w:rPr>
          <w:rFonts w:ascii="Times New Roman" w:hAnsi="Times New Roman"/>
          <w:lang w:val="en-US"/>
        </w:rPr>
        <w:t>.</w:t>
      </w:r>
    </w:p>
    <w:p w14:paraId="12168B6F" w14:textId="77777777" w:rsidR="00B61C6F" w:rsidRPr="00024DFD" w:rsidRDefault="00B61C6F" w:rsidP="00B61C6F">
      <w:pPr>
        <w:pStyle w:val="Default"/>
        <w:spacing w:line="360" w:lineRule="auto"/>
        <w:jc w:val="both"/>
        <w:rPr>
          <w:rFonts w:eastAsia="Times New Roman"/>
          <w:color w:val="auto"/>
          <w:sz w:val="22"/>
          <w:szCs w:val="22"/>
          <w:lang w:val="en-US" w:eastAsia="en-GB"/>
        </w:rPr>
      </w:pPr>
      <w:r w:rsidRPr="00024DFD">
        <w:rPr>
          <w:rFonts w:eastAsia="Times New Roman"/>
          <w:color w:val="auto"/>
          <w:sz w:val="22"/>
          <w:szCs w:val="22"/>
          <w:lang w:val="en-US" w:eastAsia="en-GB"/>
        </w:rPr>
        <w:t xml:space="preserve">In BIPV/thermal (BIPV/T) systems heat is extracted from behind the PV panel through a convective air or water flow that can be forced or natural. The behavior of forced air circulation and natural convection were numerically designed for a BIPV installation on a hotel building in southern China </w:t>
      </w:r>
      <w:r w:rsidRPr="00024DFD">
        <w:rPr>
          <w:rFonts w:eastAsia="Times New Roman"/>
          <w:color w:val="auto"/>
          <w:sz w:val="22"/>
          <w:szCs w:val="22"/>
          <w:lang w:val="en-US" w:eastAsia="en-GB"/>
        </w:rPr>
        <w:fldChar w:fldCharType="begin" w:fldLock="1"/>
      </w:r>
      <w:r w:rsidRPr="00024DFD">
        <w:rPr>
          <w:rFonts w:eastAsia="Times New Roman"/>
          <w:color w:val="auto"/>
          <w:sz w:val="22"/>
          <w:szCs w:val="22"/>
          <w:lang w:val="en-US" w:eastAsia="en-GB"/>
        </w:rPr>
        <w:instrText>ADDIN CSL_CITATION { "citationItems" : [ { "id" : "ITEM-1", "itemData" : { "DOI" : "10.1016/S1359-4311(03)00183-2", "ISBN" : "1359-4311", "ISSN" : "13594311", "abstract" : "Effective cooling of a PV panel is able to increase the electricity output of the solar cells. This paper describes a comparative study of three different options in applying large-scale building-integrated PV technology in a coastal city at the South China Sea. The computational model was based on a 260 m 2 mono-crystalline silicon PV wall on a 30-storey hotel building. The numerical analysis was via the ESP-r building energy simulation software. The results showed that the different design options exhibit short-term electrical performance differences, but have similar long-term electricity yields. However, some design options perform much better in reducing the air-conditioning loads of the building. \u00a9 2003 Elsevier Ltd. All rights reserved.", "author" : [ { "dropping-particle" : "", "family" : "Chow", "given" : "T. T.", "non-dropping-particle" : "", "parse-names" : false, "suffix" : "" }, { "dropping-particle" : "", "family" : "Hand", "given" : "J. W.", "non-dropping-particle" : "", "parse-names" : false, "suffix" : "" }, { "dropping-particle" : "", "family" : "Strachan", "given" : "P. A.", "non-dropping-particle" : "", "parse-names" : false, "suffix" : "" } ], "container-title" : "Applied Thermal Engineering", "id" : "ITEM-1", "issue" : "16", "issued" : { "date-parts" : [ [ "2003" ] ] }, "page" : "2035-2049", "title" : "Building-integrated photovoltaic and thermal applications in a subtropical hotel building", "type" : "article", "volume" : "23" }, "uris" : [ "http://www.mendeley.com/documents/?uuid=d3052599-f71d-4594-a197-d905ae3f5315" ] } ], "mendeley" : { "formattedCitation" : "(Chow, Hand, &amp; Strachan, 2003)", "plainTextFormattedCitation" : "(Chow, Hand, &amp; Strachan, 2003)", "previouslyFormattedCitation" : "(Chow, Hand, &amp; Strachan, 2003)" }, "properties" : { "noteIndex" : 0 }, "schema" : "https://github.com/citation-style-language/schema/raw/master/csl-citation.json" }</w:instrText>
      </w:r>
      <w:r w:rsidRPr="00024DFD">
        <w:rPr>
          <w:rFonts w:eastAsia="Times New Roman"/>
          <w:color w:val="auto"/>
          <w:sz w:val="22"/>
          <w:szCs w:val="22"/>
          <w:lang w:val="en-US" w:eastAsia="en-GB"/>
        </w:rPr>
        <w:fldChar w:fldCharType="separate"/>
      </w:r>
      <w:r w:rsidRPr="00024DFD">
        <w:rPr>
          <w:rFonts w:eastAsia="Times New Roman"/>
          <w:noProof/>
          <w:color w:val="auto"/>
          <w:sz w:val="22"/>
          <w:szCs w:val="22"/>
          <w:lang w:val="en-US" w:eastAsia="en-GB"/>
        </w:rPr>
        <w:t>(Chow, Hand, &amp; Strachan, 2003)</w:t>
      </w:r>
      <w:r w:rsidRPr="00024DFD">
        <w:rPr>
          <w:rFonts w:eastAsia="Times New Roman"/>
          <w:color w:val="auto"/>
          <w:sz w:val="22"/>
          <w:szCs w:val="22"/>
          <w:lang w:val="en-US" w:eastAsia="en-GB"/>
        </w:rPr>
        <w:fldChar w:fldCharType="end"/>
      </w:r>
      <w:r w:rsidRPr="00024DFD">
        <w:rPr>
          <w:rFonts w:eastAsia="Times New Roman"/>
          <w:color w:val="auto"/>
          <w:sz w:val="22"/>
          <w:szCs w:val="22"/>
          <w:lang w:val="en-US" w:eastAsia="en-GB"/>
        </w:rPr>
        <w:t xml:space="preserve">. The results confirm that the difference in electricity output between using forced or natural convection was less than 1% annually. It was also shown that natural convection demonstrated better in subtropical climates due to the effectiveness in space heat gain reduction compared to BIPV systems. The application of using fins and a thin metallic sheet midway between the PV and wall can enhance the overall performance and heat </w:t>
      </w:r>
      <w:r w:rsidRPr="00024DFD">
        <w:rPr>
          <w:rFonts w:eastAsia="Times New Roman"/>
          <w:color w:val="auto"/>
          <w:sz w:val="22"/>
          <w:szCs w:val="22"/>
          <w:lang w:val="en-US" w:eastAsia="en-GB"/>
        </w:rPr>
        <w:lastRenderedPageBreak/>
        <w:t xml:space="preserve">transfer from the PV to the air circulating in a photovoltaic/thermal (PV/T) solar collector </w:t>
      </w:r>
      <w:r w:rsidRPr="00024DFD">
        <w:rPr>
          <w:rFonts w:eastAsia="Times New Roman"/>
          <w:color w:val="auto"/>
          <w:sz w:val="22"/>
          <w:szCs w:val="22"/>
          <w:lang w:val="en-US" w:eastAsia="en-GB"/>
        </w:rPr>
        <w:fldChar w:fldCharType="begin" w:fldLock="1"/>
      </w:r>
      <w:r>
        <w:rPr>
          <w:rFonts w:eastAsia="Times New Roman"/>
          <w:color w:val="auto"/>
          <w:sz w:val="22"/>
          <w:szCs w:val="22"/>
          <w:lang w:val="en-US" w:eastAsia="en-GB"/>
        </w:rPr>
        <w:instrText>ADDIN CSL_CITATION { "citationItems" : [ { "id" : "ITEM-1", "itemData" : { "DOI" : "10.1016/j.ijhydene.2006.02.009", "ISBN" : "0960-1481", "ISSN" : "03603199", "abstract" : "The photovoltaic (PV) cells suffer efficiency drop as their operating temperature increases especially under high insolation levels and cooling is beneficial. Air-cooling, either by forced or natural flow, presents a non-expensive and simple method of PV cooling and the solar preheated air could be utilized in built, industrial and agricultural sectors. However, systems with heat extraction by air circulation are limited in their thermal performance due to the low density, the small volumetric heat capacity and the small thermal conductivity of air and measures for heat transfer augmentation is necessary. This paper presents the use of a suspended thin flat metallic sheet at the middle or fins at the back wall of an air duct as heat transfer augmentations in an air-cooled photovoltaic/thermal (PV/T) solar collector to improve its overall performance. The steady-state thermal efficiencies of the modified systems are compared with those of typical PV/T air system. Daily temperature profiles of the outlet air, the PV rear surface and channel back wall are presented confirming the contribution of the modifications in increasing system electrical and thermal outputs. These techniques are anticipated to contribute towards wider applications of PV systems due to the increased overall efficiency. ?? 2006 Elsevier Ltd.", "author" : [ { "dropping-particle" : "", "family" : "Tonui", "given" : "J. K.", "non-dropping-particle" : "", "parse-names" : false, "suffix" : "" }, { "dropping-particle" : "", "family" : "Tripanagnostopoulos", "given" : "Y.", "non-dropping-particle" : "", "parse-names" : false, "suffix" : "" } ], "container-title" : "International Journal of Hydrogen Energy", "id" : "ITEM-1", "issue" : "15", "issued" : { "date-parts" : [ [ "2006" ] ] }, "page" : "2137-2146", "title" : "Improved PV/T solar collectors with heat extraction by forced or natural air circulation", "type" : "article-journal", "volume" : "31" }, "uris" : [ "http://www.mendeley.com/documents/?uuid=8b013aa9-ed35-4c11-a54e-46507cd9de24" ] } ], "mendeley" : { "formattedCitation" : "(Tonui &amp; Tripanagnostopoulos, 2006)", "manualFormatting" : "(Tonui &amp; Tripanagnostopoulos, 2007)", "plainTextFormattedCitation" : "(Tonui &amp; Tripanagnostopoulos, 2006)", "previouslyFormattedCitation" : "(Tonui &amp; Tripanagnostopoulos, 2006)" }, "properties" : { "noteIndex" : 0 }, "schema" : "https://github.com/citation-style-language/schema/raw/master/csl-citation.json" }</w:instrText>
      </w:r>
      <w:r w:rsidRPr="00024DFD">
        <w:rPr>
          <w:rFonts w:eastAsia="Times New Roman"/>
          <w:color w:val="auto"/>
          <w:sz w:val="22"/>
          <w:szCs w:val="22"/>
          <w:lang w:val="en-US" w:eastAsia="en-GB"/>
        </w:rPr>
        <w:fldChar w:fldCharType="separate"/>
      </w:r>
      <w:r w:rsidRPr="00024DFD">
        <w:rPr>
          <w:rFonts w:eastAsia="Times New Roman"/>
          <w:noProof/>
          <w:color w:val="auto"/>
          <w:sz w:val="22"/>
          <w:szCs w:val="22"/>
          <w:lang w:val="en-US" w:eastAsia="en-GB"/>
        </w:rPr>
        <w:t>(Tonui &amp; Tripanagnostopoulos, 200</w:t>
      </w:r>
      <w:r>
        <w:rPr>
          <w:rFonts w:eastAsia="Times New Roman"/>
          <w:noProof/>
          <w:color w:val="auto"/>
          <w:sz w:val="22"/>
          <w:szCs w:val="22"/>
          <w:lang w:val="en-US" w:eastAsia="en-GB"/>
        </w:rPr>
        <w:t>7</w:t>
      </w:r>
      <w:r w:rsidRPr="00024DFD">
        <w:rPr>
          <w:rFonts w:eastAsia="Times New Roman"/>
          <w:noProof/>
          <w:color w:val="auto"/>
          <w:sz w:val="22"/>
          <w:szCs w:val="22"/>
          <w:lang w:val="en-US" w:eastAsia="en-GB"/>
        </w:rPr>
        <w:t>)</w:t>
      </w:r>
      <w:r w:rsidRPr="00024DFD">
        <w:rPr>
          <w:rFonts w:eastAsia="Times New Roman"/>
          <w:color w:val="auto"/>
          <w:sz w:val="22"/>
          <w:szCs w:val="22"/>
          <w:lang w:val="en-US" w:eastAsia="en-GB"/>
        </w:rPr>
        <w:fldChar w:fldCharType="end"/>
      </w:r>
      <w:r w:rsidRPr="00024DFD">
        <w:rPr>
          <w:rFonts w:eastAsia="Times New Roman"/>
          <w:color w:val="auto"/>
          <w:sz w:val="22"/>
          <w:szCs w:val="22"/>
          <w:lang w:val="en-US" w:eastAsia="en-GB"/>
        </w:rPr>
        <w:t xml:space="preserve">. </w:t>
      </w:r>
    </w:p>
    <w:p w14:paraId="05EFEB49" w14:textId="77777777" w:rsidR="00B61C6F" w:rsidRPr="0052023B" w:rsidRDefault="00B61C6F" w:rsidP="00B61C6F">
      <w:pPr>
        <w:pStyle w:val="Default"/>
        <w:spacing w:line="360" w:lineRule="auto"/>
        <w:jc w:val="both"/>
        <w:rPr>
          <w:rFonts w:eastAsia="Times New Roman"/>
          <w:color w:val="auto"/>
          <w:sz w:val="22"/>
          <w:szCs w:val="22"/>
          <w:lang w:val="es-PY" w:eastAsia="en-GB"/>
        </w:rPr>
      </w:pPr>
      <w:r w:rsidRPr="00024DFD">
        <w:rPr>
          <w:rFonts w:eastAsia="Times New Roman"/>
          <w:color w:val="auto"/>
          <w:sz w:val="22"/>
          <w:szCs w:val="22"/>
          <w:lang w:val="en-US" w:eastAsia="en-GB"/>
        </w:rPr>
        <w:t xml:space="preserve">The development of the performance of a photovoltaic water pumping system using spraying the water over the photovoltaic cells was investigated by </w:t>
      </w:r>
      <w:r w:rsidRPr="00024DFD">
        <w:rPr>
          <w:rFonts w:eastAsia="Times New Roman"/>
          <w:color w:val="auto"/>
          <w:sz w:val="22"/>
          <w:szCs w:val="22"/>
          <w:lang w:val="en-US" w:eastAsia="en-GB"/>
        </w:rPr>
        <w:fldChar w:fldCharType="begin" w:fldLock="1"/>
      </w:r>
      <w:r w:rsidRPr="00024DFD">
        <w:rPr>
          <w:rFonts w:eastAsia="Times New Roman"/>
          <w:color w:val="auto"/>
          <w:sz w:val="22"/>
          <w:szCs w:val="22"/>
          <w:lang w:val="en-US" w:eastAsia="en-GB"/>
        </w:rPr>
        <w:instrText>ADDIN CSL_CITATION { "citationItems" : [ { "id" : "ITEM-1", "itemData" : { "DOI" : "10.1016/j.renene.2008.03.024", "ISBN" : "0960-1481", "ISSN" : "09601481", "abstract" : "The photovoltaic cells will exhibit long-term degradation if the temperature exceeds a certain limit. Photovoltaic cells are the heart of photovoltaic water pumping systems. In order to utilize PV power and increase photovoltaic water pumping system efficiency, it is necessary to keep PV cell temperature and cell reflection as low as possible. The purpose of this study is to investigate the possibility of improving the performance of a photovoltaic water pumping system. This is performed by spraying water over the photovoltaic cells. The results are compared with traditional systems. Experimental results show that the cells power is increased due to spraying water over the photovoltaic cells. This can significantly increase the system and subsystem efficiency and the pump flow rate when operating under different heads. Measurements of the short circuit current of the module, which is nearly temperature-independent, indicated that the water spray improved the system optical performance. ?? 2008 Elsevier Ltd. All rights reserved.", "author" : [ { "dropping-particle" : "", "family" : "Abdolzadeh", "given" : "M.", "non-dropping-particle" : "", "parse-names" : false, "suffix" : "" }, { "dropping-particle" : "", "family" : "Ameri", "given" : "M.", "non-dropping-particle" : "", "parse-names" : false, "suffix" : "" } ], "container-title" : "Renewable Energy", "id" : "ITEM-1", "issue" : "1", "issued" : { "date-parts" : [ [ "2009" ] ] }, "page" : "91-96", "title" : "Improving the effectiveness of a photovoltaic water pumping system by spraying water over the front of photovoltaic cells", "type" : "article-journal", "volume" : "34" }, "uris" : [ "http://www.mendeley.com/documents/?uuid=f3300311-9b53-4572-a3ec-601936f3fabe" ] } ], "mendeley" : { "formattedCitation" : "(Abdolzadeh &amp; Ameri, 2009)", "plainTextFormattedCitation" : "(Abdolzadeh &amp; Ameri, 2009)", "previouslyFormattedCitation" : "(Abdolzadeh &amp; Ameri, 2009)" }, "properties" : { "noteIndex" : 0 }, "schema" : "https://github.com/citation-style-language/schema/raw/master/csl-citation.json" }</w:instrText>
      </w:r>
      <w:r w:rsidRPr="00024DFD">
        <w:rPr>
          <w:rFonts w:eastAsia="Times New Roman"/>
          <w:color w:val="auto"/>
          <w:sz w:val="22"/>
          <w:szCs w:val="22"/>
          <w:lang w:val="en-US" w:eastAsia="en-GB"/>
        </w:rPr>
        <w:fldChar w:fldCharType="separate"/>
      </w:r>
      <w:r w:rsidRPr="00024DFD">
        <w:rPr>
          <w:rFonts w:eastAsia="Times New Roman"/>
          <w:noProof/>
          <w:color w:val="auto"/>
          <w:sz w:val="22"/>
          <w:szCs w:val="22"/>
          <w:lang w:val="en-US" w:eastAsia="en-GB"/>
        </w:rPr>
        <w:t>(Abdolzadeh &amp; Ameri, 2009)</w:t>
      </w:r>
      <w:r w:rsidRPr="00024DFD">
        <w:rPr>
          <w:rFonts w:eastAsia="Times New Roman"/>
          <w:color w:val="auto"/>
          <w:sz w:val="22"/>
          <w:szCs w:val="22"/>
          <w:lang w:val="en-US" w:eastAsia="en-GB"/>
        </w:rPr>
        <w:fldChar w:fldCharType="end"/>
      </w:r>
      <w:r w:rsidRPr="00024DFD">
        <w:rPr>
          <w:rFonts w:eastAsia="Times New Roman"/>
          <w:color w:val="auto"/>
          <w:sz w:val="22"/>
          <w:szCs w:val="22"/>
          <w:lang w:val="en-US" w:eastAsia="en-GB"/>
        </w:rPr>
        <w:t xml:space="preserve">. This was achieved by flowing water to the front or back surface of a PV in order to remove the heat from the system. It was found that the temperature of the PV was reduced by 23% when water was sprayed over the front surface of the PV, while giving an increase in the mean PV cell efficiency of 3.26% </w:t>
      </w:r>
      <w:r w:rsidRPr="00024DFD">
        <w:rPr>
          <w:rFonts w:eastAsia="Times New Roman"/>
          <w:color w:val="auto"/>
          <w:sz w:val="22"/>
          <w:szCs w:val="22"/>
          <w:lang w:val="en-US" w:eastAsia="en-GB"/>
        </w:rPr>
        <w:fldChar w:fldCharType="begin" w:fldLock="1"/>
      </w:r>
      <w:r w:rsidRPr="00024DFD">
        <w:rPr>
          <w:rFonts w:eastAsia="Times New Roman"/>
          <w:color w:val="auto"/>
          <w:sz w:val="22"/>
          <w:szCs w:val="22"/>
          <w:lang w:val="en-US" w:eastAsia="en-GB"/>
        </w:rPr>
        <w:instrText>ADDIN CSL_CITATION { "citationItems" : [ { "id" : "ITEM-1", "itemData" : { "DOI" : "10.1016/j.renene.2008.03.024", "ISBN" : "0960-1481", "ISSN" : "09601481", "abstract" : "The photovoltaic cells will exhibit long-term degradation if the temperature exceeds a certain limit. Photovoltaic cells are the heart of photovoltaic water pumping systems. In order to utilize PV power and increase photovoltaic water pumping system efficiency, it is necessary to keep PV cell temperature and cell reflection as low as possible. The purpose of this study is to investigate the possibility of improving the performance of a photovoltaic water pumping system. This is performed by spraying water over the photovoltaic cells. The results are compared with t</w:instrText>
      </w:r>
      <w:r w:rsidRPr="00053050">
        <w:rPr>
          <w:rFonts w:eastAsia="Times New Roman"/>
          <w:color w:val="auto"/>
          <w:sz w:val="22"/>
          <w:szCs w:val="22"/>
          <w:lang w:val="es-PY" w:eastAsia="en-GB"/>
        </w:rPr>
        <w:instrText>raditional systems. Experimental results show that the cells power is increased due to spraying water over the photovoltaic cells. This can significantly increase the system and subsystem efficiency and the pump flow rate when operating under different heads. Measurements of the short circuit current of the module, which is nearly temperature-independent, indicated that the water spray improved the system optical performance. ?? 2008 Elsevier Ltd. All rights reserved.", "author" : [ { "dropping-particle" : "", "family" : "Abdolzadeh", "given" : "M.", "non-dropping-</w:instrText>
      </w:r>
      <w:r w:rsidRPr="0052023B">
        <w:rPr>
          <w:rFonts w:eastAsia="Times New Roman"/>
          <w:color w:val="auto"/>
          <w:sz w:val="22"/>
          <w:szCs w:val="22"/>
          <w:lang w:val="es-PY" w:eastAsia="en-GB"/>
        </w:rPr>
        <w:instrText>particle" : "", "parse-names" : false, "suffix" : "" }, { "dropping-particle" : "", "family" : "Ameri", "given" : "M.", "non-dropping-particle" : "", "parse-names" : false, "suffix" : "" } ], "container-title" : "Renewable Energy", "id" : "ITEM-1", "issue" : "1", "issued" : { "date-parts" : [ [ "2009" ] ] }, "page" : "91-96", "title" : "Improving the effectiveness of a photovoltaic water pumping system by spraying water over the front of photovoltaic cells", "type" : "article-journal", "volume" : "34" }, "uris" : [ "http://www.mendeley.com/documents/?uuid=f3300311-9b53-4572-a3ec-601936f3fabe" ] } ], "mendeley" : { "formattedCitation" : "(Abdolzadeh &amp; Ameri, 2009)", "plainTextFormattedCitation" : "(Abdolzadeh &amp; Ameri, 2009)", "previouslyFormattedCitation" : "(Abdolzadeh &amp; Ameri, 2009)" }, "properties" : { "noteIndex" : 0 }, "schema" : "https://github.com/citation-style-language/schema/raw/master/csl-citation.json" }</w:instrText>
      </w:r>
      <w:r w:rsidRPr="00024DFD">
        <w:rPr>
          <w:rFonts w:eastAsia="Times New Roman"/>
          <w:color w:val="auto"/>
          <w:sz w:val="22"/>
          <w:szCs w:val="22"/>
          <w:lang w:val="en-US" w:eastAsia="en-GB"/>
        </w:rPr>
        <w:fldChar w:fldCharType="separate"/>
      </w:r>
      <w:r w:rsidRPr="0052023B">
        <w:rPr>
          <w:rFonts w:eastAsia="Times New Roman"/>
          <w:noProof/>
          <w:color w:val="auto"/>
          <w:sz w:val="22"/>
          <w:szCs w:val="22"/>
          <w:lang w:val="es-PY" w:eastAsia="en-GB"/>
        </w:rPr>
        <w:t>(Abdolzadeh &amp; Ameri, 2009)</w:t>
      </w:r>
      <w:r w:rsidRPr="00024DFD">
        <w:rPr>
          <w:rFonts w:eastAsia="Times New Roman"/>
          <w:color w:val="auto"/>
          <w:sz w:val="22"/>
          <w:szCs w:val="22"/>
          <w:lang w:val="en-US" w:eastAsia="en-GB"/>
        </w:rPr>
        <w:fldChar w:fldCharType="end"/>
      </w:r>
      <w:r w:rsidRPr="0052023B">
        <w:rPr>
          <w:rFonts w:eastAsia="Times New Roman"/>
          <w:color w:val="auto"/>
          <w:sz w:val="22"/>
          <w:szCs w:val="22"/>
          <w:lang w:val="es-PY" w:eastAsia="en-GB"/>
        </w:rPr>
        <w:t>.</w:t>
      </w:r>
    </w:p>
    <w:p w14:paraId="6021FE59" w14:textId="77777777" w:rsidR="00B61C6F" w:rsidRDefault="00B61C6F" w:rsidP="00B61C6F">
      <w:pPr>
        <w:spacing w:after="200" w:line="360" w:lineRule="auto"/>
        <w:jc w:val="both"/>
        <w:rPr>
          <w:rFonts w:ascii="Times New Roman" w:hAnsi="Times New Roman"/>
          <w:lang w:val="en-US"/>
        </w:rPr>
      </w:pPr>
      <w:r w:rsidRPr="0052023B">
        <w:rPr>
          <w:rFonts w:ascii="Times New Roman" w:hAnsi="Times New Roman"/>
          <w:lang w:val="es-PY"/>
        </w:rPr>
        <w:t>Zondag et al.</w:t>
      </w:r>
      <w:r w:rsidRPr="00024DFD">
        <w:rPr>
          <w:rFonts w:ascii="Times New Roman" w:hAnsi="Times New Roman"/>
          <w:lang w:val="en-US"/>
        </w:rPr>
        <w:fldChar w:fldCharType="begin" w:fldLock="1"/>
      </w:r>
      <w:r w:rsidRPr="0052023B">
        <w:rPr>
          <w:rFonts w:ascii="Times New Roman" w:hAnsi="Times New Roman"/>
          <w:lang w:val="es-PY"/>
        </w:rPr>
        <w:instrText>ADDIN CSL_CITATION { "citationItems" : [ { "id" : "ITEM-1", "itemData" : { "DOI" : "10.1016/S0038-092X(03)00121-X", "ISBN" : "3122456494", "ISSN" : "0038092X", "abstract" : "Various concepts of combined PV-thermal collectors are possible. These concepts differ in their approach to obtain the maximum yield and it is not easy to say whether the yield of a complicated design will be substantially higher than the yield of a simpler one. In order to obtain a clearer view on the expected yield of the various concepts, nine different designs were evaluated. The channel-below-transparent-PV design gives the best efficiency, but since the annual efficiency of the PV-on-sheet-and-tube design in a solar heating system was only 2% worse while it is easier to manufacture, this design was considered to be a good alternative. \u00a9 2003 Elsevier Ltd. All rights reserved.", "author" : [ { "dropping-particle" : "", "family" : "Zondag", "given" : "H. A.", "non-dropping-particle" : "", "parse-names" : false, "suffix" : "" }, { "dropping-particle" : "", "family" : "Vries", "given" : "D. W.", "non-dropping-particle" : "de", "parse-names" : false, "suffix" : "" }, { "dropping-particle" : "", "family" : "Helden", "given" : "W. G.J.", "non-dropping-particle" : "van", "parse-names" : false, "suffix" : "" }, { "dropping-particle" : "", "family" : "Zolingen", "given" : "R. J.C.", "non-dropping-particle" : "van", "parse-names" : false, "suffix" : "" }, { "dropping-particle" : "", "family" : "Steenhoven", "given" : "A. A.", "non-dropping-particle" : "van", "parse-names" : false, "suffix" : "" } ], "container-title" : "Solar Energy", "id" : "ITEM-1", "issue" : "3", "issued" : { "date-parts" : [ [ "2003" ] ] }, "page" : "253-269", "title" : "The yield of different combined PV-thermal collector designs", "type" : "article-journal", "volume" : "74" }, "uris" : [ "http://www.mendeley.com/documents/?uuid=fc534eca-ab20-4836-b9a7-6448af2d2c49" ] } ], "mendeley" : { "formattedCitation" : "(Zondag, de Vries, van Helden, van Zolingen, &amp; van Steenhoven, 2003)", "plainTextFormattedCitation" : "(Zondag, de Vries, van Helden, van Zolingen, &amp; van Steenhoven, 2003)", "previouslyFormattedCitation" : "(Zondag, de Vries, van Helden, van Zolingen, &amp; van Steenhoven, 2003)" }, "properties" : { "noteIndex" : 0 }, "schema" : "https://github.com/citation-style-language/schema/raw/master/csl-citation.json" }</w:instrText>
      </w:r>
      <w:r w:rsidRPr="00024DFD">
        <w:rPr>
          <w:rFonts w:ascii="Times New Roman" w:hAnsi="Times New Roman"/>
          <w:lang w:val="en-US"/>
        </w:rPr>
        <w:fldChar w:fldCharType="separate"/>
      </w:r>
      <w:r w:rsidRPr="0052023B">
        <w:rPr>
          <w:rFonts w:ascii="Times New Roman" w:hAnsi="Times New Roman"/>
          <w:noProof/>
          <w:lang w:val="es-PY"/>
        </w:rPr>
        <w:t>(Zondag, de Vries, van Helden, van Zolingen, &amp; van Steenhoven, 2003)</w:t>
      </w:r>
      <w:r w:rsidRPr="00024DFD">
        <w:rPr>
          <w:rFonts w:ascii="Times New Roman" w:hAnsi="Times New Roman"/>
          <w:lang w:val="en-US"/>
        </w:rPr>
        <w:fldChar w:fldCharType="end"/>
      </w:r>
      <w:r w:rsidRPr="0052023B">
        <w:rPr>
          <w:rFonts w:ascii="Times New Roman" w:hAnsi="Times New Roman"/>
          <w:lang w:val="es-PY"/>
        </w:rPr>
        <w:t xml:space="preserve"> studied the performance of four groups of PV/T systems of nine different designs; (a) sheet-and-tube PVT collectors, (b) channel PV/T collectors (c) free flow PV/T collectors and (d) two absorber PV/T-collectors. </w:t>
      </w:r>
      <w:r w:rsidRPr="00024DFD">
        <w:rPr>
          <w:rFonts w:ascii="Times New Roman" w:hAnsi="Times New Roman"/>
          <w:lang w:val="en-US"/>
        </w:rPr>
        <w:t xml:space="preserve">The comparison of the thermal and electrical efficiencies is presented in addition to the yearly yield of hot water. It was found that a sheet-and-tube PV/T collectors design was the best option due to the feasibility of manufacturing process. However, it was not the most efficient when compared to the other systems. Wu et al. </w:t>
      </w:r>
      <w:r w:rsidRPr="00024DFD">
        <w:rPr>
          <w:rFonts w:ascii="Times New Roman" w:hAnsi="Times New Roman"/>
          <w:lang w:val="en-US"/>
        </w:rPr>
        <w:fldChar w:fldCharType="begin" w:fldLock="1"/>
      </w:r>
      <w:r>
        <w:rPr>
          <w:rFonts w:ascii="Times New Roman" w:hAnsi="Times New Roman"/>
          <w:lang w:val="en-US"/>
        </w:rPr>
        <w:instrText>ADDIN CSL_CITATION { "citationItems" : [ { "id" : "ITEM-1", "itemData" : { "DOI" : "10.1016/j.enbuild.2011.09.017", "ISSN" : "03787788", "author" : [ { "dropping-particle" : "", "family" : "Wu", "given" : "Shuang-Ying", "non-dropping-particle" : "", "parse-names" : false, "suffix" : "" }, { "dropping-particle" : "", "family" : "Zhang", "given" : "Qiao-Ling", "non-dropping-particle" : "", "parse-names" : false, "suffix" : "" }, { "dropping-particle" : "", "family" : "Xiao", "given" : "Lan", "non-dropping-particle" : "", "parse-names" : false, "suffix" : "" }, { "dropping-particle" : "", "family" : "Guo", "given" : "Feng-Hua", "non-dropping-particle" : "", "parse-names" : false, "suffix" : "" } ], "container-title" : "Energy and Buildings", "id" : "ITEM-1", "issue" : "12", "issued" : { "date-parts" : [ [ "2011", "12" ] ] }, "page" : "3558-3567", "title" : "A heat pipe photovoltaic/thermal (PV/T) hybrid system and its performance evaluation", "type" : "article-journal", "volume" : "43" }, "uris" : [ "http://www.mendeley.com/documents/?uuid=ad18975b-bba1-43f9-b910-72ab59a307b9" ] } ], "mendeley" : { "formattedCitation" : "(Wu, Zhang, Xiao, &amp; Guo, 2011)", "plainTextFormattedCitation" : "(Wu, Zhang, Xiao, &amp; Guo, 2011)", "previouslyFormattedCitation" : "(Wu, Zhang, Xiao, &amp; Guo, 2011)" }, "properties" : { "noteIndex" : 0 }, "schema" : "https://github.com/citation-style-language/schema/raw/master/csl-citation.json" }</w:instrText>
      </w:r>
      <w:r w:rsidRPr="00024DFD">
        <w:rPr>
          <w:rFonts w:ascii="Times New Roman" w:hAnsi="Times New Roman"/>
          <w:lang w:val="en-US"/>
        </w:rPr>
        <w:fldChar w:fldCharType="separate"/>
      </w:r>
      <w:r w:rsidRPr="00024DFD">
        <w:rPr>
          <w:rFonts w:ascii="Times New Roman" w:hAnsi="Times New Roman"/>
          <w:noProof/>
          <w:lang w:val="en-US"/>
        </w:rPr>
        <w:t>(Wu, Zhang, Xiao, &amp; Guo, 2011)</w:t>
      </w:r>
      <w:r w:rsidRPr="00024DFD">
        <w:rPr>
          <w:rFonts w:ascii="Times New Roman" w:hAnsi="Times New Roman"/>
          <w:lang w:val="en-US"/>
        </w:rPr>
        <w:fldChar w:fldCharType="end"/>
      </w:r>
      <w:r w:rsidRPr="00024DFD">
        <w:rPr>
          <w:rFonts w:ascii="Times New Roman" w:hAnsi="Times New Roman"/>
          <w:lang w:val="en-US"/>
        </w:rPr>
        <w:t>, modelling a PV/T system using water as the transfer fluid, found that the thermal and electrical efficiencies could reach</w:t>
      </w:r>
      <w:r>
        <w:rPr>
          <w:rFonts w:ascii="Times New Roman" w:hAnsi="Times New Roman"/>
          <w:lang w:val="en-US"/>
        </w:rPr>
        <w:t xml:space="preserve"> 63.65% and 8.45% respectively.</w:t>
      </w:r>
    </w:p>
    <w:p w14:paraId="13278A54" w14:textId="77777777" w:rsidR="00B61C6F" w:rsidRPr="00822C70" w:rsidRDefault="00B61C6F" w:rsidP="00B61C6F">
      <w:pPr>
        <w:spacing w:after="200" w:line="360" w:lineRule="auto"/>
        <w:ind w:firstLine="720"/>
        <w:jc w:val="both"/>
        <w:rPr>
          <w:lang w:val="en-US"/>
        </w:rPr>
      </w:pPr>
      <w:r w:rsidRPr="009A3E14">
        <w:rPr>
          <w:rFonts w:ascii="Times New Roman" w:hAnsi="Times New Roman"/>
          <w:lang w:val="en-US"/>
        </w:rPr>
        <w:t>2.</w:t>
      </w:r>
      <w:r>
        <w:rPr>
          <w:rFonts w:ascii="Times New Roman" w:hAnsi="Times New Roman"/>
          <w:lang w:val="en-US"/>
        </w:rPr>
        <w:t>2.6</w:t>
      </w:r>
      <w:r w:rsidRPr="009A3E14">
        <w:rPr>
          <w:rFonts w:ascii="Times New Roman" w:hAnsi="Times New Roman"/>
          <w:lang w:val="en-US"/>
        </w:rPr>
        <w:tab/>
        <w:t>Use of Thermochemical energy storage</w:t>
      </w:r>
    </w:p>
    <w:p w14:paraId="6EF284DD" w14:textId="77777777" w:rsidR="00B61C6F" w:rsidRDefault="00B61C6F" w:rsidP="00B61C6F">
      <w:pPr>
        <w:spacing w:after="200" w:line="360" w:lineRule="auto"/>
        <w:jc w:val="both"/>
        <w:rPr>
          <w:lang w:val="en-US"/>
        </w:rPr>
      </w:pPr>
      <w:r w:rsidRPr="009A3E14">
        <w:rPr>
          <w:rFonts w:ascii="Times New Roman" w:hAnsi="Times New Roman"/>
          <w:lang w:val="en-US"/>
        </w:rPr>
        <w:t>Thermochemical energy storage is not usually used along with PV systems but rather with concentrated solar power (CSP) plants. CSP plants are generally coupled with conventional fuels and utilize thermal energy storage (TES) to overcome the intermittency of solar energy.  Different from sensible or latent heat storages, thermochemical TES technology is based on reversible chemical reactions, which are characterized by a change in the molecular configuration of the reactants (combination or decomposition). Solar heat is used to drive an endothermic chemical reaction, and then stored in the form of chemical potential. During the discharge, the stored heat can be recovered by the reversed exothermic reaction, sometimes by adding a catalyst</w:t>
      </w:r>
      <w:r>
        <w:rPr>
          <w:rFonts w:ascii="Times New Roman" w:hAnsi="Times New Roman"/>
          <w:lang w:val="en-US"/>
        </w:rPr>
        <w:t>, Pelay et al, 2017</w:t>
      </w:r>
      <w:r w:rsidRPr="009A3E14">
        <w:rPr>
          <w:rFonts w:ascii="Times New Roman" w:hAnsi="Times New Roman"/>
          <w:lang w:val="en-US"/>
        </w:rPr>
        <w:t xml:space="preserve">. </w:t>
      </w:r>
    </w:p>
    <w:p w14:paraId="68E01602" w14:textId="77777777" w:rsidR="00B61C6F" w:rsidRDefault="00B61C6F" w:rsidP="00B61C6F">
      <w:pPr>
        <w:spacing w:after="200" w:line="360" w:lineRule="auto"/>
        <w:jc w:val="both"/>
        <w:rPr>
          <w:rFonts w:ascii="AdvOT987ad488" w:hAnsi="AdvOT987ad488"/>
          <w:lang w:val="en-US"/>
        </w:rPr>
      </w:pPr>
      <w:r w:rsidRPr="009A3E14">
        <w:rPr>
          <w:rFonts w:ascii="AdvOT987ad488" w:hAnsi="AdvOT987ad488"/>
          <w:lang w:val="en-US"/>
        </w:rPr>
        <w:t xml:space="preserve">The advantages of thermochemical storage rely on their high energy density (up to 10 times </w:t>
      </w:r>
      <w:r>
        <w:rPr>
          <w:rFonts w:ascii="AdvOT987ad488" w:hAnsi="AdvOT987ad488"/>
          <w:lang w:val="en-US"/>
        </w:rPr>
        <w:t xml:space="preserve">greater than latent storage </w:t>
      </w:r>
      <w:r w:rsidRPr="009A3E14">
        <w:rPr>
          <w:rFonts w:ascii="AdvOT987ad488" w:hAnsi="AdvOT987ad488"/>
          <w:lang w:val="en-US"/>
        </w:rPr>
        <w:t>and the inde</w:t>
      </w:r>
      <w:r w:rsidRPr="009A3E14">
        <w:rPr>
          <w:rFonts w:ascii="AdvOT987ad488+fb" w:hAnsi="AdvOT987ad488+fb"/>
          <w:lang w:val="en-US"/>
        </w:rPr>
        <w:t>fi</w:t>
      </w:r>
      <w:r w:rsidRPr="009A3E14">
        <w:rPr>
          <w:rFonts w:ascii="AdvOT987ad488" w:hAnsi="AdvOT987ad488"/>
          <w:lang w:val="en-US"/>
        </w:rPr>
        <w:t>nitely long storage duration at ambient temperature. As a result, it is a very attractive option and fairly economic competitive Metallic hydrides, carbonates system, hydroxides system, redox system, ammonia system and organic system can be used for thermo- chemical heat storage at medium or high temperatures (300</w:t>
      </w:r>
      <w:r w:rsidRPr="009A3E14">
        <w:rPr>
          <w:rFonts w:ascii="AdvOT987ad488+20" w:hAnsi="AdvOT987ad488+20" w:hint="eastAsia"/>
          <w:lang w:val="en-US"/>
        </w:rPr>
        <w:t>–</w:t>
      </w:r>
      <w:r w:rsidRPr="009A3E14">
        <w:rPr>
          <w:rFonts w:ascii="AdvOT987ad488" w:hAnsi="AdvOT987ad488"/>
          <w:lang w:val="en-US"/>
        </w:rPr>
        <w:t xml:space="preserve">1000 </w:t>
      </w:r>
      <w:r w:rsidRPr="009A3E14">
        <w:rPr>
          <w:rFonts w:ascii="AdvOT987ad488" w:hAnsi="AdvOT987ad488" w:hint="eastAsia"/>
          <w:lang w:val="en-US"/>
        </w:rPr>
        <w:t>°</w:t>
      </w:r>
      <w:r w:rsidRPr="009A3E14">
        <w:rPr>
          <w:rFonts w:ascii="AdvOT987ad488" w:hAnsi="AdvOT987ad488"/>
          <w:lang w:val="en-US"/>
        </w:rPr>
        <w:t>C)</w:t>
      </w:r>
      <w:r>
        <w:rPr>
          <w:rFonts w:ascii="AdvOT987ad488" w:hAnsi="AdvOT987ad488"/>
          <w:lang w:val="en-US"/>
        </w:rPr>
        <w:t xml:space="preserve">, Pardo et al., 2014. </w:t>
      </w:r>
      <w:r w:rsidRPr="00F311C7">
        <w:rPr>
          <w:rFonts w:ascii="AdvOT987ad488" w:hAnsi="AdvOT987ad488"/>
          <w:lang w:val="en-US"/>
        </w:rPr>
        <w:t xml:space="preserve"> </w:t>
      </w:r>
    </w:p>
    <w:p w14:paraId="77B93100" w14:textId="77777777" w:rsidR="00B61C6F" w:rsidRPr="00F311C7" w:rsidRDefault="00B61C6F" w:rsidP="00B61C6F">
      <w:pPr>
        <w:spacing w:after="200" w:line="360" w:lineRule="auto"/>
        <w:jc w:val="both"/>
        <w:rPr>
          <w:rFonts w:ascii="Times New Roman" w:hAnsi="Times New Roman"/>
          <w:lang w:val="en-US"/>
        </w:rPr>
      </w:pPr>
      <w:r w:rsidRPr="00F311C7">
        <w:rPr>
          <w:rFonts w:ascii="Times New Roman" w:hAnsi="Times New Roman"/>
          <w:lang w:val="en-US"/>
        </w:rPr>
        <w:lastRenderedPageBreak/>
        <w:t>Beyond choosing the suitable TES technology for CSP application, the TES system must be coupled in a proper way with the power generating cycle (e.g., Rankine cycle). Pertinent concepts that integrate TES system and the power generating cycle remain as one of the key issues for the actual application of TES technology</w:t>
      </w:r>
      <w:r>
        <w:rPr>
          <w:rFonts w:ascii="Times New Roman" w:hAnsi="Times New Roman"/>
          <w:lang w:val="en-US"/>
        </w:rPr>
        <w:t>, Pelay et al., 2017</w:t>
      </w:r>
      <w:r w:rsidRPr="00F311C7">
        <w:rPr>
          <w:rFonts w:ascii="Times New Roman" w:hAnsi="Times New Roman"/>
          <w:lang w:val="en-US"/>
        </w:rPr>
        <w:t xml:space="preserve">. </w:t>
      </w:r>
    </w:p>
    <w:p w14:paraId="1699CAE2" w14:textId="77777777" w:rsidR="00B61C6F" w:rsidRPr="00274CDB" w:rsidRDefault="00B61C6F" w:rsidP="00B61C6F">
      <w:pPr>
        <w:spacing w:after="200" w:line="360" w:lineRule="auto"/>
        <w:jc w:val="both"/>
        <w:rPr>
          <w:rFonts w:ascii="AdvOT987ad488" w:hAnsi="AdvOT987ad488"/>
          <w:lang w:val="en-US"/>
        </w:rPr>
      </w:pPr>
      <w:r w:rsidRPr="00F311C7">
        <w:rPr>
          <w:rFonts w:ascii="AdvOT987ad488" w:hAnsi="AdvOT987ad488"/>
          <w:lang w:val="en-US"/>
        </w:rPr>
        <w:t xml:space="preserve"> </w:t>
      </w:r>
    </w:p>
    <w:p w14:paraId="2508F993" w14:textId="77777777" w:rsidR="00B61C6F" w:rsidRPr="00274CDB" w:rsidRDefault="00B61C6F" w:rsidP="00B61C6F">
      <w:pPr>
        <w:spacing w:after="200" w:line="360" w:lineRule="auto"/>
        <w:jc w:val="both"/>
        <w:rPr>
          <w:rFonts w:ascii="Times New Roman" w:hAnsi="Times New Roman"/>
          <w:lang w:val="en-US"/>
        </w:rPr>
      </w:pPr>
    </w:p>
    <w:p w14:paraId="645B3C17" w14:textId="77777777" w:rsidR="00B61C6F" w:rsidRDefault="00B61C6F" w:rsidP="00B61C6F">
      <w:pPr>
        <w:pStyle w:val="Heading1"/>
        <w:rPr>
          <w:rFonts w:ascii="Times New Roman" w:hAnsi="Times New Roman"/>
          <w:bCs w:val="0"/>
          <w:color w:val="auto"/>
          <w:sz w:val="24"/>
          <w:szCs w:val="24"/>
          <w:lang w:val="en-US"/>
        </w:rPr>
      </w:pPr>
      <w:r w:rsidRPr="00E46AB6">
        <w:rPr>
          <w:rFonts w:ascii="Times New Roman" w:hAnsi="Times New Roman"/>
          <w:bCs w:val="0"/>
          <w:color w:val="auto"/>
          <w:sz w:val="24"/>
          <w:szCs w:val="24"/>
          <w:lang w:val="en-US"/>
        </w:rPr>
        <w:t>Integration of PV- Energy Storage in buildings</w:t>
      </w:r>
    </w:p>
    <w:p w14:paraId="1B1D2755" w14:textId="77777777" w:rsidR="00B61C6F" w:rsidRPr="00E46AB6" w:rsidRDefault="00B61C6F" w:rsidP="00B61C6F">
      <w:pPr>
        <w:rPr>
          <w:lang w:val="en-US" w:eastAsia="en-GB"/>
        </w:rPr>
      </w:pPr>
    </w:p>
    <w:p w14:paraId="487AADB6" w14:textId="77777777" w:rsidR="00B61C6F" w:rsidRPr="00E46AB6" w:rsidRDefault="00B61C6F" w:rsidP="00B61C6F">
      <w:pPr>
        <w:spacing w:line="360" w:lineRule="auto"/>
        <w:jc w:val="both"/>
        <w:rPr>
          <w:rFonts w:ascii="Times New Roman" w:hAnsi="Times New Roman"/>
          <w:lang w:val="en-US"/>
        </w:rPr>
      </w:pPr>
      <w:r w:rsidRPr="00E46AB6">
        <w:rPr>
          <w:rFonts w:ascii="Times New Roman" w:hAnsi="Times New Roman"/>
          <w:lang w:val="en-US"/>
        </w:rPr>
        <w:t xml:space="preserve">The solar thermal energy stored in the PCM in the BIPV can provide a heating source for the Heat Pump (HP) to provide high temperature heat for domestic heat supply. Underfloor heating is an efficient and economical method for home heating compared which can use the low temperature heat supply from HPs. Research on using heat pump with integrated phase change materials layer for underfloor heating has shown that this can save operating cost and improve the thermal comfort (Huang and Hewitt, 2015). A research of collecting low temperature heat from BIPV-PCM for HP evaporator heat supply and then providing high temperature heat for domestic heat supply is carried out by </w:t>
      </w:r>
      <w:r>
        <w:rPr>
          <w:rFonts w:ascii="Times New Roman" w:hAnsi="Times New Roman"/>
          <w:lang w:val="en-US"/>
        </w:rPr>
        <w:t>(</w:t>
      </w:r>
      <w:r w:rsidRPr="00E46AB6">
        <w:rPr>
          <w:rFonts w:ascii="Times New Roman" w:hAnsi="Times New Roman"/>
          <w:lang w:val="en-US"/>
        </w:rPr>
        <w:t>Huang</w:t>
      </w:r>
      <w:r>
        <w:rPr>
          <w:rFonts w:ascii="Times New Roman" w:hAnsi="Times New Roman"/>
          <w:lang w:val="en-US"/>
        </w:rPr>
        <w:t>,.2016)</w:t>
      </w:r>
      <w:r w:rsidRPr="00E46AB6">
        <w:rPr>
          <w:rFonts w:ascii="Times New Roman" w:hAnsi="Times New Roman"/>
          <w:lang w:val="en-US"/>
        </w:rPr>
        <w:t xml:space="preserve">. The supplied heat by HP is used for PCM layered underfloor heating system.  </w:t>
      </w:r>
      <w:r>
        <w:rPr>
          <w:rFonts w:ascii="Times New Roman" w:hAnsi="Times New Roman"/>
          <w:lang w:val="en-US"/>
        </w:rPr>
        <w:t>The schematic diagram in Fig.</w:t>
      </w:r>
      <w:r w:rsidRPr="00E46AB6">
        <w:rPr>
          <w:rFonts w:ascii="Times New Roman" w:hAnsi="Times New Roman"/>
          <w:lang w:val="en-US"/>
        </w:rPr>
        <w:t xml:space="preserve"> 3</w:t>
      </w:r>
      <w:r>
        <w:rPr>
          <w:rFonts w:ascii="Times New Roman" w:hAnsi="Times New Roman"/>
          <w:lang w:val="en-US"/>
        </w:rPr>
        <w:t>3</w:t>
      </w:r>
      <w:r w:rsidRPr="00E46AB6">
        <w:rPr>
          <w:rFonts w:ascii="Times New Roman" w:hAnsi="Times New Roman"/>
          <w:lang w:val="en-US"/>
        </w:rPr>
        <w:t xml:space="preserve"> shows the process of extracting solar heat from BIPV-PCM through the cycling cupper pipes and used for underfloor heating system (Huang, 2016). HP can extract the low temperature solar thermal energy stored in the BIPV-PCM system and provide high temperature hot water for underfloor heating system in the residential buildings. PCMs incorporated into solar energy thermal storage or underfloor heating system in buildings may be suitable for absorbing solar energy directly or store the heat from HP during off peak time.  One of the main barriers for this application is how to improve the low thermal conductivity of the PCM in order to achieve a quick thermal response with longer thermal store performance in the buildings. Therefore</w:t>
      </w:r>
      <w:r>
        <w:rPr>
          <w:rFonts w:ascii="Times New Roman" w:hAnsi="Times New Roman"/>
          <w:lang w:val="en-US"/>
        </w:rPr>
        <w:t>,</w:t>
      </w:r>
      <w:r w:rsidRPr="00E46AB6">
        <w:rPr>
          <w:rFonts w:ascii="Times New Roman" w:hAnsi="Times New Roman"/>
          <w:lang w:val="en-US"/>
        </w:rPr>
        <w:t xml:space="preserve"> a comprehensive system has been investigated to use PCMs for solar energy storage in the domestic buildings (Huang, 2016).</w:t>
      </w:r>
    </w:p>
    <w:p w14:paraId="2567040C" w14:textId="77777777" w:rsidR="00B61C6F" w:rsidRPr="00CD7876" w:rsidRDefault="00B61C6F" w:rsidP="00B61C6F">
      <w:pPr>
        <w:jc w:val="center"/>
        <w:rPr>
          <w:rFonts w:ascii="Times New Roman" w:eastAsia="Times New Roman" w:hAnsi="Times New Roman"/>
          <w:lang w:eastAsia="en-GB"/>
        </w:rPr>
      </w:pPr>
      <w:r w:rsidRPr="00CD7876">
        <w:rPr>
          <w:rFonts w:ascii="Times New Roman" w:eastAsia="Times New Roman" w:hAnsi="Times New Roman"/>
          <w:noProof/>
          <w:lang w:val="es-PY" w:eastAsia="es-PY"/>
        </w:rPr>
        <w:lastRenderedPageBreak/>
        <w:drawing>
          <wp:inline distT="0" distB="0" distL="0" distR="0" wp14:anchorId="6CDD772E" wp14:editId="07321833">
            <wp:extent cx="4218185" cy="2855343"/>
            <wp:effectExtent l="0" t="0" r="0" b="2540"/>
            <wp:docPr id="38" name="Picture 3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8" cstate="print">
                      <a:extLst>
                        <a:ext uri="{28A0092B-C50C-407E-A947-70E740481C1C}">
                          <a14:useLocalDpi xmlns:a14="http://schemas.microsoft.com/office/drawing/2010/main" val="0"/>
                        </a:ext>
                      </a:extLst>
                    </a:blip>
                    <a:srcRect t="11208"/>
                    <a:stretch/>
                  </pic:blipFill>
                  <pic:spPr bwMode="auto">
                    <a:xfrm>
                      <a:off x="0" y="0"/>
                      <a:ext cx="4225847" cy="2860530"/>
                    </a:xfrm>
                    <a:prstGeom prst="rect">
                      <a:avLst/>
                    </a:prstGeom>
                    <a:noFill/>
                    <a:ln>
                      <a:noFill/>
                    </a:ln>
                    <a:extLst>
                      <a:ext uri="{53640926-AAD7-44D8-BBD7-CCE9431645EC}">
                        <a14:shadowObscured xmlns:a14="http://schemas.microsoft.com/office/drawing/2010/main"/>
                      </a:ext>
                    </a:extLst>
                  </pic:spPr>
                </pic:pic>
              </a:graphicData>
            </a:graphic>
          </wp:inline>
        </w:drawing>
      </w:r>
    </w:p>
    <w:p w14:paraId="7C130D88" w14:textId="77777777" w:rsidR="00B61C6F" w:rsidRPr="00E46AB6" w:rsidRDefault="00B61C6F" w:rsidP="00B61C6F">
      <w:pPr>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 33.</w:t>
      </w:r>
      <w:r w:rsidRPr="00E46AB6">
        <w:rPr>
          <w:rFonts w:ascii="Times New Roman" w:eastAsia="Times New Roman" w:hAnsi="Times New Roman"/>
          <w:sz w:val="20"/>
          <w:szCs w:val="20"/>
          <w:lang w:val="en-GB" w:eastAsia="en-GB"/>
        </w:rPr>
        <w:t xml:space="preserve"> A schematic diagram of using HP for supplying heat for PCM layered underfloor heating system and extracting solar heat from BIPV-PCM through the cycling cupper pipes (Huang, 2016)</w:t>
      </w:r>
    </w:p>
    <w:p w14:paraId="01FB1E0F"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In order to compare the effect of PV temperature regulation and the energy management capaci</w:t>
      </w:r>
      <w:r>
        <w:rPr>
          <w:rFonts w:ascii="Times New Roman" w:eastAsia="Times New Roman" w:hAnsi="Times New Roman"/>
          <w:lang w:eastAsia="en-GB"/>
        </w:rPr>
        <w:t xml:space="preserve">ty, the BIPV-PCM-HP system the </w:t>
      </w:r>
      <w:r w:rsidRPr="00CD7876">
        <w:rPr>
          <w:rFonts w:ascii="Times New Roman" w:eastAsia="Times New Roman" w:hAnsi="Times New Roman"/>
          <w:lang w:eastAsia="en-GB"/>
        </w:rPr>
        <w:t>three cas</w:t>
      </w:r>
      <w:r>
        <w:rPr>
          <w:rFonts w:ascii="Times New Roman" w:eastAsia="Times New Roman" w:hAnsi="Times New Roman"/>
          <w:lang w:eastAsia="en-GB"/>
        </w:rPr>
        <w:t>es shown in Fig. 34 have been studied.</w:t>
      </w:r>
      <w:r w:rsidRPr="00CD7876">
        <w:rPr>
          <w:rFonts w:ascii="Times New Roman" w:eastAsia="Times New Roman" w:hAnsi="Times New Roman"/>
          <w:lang w:eastAsia="en-GB"/>
        </w:rPr>
        <w:t xml:space="preserve"> </w:t>
      </w:r>
    </w:p>
    <w:p w14:paraId="19BCDE79" w14:textId="77777777" w:rsidR="00B61C6F" w:rsidRPr="00CD7876" w:rsidRDefault="00B61C6F" w:rsidP="00B61C6F">
      <w:pPr>
        <w:jc w:val="center"/>
        <w:rPr>
          <w:rFonts w:ascii="Times New Roman" w:eastAsia="Times New Roman" w:hAnsi="Times New Roman"/>
          <w:lang w:eastAsia="en-GB"/>
        </w:rPr>
      </w:pPr>
      <w:r w:rsidRPr="00CD7876">
        <w:rPr>
          <w:rFonts w:ascii="Times New Roman" w:eastAsia="Times New Roman" w:hAnsi="Times New Roman"/>
          <w:noProof/>
          <w:lang w:val="es-PY" w:eastAsia="es-PY"/>
        </w:rPr>
        <w:drawing>
          <wp:inline distT="0" distB="0" distL="0" distR="0" wp14:anchorId="27D71301" wp14:editId="0100C2DE">
            <wp:extent cx="3638536" cy="2846717"/>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5731" cy="2860170"/>
                    </a:xfrm>
                    <a:prstGeom prst="rect">
                      <a:avLst/>
                    </a:prstGeom>
                    <a:noFill/>
                    <a:ln>
                      <a:noFill/>
                    </a:ln>
                  </pic:spPr>
                </pic:pic>
              </a:graphicData>
            </a:graphic>
          </wp:inline>
        </w:drawing>
      </w:r>
    </w:p>
    <w:p w14:paraId="7DAF8433" w14:textId="77777777" w:rsidR="00B61C6F" w:rsidRPr="00CD7876" w:rsidRDefault="00B61C6F" w:rsidP="00B61C6F">
      <w:pPr>
        <w:rPr>
          <w:rFonts w:ascii="Times New Roman" w:eastAsia="Times New Roman" w:hAnsi="Times New Roman"/>
          <w:lang w:eastAsia="en-GB"/>
        </w:rPr>
      </w:pPr>
    </w:p>
    <w:p w14:paraId="516F8ADE" w14:textId="77777777" w:rsidR="00B61C6F" w:rsidRPr="00E46AB6" w:rsidRDefault="00B61C6F" w:rsidP="00B61C6F">
      <w:pPr>
        <w:jc w:val="center"/>
        <w:rPr>
          <w:rFonts w:ascii="Times New Roman" w:eastAsia="Times New Roman" w:hAnsi="Times New Roman"/>
          <w:sz w:val="20"/>
          <w:szCs w:val="20"/>
          <w:lang w:val="en-GB" w:eastAsia="en-GB"/>
        </w:rPr>
      </w:pPr>
      <w:r>
        <w:rPr>
          <w:rFonts w:ascii="Times New Roman" w:eastAsia="Times New Roman" w:hAnsi="Times New Roman"/>
          <w:sz w:val="20"/>
          <w:szCs w:val="20"/>
          <w:lang w:val="en-GB" w:eastAsia="en-GB"/>
        </w:rPr>
        <w:t>Fig. 34</w:t>
      </w:r>
      <w:r w:rsidRPr="00E46AB6">
        <w:rPr>
          <w:rFonts w:ascii="Times New Roman" w:eastAsia="Times New Roman" w:hAnsi="Times New Roman"/>
          <w:sz w:val="20"/>
          <w:szCs w:val="20"/>
          <w:lang w:val="en-GB" w:eastAsia="en-GB"/>
        </w:rPr>
        <w:t>. Three BIPV-PCM-HP system operation cases for simulation (Case A: RT27 PCM only with metal fins; Case B: Augmented copper pipes in the PCM without cycle; Case C: Augmented copper pipes with fluid cycle from HP) (Huang, 2016)</w:t>
      </w:r>
    </w:p>
    <w:p w14:paraId="3F2F4788" w14:textId="77777777" w:rsidR="00B61C6F" w:rsidRDefault="00B61C6F" w:rsidP="00B61C6F">
      <w:pPr>
        <w:rPr>
          <w:rFonts w:ascii="Times New Roman" w:eastAsia="Times New Roman" w:hAnsi="Times New Roman"/>
          <w:lang w:eastAsia="en-GB"/>
        </w:rPr>
      </w:pPr>
    </w:p>
    <w:p w14:paraId="13D800EE"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lastRenderedPageBreak/>
        <w:t>A numerical simulation model has been validated and used to analysis the thermal performance of PCM layered underfloor heating under difference heating modes. Different layout of the under-floor heating pipes with PCMs as floor mass material were analysed with dissipated heat from BIPV for ind</w:t>
      </w:r>
      <w:r>
        <w:rPr>
          <w:rFonts w:ascii="Times New Roman" w:eastAsia="Times New Roman" w:hAnsi="Times New Roman"/>
          <w:lang w:eastAsia="en-GB"/>
        </w:rPr>
        <w:t>oor environment heating process.  T</w:t>
      </w:r>
      <w:r w:rsidRPr="00CD7876">
        <w:rPr>
          <w:rFonts w:ascii="Times New Roman" w:eastAsia="Times New Roman" w:hAnsi="Times New Roman"/>
          <w:lang w:eastAsia="en-GB"/>
        </w:rPr>
        <w:t>he thermal performance of heating system under realistic diurnal tempe</w:t>
      </w:r>
      <w:r>
        <w:rPr>
          <w:rFonts w:ascii="Times New Roman" w:eastAsia="Times New Roman" w:hAnsi="Times New Roman"/>
          <w:lang w:eastAsia="en-GB"/>
        </w:rPr>
        <w:t>rature boundary conditions was predicted.   An illustrative example of this analysis is shown in Figure 35.</w:t>
      </w:r>
    </w:p>
    <w:p w14:paraId="60A859BD" w14:textId="77777777" w:rsidR="00B61C6F" w:rsidRPr="00CD7876" w:rsidRDefault="00B61C6F" w:rsidP="00B61C6F">
      <w:pPr>
        <w:jc w:val="center"/>
        <w:rPr>
          <w:rFonts w:ascii="Times New Roman" w:eastAsia="Times New Roman" w:hAnsi="Times New Roman"/>
          <w:lang w:eastAsia="en-GB"/>
        </w:rPr>
      </w:pPr>
      <w:r w:rsidRPr="00CD7876">
        <w:rPr>
          <w:rFonts w:ascii="Times New Roman" w:eastAsia="Times New Roman" w:hAnsi="Times New Roman"/>
          <w:noProof/>
          <w:lang w:val="es-PY" w:eastAsia="es-PY"/>
        </w:rPr>
        <w:drawing>
          <wp:inline distT="0" distB="0" distL="0" distR="0" wp14:anchorId="1540664A" wp14:editId="62A0DBBB">
            <wp:extent cx="3732806" cy="1955334"/>
            <wp:effectExtent l="0" t="0" r="127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40C-200L-100min.bmp"/>
                    <pic:cNvPicPr/>
                  </pic:nvPicPr>
                  <pic:blipFill rotWithShape="1">
                    <a:blip r:embed="rId50">
                      <a:extLst>
                        <a:ext uri="{28A0092B-C50C-407E-A947-70E740481C1C}">
                          <a14:useLocalDpi xmlns:a14="http://schemas.microsoft.com/office/drawing/2010/main" val="0"/>
                        </a:ext>
                      </a:extLst>
                    </a:blip>
                    <a:srcRect b="41132"/>
                    <a:stretch/>
                  </pic:blipFill>
                  <pic:spPr bwMode="auto">
                    <a:xfrm>
                      <a:off x="0" y="0"/>
                      <a:ext cx="3815429" cy="1998614"/>
                    </a:xfrm>
                    <a:prstGeom prst="rect">
                      <a:avLst/>
                    </a:prstGeom>
                    <a:ln>
                      <a:noFill/>
                    </a:ln>
                    <a:extLst>
                      <a:ext uri="{53640926-AAD7-44D8-BBD7-CCE9431645EC}">
                        <a14:shadowObscured xmlns:a14="http://schemas.microsoft.com/office/drawing/2010/main"/>
                      </a:ext>
                    </a:extLst>
                  </pic:spPr>
                </pic:pic>
              </a:graphicData>
            </a:graphic>
          </wp:inline>
        </w:drawing>
      </w:r>
    </w:p>
    <w:p w14:paraId="3587991A" w14:textId="77777777" w:rsidR="00B61C6F" w:rsidRPr="00E46AB6" w:rsidRDefault="00B61C6F" w:rsidP="00B61C6F">
      <w:pPr>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Fig</w:t>
      </w:r>
      <w:r w:rsidRPr="00E46AB6">
        <w:rPr>
          <w:rFonts w:ascii="Times New Roman" w:eastAsia="Times New Roman" w:hAnsi="Times New Roman"/>
          <w:sz w:val="20"/>
          <w:szCs w:val="20"/>
          <w:lang w:eastAsia="en-GB"/>
        </w:rPr>
        <w:t>.</w:t>
      </w:r>
      <w:r>
        <w:rPr>
          <w:rFonts w:ascii="Times New Roman" w:eastAsia="Times New Roman" w:hAnsi="Times New Roman"/>
          <w:sz w:val="20"/>
          <w:szCs w:val="20"/>
          <w:lang w:eastAsia="en-GB"/>
        </w:rPr>
        <w:t xml:space="preserve"> 35.</w:t>
      </w:r>
      <w:r w:rsidRPr="00E46AB6">
        <w:rPr>
          <w:rFonts w:ascii="Times New Roman" w:eastAsia="Times New Roman" w:hAnsi="Times New Roman"/>
          <w:sz w:val="20"/>
          <w:szCs w:val="20"/>
          <w:lang w:eastAsia="en-GB"/>
        </w:rPr>
        <w:t xml:space="preserve"> Predicted thermal isotherms for the cross-section of floor structure of 70 mm concrete filling and 200 mm pipe spacing under 40 °C water at heating process (Huang and Hewitt, 2015)</w:t>
      </w:r>
    </w:p>
    <w:p w14:paraId="2E095470" w14:textId="77777777" w:rsidR="00B61C6F" w:rsidRPr="00875AFA" w:rsidRDefault="00B61C6F" w:rsidP="00B61C6F">
      <w:pPr>
        <w:pStyle w:val="Heading1"/>
        <w:rPr>
          <w:rFonts w:ascii="Times New Roman" w:hAnsi="Times New Roman"/>
          <w:bCs w:val="0"/>
          <w:color w:val="auto"/>
          <w:sz w:val="24"/>
          <w:szCs w:val="24"/>
          <w:lang w:val="en-US"/>
        </w:rPr>
      </w:pPr>
      <w:r w:rsidRPr="00875AFA">
        <w:rPr>
          <w:rFonts w:ascii="Times New Roman" w:hAnsi="Times New Roman"/>
          <w:bCs w:val="0"/>
          <w:color w:val="auto"/>
          <w:sz w:val="24"/>
          <w:szCs w:val="24"/>
          <w:lang w:val="en-US"/>
        </w:rPr>
        <w:t>The potential and the Role of Energy Storage for PV and future energy development</w:t>
      </w:r>
    </w:p>
    <w:p w14:paraId="36F905EF" w14:textId="77777777" w:rsidR="00B61C6F" w:rsidRDefault="00B61C6F" w:rsidP="00B61C6F">
      <w:pPr>
        <w:rPr>
          <w:rFonts w:ascii="Times New Roman" w:eastAsia="Times New Roman" w:hAnsi="Times New Roman"/>
          <w:lang w:eastAsia="en-GB"/>
        </w:rPr>
      </w:pPr>
    </w:p>
    <w:p w14:paraId="0A6572FA"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 xml:space="preserve">Incentives from supporting policies, such as feed-in-tariff and net-metering, act will gradually phase out with rapid increase installation decreasing cost of PV modules and the PV intermittency problem. The PV self-consumption becomes more attractive because the self-consumed electricity generally has more economic values than the exported electricity (Castillo-Cagigal et al., 2011; Luthander et al., 2015). Under the existence of intermittent solar resource, Electrical energy storage </w:t>
      </w:r>
      <w:r>
        <w:rPr>
          <w:rFonts w:ascii="Times New Roman" w:eastAsia="Times New Roman" w:hAnsi="Times New Roman"/>
          <w:lang w:eastAsia="en-GB"/>
        </w:rPr>
        <w:t>(</w:t>
      </w:r>
      <w:r w:rsidRPr="00CD7876">
        <w:rPr>
          <w:rFonts w:ascii="Times New Roman" w:eastAsia="Times New Roman" w:hAnsi="Times New Roman"/>
          <w:lang w:eastAsia="en-GB"/>
        </w:rPr>
        <w:t>EES</w:t>
      </w:r>
      <w:r>
        <w:rPr>
          <w:rFonts w:ascii="Times New Roman" w:eastAsia="Times New Roman" w:hAnsi="Times New Roman"/>
          <w:lang w:eastAsia="en-GB"/>
        </w:rPr>
        <w:t>)</w:t>
      </w:r>
      <w:r w:rsidRPr="00CD7876">
        <w:rPr>
          <w:rFonts w:ascii="Times New Roman" w:eastAsia="Times New Roman" w:hAnsi="Times New Roman"/>
          <w:lang w:eastAsia="en-GB"/>
        </w:rPr>
        <w:t xml:space="preserve"> can continue to maintain the stability of the power grid in an effective and economically feasible manner. Further investigation with detailed analysis and optimal solutions are needed to simultaneously determine the energy storage method, the storage capacity and the operation strategy.  </w:t>
      </w:r>
    </w:p>
    <w:p w14:paraId="70F8896E" w14:textId="77777777" w:rsidR="00B61C6F" w:rsidRPr="00EE7467" w:rsidRDefault="00B61C6F" w:rsidP="00B61C6F">
      <w:pPr>
        <w:pStyle w:val="Heading2"/>
        <w:rPr>
          <w:rFonts w:ascii="Times New Roman" w:hAnsi="Times New Roman"/>
          <w:b w:val="0"/>
          <w:bCs w:val="0"/>
          <w:color w:val="auto"/>
          <w:sz w:val="24"/>
          <w:szCs w:val="24"/>
          <w:lang w:val="en-US"/>
        </w:rPr>
      </w:pPr>
      <w:r w:rsidRPr="00EE7467">
        <w:rPr>
          <w:rFonts w:ascii="Times New Roman" w:hAnsi="Times New Roman"/>
          <w:b w:val="0"/>
          <w:bCs w:val="0"/>
          <w:color w:val="auto"/>
          <w:sz w:val="24"/>
          <w:szCs w:val="24"/>
          <w:lang w:val="en-US"/>
        </w:rPr>
        <w:t>Potential demanding of Energy storage on Electric Vehicles</w:t>
      </w:r>
    </w:p>
    <w:p w14:paraId="09BD2C0A" w14:textId="77777777" w:rsidR="00B61C6F" w:rsidRDefault="00B61C6F" w:rsidP="00B61C6F">
      <w:pPr>
        <w:rPr>
          <w:rFonts w:ascii="Times New Roman" w:eastAsia="Times New Roman" w:hAnsi="Times New Roman"/>
          <w:lang w:eastAsia="en-GB"/>
        </w:rPr>
      </w:pPr>
    </w:p>
    <w:p w14:paraId="394F1E7A"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 xml:space="preserve">China is to set a deadline for the end of sales of conventional internal combustion engine vehicles to accelerate the move towards greater electric vehicle (EV) use in the country. The sales of “new energy vehicles” (fully electric or plug-in hybrid EVs) should reach 2mn by 2020 and account for </w:t>
      </w:r>
      <w:r w:rsidRPr="00CD7876">
        <w:rPr>
          <w:rFonts w:ascii="Times New Roman" w:eastAsia="Times New Roman" w:hAnsi="Times New Roman"/>
          <w:lang w:eastAsia="en-GB"/>
        </w:rPr>
        <w:lastRenderedPageBreak/>
        <w:t>over 20% of total vehicle production and sales by 2025. The UK and France in July 2017 both countries will ban conventional passenger vehicles by 2040. India has also announced that it is looking to ban conventional vehicles by 2030. This rapid move to electric vehicles (EVs) needs to accelerate the infrastructure and support which will allow the rollout to go further and faster. However</w:t>
      </w:r>
      <w:r>
        <w:rPr>
          <w:rFonts w:ascii="Times New Roman" w:eastAsia="Times New Roman" w:hAnsi="Times New Roman"/>
          <w:lang w:eastAsia="en-GB"/>
        </w:rPr>
        <w:t>,</w:t>
      </w:r>
      <w:r w:rsidRPr="00CD7876">
        <w:rPr>
          <w:rFonts w:ascii="Times New Roman" w:eastAsia="Times New Roman" w:hAnsi="Times New Roman"/>
          <w:lang w:eastAsia="en-GB"/>
        </w:rPr>
        <w:t xml:space="preserve"> the full integration of electric vehicles into energy infrastructure is a challenge. This will leave huge potential market on the PV integrated cars with energy storage capacity</w:t>
      </w:r>
      <w:r>
        <w:rPr>
          <w:rFonts w:ascii="Times New Roman" w:eastAsia="Times New Roman" w:hAnsi="Times New Roman"/>
          <w:lang w:eastAsia="en-GB"/>
        </w:rPr>
        <w:t xml:space="preserve"> (BBC report, 2017)</w:t>
      </w:r>
      <w:r w:rsidRPr="00CD7876">
        <w:rPr>
          <w:rFonts w:ascii="Times New Roman" w:eastAsia="Times New Roman" w:hAnsi="Times New Roman"/>
          <w:lang w:eastAsia="en-GB"/>
        </w:rPr>
        <w:t>.</w:t>
      </w:r>
      <w:r>
        <w:rPr>
          <w:rFonts w:ascii="Times New Roman" w:eastAsia="Times New Roman" w:hAnsi="Times New Roman"/>
          <w:lang w:eastAsia="en-GB"/>
        </w:rPr>
        <w:t xml:space="preserve"> </w:t>
      </w:r>
    </w:p>
    <w:p w14:paraId="2B50F38E" w14:textId="77777777" w:rsidR="00B61C6F" w:rsidRPr="00CD7876" w:rsidRDefault="00B61C6F" w:rsidP="00B61C6F">
      <w:pPr>
        <w:spacing w:line="360" w:lineRule="auto"/>
        <w:jc w:val="both"/>
        <w:rPr>
          <w:rFonts w:ascii="Times New Roman" w:eastAsia="Times New Roman" w:hAnsi="Times New Roman"/>
          <w:lang w:eastAsia="en-GB"/>
        </w:rPr>
      </w:pPr>
    </w:p>
    <w:p w14:paraId="5B9C6221" w14:textId="77777777" w:rsidR="00B61C6F" w:rsidRPr="00EE7467" w:rsidRDefault="00B61C6F" w:rsidP="00B61C6F">
      <w:pPr>
        <w:pStyle w:val="Heading2"/>
        <w:rPr>
          <w:rFonts w:ascii="Times New Roman" w:hAnsi="Times New Roman"/>
          <w:b w:val="0"/>
          <w:bCs w:val="0"/>
          <w:color w:val="auto"/>
          <w:sz w:val="24"/>
          <w:szCs w:val="24"/>
          <w:lang w:val="en-US"/>
        </w:rPr>
      </w:pPr>
      <w:r w:rsidRPr="00EE7467">
        <w:rPr>
          <w:rFonts w:ascii="Times New Roman" w:hAnsi="Times New Roman"/>
          <w:b w:val="0"/>
          <w:bCs w:val="0"/>
          <w:color w:val="auto"/>
          <w:sz w:val="24"/>
          <w:szCs w:val="24"/>
          <w:lang w:val="en-US"/>
        </w:rPr>
        <w:t>Energy storage for large-scale PV system</w:t>
      </w:r>
    </w:p>
    <w:p w14:paraId="196D7A23" w14:textId="77777777" w:rsidR="00B61C6F" w:rsidRPr="00875AFA" w:rsidRDefault="00B61C6F" w:rsidP="00B61C6F">
      <w:pPr>
        <w:rPr>
          <w:lang w:val="en-US" w:eastAsia="en-GB"/>
        </w:rPr>
      </w:pPr>
    </w:p>
    <w:p w14:paraId="17F344A5" w14:textId="69154CAF" w:rsidR="00B61C6F" w:rsidRDefault="0089624A"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noProof/>
          <w:lang w:val="es-PY" w:eastAsia="es-PY"/>
        </w:rPr>
        <w:drawing>
          <wp:anchor distT="0" distB="0" distL="114300" distR="114300" simplePos="0" relativeHeight="251680768" behindDoc="0" locked="0" layoutInCell="1" allowOverlap="1" wp14:anchorId="501A78C6" wp14:editId="08413038">
            <wp:simplePos x="0" y="0"/>
            <wp:positionH relativeFrom="column">
              <wp:posOffset>277495</wp:posOffset>
            </wp:positionH>
            <wp:positionV relativeFrom="paragraph">
              <wp:posOffset>1915160</wp:posOffset>
            </wp:positionV>
            <wp:extent cx="4940935" cy="2785745"/>
            <wp:effectExtent l="0" t="0" r="0" b="0"/>
            <wp:wrapThrough wrapText="bothSides">
              <wp:wrapPolygon edited="0">
                <wp:start x="0" y="0"/>
                <wp:lineTo x="0" y="21418"/>
                <wp:lineTo x="21486" y="21418"/>
                <wp:lineTo x="2148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3627" t="21863" r="15910" b="12744"/>
                    <a:stretch/>
                  </pic:blipFill>
                  <pic:spPr bwMode="auto">
                    <a:xfrm>
                      <a:off x="0" y="0"/>
                      <a:ext cx="4940935" cy="278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C6F" w:rsidRPr="00CD7876">
        <w:rPr>
          <w:rFonts w:ascii="Times New Roman" w:eastAsia="Times New Roman" w:hAnsi="Times New Roman"/>
          <w:lang w:eastAsia="en-GB"/>
        </w:rPr>
        <w:t>A forecast of global PV generation</w:t>
      </w:r>
      <w:r w:rsidR="00B61C6F">
        <w:rPr>
          <w:rFonts w:ascii="Times New Roman" w:eastAsia="Times New Roman" w:hAnsi="Times New Roman"/>
          <w:lang w:eastAsia="en-GB"/>
        </w:rPr>
        <w:t xml:space="preserve"> shown in figure 36 (IEA, 2014) predicts a sharp growth in PV capacity with PV providing</w:t>
      </w:r>
      <w:r w:rsidR="00B61C6F" w:rsidRPr="00CD7876">
        <w:rPr>
          <w:rFonts w:ascii="Times New Roman" w:eastAsia="Times New Roman" w:hAnsi="Times New Roman"/>
          <w:lang w:eastAsia="en-GB"/>
        </w:rPr>
        <w:t xml:space="preserve"> 16% of global electricity by 2050. Such</w:t>
      </w:r>
      <w:r w:rsidR="00B61C6F">
        <w:rPr>
          <w:rFonts w:ascii="Times New Roman" w:eastAsia="Times New Roman" w:hAnsi="Times New Roman"/>
          <w:lang w:eastAsia="en-GB"/>
        </w:rPr>
        <w:t xml:space="preserve"> an increase will</w:t>
      </w:r>
      <w:r w:rsidR="00B61C6F" w:rsidRPr="00CD7876">
        <w:rPr>
          <w:rFonts w:ascii="Times New Roman" w:eastAsia="Times New Roman" w:hAnsi="Times New Roman"/>
          <w:lang w:eastAsia="en-GB"/>
        </w:rPr>
        <w:t xml:space="preserve"> bring economic and technical challenges to integrate solar power into the grid due to the diurnal and stochastic nature of solar energy. Electrical energy storage (EES) have explored in improvements and services to power systems, however more work needs to be done in smart grid as a key component in modern power systems developments for secure and reliable operation. Although the EES market is expanding in, there is a lack of standards and methods for comparing the efficiency and performance of EES in a PV system. </w:t>
      </w:r>
    </w:p>
    <w:p w14:paraId="6A9D1CB2" w14:textId="77777777" w:rsidR="00B61C6F" w:rsidRDefault="00B61C6F" w:rsidP="00B61C6F">
      <w:pPr>
        <w:jc w:val="center"/>
        <w:rPr>
          <w:rFonts w:ascii="Times New Roman" w:eastAsia="Times New Roman" w:hAnsi="Times New Roman"/>
          <w:sz w:val="20"/>
          <w:szCs w:val="20"/>
          <w:lang w:eastAsia="en-GB"/>
        </w:rPr>
      </w:pPr>
      <w:r w:rsidRPr="00EE7467">
        <w:rPr>
          <w:rFonts w:ascii="Times New Roman" w:eastAsia="Times New Roman" w:hAnsi="Times New Roman"/>
          <w:sz w:val="20"/>
          <w:szCs w:val="20"/>
          <w:lang w:eastAsia="en-GB"/>
        </w:rPr>
        <w:t>Fig</w:t>
      </w:r>
      <w:r>
        <w:rPr>
          <w:rFonts w:ascii="Times New Roman" w:eastAsia="Times New Roman" w:hAnsi="Times New Roman"/>
          <w:sz w:val="20"/>
          <w:szCs w:val="20"/>
          <w:lang w:eastAsia="en-GB"/>
        </w:rPr>
        <w:t>.36.</w:t>
      </w:r>
      <w:r w:rsidRPr="00EE7467">
        <w:rPr>
          <w:rFonts w:ascii="Times New Roman" w:eastAsia="Times New Roman" w:hAnsi="Times New Roman"/>
          <w:sz w:val="20"/>
          <w:szCs w:val="20"/>
          <w:lang w:eastAsia="en-GB"/>
        </w:rPr>
        <w:t xml:space="preserve"> Trends for global power generation of solar PV system and share of total electricity generation [IEA, 2014]</w:t>
      </w:r>
    </w:p>
    <w:p w14:paraId="2862BFB1" w14:textId="77777777" w:rsidR="00B61C6F" w:rsidRPr="00EE7467" w:rsidRDefault="00B61C6F" w:rsidP="00B61C6F">
      <w:pPr>
        <w:jc w:val="center"/>
        <w:rPr>
          <w:rFonts w:ascii="Times New Roman" w:eastAsia="Times New Roman" w:hAnsi="Times New Roman"/>
          <w:sz w:val="20"/>
          <w:szCs w:val="20"/>
          <w:lang w:eastAsia="en-GB"/>
        </w:rPr>
      </w:pPr>
    </w:p>
    <w:p w14:paraId="6F60B9C5" w14:textId="77777777" w:rsidR="00B61C6F" w:rsidRDefault="00B61C6F" w:rsidP="00B61C6F">
      <w:pPr>
        <w:pStyle w:val="Heading3"/>
        <w:rPr>
          <w:rFonts w:ascii="Times New Roman" w:hAnsi="Times New Roman"/>
          <w:b w:val="0"/>
          <w:bCs w:val="0"/>
          <w:color w:val="auto"/>
          <w:sz w:val="22"/>
          <w:szCs w:val="22"/>
          <w:lang w:val="en-US"/>
        </w:rPr>
      </w:pPr>
      <w:r w:rsidRPr="0019763E">
        <w:rPr>
          <w:rFonts w:ascii="Times New Roman" w:hAnsi="Times New Roman"/>
          <w:b w:val="0"/>
          <w:bCs w:val="0"/>
          <w:color w:val="auto"/>
          <w:sz w:val="22"/>
          <w:szCs w:val="22"/>
          <w:lang w:val="en-US"/>
        </w:rPr>
        <w:lastRenderedPageBreak/>
        <w:t>Technical standards for PV system performance</w:t>
      </w:r>
    </w:p>
    <w:p w14:paraId="6CC3BDEA" w14:textId="77777777" w:rsidR="00B61C6F" w:rsidRPr="0019763E" w:rsidRDefault="00B61C6F" w:rsidP="00B61C6F">
      <w:pPr>
        <w:rPr>
          <w:lang w:val="en-US" w:eastAsia="en-GB"/>
        </w:rPr>
      </w:pPr>
    </w:p>
    <w:p w14:paraId="05F0E1E8" w14:textId="47E39C80" w:rsidR="00B61C6F" w:rsidRPr="0089624A" w:rsidRDefault="00B61C6F" w:rsidP="0089624A">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Some technical standards for PV system performance, design requirements and capabilities have been created, however interconnection policies that consider the benefits of both distributed generation owners/operators, and distribution companies are required to address major problems such as communication, control, short-circuit protection, electrical isolation and surge protection</w:t>
      </w:r>
      <w:r>
        <w:rPr>
          <w:rFonts w:ascii="Times New Roman" w:eastAsia="Times New Roman" w:hAnsi="Times New Roman"/>
          <w:lang w:eastAsia="en-GB"/>
        </w:rPr>
        <w:t xml:space="preserve"> (Lai, et al., 2017)</w:t>
      </w:r>
      <w:r w:rsidRPr="00CD7876">
        <w:rPr>
          <w:rFonts w:ascii="Times New Roman" w:eastAsia="Times New Roman" w:hAnsi="Times New Roman"/>
          <w:lang w:eastAsia="en-GB"/>
        </w:rPr>
        <w:t>. In the future</w:t>
      </w:r>
      <w:r>
        <w:rPr>
          <w:rFonts w:ascii="Times New Roman" w:eastAsia="Times New Roman" w:hAnsi="Times New Roman"/>
          <w:lang w:eastAsia="en-GB"/>
        </w:rPr>
        <w:t>,</w:t>
      </w:r>
      <w:r w:rsidRPr="00CD7876">
        <w:rPr>
          <w:rFonts w:ascii="Times New Roman" w:eastAsia="Times New Roman" w:hAnsi="Times New Roman"/>
          <w:lang w:eastAsia="en-GB"/>
        </w:rPr>
        <w:t xml:space="preserve"> the standards for EES in the PV system need to be defined. </w:t>
      </w:r>
    </w:p>
    <w:p w14:paraId="05173BBB" w14:textId="77777777" w:rsidR="00B61C6F" w:rsidRPr="0019763E" w:rsidRDefault="00B61C6F" w:rsidP="00B61C6F">
      <w:pPr>
        <w:pStyle w:val="Heading3"/>
        <w:rPr>
          <w:rFonts w:ascii="Times New Roman" w:hAnsi="Times New Roman"/>
          <w:b w:val="0"/>
          <w:bCs w:val="0"/>
          <w:color w:val="auto"/>
          <w:sz w:val="22"/>
          <w:szCs w:val="22"/>
          <w:lang w:val="en-US"/>
        </w:rPr>
      </w:pPr>
      <w:r w:rsidRPr="0019763E">
        <w:rPr>
          <w:rFonts w:ascii="Times New Roman" w:hAnsi="Times New Roman"/>
          <w:b w:val="0"/>
          <w:bCs w:val="0"/>
          <w:color w:val="auto"/>
          <w:sz w:val="22"/>
          <w:szCs w:val="22"/>
          <w:lang w:val="en-US"/>
        </w:rPr>
        <w:t>Stability issues</w:t>
      </w:r>
    </w:p>
    <w:p w14:paraId="675B1C1E" w14:textId="77777777" w:rsidR="00B61C6F" w:rsidRPr="0019763E" w:rsidRDefault="00B61C6F" w:rsidP="00B61C6F">
      <w:pPr>
        <w:rPr>
          <w:lang w:val="en-US" w:eastAsia="en-GB"/>
        </w:rPr>
      </w:pPr>
    </w:p>
    <w:p w14:paraId="2D52AB07"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Large scale PV generation can reduce generation cost in the industry and could avoid the effect of uncertain carbon pricing policies and non-deterministic future fossil fuel prices, but it has issues with the cost related to creating surplus energy either storing it or transmitting it to the external grid. The high uncertainty and fluctuation from the PV power cause poor power quality, Volt/VAr control issues. The stability problems and control methods of PV generators for secure and reliable operation are the main focus in many research work. The pinning reserve and dispatching strategies for energy storage could play important part in the stability of future power system with high PV penetration (Sha</w:t>
      </w:r>
      <w:r>
        <w:rPr>
          <w:rFonts w:ascii="Times New Roman" w:eastAsia="Times New Roman" w:hAnsi="Times New Roman"/>
          <w:lang w:eastAsia="en-GB"/>
        </w:rPr>
        <w:t xml:space="preserve">h et al., 2015). (Tamimi et al., </w:t>
      </w:r>
      <w:r w:rsidRPr="00CD7876">
        <w:rPr>
          <w:rFonts w:ascii="Times New Roman" w:eastAsia="Times New Roman" w:hAnsi="Times New Roman"/>
          <w:lang w:eastAsia="en-GB"/>
        </w:rPr>
        <w:t>2013) investigate the system stability at different PV penetration levels at up to 2GW on three cases: the centralised farms with voltage regulation capacities, centralised farms without voltage regulation capacities and the distributed units. It concludes distributed solar PV generators are superior than centralised solar PV generators, i.e. solar farms. Although some work has been carried out on analysis of the transient stability and small signal stability for power system, additional research needs to be done to assess with different size and capacities of the PV power generation system with different penetration levels.</w:t>
      </w:r>
    </w:p>
    <w:p w14:paraId="302EAC66" w14:textId="01F7B145"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 xml:space="preserve">The system stability improvement has also been studied on a 10 MW residential PV system by using methods to reduce the fluctuation in the power generation (Omran et al., 2011), (1) EES utilisation; (2) dump loads utilisation; and (3) PV power curtailment. The consequence with PV output power stability improvement is a revenue loss. The combine use of EES and power curtailment is found to be the most economical solution. </w:t>
      </w:r>
    </w:p>
    <w:p w14:paraId="099892E9" w14:textId="77777777" w:rsidR="00B61C6F" w:rsidRPr="0019763E" w:rsidRDefault="00B61C6F" w:rsidP="00B61C6F">
      <w:pPr>
        <w:pStyle w:val="Heading2"/>
        <w:rPr>
          <w:rFonts w:ascii="Times New Roman" w:hAnsi="Times New Roman"/>
          <w:b w:val="0"/>
          <w:color w:val="auto"/>
          <w:sz w:val="24"/>
          <w:szCs w:val="24"/>
        </w:rPr>
      </w:pPr>
      <w:r w:rsidRPr="0019763E">
        <w:rPr>
          <w:rFonts w:ascii="Times New Roman" w:hAnsi="Times New Roman"/>
          <w:b w:val="0"/>
          <w:color w:val="auto"/>
          <w:sz w:val="24"/>
          <w:szCs w:val="24"/>
        </w:rPr>
        <w:t>Dynamic ambient forecasting for PV generation and EES</w:t>
      </w:r>
    </w:p>
    <w:p w14:paraId="3D489D8E" w14:textId="77777777" w:rsidR="00B61C6F" w:rsidRPr="00330276" w:rsidRDefault="00B61C6F" w:rsidP="00B61C6F">
      <w:pPr>
        <w:rPr>
          <w:lang w:val="en-GB" w:eastAsia="en-GB"/>
        </w:rPr>
      </w:pPr>
    </w:p>
    <w:p w14:paraId="25D1312C"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PV performance can be highly influenced by external factors such as ambient temperature, the cloud shape, density, siz</w:t>
      </w:r>
      <w:r>
        <w:rPr>
          <w:rFonts w:ascii="Times New Roman" w:eastAsia="Times New Roman" w:hAnsi="Times New Roman"/>
          <w:lang w:eastAsia="en-GB"/>
        </w:rPr>
        <w:t>e and the speed of cloud cover (Katiraei and Aguero, 2011)</w:t>
      </w:r>
      <w:r w:rsidRPr="00CD7876">
        <w:rPr>
          <w:rFonts w:ascii="Times New Roman" w:eastAsia="Times New Roman" w:hAnsi="Times New Roman"/>
          <w:lang w:eastAsia="en-GB"/>
        </w:rPr>
        <w:t>. Incident solar radiation and ambient conditions forecasting accuracy has a tremendous influence to t</w:t>
      </w:r>
      <w:r>
        <w:rPr>
          <w:rFonts w:ascii="Times New Roman" w:eastAsia="Times New Roman" w:hAnsi="Times New Roman"/>
          <w:lang w:eastAsia="en-GB"/>
        </w:rPr>
        <w:t xml:space="preserve">he PV </w:t>
      </w:r>
      <w:r>
        <w:rPr>
          <w:rFonts w:ascii="Times New Roman" w:eastAsia="Times New Roman" w:hAnsi="Times New Roman"/>
          <w:lang w:eastAsia="en-GB"/>
        </w:rPr>
        <w:lastRenderedPageBreak/>
        <w:t xml:space="preserve">and EES systems planning </w:t>
      </w:r>
      <w:r w:rsidRPr="00CD7876">
        <w:rPr>
          <w:rFonts w:ascii="Times New Roman" w:eastAsia="Times New Roman" w:hAnsi="Times New Roman"/>
          <w:lang w:eastAsia="en-GB"/>
        </w:rPr>
        <w:t xml:space="preserve">and operation. The accurate assessment of solar irradiance available at a particular time instance is not deterministic problem due to the intermittent and dynamic nature of solar resource. Therefore, forecasting and prediction methods are needed to be developed to provide better estimate of the solar irradiance resource and surrounded ambient conditions. </w:t>
      </w:r>
    </w:p>
    <w:p w14:paraId="65581DA1" w14:textId="77777777" w:rsidR="00B61C6F" w:rsidRPr="00CD7876" w:rsidRDefault="00B61C6F" w:rsidP="00B61C6F">
      <w:pPr>
        <w:spacing w:line="360" w:lineRule="auto"/>
        <w:jc w:val="both"/>
        <w:rPr>
          <w:rFonts w:ascii="Times New Roman" w:eastAsia="Times New Roman" w:hAnsi="Times New Roman"/>
          <w:lang w:eastAsia="en-GB"/>
        </w:rPr>
      </w:pPr>
      <w:r w:rsidRPr="00CD7876">
        <w:rPr>
          <w:rFonts w:ascii="Times New Roman" w:eastAsia="Times New Roman" w:hAnsi="Times New Roman"/>
          <w:lang w:eastAsia="en-GB"/>
        </w:rPr>
        <w:t xml:space="preserve">A comprehensive review of the theoretical forecasting methodologies for both solar resource and PV power has provided by </w:t>
      </w:r>
      <w:r w:rsidRPr="00AD122B">
        <w:rPr>
          <w:rFonts w:ascii="Times New Roman" w:eastAsia="Times New Roman" w:hAnsi="Times New Roman"/>
          <w:lang w:eastAsia="en-GB"/>
        </w:rPr>
        <w:t>Wan et al., 2015</w:t>
      </w:r>
      <w:r w:rsidRPr="00CD7876">
        <w:rPr>
          <w:rFonts w:ascii="Times New Roman" w:eastAsia="Times New Roman" w:hAnsi="Times New Roman"/>
          <w:lang w:eastAsia="en-GB"/>
        </w:rPr>
        <w:t>. A number of forecasting models have been developed for solar resources and power output of PV plants at utility scale level in the past few years, but due to the chaotic nature of weather systems and the uncertainties involved in atmospheric conditions such as temperature, cloud amount, dust and relative humidity, precise solar power forecasting can be extremely difﬁcult. Forecasting models of PV power system are divided in to four classes: statistical models, AI-based models, physical models and hybrid models. Statistical approaches are based on historical data which is used as inputs for the statistical model and the variable to be predicted. A novel multi-time scale data-driven forecast model based on spatio-temporal (ST) and autoregressive with exogenous input (ARX) is developed for a solar irradiance forecast model. Simulation results that use the real solar data of PV sites in California and Colorado demonstrate the proposed model can derive satisfactory results for 1 h and 2 h look-ahead times (</w:t>
      </w:r>
      <w:r>
        <w:rPr>
          <w:rFonts w:ascii="Times New Roman" w:eastAsia="Times New Roman" w:hAnsi="Times New Roman"/>
          <w:lang w:eastAsia="en-GB"/>
        </w:rPr>
        <w:t>Yang</w:t>
      </w:r>
      <w:r w:rsidRPr="00CD7876">
        <w:rPr>
          <w:rFonts w:ascii="Times New Roman" w:eastAsia="Times New Roman" w:hAnsi="Times New Roman"/>
          <w:lang w:eastAsia="en-GB"/>
        </w:rPr>
        <w:t xml:space="preserve"> et. al., 2015). AI techniques due to the high leaning and regression capabilities, have been widely employed for modelling and prediction of solar energy. Physical models utilize solar and PV models to generate solar irradiance/power prediction. The generalized framework of physic</w:t>
      </w:r>
      <w:r>
        <w:rPr>
          <w:rFonts w:ascii="Times New Roman" w:eastAsia="Times New Roman" w:hAnsi="Times New Roman"/>
          <w:lang w:eastAsia="en-GB"/>
        </w:rPr>
        <w:t>al approaches is shown in Fig. 37</w:t>
      </w:r>
      <w:r w:rsidRPr="00CD7876">
        <w:rPr>
          <w:rFonts w:ascii="Times New Roman" w:eastAsia="Times New Roman" w:hAnsi="Times New Roman"/>
          <w:lang w:eastAsia="en-GB"/>
        </w:rPr>
        <w:t>. In practice, various hybrid solar prediction methodologies can be proposed to integrate the merits of different types of prediction models which can offer forecasting of hourly global horizontal solar radiation and forecasting of a high resolution solar radiation database.</w:t>
      </w:r>
    </w:p>
    <w:p w14:paraId="00758F9F" w14:textId="77777777" w:rsidR="00B61C6F" w:rsidRPr="00CD7876" w:rsidRDefault="00B61C6F" w:rsidP="00B61C6F">
      <w:pPr>
        <w:rPr>
          <w:rFonts w:ascii="Times New Roman" w:eastAsia="Times New Roman" w:hAnsi="Times New Roman"/>
          <w:lang w:eastAsia="en-GB"/>
        </w:rPr>
      </w:pPr>
    </w:p>
    <w:p w14:paraId="391369FB" w14:textId="77777777" w:rsidR="00B61C6F" w:rsidRPr="00CD7876" w:rsidRDefault="00B61C6F" w:rsidP="00B61C6F">
      <w:pPr>
        <w:jc w:val="center"/>
        <w:rPr>
          <w:rFonts w:ascii="Times New Roman" w:eastAsia="Times New Roman" w:hAnsi="Times New Roman"/>
          <w:lang w:eastAsia="en-GB"/>
        </w:rPr>
      </w:pPr>
      <w:r w:rsidRPr="00CD7876">
        <w:rPr>
          <w:rFonts w:ascii="Times New Roman" w:eastAsia="Times New Roman" w:hAnsi="Times New Roman"/>
          <w:noProof/>
          <w:lang w:val="es-PY" w:eastAsia="es-PY"/>
        </w:rPr>
        <w:lastRenderedPageBreak/>
        <w:drawing>
          <wp:inline distT="0" distB="0" distL="0" distR="0" wp14:anchorId="43D15CAC" wp14:editId="51DD1D7B">
            <wp:extent cx="4778433" cy="2449320"/>
            <wp:effectExtent l="0" t="0" r="317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079" t="45150" r="50920" b="20220"/>
                    <a:stretch/>
                  </pic:blipFill>
                  <pic:spPr bwMode="auto">
                    <a:xfrm>
                      <a:off x="0" y="0"/>
                      <a:ext cx="4802382" cy="2461596"/>
                    </a:xfrm>
                    <a:prstGeom prst="rect">
                      <a:avLst/>
                    </a:prstGeom>
                    <a:ln>
                      <a:noFill/>
                    </a:ln>
                    <a:extLst>
                      <a:ext uri="{53640926-AAD7-44D8-BBD7-CCE9431645EC}">
                        <a14:shadowObscured xmlns:a14="http://schemas.microsoft.com/office/drawing/2010/main"/>
                      </a:ext>
                    </a:extLst>
                  </pic:spPr>
                </pic:pic>
              </a:graphicData>
            </a:graphic>
          </wp:inline>
        </w:drawing>
      </w:r>
    </w:p>
    <w:p w14:paraId="7D5D1700" w14:textId="58176AAB" w:rsidR="00B61C6F" w:rsidRPr="00CD7876" w:rsidRDefault="00B61C6F" w:rsidP="0089624A">
      <w:pPr>
        <w:jc w:val="center"/>
        <w:rPr>
          <w:rFonts w:ascii="Times New Roman" w:eastAsia="Times New Roman" w:hAnsi="Times New Roman"/>
          <w:lang w:eastAsia="en-GB"/>
        </w:rPr>
      </w:pPr>
      <w:r>
        <w:rPr>
          <w:rFonts w:ascii="Times New Roman" w:eastAsia="Times New Roman" w:hAnsi="Times New Roman"/>
          <w:lang w:eastAsia="en-GB"/>
        </w:rPr>
        <w:t>Fig. 37.</w:t>
      </w:r>
      <w:r w:rsidRPr="00CD7876">
        <w:rPr>
          <w:rFonts w:ascii="Times New Roman" w:eastAsia="Times New Roman" w:hAnsi="Times New Roman"/>
          <w:lang w:eastAsia="en-GB"/>
        </w:rPr>
        <w:t xml:space="preserve"> Typical framework of physical approaches for PV power forecasting.</w:t>
      </w:r>
    </w:p>
    <w:p w14:paraId="77485FB2" w14:textId="77777777" w:rsidR="00B61C6F" w:rsidRPr="0019763E" w:rsidRDefault="00B61C6F" w:rsidP="00B61C6F">
      <w:pPr>
        <w:pStyle w:val="Heading2"/>
        <w:rPr>
          <w:rFonts w:ascii="Times New Roman" w:hAnsi="Times New Roman"/>
          <w:b w:val="0"/>
          <w:color w:val="auto"/>
          <w:sz w:val="24"/>
          <w:szCs w:val="24"/>
        </w:rPr>
      </w:pPr>
      <w:r w:rsidRPr="0019763E">
        <w:rPr>
          <w:rFonts w:ascii="Times New Roman" w:hAnsi="Times New Roman"/>
          <w:b w:val="0"/>
          <w:color w:val="auto"/>
          <w:sz w:val="24"/>
          <w:szCs w:val="24"/>
        </w:rPr>
        <w:t>Summary of future energy development</w:t>
      </w:r>
    </w:p>
    <w:p w14:paraId="2E8C23E1" w14:textId="77777777" w:rsidR="00B61C6F" w:rsidRPr="00330276" w:rsidRDefault="00B61C6F" w:rsidP="00B61C6F">
      <w:pPr>
        <w:rPr>
          <w:lang w:val="en-GB" w:eastAsia="en-GB"/>
        </w:rPr>
      </w:pPr>
    </w:p>
    <w:p w14:paraId="51493E16" w14:textId="77777777" w:rsidR="00B61C6F" w:rsidRPr="00D3191D" w:rsidRDefault="00B61C6F" w:rsidP="00B61C6F">
      <w:pPr>
        <w:spacing w:line="360" w:lineRule="auto"/>
        <w:jc w:val="both"/>
        <w:rPr>
          <w:rFonts w:ascii="Times New Roman" w:eastAsia="Times New Roman" w:hAnsi="Times New Roman"/>
          <w:lang w:eastAsia="en-GB"/>
        </w:rPr>
      </w:pPr>
      <w:r w:rsidRPr="00D3191D">
        <w:rPr>
          <w:rFonts w:ascii="Times New Roman" w:eastAsia="Times New Roman" w:hAnsi="Times New Roman"/>
          <w:lang w:eastAsia="en-GB"/>
        </w:rPr>
        <w:t xml:space="preserve">It has become a major point of interest and possible bone of contention that in a future near- decarbonised electricity network i.e. 80% reduction in emissions by 2050, will enable a low carbon space heating market through the deployment of electrically-driven heat pumps. It is recognised that such a vision will place a significant extra burden on the existing electricity network. This will be especially true of the low voltage network at Distribution System Operator level e.g. 11kV or below but as such systems do not operate in isolation, challenges will also be seen at the Transmission Operator level as well. This may be further complicated by the perceived rapid deployment of Electric Vehicles well before 2050. </w:t>
      </w:r>
    </w:p>
    <w:p w14:paraId="01DFB98C" w14:textId="77777777" w:rsidR="00B61C6F" w:rsidRPr="00D3191D" w:rsidRDefault="00B61C6F" w:rsidP="00B61C6F">
      <w:pPr>
        <w:spacing w:line="360" w:lineRule="auto"/>
        <w:jc w:val="both"/>
        <w:rPr>
          <w:rFonts w:ascii="Times New Roman" w:eastAsia="Times New Roman" w:hAnsi="Times New Roman"/>
          <w:lang w:eastAsia="en-GB"/>
        </w:rPr>
      </w:pPr>
      <w:r w:rsidRPr="00D3191D">
        <w:rPr>
          <w:rFonts w:ascii="Times New Roman" w:eastAsia="Times New Roman" w:hAnsi="Times New Roman"/>
          <w:lang w:eastAsia="en-GB"/>
        </w:rPr>
        <w:t>Demand Side Management in its many shapes and forms becomes part of the solution. The Thermal Mass of Buildings can be deployed to understand duration of off-times after a period of heating while maintaining thermal comfort. Understanding End User Behaviour is critically important in this process as it is believed that the smart learning of the behaviour of the building can be subtly tailored to end-user needs. Selective fabric retrofits and selective occupancy controls can adjust these parameters further giving an element of control to the end-user while satisfying electricity network operator needs.</w:t>
      </w:r>
    </w:p>
    <w:p w14:paraId="7EDDE461" w14:textId="77777777" w:rsidR="00B61C6F" w:rsidRPr="00D3191D" w:rsidRDefault="00B61C6F" w:rsidP="00B61C6F">
      <w:pPr>
        <w:spacing w:line="360" w:lineRule="auto"/>
        <w:jc w:val="both"/>
        <w:rPr>
          <w:rFonts w:ascii="Times New Roman" w:eastAsia="Times New Roman" w:hAnsi="Times New Roman"/>
          <w:lang w:eastAsia="en-GB"/>
        </w:rPr>
      </w:pPr>
      <w:r>
        <w:rPr>
          <w:rFonts w:ascii="Times New Roman" w:eastAsia="Times New Roman" w:hAnsi="Times New Roman"/>
          <w:lang w:eastAsia="en-GB"/>
        </w:rPr>
        <w:t>The deployment of energy s</w:t>
      </w:r>
      <w:r w:rsidRPr="00D3191D">
        <w:rPr>
          <w:rFonts w:ascii="Times New Roman" w:eastAsia="Times New Roman" w:hAnsi="Times New Roman"/>
          <w:lang w:eastAsia="en-GB"/>
        </w:rPr>
        <w:t xml:space="preserve">torage is also an option. Heat Pumps and Water Storage (or sensible heat) trials and experiments reveal both noticeable heat losses from the tanks and large sizes of tanks for significant scales of time management. Finding the space for larger tanks in typical UK housing types would be challenging. However, aggregation of large numbers of these units that are electricity network controlled (at the distribution operator level for example) has the potential </w:t>
      </w:r>
      <w:r w:rsidRPr="00D3191D">
        <w:rPr>
          <w:rFonts w:ascii="Times New Roman" w:eastAsia="Times New Roman" w:hAnsi="Times New Roman"/>
          <w:lang w:eastAsia="en-GB"/>
        </w:rPr>
        <w:lastRenderedPageBreak/>
        <w:t xml:space="preserve">to reduce individual storage volumes thus potentially realising greater social acceptance. Novel materials e.g. phase change or thermochemical will deliver further reductions in size and low temperature thermal networks may upgrade heat pump performance and increase energy efficiency. Hybrid Heat Pumps or gas driven types (adsorption or absorption) will utilise existing gas networks that may be increasingly decarbonised with biogas or hydrogen deployments. </w:t>
      </w:r>
    </w:p>
    <w:p w14:paraId="218F6A1C" w14:textId="77777777" w:rsidR="00B61C6F" w:rsidRDefault="00B61C6F" w:rsidP="00B61C6F">
      <w:pPr>
        <w:pStyle w:val="ListParagraph"/>
        <w:numPr>
          <w:ilvl w:val="0"/>
          <w:numId w:val="29"/>
        </w:numPr>
        <w:spacing w:after="200" w:line="360" w:lineRule="auto"/>
        <w:jc w:val="both"/>
        <w:rPr>
          <w:b/>
          <w:lang w:val="en-US"/>
        </w:rPr>
      </w:pPr>
      <w:r w:rsidRPr="00147D04">
        <w:rPr>
          <w:b/>
          <w:lang w:val="en-US"/>
        </w:rPr>
        <w:t>Conclusion</w:t>
      </w:r>
    </w:p>
    <w:p w14:paraId="15E66ACC" w14:textId="77777777" w:rsidR="00B61C6F" w:rsidRPr="008745AD" w:rsidRDefault="00B61C6F" w:rsidP="00B61C6F">
      <w:pPr>
        <w:spacing w:line="360" w:lineRule="auto"/>
        <w:jc w:val="both"/>
        <w:rPr>
          <w:rFonts w:ascii="Times New Roman" w:hAnsi="Times New Roman"/>
        </w:rPr>
      </w:pPr>
      <w:r w:rsidRPr="008745AD">
        <w:rPr>
          <w:rFonts w:ascii="Times New Roman" w:hAnsi="Times New Roman"/>
        </w:rPr>
        <w:t xml:space="preserve">Domestic and local Photovoltaic (PV) system deployment would provide electricity network relief when accompanied by energy storage. Thermal storage will satisfy thermal comfort needs when operating with heat pumps while battery deployment may operate with electric vehicles and/or electric heat pumps at times of local grid congestion. Such batteries and electric vehicles will also become demand side response units in their own right, the latter whether you are at home or not, with Vehicle-to-Grid technology. </w:t>
      </w:r>
    </w:p>
    <w:p w14:paraId="796546CA" w14:textId="1563F7FE" w:rsidR="00B61C6F" w:rsidRPr="0089624A" w:rsidRDefault="00B61C6F" w:rsidP="0089624A">
      <w:pPr>
        <w:spacing w:line="360" w:lineRule="auto"/>
        <w:jc w:val="both"/>
        <w:rPr>
          <w:rFonts w:ascii="Times New Roman" w:hAnsi="Times New Roman"/>
        </w:rPr>
      </w:pPr>
      <w:r w:rsidRPr="008745AD">
        <w:rPr>
          <w:rFonts w:ascii="Times New Roman" w:hAnsi="Times New Roman"/>
        </w:rPr>
        <w:t>The combinations of such technologies will address many of the emerging low voltage network problems as we attempt to decarbonise our energy use. The low voltage network has become the focus of such challenges but sees little investment. The rates of penetration of the technologies is unknown and their performance under real end-use conditions is also less well understood. The electricity network investment avoidance costs are not yet proven.</w:t>
      </w:r>
    </w:p>
    <w:p w14:paraId="3D59B755" w14:textId="77777777" w:rsidR="00B61C6F" w:rsidRDefault="00B61C6F" w:rsidP="00B61C6F">
      <w:pPr>
        <w:spacing w:after="200" w:line="360" w:lineRule="auto"/>
        <w:jc w:val="both"/>
        <w:rPr>
          <w:rFonts w:ascii="Times New Roman" w:eastAsia="Times New Roman" w:hAnsi="Times New Roman"/>
          <w:b/>
          <w:sz w:val="24"/>
          <w:szCs w:val="24"/>
          <w:lang w:val="en-US" w:eastAsia="en-GB"/>
        </w:rPr>
      </w:pPr>
      <w:r w:rsidRPr="00147D04">
        <w:rPr>
          <w:rFonts w:ascii="Times New Roman" w:eastAsia="Times New Roman" w:hAnsi="Times New Roman"/>
          <w:b/>
          <w:sz w:val="24"/>
          <w:szCs w:val="24"/>
          <w:lang w:val="en-US" w:eastAsia="en-GB"/>
        </w:rPr>
        <w:t>Acknowledgements</w:t>
      </w:r>
    </w:p>
    <w:p w14:paraId="35DB0CC6" w14:textId="7780D668" w:rsidR="00B61C6F" w:rsidRPr="00147D04" w:rsidRDefault="00B61C6F" w:rsidP="00B61C6F">
      <w:pPr>
        <w:spacing w:after="200" w:line="360" w:lineRule="auto"/>
        <w:jc w:val="both"/>
        <w:rPr>
          <w:rFonts w:ascii="Times New Roman" w:eastAsia="Times New Roman" w:hAnsi="Times New Roman"/>
          <w:lang w:val="en-US" w:eastAsia="en-GB"/>
        </w:rPr>
      </w:pPr>
      <w:r>
        <w:rPr>
          <w:rFonts w:ascii="Times New Roman" w:eastAsia="Times New Roman" w:hAnsi="Times New Roman"/>
          <w:lang w:val="en-US" w:eastAsia="en-GB"/>
        </w:rPr>
        <w:t>The authors would like to acknowledge</w:t>
      </w:r>
      <w:r>
        <w:rPr>
          <w:rFonts w:ascii="Palatino Linotype" w:hAnsi="Palatino Linotype"/>
          <w:color w:val="222222"/>
          <w:spacing w:val="3"/>
          <w:shd w:val="clear" w:color="auto" w:fill="FFFFFF"/>
        </w:rPr>
        <w:t xml:space="preserve"> </w:t>
      </w:r>
      <w:r w:rsidRPr="00147D04">
        <w:rPr>
          <w:rFonts w:ascii="Times New Roman" w:eastAsia="Times New Roman" w:hAnsi="Times New Roman"/>
          <w:lang w:val="en-US" w:eastAsia="en-GB"/>
        </w:rPr>
        <w:t>the European Union’s Horizon 2020 research and innovation programme under grant a</w:t>
      </w:r>
      <w:r w:rsidR="0089624A">
        <w:rPr>
          <w:rFonts w:ascii="Times New Roman" w:eastAsia="Times New Roman" w:hAnsi="Times New Roman"/>
          <w:lang w:val="en-US" w:eastAsia="en-GB"/>
        </w:rPr>
        <w:t xml:space="preserve">greement No 657466 (INPATH-TES) and the ERC starter grant (6XXXX).  Further to this they would like to acknowledge </w:t>
      </w:r>
      <w:r w:rsidR="00432EA3">
        <w:rPr>
          <w:rFonts w:ascii="Times New Roman" w:eastAsia="Times New Roman" w:hAnsi="Times New Roman"/>
          <w:lang w:val="en-US" w:eastAsia="en-GB"/>
        </w:rPr>
        <w:t xml:space="preserve">support from </w:t>
      </w:r>
      <w:r w:rsidR="0089624A">
        <w:rPr>
          <w:rFonts w:ascii="Times New Roman" w:eastAsia="Times New Roman" w:hAnsi="Times New Roman"/>
          <w:lang w:val="en-US" w:eastAsia="en-GB"/>
        </w:rPr>
        <w:t>Science Foundation I</w:t>
      </w:r>
      <w:r w:rsidR="00432EA3">
        <w:rPr>
          <w:rFonts w:ascii="Times New Roman" w:eastAsia="Times New Roman" w:hAnsi="Times New Roman"/>
          <w:lang w:val="en-US" w:eastAsia="en-GB"/>
        </w:rPr>
        <w:t>reland.</w:t>
      </w:r>
    </w:p>
    <w:p w14:paraId="2F85DA0D" w14:textId="77777777" w:rsidR="00B61C6F" w:rsidRDefault="00B61C6F" w:rsidP="00B61C6F">
      <w:pPr>
        <w:rPr>
          <w:rFonts w:ascii="Times New Roman" w:hAnsi="Times New Roman"/>
          <w:lang w:val="en-US"/>
        </w:rPr>
      </w:pPr>
    </w:p>
    <w:p w14:paraId="3D0B018F" w14:textId="77777777" w:rsidR="00B61C6F" w:rsidRPr="00000CD5" w:rsidRDefault="00B61C6F" w:rsidP="00B61C6F">
      <w:pPr>
        <w:pStyle w:val="PreHeading1"/>
        <w:rPr>
          <w:rFonts w:eastAsia="Times New Roman" w:cs="Times New Roman"/>
          <w:sz w:val="24"/>
          <w:szCs w:val="24"/>
          <w:lang w:val="en-US" w:eastAsia="en-GB"/>
        </w:rPr>
      </w:pPr>
      <w:r w:rsidRPr="00000CD5">
        <w:rPr>
          <w:rFonts w:eastAsia="Times New Roman" w:cs="Times New Roman"/>
          <w:sz w:val="24"/>
          <w:szCs w:val="24"/>
          <w:lang w:val="en-US" w:eastAsia="en-GB"/>
        </w:rPr>
        <w:t>References</w:t>
      </w:r>
    </w:p>
    <w:p w14:paraId="6A47A6CF" w14:textId="77777777" w:rsidR="00B61C6F" w:rsidRPr="00000CD5" w:rsidRDefault="00B61C6F" w:rsidP="00B61C6F">
      <w:pPr>
        <w:pStyle w:val="EndNoteBibliography"/>
        <w:spacing w:after="240"/>
        <w:ind w:left="720" w:hanging="720"/>
      </w:pPr>
      <w:r w:rsidRPr="00000CD5">
        <w:fldChar w:fldCharType="begin"/>
      </w:r>
      <w:r w:rsidRPr="00000CD5">
        <w:instrText xml:space="preserve"> ADDIN EN.REFLIST </w:instrText>
      </w:r>
      <w:r w:rsidRPr="00000CD5">
        <w:fldChar w:fldCharType="separate"/>
      </w:r>
      <w:r w:rsidRPr="00000CD5">
        <w:t>Abdolzadeh, M. &amp; Ameri, M., 2009. Improving the effectiveness of a photovoltaic water pumping system by spraying water over the front of photovoltaic cells. Renewable Energy, 34</w:t>
      </w:r>
      <w:r w:rsidRPr="00000CD5">
        <w:rPr>
          <w:b/>
        </w:rPr>
        <w:t>,</w:t>
      </w:r>
      <w:r w:rsidRPr="00000CD5">
        <w:t xml:space="preserve"> 91-96.</w:t>
      </w:r>
    </w:p>
    <w:p w14:paraId="59D74790" w14:textId="77777777" w:rsidR="00B61C6F" w:rsidRPr="00000CD5" w:rsidRDefault="00B61C6F" w:rsidP="00B61C6F">
      <w:pPr>
        <w:pStyle w:val="EndNoteBibliography"/>
        <w:spacing w:after="240"/>
        <w:ind w:left="720" w:hanging="720"/>
      </w:pPr>
      <w:r w:rsidRPr="00000CD5">
        <w:t>Aelenei, L., Pereira, R. &amp; Goçalves, H., 2013. BIPV/T versus BIPV/T-PCM: A numerical investigation of advanced system integrated into Solar XXI building façade.  2nd International Conference on Sustainable Energy Storage, Trinity College, Dublin, Ireland.</w:t>
      </w:r>
    </w:p>
    <w:p w14:paraId="32E13C86" w14:textId="77777777" w:rsidR="00B61C6F" w:rsidRPr="00000CD5" w:rsidRDefault="00B61C6F" w:rsidP="00B61C6F">
      <w:pPr>
        <w:pStyle w:val="EndNoteBibliography"/>
        <w:spacing w:after="240"/>
        <w:ind w:left="720" w:hanging="720"/>
      </w:pPr>
      <w:r w:rsidRPr="00000CD5">
        <w:rPr>
          <w:lang w:val="es-PY"/>
        </w:rPr>
        <w:lastRenderedPageBreak/>
        <w:t xml:space="preserve">Aelenei, L., Pereira, R., Goçalves, H. &amp; Athienitis, A., 2014. </w:t>
      </w:r>
      <w:r w:rsidRPr="00000CD5">
        <w:t>Thermal Performance of a Hybrid BIPV-PCM: Modeling, Design and Experimental Investigation. Energy Procedia, 48</w:t>
      </w:r>
      <w:r w:rsidRPr="00000CD5">
        <w:rPr>
          <w:b/>
        </w:rPr>
        <w:t>,</w:t>
      </w:r>
      <w:r w:rsidRPr="00000CD5">
        <w:t xml:space="preserve"> 474-483.</w:t>
      </w:r>
    </w:p>
    <w:p w14:paraId="05DBB906" w14:textId="77777777" w:rsidR="00B61C6F" w:rsidRPr="00000CD5" w:rsidRDefault="00B61C6F" w:rsidP="00B61C6F">
      <w:pPr>
        <w:pStyle w:val="EndNoteBibliography"/>
        <w:spacing w:after="240"/>
        <w:ind w:left="720" w:hanging="720"/>
      </w:pPr>
      <w:r w:rsidRPr="00000CD5">
        <w:t>Agyenim, F., Hewitt, N., Eames, P. &amp; Smyth, M., 2010. A review of materials, heat transfer and phase change problem formulation for latent heat thermal energy storage systems (LHTESS). Renewable and Sustainable Energy Reviews, 14</w:t>
      </w:r>
      <w:r w:rsidRPr="00000CD5">
        <w:rPr>
          <w:b/>
        </w:rPr>
        <w:t>,</w:t>
      </w:r>
      <w:r w:rsidRPr="00000CD5">
        <w:t xml:space="preserve"> 615-628.</w:t>
      </w:r>
    </w:p>
    <w:p w14:paraId="5955D493" w14:textId="77777777" w:rsidR="00B61C6F" w:rsidRPr="00000CD5" w:rsidRDefault="00B61C6F" w:rsidP="00B61C6F">
      <w:pPr>
        <w:pStyle w:val="EndNoteBibliography"/>
        <w:spacing w:after="240"/>
        <w:ind w:left="720" w:hanging="720"/>
      </w:pPr>
      <w:r w:rsidRPr="00000CD5">
        <w:t>Al-Hallaj, S. &amp; Selman, J. R., 2005. Thermal management of battery systems. United States of America patent application.</w:t>
      </w:r>
    </w:p>
    <w:p w14:paraId="4CC8EA7C" w14:textId="77777777" w:rsidR="00B61C6F" w:rsidRPr="00000CD5" w:rsidRDefault="00B61C6F" w:rsidP="00B61C6F">
      <w:pPr>
        <w:pStyle w:val="EndNoteBibliography"/>
        <w:spacing w:after="240"/>
        <w:ind w:left="720" w:hanging="720"/>
      </w:pPr>
      <w:r w:rsidRPr="00000CD5">
        <w:t>Ames, W. D., 1983. Photovoltaic devices for producing electrical and heat energy. United States of America patent application.</w:t>
      </w:r>
    </w:p>
    <w:p w14:paraId="52D88424"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Baker, J. (2008). New technology and possible advances in energy storage. Energy Policy, 36(12), 4368–4373. https://doi.org/10.1016/j.enpol.2008.09.040</w:t>
      </w:r>
    </w:p>
    <w:p w14:paraId="575244E6"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t xml:space="preserve">Balcombe, P., Rigby, D., &amp; Azapagic, A. (2015). Energy self-sufficiency, grid demand variability and consumer costs: Integrating solar PV, Stirling engine CHP and battery storage. </w:t>
      </w:r>
      <w:r w:rsidRPr="00000CD5">
        <w:rPr>
          <w:rFonts w:ascii="Times New Roman" w:hAnsi="Times New Roman"/>
          <w:iCs/>
          <w:noProof/>
        </w:rPr>
        <w:t>Applied Energy</w:t>
      </w:r>
      <w:r w:rsidRPr="00000CD5">
        <w:rPr>
          <w:rFonts w:ascii="Times New Roman" w:hAnsi="Times New Roman"/>
          <w:noProof/>
        </w:rPr>
        <w:t xml:space="preserve">, </w:t>
      </w:r>
      <w:r w:rsidRPr="00000CD5">
        <w:rPr>
          <w:rFonts w:ascii="Times New Roman" w:hAnsi="Times New Roman"/>
          <w:iCs/>
          <w:noProof/>
        </w:rPr>
        <w:t>155</w:t>
      </w:r>
      <w:r w:rsidRPr="00000CD5">
        <w:rPr>
          <w:rFonts w:ascii="Times New Roman" w:hAnsi="Times New Roman"/>
          <w:noProof/>
        </w:rPr>
        <w:t>, 393–408. https://doi.org/10.1016/j.apenergy.2015.06.017</w:t>
      </w:r>
    </w:p>
    <w:p w14:paraId="0A2A1402" w14:textId="77777777" w:rsidR="00B61C6F"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Battke, B., Schmidt, T.S., Grosspietsch, D., Hoffmann, V.H., 2013. A review and probabilistic model of lifecycle costs of stationary batteries in multiple applications. Renew. Sustain. Energy Rev. 25, 240–250. doi:10.1016/j.rser.2013.04.023</w:t>
      </w:r>
    </w:p>
    <w:p w14:paraId="0B4E4C26"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Pr>
          <w:rFonts w:ascii="Times New Roman" w:hAnsi="Times New Roman"/>
          <w:noProof/>
        </w:rPr>
        <w:t>Bakelli, Y., Arab, A.H., Azoui, B., 2011, Optimal sizing of photovoltaic pumping system with wter tank storage using LPSP concept, Solar Energy, 85, 288-294</w:t>
      </w:r>
    </w:p>
    <w:p w14:paraId="55CC02DA" w14:textId="77777777" w:rsidR="00B61C6F" w:rsidRPr="00000CD5" w:rsidRDefault="00B61C6F" w:rsidP="00B61C6F">
      <w:pPr>
        <w:rPr>
          <w:rFonts w:ascii="Times New Roman" w:eastAsia="Times New Roman" w:hAnsi="Times New Roman"/>
          <w:lang w:eastAsia="en-GB"/>
        </w:rPr>
      </w:pPr>
      <w:r w:rsidRPr="00000CD5">
        <w:rPr>
          <w:rFonts w:ascii="Times New Roman" w:eastAsia="Times New Roman" w:hAnsi="Times New Roman"/>
          <w:lang w:eastAsia="en-GB"/>
        </w:rPr>
        <w:t>BBC report, 2017. Solar challenge race begins in Australia [online], http://www.bbc.co.uk/news/world-australia-41541243?utm_source=Energy+News+Update+latest&amp;utm_campaign=d619834a5f-EMAIL_CAMPAIGN_2017_10_09&amp;utm_medium=email&amp;utm_term=0_16d8fa61f5-d619834a5f-149256693. [accessed 11th Oct 2017]</w:t>
      </w:r>
    </w:p>
    <w:p w14:paraId="0E96561E" w14:textId="77777777" w:rsidR="00B61C6F" w:rsidRPr="00000CD5" w:rsidRDefault="00B61C6F" w:rsidP="00B61C6F">
      <w:pPr>
        <w:pStyle w:val="EndNoteBibliography"/>
        <w:spacing w:after="240"/>
        <w:ind w:left="720" w:hanging="720"/>
      </w:pPr>
      <w:r w:rsidRPr="00000CD5">
        <w:t>Biwole, P. H., Eclache, P. &amp; Kuznik, F., 2013. Phase-change materials to improve solar panel's performance. Energy and Buildings, 62</w:t>
      </w:r>
      <w:r w:rsidRPr="00000CD5">
        <w:rPr>
          <w:b/>
        </w:rPr>
        <w:t>,</w:t>
      </w:r>
      <w:r w:rsidRPr="00000CD5">
        <w:t xml:space="preserve"> 59-67.</w:t>
      </w:r>
    </w:p>
    <w:p w14:paraId="3872661C" w14:textId="77777777" w:rsidR="00B61C6F" w:rsidRPr="00000CD5" w:rsidRDefault="00B61C6F" w:rsidP="00B61C6F">
      <w:pPr>
        <w:pStyle w:val="EndNoteBibliography"/>
        <w:spacing w:after="240"/>
        <w:ind w:left="720" w:hanging="720"/>
      </w:pPr>
      <w:r w:rsidRPr="00000CD5">
        <w:t>Browne, M., Norton, B. &amp; McCormack, S., 2015a. Phase change materials for photovoltaic thermal management. In Review Renewable and sustainable energy reviews.</w:t>
      </w:r>
    </w:p>
    <w:p w14:paraId="17C41644" w14:textId="77777777" w:rsidR="00B61C6F" w:rsidRPr="00000CD5" w:rsidRDefault="00B61C6F" w:rsidP="00B61C6F">
      <w:pPr>
        <w:pStyle w:val="EndNoteBibliography"/>
        <w:spacing w:after="240"/>
        <w:ind w:left="720" w:hanging="720"/>
      </w:pPr>
      <w:r w:rsidRPr="00000CD5">
        <w:t>Browne, M., Norton, B. &amp; McCormack, S. 2016. Heat retention of a photovoltaic/thermal collector with PCM, Solar Energy, Volume 133, Pages 533-548, ISSN 0038-092X.</w:t>
      </w:r>
    </w:p>
    <w:p w14:paraId="5896FD3A"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t xml:space="preserve">Cabeza, L. F. (2012). Thermal Energy Storage. In </w:t>
      </w:r>
      <w:r w:rsidRPr="00000CD5">
        <w:rPr>
          <w:rFonts w:ascii="Times New Roman" w:hAnsi="Times New Roman"/>
          <w:iCs/>
          <w:noProof/>
        </w:rPr>
        <w:t>Comprehensive Renewable Energy</w:t>
      </w:r>
      <w:r w:rsidRPr="00000CD5">
        <w:rPr>
          <w:rFonts w:ascii="Times New Roman" w:hAnsi="Times New Roman"/>
          <w:noProof/>
        </w:rPr>
        <w:t xml:space="preserve"> (pp. 211–253). https://doi.org/10.1016/B978-0-08-087872-0.00307-3</w:t>
      </w:r>
    </w:p>
    <w:p w14:paraId="337D81B2" w14:textId="6E46C168" w:rsidR="00B61C6F" w:rsidRDefault="00B61C6F" w:rsidP="00B61C6F">
      <w:pPr>
        <w:pStyle w:val="EndNoteBibliography"/>
        <w:spacing w:after="240"/>
        <w:ind w:left="720" w:hanging="720"/>
      </w:pPr>
      <w:r w:rsidRPr="0052023B">
        <w:rPr>
          <w:lang w:val="es-PY"/>
        </w:rPr>
        <w:t xml:space="preserve">Cabeza, L. F., Castell, A., Barreneche, C., De Gracia, A. &amp; Fernández, A. I., 2011. </w:t>
      </w:r>
      <w:r w:rsidRPr="00000CD5">
        <w:t>Materials used as PCM in thermal energy storage in buildings: A review. Renewable and Sustainable Energy Reviews, 15</w:t>
      </w:r>
      <w:r w:rsidRPr="00000CD5">
        <w:rPr>
          <w:b/>
        </w:rPr>
        <w:t>,</w:t>
      </w:r>
      <w:r w:rsidRPr="00000CD5">
        <w:t xml:space="preserve"> 1675-1695.</w:t>
      </w:r>
    </w:p>
    <w:p w14:paraId="4711F75F" w14:textId="56BFCD5C" w:rsidR="00CA1C3F" w:rsidRDefault="00CA1C3F" w:rsidP="00CA1C3F">
      <w:pPr>
        <w:pStyle w:val="EndNoteBibliography"/>
        <w:spacing w:after="240"/>
        <w:ind w:left="720" w:hanging="720"/>
      </w:pPr>
      <w:r>
        <w:t>Castillo-Cagigal,</w:t>
      </w:r>
      <w:r w:rsidRPr="00CA1C3F">
        <w:t xml:space="preserve"> </w:t>
      </w:r>
      <w:r>
        <w:t>M., Caamaño-Martín, E., Matallanas, E., Masa-Bote, D., Gutiérrez,  A., Monasterio-Huelin,  F., Jiménez-Leube, J., 2011.  PV self-consumption optimization with storage and Active DSM for the residential sector, In Solar Energy, Volume 85, Issue 9, Pages 2338-2348, ISSN 0038-092X.</w:t>
      </w:r>
    </w:p>
    <w:p w14:paraId="70E56B85" w14:textId="77777777" w:rsidR="00B61C6F" w:rsidRPr="00000CD5" w:rsidRDefault="00B61C6F" w:rsidP="00B61C6F">
      <w:pPr>
        <w:pStyle w:val="EndNoteBibliography"/>
        <w:spacing w:after="240"/>
        <w:ind w:left="720" w:hanging="720"/>
      </w:pPr>
      <w:r w:rsidRPr="00000CD5">
        <w:lastRenderedPageBreak/>
        <w:t>Cellura, M. C., Branco, G. L., Marvaglia, V. &amp; Orioli, A., 2008. A photovoltaic panel coupled with a phase changing material heat storage system in hot climates.  25th Conference on Passive and Low Energy Architecture, Dublin.</w:t>
      </w:r>
    </w:p>
    <w:p w14:paraId="2C5AAFB3"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Chen, H., Cong, T.N., Yang, W., Tan, C., Li, Y., Ding, Y., 2009. Progress in electrical energy storage system: A critical review. Prog. Nat. Sci. 19, 291–312. doi:10.1016/j.pnsc.2008.07.014</w:t>
      </w:r>
    </w:p>
    <w:p w14:paraId="2E132C89" w14:textId="77777777" w:rsidR="00B61C6F" w:rsidRPr="00000CD5" w:rsidRDefault="00B61C6F" w:rsidP="00B61C6F">
      <w:pPr>
        <w:pStyle w:val="EndNoteBibliography"/>
        <w:spacing w:after="240"/>
        <w:ind w:left="720" w:hanging="720"/>
      </w:pPr>
      <w:r w:rsidRPr="00000CD5">
        <w:t>Chow, T. T., Hand, J. W. &amp; Strachan, P. A., 2003. Building-integrated photovoltaic and thermal applications in a subtropical hotel building. Applied Thermal Engineering, 23</w:t>
      </w:r>
      <w:r w:rsidRPr="00000CD5">
        <w:rPr>
          <w:b/>
        </w:rPr>
        <w:t>,</w:t>
      </w:r>
      <w:r w:rsidRPr="00000CD5">
        <w:t xml:space="preserve"> 2035-2049.</w:t>
      </w:r>
    </w:p>
    <w:p w14:paraId="30A05AB0" w14:textId="77777777" w:rsidR="00B61C6F"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t xml:space="preserve">Dinçer, İ., &amp; Rosen, M. A. (2010). Thermal Energy Storage (TES) Methods. In </w:t>
      </w:r>
      <w:r w:rsidRPr="00000CD5">
        <w:rPr>
          <w:rFonts w:ascii="Times New Roman" w:hAnsi="Times New Roman"/>
          <w:iCs/>
          <w:noProof/>
        </w:rPr>
        <w:t>Thermal Energy Storage</w:t>
      </w:r>
      <w:r w:rsidRPr="00000CD5">
        <w:rPr>
          <w:rFonts w:ascii="Times New Roman" w:hAnsi="Times New Roman"/>
          <w:noProof/>
        </w:rPr>
        <w:t xml:space="preserve"> (pp. 83–190). https://doi.org/10.1002/9780470970751.ch3</w:t>
      </w:r>
    </w:p>
    <w:p w14:paraId="12C3E064" w14:textId="77777777" w:rsidR="00B61C6F" w:rsidRPr="006A7F6D" w:rsidRDefault="00B61C6F" w:rsidP="00B61C6F">
      <w:pPr>
        <w:pStyle w:val="EndNoteBibliography"/>
        <w:spacing w:after="240"/>
        <w:ind w:left="720" w:hanging="720"/>
      </w:pPr>
      <w:r w:rsidRPr="006A7F6D">
        <w:t xml:space="preserve">Energy Storage Association, 2017, www.electricitystorage.org, </w:t>
      </w:r>
      <w:r w:rsidRPr="006A7F6D">
        <w:rPr>
          <w:rFonts w:eastAsia="Times New Roman"/>
          <w:lang w:eastAsia="en-GB"/>
        </w:rPr>
        <w:t>[accessed 13th Oct 2017]</w:t>
      </w:r>
    </w:p>
    <w:p w14:paraId="7F84169E" w14:textId="77777777" w:rsidR="00B61C6F" w:rsidRPr="0052023B" w:rsidRDefault="00B61C6F" w:rsidP="00B61C6F">
      <w:pPr>
        <w:widowControl w:val="0"/>
        <w:autoSpaceDE w:val="0"/>
        <w:adjustRightInd w:val="0"/>
        <w:spacing w:after="200" w:line="240" w:lineRule="auto"/>
        <w:ind w:left="480" w:hanging="480"/>
        <w:rPr>
          <w:rFonts w:ascii="Times New Roman" w:hAnsi="Times New Roman"/>
          <w:noProof/>
          <w:lang w:val="en-US"/>
        </w:rPr>
      </w:pPr>
      <w:r w:rsidRPr="00000CD5">
        <w:rPr>
          <w:rFonts w:ascii="Times New Roman" w:hAnsi="Times New Roman"/>
          <w:noProof/>
        </w:rPr>
        <w:t xml:space="preserve">Feng, X., Gooi, H.B., Chen, S., 2015. Capacity fade-based energy management for lithium-ion batteries used in PV systems. </w:t>
      </w:r>
      <w:r w:rsidRPr="0052023B">
        <w:rPr>
          <w:rFonts w:ascii="Times New Roman" w:hAnsi="Times New Roman"/>
          <w:noProof/>
          <w:lang w:val="en-US"/>
        </w:rPr>
        <w:t>Electr. Power Syst. Res. 129, 150–159. doi:10.1016/j.epsr.2015.08.011</w:t>
      </w:r>
    </w:p>
    <w:p w14:paraId="0964B7BE" w14:textId="77777777" w:rsidR="00B61C6F" w:rsidRPr="0052023B" w:rsidRDefault="00B61C6F" w:rsidP="00B61C6F">
      <w:pPr>
        <w:pStyle w:val="EndNoteBibliography"/>
        <w:spacing w:after="240"/>
        <w:ind w:left="720" w:hanging="720"/>
        <w:rPr>
          <w:lang w:val="es-PY"/>
        </w:rPr>
      </w:pPr>
      <w:r w:rsidRPr="00000CD5">
        <w:t xml:space="preserve">Fraisse, G., Ménézo, C. &amp; Johannes, K., 2007. Energy performance of water hybrid PV/T collectors applied to combisystems of Direct Solar Floor type. </w:t>
      </w:r>
      <w:r w:rsidRPr="0052023B">
        <w:rPr>
          <w:lang w:val="es-PY"/>
        </w:rPr>
        <w:t>Solar Energy, 81</w:t>
      </w:r>
      <w:r w:rsidRPr="0052023B">
        <w:rPr>
          <w:b/>
          <w:lang w:val="es-PY"/>
        </w:rPr>
        <w:t>,</w:t>
      </w:r>
      <w:r w:rsidRPr="0052023B">
        <w:rPr>
          <w:lang w:val="es-PY"/>
        </w:rPr>
        <w:t xml:space="preserve"> 1426-1438.</w:t>
      </w:r>
    </w:p>
    <w:p w14:paraId="77E9AFBD"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52023B">
        <w:rPr>
          <w:rFonts w:ascii="Times New Roman" w:eastAsiaTheme="minorHAnsi" w:hAnsi="Times New Roman"/>
          <w:noProof/>
          <w:lang w:val="es-PY"/>
        </w:rPr>
        <w:t xml:space="preserve">Gil, A., Medrano, M., Martorell, I., Lázaro, A., Dolado, P., Zalba, B., Cabeza, L.F., 2010. </w:t>
      </w:r>
      <w:r w:rsidRPr="00000CD5">
        <w:rPr>
          <w:rFonts w:ascii="Times New Roman" w:eastAsiaTheme="minorHAnsi" w:hAnsi="Times New Roman"/>
          <w:noProof/>
          <w:lang w:val="en-US"/>
        </w:rPr>
        <w:t xml:space="preserve">State of the art on high temperature thermal energy storage for power generation. Part 1-Concepts, materials and modellization. Renew. Sustain. Energy Rev. </w:t>
      </w:r>
    </w:p>
    <w:p w14:paraId="5B07DCF2" w14:textId="77777777" w:rsidR="00B61C6F" w:rsidRPr="00000CD5" w:rsidRDefault="00B61C6F" w:rsidP="00B61C6F">
      <w:pPr>
        <w:pStyle w:val="EndNoteBibliography"/>
        <w:spacing w:after="240"/>
        <w:ind w:left="720" w:hanging="720"/>
      </w:pPr>
      <w:r w:rsidRPr="00000CD5">
        <w:t>Günther, E., Hiebler, S., Mehling, H. &amp; Redlich, R., 2009. Enthalpy of Phase Change Materials as a Function of Temperature: Required Accuracy and Suitable Measurement Methods. International Journal of Thermophysics, 30</w:t>
      </w:r>
      <w:r w:rsidRPr="00000CD5">
        <w:rPr>
          <w:b/>
        </w:rPr>
        <w:t>,</w:t>
      </w:r>
      <w:r w:rsidRPr="00000CD5">
        <w:t xml:space="preserve"> 1257-1269.</w:t>
      </w:r>
    </w:p>
    <w:p w14:paraId="57B41058"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t xml:space="preserve">Hadjipaschalis, I., Poullikkas, A., &amp; Efthimiou, V. (2009). Overview of current and future energy storage technologies for electric power applications. </w:t>
      </w:r>
      <w:r w:rsidRPr="00000CD5">
        <w:rPr>
          <w:rFonts w:ascii="Times New Roman" w:hAnsi="Times New Roman"/>
          <w:iCs/>
          <w:noProof/>
        </w:rPr>
        <w:t>Renewable and Sustainable Energy Reviews</w:t>
      </w:r>
      <w:r w:rsidRPr="00000CD5">
        <w:rPr>
          <w:rFonts w:ascii="Times New Roman" w:hAnsi="Times New Roman"/>
          <w:noProof/>
        </w:rPr>
        <w:t>. https://doi.org/10.1016/j.rser.2008.09.028</w:t>
      </w:r>
    </w:p>
    <w:p w14:paraId="31E3F768"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Hanser, P., Lueken, R., Gorman, W., Mashal, J., 2017. The practicality of distributed PV-battery systems to reduce household grid reliance. Util. Policy 46, 22–32. doi:10.1016/j.jup.2017.03.004</w:t>
      </w:r>
    </w:p>
    <w:p w14:paraId="119718CA" w14:textId="77777777" w:rsidR="00B61C6F" w:rsidRPr="00000CD5" w:rsidRDefault="00B61C6F" w:rsidP="00B61C6F">
      <w:pPr>
        <w:pStyle w:val="EndNoteBibliography"/>
        <w:spacing w:after="240"/>
        <w:ind w:left="720" w:hanging="720"/>
      </w:pPr>
      <w:r w:rsidRPr="00000CD5">
        <w:t>Hasan, A., McCormack, S., Huang, M. &amp; Norton, B., 2014a. Energy and Cost Saving of a Photovoltaic-Phase Change Materials (PV-PCM) System through Temperature Regulation and Performance Enhancement of Photovoltaics. Energies, 7</w:t>
      </w:r>
      <w:r w:rsidRPr="00000CD5">
        <w:rPr>
          <w:b/>
        </w:rPr>
        <w:t>,</w:t>
      </w:r>
      <w:r w:rsidRPr="00000CD5">
        <w:t xml:space="preserve"> 1318-1331.</w:t>
      </w:r>
    </w:p>
    <w:p w14:paraId="6C9EC636" w14:textId="77777777" w:rsidR="00B61C6F" w:rsidRPr="0052023B" w:rsidRDefault="00B61C6F" w:rsidP="00B61C6F">
      <w:pPr>
        <w:pStyle w:val="EndNoteBibliography"/>
        <w:spacing w:after="240"/>
        <w:ind w:left="720" w:hanging="720"/>
        <w:rPr>
          <w:lang w:val="es-PY"/>
        </w:rPr>
      </w:pPr>
      <w:r w:rsidRPr="00000CD5">
        <w:t xml:space="preserve">Hasan, A., McCormack, S. J., Huang, M. J., Norton, B., 2010b. Evaluation of phase change materials for thermal regulation enhancement of building integrated photovoltaics. </w:t>
      </w:r>
      <w:r w:rsidRPr="0052023B">
        <w:rPr>
          <w:lang w:val="es-PY"/>
        </w:rPr>
        <w:t>Solar Energy, 84</w:t>
      </w:r>
      <w:r w:rsidRPr="0052023B">
        <w:rPr>
          <w:b/>
          <w:lang w:val="es-PY"/>
        </w:rPr>
        <w:t>,</w:t>
      </w:r>
      <w:r w:rsidRPr="0052023B">
        <w:rPr>
          <w:lang w:val="es-PY"/>
        </w:rPr>
        <w:t xml:space="preserve"> 1601-1612.</w:t>
      </w:r>
    </w:p>
    <w:p w14:paraId="2226F4BD" w14:textId="77777777" w:rsidR="00B61C6F" w:rsidRPr="00000CD5" w:rsidRDefault="00B61C6F" w:rsidP="00B61C6F">
      <w:pPr>
        <w:pStyle w:val="EndNoteBibliography"/>
        <w:spacing w:after="240"/>
        <w:ind w:left="720" w:hanging="720"/>
      </w:pPr>
      <w:r w:rsidRPr="0052023B">
        <w:rPr>
          <w:lang w:val="es-PY"/>
        </w:rPr>
        <w:t xml:space="preserve">Hasan, A., Sarwar, J., Alnoman, H., Abdelbaqi, S., 2017. </w:t>
      </w:r>
      <w:r w:rsidRPr="00000CD5">
        <w:t>Yearly energy performance of a photovoltaic-phase change material (PV-PCM) system in hot climate. Solar Energy 146, 417–429.</w:t>
      </w:r>
    </w:p>
    <w:p w14:paraId="4B87B886" w14:textId="77777777" w:rsidR="00B61C6F" w:rsidRPr="00000CD5" w:rsidRDefault="00B61C6F" w:rsidP="00B61C6F">
      <w:pPr>
        <w:pStyle w:val="EndNoteBibliography"/>
        <w:spacing w:after="240"/>
        <w:ind w:left="720" w:hanging="720"/>
      </w:pPr>
      <w:r w:rsidRPr="00000CD5">
        <w:lastRenderedPageBreak/>
        <w:t>Ho, C. J., Chou, W.-L. &amp; Lai, C.-M., 2015. Thermal and electrical performance of a water-surface floating PV integrated with a water-saturated MEPCM layer. Energy Conversion and Management, 89</w:t>
      </w:r>
      <w:r w:rsidRPr="00000CD5">
        <w:rPr>
          <w:b/>
        </w:rPr>
        <w:t>,</w:t>
      </w:r>
      <w:r w:rsidRPr="00000CD5">
        <w:t xml:space="preserve"> 862-872.</w:t>
      </w:r>
    </w:p>
    <w:p w14:paraId="30BEB98F" w14:textId="77777777" w:rsidR="00B61C6F" w:rsidRPr="00000CD5" w:rsidRDefault="00B61C6F" w:rsidP="00B61C6F">
      <w:pPr>
        <w:pStyle w:val="EndNoteBibliography"/>
        <w:spacing w:after="240"/>
        <w:ind w:left="720" w:hanging="720"/>
      </w:pPr>
      <w:r w:rsidRPr="00000CD5">
        <w:t>Ho, C. J., Jou, B.-T., Lai, C.-M. &amp; Huang, C.-Y., 2013. Performance assessment of a BIPV integrated with a layer of water-saturated MEPCM. Energy and Buildings, 67</w:t>
      </w:r>
      <w:r w:rsidRPr="00000CD5">
        <w:rPr>
          <w:b/>
        </w:rPr>
        <w:t>,</w:t>
      </w:r>
      <w:r w:rsidRPr="00000CD5">
        <w:t xml:space="preserve"> 322-333.</w:t>
      </w:r>
    </w:p>
    <w:p w14:paraId="1FE1645D" w14:textId="77777777" w:rsidR="00B61C6F" w:rsidRPr="00000CD5" w:rsidRDefault="00B61C6F" w:rsidP="00B61C6F">
      <w:pPr>
        <w:pStyle w:val="EndNoteBibliography"/>
        <w:spacing w:after="240"/>
        <w:ind w:left="720" w:hanging="720"/>
      </w:pPr>
      <w:r w:rsidRPr="00000CD5">
        <w:t>Ho, C. J., Tanuwijava, A. O. &amp; Lai, C.-M., 2012. Thermal and electrical performance of a BIPV integrated with a microencapsulated phase change material layer. Energy and Buildings, 50</w:t>
      </w:r>
      <w:r w:rsidRPr="00000CD5">
        <w:rPr>
          <w:b/>
        </w:rPr>
        <w:t>,</w:t>
      </w:r>
      <w:r w:rsidRPr="00000CD5">
        <w:t xml:space="preserve"> 331-338.</w:t>
      </w:r>
    </w:p>
    <w:p w14:paraId="24D40D38"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Hoppmann, J., Volland, J., Schmidt, T.S., Hoffmann, V.H., 2014. The economic viability of battery storage for residential solar photovoltaic systems - A review and a simulation model. Renew. Sustain. Energy Rev. doi:10.1016/j.rser.2014.07.068</w:t>
      </w:r>
    </w:p>
    <w:p w14:paraId="760BD11E" w14:textId="77777777" w:rsidR="00B61C6F" w:rsidRPr="00000CD5" w:rsidRDefault="00B61C6F" w:rsidP="00B61C6F">
      <w:pPr>
        <w:pStyle w:val="EndNoteBibliography"/>
        <w:spacing w:after="240"/>
        <w:ind w:left="720" w:hanging="720"/>
      </w:pPr>
      <w:r w:rsidRPr="00000CD5">
        <w:t>Horne, W. E., 1993. Solar energy system.</w:t>
      </w:r>
    </w:p>
    <w:p w14:paraId="3E625972" w14:textId="77777777" w:rsidR="00B61C6F" w:rsidRPr="00000CD5" w:rsidRDefault="00B61C6F" w:rsidP="00B61C6F">
      <w:pPr>
        <w:pStyle w:val="EndNoteBibliography"/>
        <w:spacing w:after="240"/>
        <w:ind w:left="720" w:hanging="720"/>
      </w:pPr>
      <w:r w:rsidRPr="00000CD5">
        <w:t>Huang, M. J., Eames, P. C. &amp; Hewitt, N. J., 2006a. The application of a validated numerical model to predict the energy conservation potential of using phase change materials in the fabric of a building. Solar Energy Materials and Solar Cells, 90</w:t>
      </w:r>
      <w:r w:rsidRPr="00000CD5">
        <w:rPr>
          <w:b/>
        </w:rPr>
        <w:t>,</w:t>
      </w:r>
      <w:r w:rsidRPr="00000CD5">
        <w:t xml:space="preserve"> 1951-1960.</w:t>
      </w:r>
    </w:p>
    <w:p w14:paraId="5E0E3351" w14:textId="77777777" w:rsidR="00B61C6F" w:rsidRPr="00000CD5" w:rsidRDefault="00B61C6F" w:rsidP="00B61C6F">
      <w:pPr>
        <w:pStyle w:val="EndNoteBibliography"/>
        <w:spacing w:after="240"/>
        <w:ind w:left="720" w:hanging="720"/>
      </w:pPr>
      <w:r w:rsidRPr="00000CD5">
        <w:t>Huang, M. J., Eames, P. C. &amp; Norton, B., 2000. Chapter 454 - The Application of Computational Fluid Dynamics to Predict the Performance of Phase Change Materials for Control of Photovoltaic Cell Temperature in Buildings. World Renewable Energy Congress VI. Oxford: Pergamon.</w:t>
      </w:r>
    </w:p>
    <w:p w14:paraId="61D3A083" w14:textId="77777777" w:rsidR="00B61C6F" w:rsidRPr="00000CD5" w:rsidRDefault="00B61C6F" w:rsidP="00B61C6F">
      <w:pPr>
        <w:pStyle w:val="EndNoteBibliography"/>
        <w:spacing w:after="240"/>
        <w:ind w:left="720" w:hanging="720"/>
      </w:pPr>
      <w:r w:rsidRPr="00000CD5">
        <w:t>Huang, M. J., Eames, P. C. &amp; Norton, B., 2004. Thermal regulation of building-integrated photovoltaics using phase change materials. International Journal of Heat and Mass Transfer, 47</w:t>
      </w:r>
      <w:r w:rsidRPr="00000CD5">
        <w:rPr>
          <w:b/>
        </w:rPr>
        <w:t>,</w:t>
      </w:r>
      <w:r w:rsidRPr="00000CD5">
        <w:t xml:space="preserve"> 2715-2733.</w:t>
      </w:r>
    </w:p>
    <w:p w14:paraId="0EC1A59F" w14:textId="77777777" w:rsidR="00B61C6F" w:rsidRPr="00000CD5" w:rsidRDefault="00B61C6F" w:rsidP="00B61C6F">
      <w:pPr>
        <w:pStyle w:val="EndNoteBibliography"/>
        <w:spacing w:after="240"/>
        <w:ind w:left="720" w:hanging="720"/>
      </w:pPr>
      <w:r w:rsidRPr="00000CD5">
        <w:t>Huang, M. J., Eames, P. C. &amp; Norton, B., 2006b. Comparison of a small-scale 3D PCM thermal control model with a validated 2D PCM thermal control model. Solar Energy Materials and Solar Cells, 90</w:t>
      </w:r>
      <w:r w:rsidRPr="00000CD5">
        <w:rPr>
          <w:b/>
        </w:rPr>
        <w:t>,</w:t>
      </w:r>
      <w:r w:rsidRPr="00000CD5">
        <w:t xml:space="preserve"> 1961-1972.</w:t>
      </w:r>
    </w:p>
    <w:p w14:paraId="35FB8B0C" w14:textId="77777777" w:rsidR="00B61C6F" w:rsidRPr="00000CD5" w:rsidRDefault="00B61C6F" w:rsidP="00B61C6F">
      <w:pPr>
        <w:pStyle w:val="EndNoteBibliography"/>
        <w:spacing w:after="240"/>
        <w:ind w:left="720" w:hanging="720"/>
      </w:pPr>
      <w:r w:rsidRPr="00000CD5">
        <w:t>Huang, M. J., Eames, P. C. &amp; Norton, B., 2006c. Phase change materials for limiting temperature rise in building integrated photovoltaics. Solar Energy, 80</w:t>
      </w:r>
      <w:r w:rsidRPr="00000CD5">
        <w:rPr>
          <w:b/>
        </w:rPr>
        <w:t>,</w:t>
      </w:r>
      <w:r w:rsidRPr="00000CD5">
        <w:t xml:space="preserve"> 1121-1130.</w:t>
      </w:r>
    </w:p>
    <w:p w14:paraId="0E120D60" w14:textId="77777777" w:rsidR="00B61C6F" w:rsidRPr="00000CD5" w:rsidRDefault="00B61C6F" w:rsidP="00B61C6F">
      <w:pPr>
        <w:pStyle w:val="EndNoteBibliography"/>
        <w:spacing w:after="240"/>
        <w:ind w:left="720" w:hanging="720"/>
      </w:pPr>
      <w:r w:rsidRPr="00000CD5">
        <w:t>Huang, M. J., Eames, P. C., Norton, B. &amp; Hewitt, N. J., 2011. Natural convection in an internally finned phase change material heat sink for the thermal management of photovoltaics. Solar Energy Materials and Solar Cells, 95</w:t>
      </w:r>
      <w:r w:rsidRPr="00000CD5">
        <w:rPr>
          <w:b/>
        </w:rPr>
        <w:t>,</w:t>
      </w:r>
      <w:r w:rsidRPr="00000CD5">
        <w:t xml:space="preserve"> 1598-1603.</w:t>
      </w:r>
    </w:p>
    <w:p w14:paraId="6597D053" w14:textId="77777777" w:rsidR="00B61C6F" w:rsidRPr="00000CD5" w:rsidRDefault="00B61C6F" w:rsidP="00B61C6F">
      <w:pPr>
        <w:jc w:val="both"/>
        <w:rPr>
          <w:rFonts w:ascii="Times New Roman" w:eastAsia="Times New Roman" w:hAnsi="Times New Roman"/>
          <w:lang w:eastAsia="en-GB"/>
        </w:rPr>
      </w:pPr>
      <w:r w:rsidRPr="00000CD5">
        <w:rPr>
          <w:rFonts w:ascii="Times New Roman" w:eastAsia="Times New Roman" w:hAnsi="Times New Roman"/>
          <w:lang w:eastAsia="en-GB"/>
        </w:rPr>
        <w:t>Huang, M.J., and Hewitt, N.J., (2015). The Energy Conservation Potential of Using Phase Change Materials as Thermal Mass Material for Air Source Heat Pump Driven Underfloor Heating System in a Building, Book chapter, Progress in Clean Energy, Volume 2: Novel Systems and Applications, ISBN 978-3-319-17030-5.</w:t>
      </w:r>
    </w:p>
    <w:p w14:paraId="0C1FDFB0" w14:textId="77777777" w:rsidR="00B61C6F" w:rsidRPr="00000CD5" w:rsidRDefault="00B61C6F" w:rsidP="00B61C6F">
      <w:pPr>
        <w:pStyle w:val="EndNoteBibliography"/>
        <w:spacing w:after="240"/>
        <w:ind w:left="720" w:hanging="720"/>
      </w:pPr>
      <w:r w:rsidRPr="00000CD5">
        <w:t>Huang, M. J., Eames, P.C. And Norton, B.  , 2007. Comparison of Predictions Made Using a New 3D Phase Change Material Thermal Control Model with Experimental Measurements and Predictions Made Using a Validated 2D Model. Heat Transfer Engineering, 28</w:t>
      </w:r>
      <w:r w:rsidRPr="00000CD5">
        <w:rPr>
          <w:b/>
        </w:rPr>
        <w:t>,</w:t>
      </w:r>
      <w:r w:rsidRPr="00000CD5">
        <w:t xml:space="preserve"> 1.</w:t>
      </w:r>
    </w:p>
    <w:p w14:paraId="3DD52D1E" w14:textId="77777777" w:rsidR="00B61C6F" w:rsidRPr="00000CD5" w:rsidRDefault="00B61C6F" w:rsidP="00B61C6F">
      <w:pPr>
        <w:jc w:val="both"/>
        <w:rPr>
          <w:rFonts w:ascii="Times New Roman" w:eastAsia="Times New Roman" w:hAnsi="Times New Roman"/>
          <w:lang w:eastAsia="en-GB"/>
        </w:rPr>
      </w:pPr>
      <w:r w:rsidRPr="00000CD5">
        <w:rPr>
          <w:rFonts w:ascii="Times New Roman" w:eastAsia="Times New Roman" w:hAnsi="Times New Roman"/>
          <w:lang w:eastAsia="en-GB"/>
        </w:rPr>
        <w:t>Huang, M.J.,  2016. Phase change materials used for renewable energy storage in domestic buildings, WREC2016. Sep 2017.</w:t>
      </w:r>
    </w:p>
    <w:p w14:paraId="3630AAFF"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lastRenderedPageBreak/>
        <w:t xml:space="preserve">Ibrahim, H., Ilinca, A., &amp; Perron, J. (2008). Energy storage systems-Characteristics and comparisons. </w:t>
      </w:r>
      <w:r w:rsidRPr="00000CD5">
        <w:rPr>
          <w:rFonts w:ascii="Times New Roman" w:hAnsi="Times New Roman"/>
          <w:iCs/>
          <w:noProof/>
        </w:rPr>
        <w:t>Renewable and Sustainable Energy Reviews</w:t>
      </w:r>
      <w:r w:rsidRPr="00000CD5">
        <w:rPr>
          <w:rFonts w:ascii="Times New Roman" w:hAnsi="Times New Roman"/>
          <w:noProof/>
        </w:rPr>
        <w:t>. https://doi.org/10.1016/j.rser.2007.01.023</w:t>
      </w:r>
    </w:p>
    <w:p w14:paraId="041CBCFA"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Ibrahim, H., Beguenane, R., Merabet, A., 2012. Technical and financial benefits of electrical energy storage, in: 2012 IEEE Electrical Power and Energy Conference, EPEC 2012. pp. 86–91. doi:10.1109/EPEC.2012.6474985</w:t>
      </w:r>
    </w:p>
    <w:p w14:paraId="5D8A691B" w14:textId="77777777" w:rsidR="00B61C6F" w:rsidRDefault="00B61C6F" w:rsidP="00B61C6F">
      <w:pPr>
        <w:rPr>
          <w:rFonts w:ascii="Times New Roman" w:eastAsia="Times New Roman" w:hAnsi="Times New Roman"/>
          <w:lang w:eastAsia="en-GB"/>
        </w:rPr>
      </w:pPr>
      <w:r w:rsidRPr="00000CD5">
        <w:rPr>
          <w:rFonts w:ascii="Times New Roman" w:eastAsia="Times New Roman" w:hAnsi="Times New Roman"/>
          <w:lang w:eastAsia="en-GB"/>
        </w:rPr>
        <w:t>IEA, 2014. Technology Roadmap Solar Photovoltaic Energy 2014 edition, International Energy Agency, 2014. [online] https://www.iea.org/media/freepublications/technologyroadmaps/solar/TechnologyRoadmapSolarPhotovoltaicEnergy_2014edition.pdf [accessed 11th Oct 2017]</w:t>
      </w:r>
    </w:p>
    <w:p w14:paraId="21EF2A0B" w14:textId="77777777" w:rsidR="00B61C6F" w:rsidRPr="006A7F6D" w:rsidRDefault="00B61C6F" w:rsidP="00B61C6F">
      <w:pPr>
        <w:widowControl w:val="0"/>
        <w:autoSpaceDE w:val="0"/>
        <w:adjustRightInd w:val="0"/>
        <w:spacing w:after="200" w:line="360" w:lineRule="auto"/>
        <w:ind w:left="480" w:hanging="480"/>
        <w:rPr>
          <w:rFonts w:ascii="Times New Roman" w:eastAsia="Times New Roman" w:hAnsi="Times New Roman"/>
          <w:lang w:eastAsia="en-GB"/>
        </w:rPr>
      </w:pPr>
      <w:r w:rsidRPr="006A7F6D">
        <w:rPr>
          <w:rFonts w:ascii="Times New Roman" w:eastAsia="Times New Roman" w:hAnsi="Times New Roman"/>
          <w:lang w:eastAsia="en-GB"/>
        </w:rPr>
        <w:t>International Electrotechnical Commission, Commission, I.E., 2011. Electrical energy storage. US Pat. 4,366,216 91. doi:93</w:t>
      </w:r>
    </w:p>
    <w:p w14:paraId="6F2CBDC9" w14:textId="77777777" w:rsidR="00B61C6F" w:rsidRPr="00000CD5" w:rsidRDefault="00B61C6F" w:rsidP="00B61C6F">
      <w:pPr>
        <w:pStyle w:val="EndNoteBibliography"/>
        <w:spacing w:after="240"/>
        <w:ind w:left="720" w:hanging="720"/>
      </w:pPr>
      <w:r w:rsidRPr="00000CD5">
        <w:t>Japs, E., Sonnenrein, G., Steube, J., Vrabec, J., Kenig, E. &amp; Krauter, S., 2013. Technical Investigation of a Photovoltaic Module with Integrated Improved Phase Change Material.  28th European Photovoltaic Solar Energy Conference and Exhibition, Paris, France.</w:t>
      </w:r>
    </w:p>
    <w:p w14:paraId="2279C766" w14:textId="77777777" w:rsidR="00B61C6F" w:rsidRPr="00000CD5" w:rsidRDefault="00B61C6F" w:rsidP="00B61C6F">
      <w:pPr>
        <w:pStyle w:val="EndNoteBibliography"/>
        <w:spacing w:after="240"/>
        <w:ind w:left="720" w:hanging="720"/>
      </w:pPr>
      <w:r w:rsidRPr="00000CD5">
        <w:t>Jay, A., Clerc, S., Boillot, B., Bontemps, A. &amp; Jay, F., 2010. Use of Phase Change Material in order to maintain the temperature of integrated PV modules at a reasonable level.  25th European Photovoltaic Solare Energy Conference and Exhibition and 5th World Conference on Photovoltaic Energy Conversion, Valencia, Spain.</w:t>
      </w:r>
    </w:p>
    <w:p w14:paraId="34E365CD" w14:textId="77777777" w:rsidR="00B61C6F" w:rsidRPr="00000CD5" w:rsidRDefault="00B61C6F" w:rsidP="00B61C6F">
      <w:pPr>
        <w:rPr>
          <w:rFonts w:ascii="Times New Roman" w:eastAsia="Times New Roman" w:hAnsi="Times New Roman"/>
          <w:lang w:eastAsia="en-GB"/>
        </w:rPr>
      </w:pPr>
      <w:r w:rsidRPr="00000CD5">
        <w:rPr>
          <w:rFonts w:ascii="Times New Roman" w:eastAsia="Times New Roman" w:hAnsi="Times New Roman"/>
          <w:lang w:eastAsia="en-GB"/>
        </w:rPr>
        <w:t>Katiraei F, Aguero JR. 2011. Solar PV integration challenges. IEEE Power Energy Mag., 9: 62-71.</w:t>
      </w:r>
    </w:p>
    <w:p w14:paraId="12C549D5" w14:textId="77777777" w:rsidR="00B61C6F" w:rsidRPr="00000CD5" w:rsidRDefault="00B61C6F" w:rsidP="00B61C6F">
      <w:pPr>
        <w:pStyle w:val="EndNoteBibliography"/>
        <w:spacing w:after="240"/>
        <w:ind w:left="720" w:hanging="720"/>
      </w:pPr>
      <w:r w:rsidRPr="0052023B">
        <w:t xml:space="preserve">Kousksou, T., Bruel, P., Jamil, A., El Rhafiki, T. &amp; Zeraouli, Y., 2014. </w:t>
      </w:r>
      <w:r w:rsidRPr="00000CD5">
        <w:t>Energy storage: Applications and challenges. Solar Energy Materials and Solar Cells, 120, Part A</w:t>
      </w:r>
      <w:r w:rsidRPr="00000CD5">
        <w:rPr>
          <w:b/>
        </w:rPr>
        <w:t>,</w:t>
      </w:r>
      <w:r w:rsidRPr="00000CD5">
        <w:t xml:space="preserve"> 59-80.</w:t>
      </w:r>
    </w:p>
    <w:p w14:paraId="35AE3A7C" w14:textId="77777777" w:rsidR="00B61C6F" w:rsidRPr="00000CD5" w:rsidRDefault="00B61C6F" w:rsidP="00B61C6F">
      <w:pPr>
        <w:pStyle w:val="EndNoteBibliography"/>
        <w:spacing w:after="240"/>
        <w:ind w:left="720" w:hanging="720"/>
      </w:pPr>
      <w:r w:rsidRPr="00000CD5">
        <w:t>Krauter, S., Araújo, R. G., Schroer, S., Hanitsch, R., Salhi, M. J., Triebel, C. &amp; Lemoine, R., 1999. Combined photovoltaic and solar thermal systems for facade integration and building insulation. Solar Energy, 67</w:t>
      </w:r>
      <w:r w:rsidRPr="00000CD5">
        <w:rPr>
          <w:b/>
        </w:rPr>
        <w:t>,</w:t>
      </w:r>
      <w:r w:rsidRPr="00000CD5">
        <w:t xml:space="preserve"> 239-248.</w:t>
      </w:r>
    </w:p>
    <w:p w14:paraId="7806732C"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Lai, C.S., Jia, Y., Lai, L.L., Xu, Z., McCulloch, M.D., Wong, K.P., 2017. A comprehensive review on large-scale photovoltaic system with applications of electrical energy storage. Renew. Sustain. Energy Rev. doi:10.1016/j.rser.2017.04.078</w:t>
      </w:r>
    </w:p>
    <w:p w14:paraId="2A7D4DCE" w14:textId="77777777" w:rsidR="00B61C6F" w:rsidRPr="00000CD5" w:rsidRDefault="00B61C6F" w:rsidP="00B61C6F">
      <w:pPr>
        <w:pStyle w:val="EndNoteBibliography"/>
        <w:spacing w:after="240"/>
        <w:ind w:left="720" w:hanging="720"/>
      </w:pPr>
      <w:r w:rsidRPr="00000CD5">
        <w:t>Li, Y., Witharana, S., Cao, H., Lasfargues, M., Huang, Y. &amp; Ding, Y., 2013. Wide spectrum solar energy harvesting through an integrated photovoltaic and thermoelectric system. Particuology, 15</w:t>
      </w:r>
      <w:r w:rsidRPr="00000CD5">
        <w:rPr>
          <w:b/>
        </w:rPr>
        <w:t>,</w:t>
      </w:r>
      <w:r w:rsidRPr="00000CD5">
        <w:t xml:space="preserve"> 39-44.</w:t>
      </w:r>
    </w:p>
    <w:p w14:paraId="241EA431" w14:textId="77777777" w:rsidR="00B61C6F" w:rsidRPr="00000CD5" w:rsidRDefault="00B61C6F" w:rsidP="00B61C6F">
      <w:pPr>
        <w:pStyle w:val="EndNoteBibliography"/>
        <w:spacing w:after="240"/>
        <w:ind w:left="720" w:hanging="720"/>
      </w:pPr>
      <w:r w:rsidRPr="00000CD5">
        <w:t>Li, Z. &amp; Zhao, J., 2013. Aqueous solution-chemical derived NiAl2O3 solar selective absorbing coatings. 2. Wetting agents and spreading of aqueous solutions on aluminum substrate. Applied Surface Science, 268</w:t>
      </w:r>
      <w:r w:rsidRPr="00000CD5">
        <w:rPr>
          <w:b/>
        </w:rPr>
        <w:t>,</w:t>
      </w:r>
      <w:r w:rsidRPr="00000CD5">
        <w:t xml:space="preserve"> 231-236.</w:t>
      </w:r>
    </w:p>
    <w:p w14:paraId="468DA2CC" w14:textId="77777777" w:rsidR="00B61C6F" w:rsidRPr="00000CD5" w:rsidRDefault="00B61C6F" w:rsidP="00B61C6F">
      <w:pPr>
        <w:pStyle w:val="EndNoteBibliography"/>
        <w:spacing w:after="240"/>
        <w:ind w:left="720" w:hanging="720"/>
      </w:pPr>
      <w:r w:rsidRPr="00000CD5">
        <w:t>Lillo-Bravo, I., Silva-Perez, M. &amp; Larraneta Gomez-Caminero, M., Use of Phase Change Materials in Photovoltaic Modules with Solar Concentration of up to 2x 26th European Photovoltaic Solar Energy Conference and Exhibition, September 2011 Hamburg, Germany. 634-639.</w:t>
      </w:r>
    </w:p>
    <w:p w14:paraId="42AB5263" w14:textId="77777777" w:rsidR="00B61C6F" w:rsidRPr="00000CD5" w:rsidRDefault="00B61C6F" w:rsidP="00B61C6F">
      <w:pPr>
        <w:pStyle w:val="EndNoteBibliography"/>
        <w:spacing w:after="240"/>
        <w:ind w:left="720" w:hanging="720"/>
      </w:pPr>
      <w:r w:rsidRPr="00000CD5">
        <w:lastRenderedPageBreak/>
        <w:t>Ling, Z., Zhang, Z., Shi, G., Fang, X., Wang, L., Gao, X., Fang, Y., Xu, T., Wang, S. &amp; Liu, X., 2014. Review on thermal management systems using phase change materials for electronic components, Li-ion batteries and photovoltaic modules. Renewable and Sustainable Energy Reviews, 31</w:t>
      </w:r>
      <w:r w:rsidRPr="00000CD5">
        <w:rPr>
          <w:b/>
        </w:rPr>
        <w:t>,</w:t>
      </w:r>
      <w:r w:rsidRPr="00000CD5">
        <w:t xml:space="preserve"> 427-438.</w:t>
      </w:r>
    </w:p>
    <w:p w14:paraId="4184777B" w14:textId="77777777" w:rsidR="00B61C6F" w:rsidRPr="0052023B" w:rsidRDefault="00B61C6F" w:rsidP="00B61C6F">
      <w:pPr>
        <w:widowControl w:val="0"/>
        <w:autoSpaceDE w:val="0"/>
        <w:adjustRightInd w:val="0"/>
        <w:spacing w:after="200" w:line="240" w:lineRule="auto"/>
        <w:ind w:left="480" w:hanging="480"/>
        <w:rPr>
          <w:rFonts w:ascii="Times New Roman" w:hAnsi="Times New Roman"/>
          <w:noProof/>
          <w:lang w:val="es-PY"/>
        </w:rPr>
      </w:pPr>
      <w:r w:rsidRPr="00000CD5">
        <w:rPr>
          <w:rFonts w:ascii="Times New Roman" w:hAnsi="Times New Roman"/>
          <w:noProof/>
        </w:rPr>
        <w:t xml:space="preserve">Liu, G., Rasul, M.G., Amanullah, M.T.O., Khan, M.M.K., 2012. Techno-economic simulation and optimization of residential grid-connected PV system for the Queensland climate. </w:t>
      </w:r>
      <w:r w:rsidRPr="0052023B">
        <w:rPr>
          <w:rFonts w:ascii="Times New Roman" w:hAnsi="Times New Roman"/>
          <w:noProof/>
          <w:lang w:val="es-PY"/>
        </w:rPr>
        <w:t>Renew. Energy 45, 146–155. doi:10.1016/j.renene.2012.02.029</w:t>
      </w:r>
    </w:p>
    <w:p w14:paraId="11E88985" w14:textId="77777777" w:rsidR="00B61C6F" w:rsidRPr="00000CD5" w:rsidRDefault="00B61C6F" w:rsidP="00B61C6F">
      <w:pPr>
        <w:pStyle w:val="EndNoteBibliography"/>
        <w:spacing w:after="240"/>
        <w:ind w:left="720" w:hanging="720"/>
        <w:rPr>
          <w:lang w:val="es-PY"/>
        </w:rPr>
      </w:pPr>
      <w:r w:rsidRPr="00000CD5">
        <w:rPr>
          <w:lang w:val="es-PY"/>
        </w:rPr>
        <w:t xml:space="preserve">Lo Brano, V., Ciulla, G., Piacentino, A. &amp; Cardona, F., 2013. </w:t>
      </w:r>
      <w:r w:rsidRPr="00000CD5">
        <w:t xml:space="preserve">On the Efficacy of PCM to Shave Peak Temperature of Crystalline Photovoltaic Panels: An FDM Model and Field Validation. </w:t>
      </w:r>
      <w:r w:rsidRPr="00000CD5">
        <w:rPr>
          <w:lang w:val="es-PY"/>
        </w:rPr>
        <w:t>Energies, 6</w:t>
      </w:r>
      <w:r w:rsidRPr="00000CD5">
        <w:rPr>
          <w:b/>
          <w:lang w:val="es-PY"/>
        </w:rPr>
        <w:t>,</w:t>
      </w:r>
      <w:r w:rsidRPr="00000CD5">
        <w:rPr>
          <w:lang w:val="es-PY"/>
        </w:rPr>
        <w:t xml:space="preserve"> 6188-6210.</w:t>
      </w:r>
    </w:p>
    <w:p w14:paraId="20F07302" w14:textId="70670765" w:rsidR="00B61C6F" w:rsidRDefault="00B61C6F" w:rsidP="00B61C6F">
      <w:pPr>
        <w:pStyle w:val="EndNoteBibliography"/>
        <w:spacing w:after="240"/>
        <w:ind w:left="720" w:hanging="720"/>
      </w:pPr>
      <w:r w:rsidRPr="00000CD5">
        <w:rPr>
          <w:lang w:val="es-PY"/>
        </w:rPr>
        <w:t xml:space="preserve">Lo Brano, V., Ciulla, G., Piacentino, A. &amp; Cardona, F., 2014. </w:t>
      </w:r>
      <w:r w:rsidRPr="00000CD5">
        <w:t>Finite difference thermal model of a latent heat storage system coupled with a photovoltaic device: Description and experimental validation. Renewable Energy, 68</w:t>
      </w:r>
      <w:r w:rsidRPr="00000CD5">
        <w:rPr>
          <w:b/>
        </w:rPr>
        <w:t>,</w:t>
      </w:r>
      <w:r w:rsidRPr="00000CD5">
        <w:t xml:space="preserve"> 181-193.</w:t>
      </w:r>
    </w:p>
    <w:p w14:paraId="3B93A966" w14:textId="417DC58C" w:rsidR="005217DE" w:rsidRDefault="005217DE" w:rsidP="00B61C6F">
      <w:pPr>
        <w:pStyle w:val="EndNoteBibliography"/>
        <w:spacing w:after="240"/>
        <w:ind w:left="720" w:hanging="720"/>
      </w:pPr>
      <w:r>
        <w:t>Luthander, R., Widen, J., Nilsson, D., Palm, J., 2015. Photovoltaic self-consumption in buildings: A review. Applied Energy ´ 142, 80–94.</w:t>
      </w:r>
    </w:p>
    <w:p w14:paraId="4378D657" w14:textId="77777777" w:rsidR="00B61C6F" w:rsidRPr="00000CD5" w:rsidRDefault="00B61C6F" w:rsidP="00B61C6F">
      <w:pPr>
        <w:pStyle w:val="EndNoteBibliography"/>
        <w:spacing w:after="240"/>
        <w:ind w:left="720" w:hanging="720"/>
      </w:pPr>
      <w:r>
        <w:t>Ma, T., Yang, H., Lu, L., Peng J., 2015, Pumped storage-based standalone photovoltaic power generation system; Modeling and techno economic optimisation, Appplied Energy, 137, 649-658</w:t>
      </w:r>
    </w:p>
    <w:p w14:paraId="0DC38D71" w14:textId="77777777" w:rsidR="00B61C6F" w:rsidRPr="00000CD5" w:rsidRDefault="00B61C6F" w:rsidP="00B61C6F">
      <w:pPr>
        <w:pStyle w:val="EndNoteBibliography"/>
        <w:spacing w:after="240"/>
        <w:ind w:left="720" w:hanging="720"/>
      </w:pPr>
      <w:r w:rsidRPr="00000CD5">
        <w:t>Ma, T., Yang, H., Zhang, Y., Lu, L. &amp; Wang, X., 2015. Using phase change materials in photovoltaic systems for thermal regulation and electrical efficiency improvement: A review and outlook. Renewable and Sustainable Energy Reviews, 43</w:t>
      </w:r>
      <w:r w:rsidRPr="00000CD5">
        <w:rPr>
          <w:b/>
        </w:rPr>
        <w:t>,</w:t>
      </w:r>
      <w:r w:rsidRPr="00000CD5">
        <w:t xml:space="preserve"> 1273-1284.</w:t>
      </w:r>
    </w:p>
    <w:p w14:paraId="2215E69E" w14:textId="77777777" w:rsidR="00B61C6F" w:rsidRPr="00000CD5" w:rsidRDefault="00B61C6F" w:rsidP="00B61C6F">
      <w:pPr>
        <w:pStyle w:val="EndNoteBibliography"/>
        <w:spacing w:after="240"/>
        <w:ind w:left="720" w:hanging="720"/>
      </w:pPr>
      <w:r w:rsidRPr="00000CD5">
        <w:t>Maiti, S., Banerjee, S., Vyas, K., Patel, P. &amp; Ghosh, P. K., 2011. Self regulation of photovoltaic module temperature in V-trough using a metal-wax composite phase change matrix. Solar Energy, 85</w:t>
      </w:r>
      <w:r w:rsidRPr="00000CD5">
        <w:rPr>
          <w:b/>
        </w:rPr>
        <w:t>,</w:t>
      </w:r>
      <w:r w:rsidRPr="00000CD5">
        <w:t xml:space="preserve"> 1805-1816.</w:t>
      </w:r>
    </w:p>
    <w:p w14:paraId="3D3D0893" w14:textId="77777777" w:rsidR="00B61C6F"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t xml:space="preserve">Makarov, Y. V., Yang, B., DeSteese, J. G., Lu, S., Miller, C. H., Nyeng, P., Viswanathan, V. V. (2008). Wide-area energy storage and management system to balance intermittent resources in the Bonneville power administration and California ISO control areas. </w:t>
      </w:r>
      <w:r w:rsidRPr="00000CD5">
        <w:rPr>
          <w:rFonts w:ascii="Times New Roman" w:hAnsi="Times New Roman"/>
          <w:iCs/>
          <w:noProof/>
        </w:rPr>
        <w:t>Bonneville Power Administration</w:t>
      </w:r>
      <w:r w:rsidRPr="00000CD5">
        <w:rPr>
          <w:rFonts w:ascii="Times New Roman" w:hAnsi="Times New Roman"/>
          <w:noProof/>
        </w:rPr>
        <w:t>, 127. https://doi.org/10.2172/947483</w:t>
      </w:r>
    </w:p>
    <w:p w14:paraId="697ECCB0"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Pr>
          <w:rFonts w:ascii="Times New Roman" w:hAnsi="Times New Roman"/>
          <w:noProof/>
        </w:rPr>
        <w:t>Mallick, T.K., Eames, P.C., Hyde T.J., Norton B., 2004, The design and expermental characteriation of an asymetric compound parabolic concentratir for building façade integrtion in the U.K., Solar Energy, 77, 319-327.</w:t>
      </w:r>
    </w:p>
    <w:p w14:paraId="407F5B3F" w14:textId="77777777" w:rsidR="00B61C6F" w:rsidRPr="00053050" w:rsidRDefault="00B61C6F" w:rsidP="00B61C6F">
      <w:pPr>
        <w:pStyle w:val="EndNoteBibliography"/>
        <w:spacing w:after="240"/>
        <w:ind w:left="720" w:hanging="720"/>
      </w:pPr>
      <w:r w:rsidRPr="00000CD5">
        <w:t xml:space="preserve">Malvi, C. S., Dixon-Hardy, D. W. &amp; Crook, R., 2011. Energy balance model of combined photovoltaic solar-thermal system incorporating phase change material. </w:t>
      </w:r>
      <w:r w:rsidRPr="00053050">
        <w:t>Solar Energy, 85</w:t>
      </w:r>
      <w:r w:rsidRPr="00053050">
        <w:rPr>
          <w:b/>
        </w:rPr>
        <w:t>,</w:t>
      </w:r>
      <w:r w:rsidRPr="00053050">
        <w:t xml:space="preserve"> 1440-1446.</w:t>
      </w:r>
    </w:p>
    <w:p w14:paraId="70DC5B85" w14:textId="77777777" w:rsidR="00B61C6F" w:rsidRPr="00053050" w:rsidRDefault="00B61C6F" w:rsidP="00B61C6F">
      <w:pPr>
        <w:pStyle w:val="EndNoteBibliography"/>
        <w:spacing w:after="240"/>
        <w:ind w:left="720" w:hanging="720"/>
      </w:pPr>
    </w:p>
    <w:p w14:paraId="50B00323" w14:textId="77777777" w:rsidR="00B61C6F" w:rsidRPr="00053050" w:rsidRDefault="00B61C6F" w:rsidP="00B61C6F">
      <w:pPr>
        <w:pStyle w:val="EndNoteBibliography"/>
        <w:spacing w:after="240"/>
        <w:ind w:left="720" w:hanging="720"/>
      </w:pPr>
      <w:r w:rsidRPr="00053050">
        <w:t>Manolakosi , D., Papadakis, G., Papantonis, D., Kyritsis, S., 2004, A stand-alone photovoltaic power system for remote villages using pumped water energy storage, Energy, 29, 57-69.</w:t>
      </w:r>
    </w:p>
    <w:p w14:paraId="0B753F4B" w14:textId="77777777" w:rsidR="00B61C6F" w:rsidRPr="00000CD5" w:rsidRDefault="00B61C6F" w:rsidP="00B61C6F">
      <w:pPr>
        <w:pStyle w:val="EndNoteBibliography"/>
        <w:spacing w:after="240"/>
        <w:ind w:left="720" w:hanging="720"/>
      </w:pPr>
      <w:r w:rsidRPr="00000CD5">
        <w:rPr>
          <w:lang w:val="es-PY"/>
        </w:rPr>
        <w:t xml:space="preserve">Maturi, L., Belluardo, G., Moser, D. &amp; Del Buono, M., 2014. </w:t>
      </w:r>
      <w:r w:rsidRPr="00000CD5">
        <w:t>BiPV System Performance and Efficiency Drops: Overview on PV Module Temperature Conditions of Different Module Types. Energy Procedia, 48</w:t>
      </w:r>
      <w:r w:rsidRPr="00000CD5">
        <w:rPr>
          <w:b/>
        </w:rPr>
        <w:t>,</w:t>
      </w:r>
      <w:r w:rsidRPr="00000CD5">
        <w:t xml:space="preserve"> 1311-1319.</w:t>
      </w:r>
    </w:p>
    <w:p w14:paraId="2C09D11A" w14:textId="77777777" w:rsidR="00B61C6F" w:rsidRDefault="00B61C6F" w:rsidP="00B61C6F">
      <w:pPr>
        <w:widowControl w:val="0"/>
        <w:autoSpaceDE w:val="0"/>
        <w:adjustRightInd w:val="0"/>
        <w:spacing w:line="240" w:lineRule="auto"/>
        <w:ind w:left="480" w:hanging="480"/>
        <w:rPr>
          <w:rFonts w:ascii="Times New Roman" w:hAnsi="Times New Roman"/>
          <w:noProof/>
        </w:rPr>
      </w:pPr>
      <w:r w:rsidRPr="0052023B">
        <w:rPr>
          <w:rFonts w:ascii="Times New Roman" w:hAnsi="Times New Roman"/>
          <w:noProof/>
          <w:lang w:val="en-US"/>
        </w:rPr>
        <w:lastRenderedPageBreak/>
        <w:t xml:space="preserve">Mehling, H., &amp; Cabeza, L. F. (2008). </w:t>
      </w:r>
      <w:r w:rsidRPr="00000CD5">
        <w:rPr>
          <w:rFonts w:ascii="Times New Roman" w:hAnsi="Times New Roman"/>
          <w:iCs/>
          <w:noProof/>
        </w:rPr>
        <w:t>Heat and cold storage with PCM: an up to date introduction into basics and applications</w:t>
      </w:r>
      <w:r w:rsidRPr="00000CD5">
        <w:rPr>
          <w:rFonts w:ascii="Times New Roman" w:hAnsi="Times New Roman"/>
          <w:noProof/>
        </w:rPr>
        <w:t xml:space="preserve">. </w:t>
      </w:r>
      <w:r w:rsidRPr="00000CD5">
        <w:rPr>
          <w:rFonts w:ascii="Times New Roman" w:hAnsi="Times New Roman"/>
          <w:iCs/>
          <w:noProof/>
        </w:rPr>
        <w:t>Heat and cold storage with PCM: an up to date introduction into basics nd applications</w:t>
      </w:r>
      <w:r w:rsidRPr="00000CD5">
        <w:rPr>
          <w:rFonts w:ascii="Times New Roman" w:hAnsi="Times New Roman"/>
          <w:noProof/>
        </w:rPr>
        <w:t>. https://doi.org/10.1007/978-3-540-68557-9</w:t>
      </w:r>
    </w:p>
    <w:p w14:paraId="0FA79669"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Pr>
          <w:rFonts w:ascii="Times New Roman" w:hAnsi="Times New Roman"/>
          <w:noProof/>
        </w:rPr>
        <w:t>Odeh, I., Yohanis, Y.G., Norton, B., 2006, economic viability of photovoltaic water pumping systems, Solar Energy, 80, 850-860.</w:t>
      </w:r>
    </w:p>
    <w:p w14:paraId="2B41E3F5" w14:textId="77777777" w:rsidR="00B61C6F" w:rsidRPr="0052023B" w:rsidRDefault="00B61C6F" w:rsidP="00B61C6F">
      <w:pPr>
        <w:pStyle w:val="EndNoteBibliography"/>
        <w:spacing w:after="240"/>
        <w:ind w:left="720" w:hanging="720"/>
      </w:pPr>
      <w:r w:rsidRPr="00000CD5">
        <w:rPr>
          <w:lang w:val="es-PY"/>
        </w:rPr>
        <w:t xml:space="preserve">Oró, E., Barreneche, C., Farid, M. M. &amp; Cabeza, L. F., 2013. </w:t>
      </w:r>
      <w:r w:rsidRPr="00000CD5">
        <w:t xml:space="preserve">Experimental study on the selection of phase change materials for low temperature applications. </w:t>
      </w:r>
      <w:r w:rsidRPr="0052023B">
        <w:t>Renewable Energy, 57</w:t>
      </w:r>
      <w:r w:rsidRPr="0052023B">
        <w:rPr>
          <w:b/>
        </w:rPr>
        <w:t>,</w:t>
      </w:r>
      <w:r w:rsidRPr="0052023B">
        <w:t xml:space="preserve"> 130-136.</w:t>
      </w:r>
    </w:p>
    <w:p w14:paraId="19D2EF1F"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Omran, W.A., Kazerani, M., Salama, M.M.A., 2011. Investigation of methods for reduction of power fluctuations generated from large grid-connected photovoltaic systems. IEEE Trans. Energy Convers. 26, 318–327. doi:10.1109/TEC.2010.2062515</w:t>
      </w:r>
    </w:p>
    <w:p w14:paraId="4C2C25D1"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Pardo, P., Deydier, A., Anxionnaz-Minvielle, Z., Rougé, S., Cabassud, M., Cognet, P., 2014. A review on high temperature thermochemical heat energy storage. Renew. Sustain. Energy Rev. doi:10.1016/j.rser.2013.12.014</w:t>
      </w:r>
    </w:p>
    <w:p w14:paraId="54B3AD8C"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Parra, D., Gillott, M., Norman, S.A., Walker, G.S., 2015. Optimum community energy storage system for PV energy time-shift. Appl. Energy 137, 576–587. doi:10.1016/j.apenergy.2014.08.060</w:t>
      </w:r>
    </w:p>
    <w:p w14:paraId="0C15BFE9"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hAnsi="Times New Roman"/>
        </w:rPr>
        <w:fldChar w:fldCharType="begin" w:fldLock="1"/>
      </w:r>
      <w:r w:rsidRPr="00000CD5">
        <w:rPr>
          <w:rFonts w:ascii="Times New Roman" w:hAnsi="Times New Roman"/>
        </w:rPr>
        <w:instrText xml:space="preserve">ADDIN Mendeley Bibliography CSL_BIBLIOGRAPHY </w:instrText>
      </w:r>
      <w:r w:rsidRPr="00000CD5">
        <w:rPr>
          <w:rFonts w:ascii="Times New Roman" w:hAnsi="Times New Roman"/>
        </w:rPr>
        <w:fldChar w:fldCharType="separate"/>
      </w:r>
      <w:r w:rsidRPr="00000CD5">
        <w:rPr>
          <w:rFonts w:ascii="Times New Roman" w:eastAsiaTheme="minorHAnsi" w:hAnsi="Times New Roman"/>
          <w:noProof/>
          <w:lang w:val="en-US"/>
        </w:rPr>
        <w:t>Pelay, U., Luo, L., Fan, Y., Stitou, D., Rood, M., 2017. Thermal energy storage systems for concentrated solar power plants. Renew. Sustain. Energy Rev. doi:10.1016/j.rser.2017.03.139</w:t>
      </w:r>
    </w:p>
    <w:p w14:paraId="396FFE46" w14:textId="77777777" w:rsidR="00B61C6F" w:rsidRPr="00000CD5" w:rsidRDefault="00B61C6F" w:rsidP="00B61C6F">
      <w:pPr>
        <w:pStyle w:val="EndNoteBibliography"/>
        <w:spacing w:after="240"/>
        <w:ind w:left="720" w:hanging="720"/>
      </w:pPr>
      <w:r w:rsidRPr="00000CD5">
        <w:fldChar w:fldCharType="end"/>
      </w:r>
      <w:r w:rsidRPr="00000CD5">
        <w:t>Preet, S., Bhushan, B., Mahajan., T., 2017. Experimental investigation of water based photovoltaic/thermal (PV/T) system with and without phase change material (PCM). Sol. Energy 155, 1104–1120.</w:t>
      </w:r>
    </w:p>
    <w:p w14:paraId="187A98DA"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lang w:val="en-US"/>
        </w:rPr>
        <w:t xml:space="preserve">Santoyo-Castelazo, E., &amp; Azapagic, A. (2014). </w:t>
      </w:r>
      <w:r w:rsidRPr="00000CD5">
        <w:rPr>
          <w:rFonts w:ascii="Times New Roman" w:hAnsi="Times New Roman"/>
          <w:noProof/>
        </w:rPr>
        <w:t xml:space="preserve">Sustainability assessment of energy systems: Integrating environmental, economic and social aspects. </w:t>
      </w:r>
      <w:r w:rsidRPr="00000CD5">
        <w:rPr>
          <w:rFonts w:ascii="Times New Roman" w:hAnsi="Times New Roman"/>
          <w:iCs/>
          <w:noProof/>
        </w:rPr>
        <w:t>Journal of Cleaner Production</w:t>
      </w:r>
      <w:r w:rsidRPr="00000CD5">
        <w:rPr>
          <w:rFonts w:ascii="Times New Roman" w:hAnsi="Times New Roman"/>
          <w:noProof/>
        </w:rPr>
        <w:t xml:space="preserve">, </w:t>
      </w:r>
      <w:r w:rsidRPr="00000CD5">
        <w:rPr>
          <w:rFonts w:ascii="Times New Roman" w:hAnsi="Times New Roman"/>
          <w:iCs/>
          <w:noProof/>
        </w:rPr>
        <w:t>80</w:t>
      </w:r>
      <w:r w:rsidRPr="00000CD5">
        <w:rPr>
          <w:rFonts w:ascii="Times New Roman" w:hAnsi="Times New Roman"/>
          <w:noProof/>
        </w:rPr>
        <w:t>, 119–138. https://doi.org/10.1016/j.jclepro.2014.05.061</w:t>
      </w:r>
    </w:p>
    <w:p w14:paraId="3246995F" w14:textId="77777777" w:rsidR="00B61C6F" w:rsidRPr="00000CD5" w:rsidRDefault="00B61C6F" w:rsidP="00B61C6F">
      <w:pPr>
        <w:pStyle w:val="EndNoteBibliography"/>
        <w:spacing w:after="240"/>
        <w:ind w:left="720" w:hanging="720"/>
      </w:pPr>
      <w:r w:rsidRPr="00000CD5">
        <w:t>Sari, A., Sari, H. &amp; Önal, A., 2004. Thermal properties and thermal reliability of eutectic mixtures of some fatty acids as latent heat storage materials. Energy Conversion and Management, 45</w:t>
      </w:r>
      <w:r w:rsidRPr="00000CD5">
        <w:rPr>
          <w:b/>
        </w:rPr>
        <w:t>,</w:t>
      </w:r>
      <w:r w:rsidRPr="00000CD5">
        <w:t xml:space="preserve"> 365-376.</w:t>
      </w:r>
    </w:p>
    <w:p w14:paraId="59769180" w14:textId="77777777" w:rsidR="00B61C6F" w:rsidRPr="00000CD5" w:rsidRDefault="00B61C6F" w:rsidP="00B61C6F">
      <w:pPr>
        <w:pStyle w:val="EndNoteBibliography"/>
        <w:spacing w:after="240"/>
        <w:ind w:left="720" w:hanging="720"/>
      </w:pPr>
      <w:r w:rsidRPr="00000CD5">
        <w:t>Sarwar, J., 2012. Experimental and Numerical Investigation of Thermal Regulation of Photovoltaic and Concentrated Photovoltaic using Phase Change Materials, PhD Thesis. Dublin Institute of Technology.</w:t>
      </w:r>
    </w:p>
    <w:p w14:paraId="34B8B9FC" w14:textId="77777777" w:rsidR="00B61C6F" w:rsidRPr="00000CD5" w:rsidRDefault="00B61C6F" w:rsidP="00B61C6F">
      <w:pPr>
        <w:pStyle w:val="EndNoteBibliography"/>
        <w:spacing w:after="240"/>
        <w:ind w:left="720" w:hanging="720"/>
      </w:pPr>
      <w:r w:rsidRPr="00000CD5">
        <w:t>Sarwar, J., McCormack, S. J., Huang, M. J. &amp; Norton, B., 2014. Numerical investigation and experimental validation of thermal behaviour of organic phase change materials for temperature regulation enhancement of photovoltaics. International Journal of Heat and Mass Transfer, In review.</w:t>
      </w:r>
    </w:p>
    <w:p w14:paraId="2DC3D443" w14:textId="77777777" w:rsidR="00B61C6F" w:rsidRPr="00000CD5" w:rsidRDefault="00B61C6F" w:rsidP="00B61C6F">
      <w:pPr>
        <w:widowControl w:val="0"/>
        <w:autoSpaceDE w:val="0"/>
        <w:adjustRightInd w:val="0"/>
        <w:spacing w:line="240" w:lineRule="auto"/>
        <w:ind w:left="480" w:hanging="480"/>
        <w:rPr>
          <w:rFonts w:ascii="Times New Roman" w:hAnsi="Times New Roman"/>
          <w:noProof/>
        </w:rPr>
      </w:pPr>
      <w:r w:rsidRPr="00000CD5">
        <w:rPr>
          <w:rFonts w:ascii="Times New Roman" w:hAnsi="Times New Roman"/>
          <w:noProof/>
        </w:rPr>
        <w:t xml:space="preserve">Schoenung, S. M., &amp; Hassenzahl, W. (2001). Characteristics and Technologies for Long-vs. Short-Term Energy Storage A Study by the DOE Energy Storage Systems Program SAND2001-0765. </w:t>
      </w:r>
      <w:r w:rsidRPr="00000CD5">
        <w:rPr>
          <w:rFonts w:ascii="Times New Roman" w:hAnsi="Times New Roman"/>
          <w:iCs/>
          <w:noProof/>
        </w:rPr>
        <w:t>Sandia National Laboratories U.S. Dept. of Energy</w:t>
      </w:r>
      <w:r w:rsidRPr="00000CD5">
        <w:rPr>
          <w:rFonts w:ascii="Times New Roman" w:hAnsi="Times New Roman"/>
          <w:noProof/>
        </w:rPr>
        <w:t>, (March), 46 pp.</w:t>
      </w:r>
    </w:p>
    <w:p w14:paraId="4CB2CE67"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Shah, R., Mithulananthan, N., Bansal, R.C., Ramachandaramurthy, V.K., 2015. A review of key power system stability challenges for large-scale PV integration. Renew. Sustain. Energy Rev. doi:10.1016/j.rser.2014.09.027</w:t>
      </w:r>
    </w:p>
    <w:p w14:paraId="02A52AE0" w14:textId="77777777" w:rsidR="00B61C6F" w:rsidRPr="00000CD5" w:rsidRDefault="00B61C6F" w:rsidP="00B61C6F">
      <w:pPr>
        <w:pStyle w:val="EndNoteBibliography"/>
        <w:spacing w:after="240"/>
        <w:ind w:left="720" w:hanging="720"/>
      </w:pPr>
      <w:r w:rsidRPr="00000CD5">
        <w:lastRenderedPageBreak/>
        <w:t>Sharma, A., Tyagi, V. V., Chen, C. R. &amp; Buddhi, D., 2009. Review on thermal energy storage with phase change materials and applications. Renewable and Sustainable Energy Reviews, 13</w:t>
      </w:r>
      <w:r w:rsidRPr="00000CD5">
        <w:rPr>
          <w:b/>
        </w:rPr>
        <w:t>,</w:t>
      </w:r>
      <w:r w:rsidRPr="00000CD5">
        <w:t xml:space="preserve"> 318-345.</w:t>
      </w:r>
    </w:p>
    <w:p w14:paraId="156A849B" w14:textId="77777777" w:rsidR="00B61C6F" w:rsidRPr="00000CD5" w:rsidRDefault="00B61C6F" w:rsidP="00B61C6F">
      <w:pPr>
        <w:pStyle w:val="EndNoteBibliography"/>
        <w:spacing w:after="240"/>
        <w:ind w:left="720" w:hanging="720"/>
      </w:pPr>
      <w:r w:rsidRPr="00000CD5">
        <w:fldChar w:fldCharType="begin" w:fldLock="1"/>
      </w:r>
      <w:r w:rsidRPr="00000CD5">
        <w:instrText xml:space="preserve">ADDIN Mendeley Bibliography CSL_BIBLIOGRAPHY </w:instrText>
      </w:r>
      <w:r w:rsidRPr="00000CD5">
        <w:fldChar w:fldCharType="separate"/>
      </w:r>
      <w:r w:rsidRPr="00000CD5">
        <w:t>Stropnik, R., Stritih, U., 2016. Increasing the efficiency of PV panel with the use of PCM. Renew. Energy 97, 671–679. doi:10.1016/j.renene.2016.06.011</w:t>
      </w:r>
    </w:p>
    <w:p w14:paraId="326DEEC0" w14:textId="77777777" w:rsidR="00B61C6F" w:rsidRPr="00000CD5" w:rsidRDefault="00B61C6F" w:rsidP="00B61C6F">
      <w:pPr>
        <w:pStyle w:val="EndNoteBibliography"/>
        <w:spacing w:after="240"/>
        <w:ind w:left="720" w:hanging="720"/>
      </w:pPr>
      <w:r w:rsidRPr="00000CD5">
        <w:fldChar w:fldCharType="end"/>
      </w:r>
      <w:r w:rsidRPr="00000CD5">
        <w:t>Stultz, J. W. &amp; Wren, L. C., 1978. Thermal performance testing and analysis of photovoltaic modules in natural sunlight, Pasadena, California, Jet propulsion laboratory.</w:t>
      </w:r>
    </w:p>
    <w:p w14:paraId="3E6D0E52" w14:textId="77777777" w:rsidR="00B61C6F" w:rsidRPr="0052023B" w:rsidRDefault="00B61C6F" w:rsidP="00B61C6F">
      <w:pPr>
        <w:pStyle w:val="EndNoteBibliography"/>
        <w:spacing w:after="240"/>
        <w:ind w:left="720" w:hanging="720"/>
        <w:rPr>
          <w:lang w:val="es-PY"/>
        </w:rPr>
      </w:pPr>
      <w:r w:rsidRPr="0052023B">
        <w:rPr>
          <w:lang w:val="es-PY"/>
        </w:rPr>
        <w:t xml:space="preserve">Tanuwijava, A., Ho, C., Lai, C.-M. &amp; Huang, C.-Y., 2013. </w:t>
      </w:r>
      <w:r w:rsidRPr="00000CD5">
        <w:t xml:space="preserve">Numerical Investigation of the Thermal Management Performance of MEPCM Modules for PV Applications. </w:t>
      </w:r>
      <w:r w:rsidRPr="0052023B">
        <w:rPr>
          <w:lang w:val="es-PY"/>
        </w:rPr>
        <w:t>Energies, 6</w:t>
      </w:r>
      <w:r w:rsidRPr="0052023B">
        <w:rPr>
          <w:b/>
          <w:lang w:val="es-PY"/>
        </w:rPr>
        <w:t>,</w:t>
      </w:r>
      <w:r w:rsidRPr="0052023B">
        <w:rPr>
          <w:lang w:val="es-PY"/>
        </w:rPr>
        <w:t xml:space="preserve"> 3922-3936.</w:t>
      </w:r>
    </w:p>
    <w:p w14:paraId="78CB4012"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52023B">
        <w:rPr>
          <w:rFonts w:ascii="Times New Roman" w:hAnsi="Times New Roman"/>
          <w:noProof/>
          <w:lang w:val="es-PY"/>
        </w:rPr>
        <w:t xml:space="preserve">Toledo, O.M., Oliveira Filho, D., Diniz, A.S.A.C., 2010. </w:t>
      </w:r>
      <w:r w:rsidRPr="00000CD5">
        <w:rPr>
          <w:rFonts w:ascii="Times New Roman" w:hAnsi="Times New Roman"/>
          <w:noProof/>
        </w:rPr>
        <w:t>Distributed photovoltaic generation and energy storage systems: A review. Renew. Sustain. Energy Rev. doi:10.1016/j.rser.2009.08.007</w:t>
      </w:r>
    </w:p>
    <w:p w14:paraId="2865DC0A"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Tamimi, B., Canizares, C., Bhattacharya, K., 2013. System stability impact of large-scale and distributed solar photovoltaic generation: The case of Ontario, Canada. IEEE Trans. Sustain. Energy 4, 680–688. doi:10.1109/TSTE.2012.2235151</w:t>
      </w:r>
    </w:p>
    <w:p w14:paraId="66B73BE1" w14:textId="3FE771BF" w:rsidR="00B61C6F" w:rsidRDefault="00B61C6F" w:rsidP="00B61C6F">
      <w:pPr>
        <w:pStyle w:val="EndNoteBibliography"/>
        <w:spacing w:after="240"/>
        <w:ind w:left="720" w:hanging="720"/>
      </w:pPr>
      <w:r w:rsidRPr="00000CD5">
        <w:t>Tonui, J. K. &amp; Tripanagnostopoulos, Y., 2007. Improved PV/T solar collectors with heat extraction by forced or natural air circulation. Renewable Energy, 32</w:t>
      </w:r>
      <w:r w:rsidRPr="00000CD5">
        <w:rPr>
          <w:b/>
        </w:rPr>
        <w:t>,</w:t>
      </w:r>
      <w:r w:rsidRPr="00000CD5">
        <w:t xml:space="preserve"> 623-637.</w:t>
      </w:r>
    </w:p>
    <w:p w14:paraId="2D03772B" w14:textId="3416E7A9" w:rsidR="00AD122B" w:rsidRPr="00000CD5" w:rsidRDefault="00AD122B" w:rsidP="00B61C6F">
      <w:pPr>
        <w:pStyle w:val="EndNoteBibliography"/>
        <w:spacing w:after="240"/>
        <w:ind w:left="720" w:hanging="720"/>
      </w:pPr>
      <w:r>
        <w:t>Wan,</w:t>
      </w:r>
      <w:r w:rsidRPr="00AD122B">
        <w:t xml:space="preserve"> </w:t>
      </w:r>
      <w:r>
        <w:t>C.</w:t>
      </w:r>
      <w:r>
        <w:t>,</w:t>
      </w:r>
      <w:r>
        <w:t xml:space="preserve"> Zhao, J.</w:t>
      </w:r>
      <w:r>
        <w:t>,</w:t>
      </w:r>
      <w:r>
        <w:t xml:space="preserve">  Song,</w:t>
      </w:r>
      <w:r w:rsidRPr="00AD122B">
        <w:t xml:space="preserve"> </w:t>
      </w:r>
      <w:r>
        <w:t>Y.</w:t>
      </w:r>
      <w:r>
        <w:t>,</w:t>
      </w:r>
      <w:r>
        <w:t xml:space="preserve"> Xu, Z.</w:t>
      </w:r>
      <w:r>
        <w:t>,</w:t>
      </w:r>
      <w:r>
        <w:t xml:space="preserve"> Lin, J.</w:t>
      </w:r>
      <w:r>
        <w:t>,</w:t>
      </w:r>
      <w:r>
        <w:t xml:space="preserve">  and Hu,</w:t>
      </w:r>
      <w:r w:rsidRPr="00AD122B">
        <w:t xml:space="preserve"> </w:t>
      </w:r>
      <w:r>
        <w:t>Z.</w:t>
      </w:r>
      <w:r>
        <w:t xml:space="preserve">, 2015. </w:t>
      </w:r>
      <w:r>
        <w:t xml:space="preserve">Photovoltaic and solar power forecasting for smart grid energy management, CSEE J. Power Energy </w:t>
      </w:r>
      <w:r>
        <w:t>Syst., vol. 1, no. 4, pp. 38–46</w:t>
      </w:r>
      <w:r>
        <w:t>.</w:t>
      </w:r>
      <w:bookmarkStart w:id="41" w:name="_GoBack"/>
      <w:bookmarkEnd w:id="41"/>
    </w:p>
    <w:p w14:paraId="1E81152F" w14:textId="77777777" w:rsidR="00B61C6F" w:rsidRPr="00000CD5" w:rsidRDefault="00B61C6F" w:rsidP="00B61C6F">
      <w:pPr>
        <w:widowControl w:val="0"/>
        <w:autoSpaceDE w:val="0"/>
        <w:adjustRightInd w:val="0"/>
        <w:spacing w:after="200" w:line="240" w:lineRule="auto"/>
        <w:ind w:left="480" w:hanging="480"/>
        <w:rPr>
          <w:rFonts w:ascii="Times New Roman" w:hAnsi="Times New Roman"/>
          <w:noProof/>
        </w:rPr>
      </w:pPr>
      <w:r w:rsidRPr="00000CD5">
        <w:rPr>
          <w:rFonts w:ascii="Times New Roman" w:hAnsi="Times New Roman"/>
          <w:noProof/>
        </w:rPr>
        <w:t>Weniger, J., Tjaden, T., Quaschning, V., 2014. Sizing of residential PV battery systems, in: Energy Procedia. pp. 78–87. doi:10.1016/j.egypro.2014.01.160</w:t>
      </w:r>
    </w:p>
    <w:p w14:paraId="59167BDF" w14:textId="77777777" w:rsidR="00B61C6F" w:rsidRPr="00000CD5" w:rsidRDefault="00B61C6F" w:rsidP="00B61C6F">
      <w:pPr>
        <w:pStyle w:val="EndNoteBibliography"/>
        <w:spacing w:after="240"/>
        <w:ind w:left="720" w:hanging="720"/>
      </w:pPr>
      <w:r w:rsidRPr="00000CD5">
        <w:t>Wu, S.-Y., Zhang, Q.-L., Xiao, L. &amp; Guo, F.-H., 2011. A heat pipe photovoltaic/thermal (PV/T) hybrid system and its performance evaluation. Energy and Buildings, 43</w:t>
      </w:r>
      <w:r w:rsidRPr="00000CD5">
        <w:rPr>
          <w:b/>
        </w:rPr>
        <w:t>,</w:t>
      </w:r>
      <w:r w:rsidRPr="00000CD5">
        <w:t xml:space="preserve"> 3558-3567.</w:t>
      </w:r>
    </w:p>
    <w:p w14:paraId="4E9B0502" w14:textId="77777777" w:rsidR="00B61C6F" w:rsidRPr="00000CD5" w:rsidRDefault="00B61C6F" w:rsidP="00B61C6F">
      <w:pPr>
        <w:pStyle w:val="EndNoteBibliography"/>
        <w:spacing w:after="240"/>
        <w:ind w:left="720" w:hanging="720"/>
      </w:pPr>
      <w:r w:rsidRPr="00000CD5">
        <w:t>Wu, Y., 2009. Thermal management of concentrator photovoltaics, PhD Thesis. University of Warwick, UK.</w:t>
      </w:r>
    </w:p>
    <w:p w14:paraId="2C1C0641" w14:textId="77777777" w:rsidR="00B61C6F" w:rsidRPr="00000CD5" w:rsidRDefault="00B61C6F" w:rsidP="00B61C6F">
      <w:pPr>
        <w:pStyle w:val="EndNoteBibliography"/>
        <w:spacing w:after="240"/>
        <w:ind w:left="720" w:hanging="720"/>
      </w:pPr>
      <w:r w:rsidRPr="00000CD5">
        <w:t>Wu, Y. &amp; Eames, P., 2011. Experimental Characterisation of an Asymmetric Compound Parabolic PV Concentrator Complied with a Phase Change Material.  7th Photovoltaic Science, Applications and Technology Conference, Heriot-Watt University, Edinburgh, Scotland.</w:t>
      </w:r>
    </w:p>
    <w:p w14:paraId="4A28AE00" w14:textId="77777777" w:rsidR="00B61C6F" w:rsidRPr="00000CD5" w:rsidRDefault="00B61C6F" w:rsidP="00B61C6F">
      <w:pPr>
        <w:widowControl w:val="0"/>
        <w:autoSpaceDE w:val="0"/>
        <w:adjustRightInd w:val="0"/>
        <w:spacing w:line="240" w:lineRule="auto"/>
        <w:ind w:left="480" w:hanging="480"/>
        <w:rPr>
          <w:rFonts w:ascii="Times New Roman" w:eastAsiaTheme="minorHAnsi" w:hAnsi="Times New Roman"/>
          <w:noProof/>
          <w:lang w:val="en-US"/>
        </w:rPr>
      </w:pPr>
      <w:r w:rsidRPr="00000CD5">
        <w:rPr>
          <w:rFonts w:ascii="Times New Roman" w:eastAsiaTheme="minorHAnsi" w:hAnsi="Times New Roman"/>
          <w:noProof/>
          <w:lang w:val="en-US"/>
        </w:rPr>
        <w:t>Yang, C., Thatte, A.A., Xie, L., 2015. Multitime-scale data-driven spatio-temporal forecast of photovoltaic generation. IEEE Trans. Sustain. Energy 6, 104–112. doi:10.1109/TSTE.2014.2359974</w:t>
      </w:r>
    </w:p>
    <w:p w14:paraId="15A80D4B" w14:textId="77777777" w:rsidR="00B61C6F" w:rsidRPr="00000CD5" w:rsidRDefault="00B61C6F" w:rsidP="00B61C6F">
      <w:pPr>
        <w:pStyle w:val="EndNoteBibliography"/>
        <w:spacing w:after="240"/>
        <w:ind w:left="720" w:hanging="720"/>
      </w:pPr>
      <w:r w:rsidRPr="00000CD5">
        <w:t>Yin, H. M., Yang, D. J., Kelly, G. &amp; Garant, J., 2013. Design and performance of a novel building integrated PV/thermal system for energy efficiency of buildings. Solar Energy, 87</w:t>
      </w:r>
      <w:r w:rsidRPr="00000CD5">
        <w:rPr>
          <w:b/>
        </w:rPr>
        <w:t>,</w:t>
      </w:r>
      <w:r w:rsidRPr="00000CD5">
        <w:t xml:space="preserve"> 184-195.</w:t>
      </w:r>
    </w:p>
    <w:p w14:paraId="6B12C12C" w14:textId="77777777" w:rsidR="00B61C6F" w:rsidRPr="00000CD5" w:rsidRDefault="00B61C6F" w:rsidP="00B61C6F">
      <w:pPr>
        <w:pStyle w:val="EndNoteBibliography"/>
        <w:spacing w:after="240"/>
        <w:ind w:left="720" w:hanging="720"/>
      </w:pPr>
      <w:r w:rsidRPr="00000CD5">
        <w:t>Yuan, Y., Zhang, N., Tao, W., Cao, X. &amp; He, Y., 2014a. Fatty acids as phase change materials: A review. Renewable and Sustainable Energy Reviews, 29</w:t>
      </w:r>
      <w:r w:rsidRPr="00000CD5">
        <w:rPr>
          <w:b/>
        </w:rPr>
        <w:t>,</w:t>
      </w:r>
      <w:r w:rsidRPr="00000CD5">
        <w:t xml:space="preserve"> 482-498.</w:t>
      </w:r>
    </w:p>
    <w:p w14:paraId="4989A766" w14:textId="77777777" w:rsidR="00B61C6F" w:rsidRPr="00000CD5" w:rsidRDefault="00B61C6F" w:rsidP="00B61C6F">
      <w:pPr>
        <w:pStyle w:val="EndNoteBibliography"/>
        <w:spacing w:after="240"/>
        <w:ind w:left="720" w:hanging="720"/>
      </w:pPr>
      <w:r w:rsidRPr="00000CD5">
        <w:lastRenderedPageBreak/>
        <w:t>Zalba, B., Marín, J. M., Cabeza, L. F. &amp; Mehling, H., 2003. Review on thermal energy storage with phase change: materials, heat transfer analysis and applications. Applied Thermal Engineering, 23</w:t>
      </w:r>
      <w:r w:rsidRPr="00000CD5">
        <w:rPr>
          <w:b/>
        </w:rPr>
        <w:t>,</w:t>
      </w:r>
      <w:r w:rsidRPr="00000CD5">
        <w:t xml:space="preserve"> 251-283.</w:t>
      </w:r>
    </w:p>
    <w:p w14:paraId="40E7DBFB" w14:textId="77777777" w:rsidR="00B61C6F" w:rsidRPr="00000CD5" w:rsidRDefault="00B61C6F" w:rsidP="00B61C6F">
      <w:pPr>
        <w:rPr>
          <w:rFonts w:ascii="Times New Roman" w:hAnsi="Times New Roman"/>
          <w:lang w:val="en-US"/>
        </w:rPr>
      </w:pPr>
      <w:r w:rsidRPr="0052023B">
        <w:rPr>
          <w:rFonts w:ascii="Times New Roman" w:hAnsi="Times New Roman"/>
          <w:lang w:val="en-US"/>
        </w:rPr>
        <w:t xml:space="preserve">Zondag, H. A., De Vries, D. W., Van Helden, W. G. J., Van Zolingen, R. J. C. &amp; Van Steenhoven, A. A., 2003. </w:t>
      </w:r>
      <w:r w:rsidRPr="00000CD5">
        <w:rPr>
          <w:rFonts w:ascii="Times New Roman" w:hAnsi="Times New Roman"/>
        </w:rPr>
        <w:t>The yield of different combined PV-thermal collector designs. Solar Energy, 74</w:t>
      </w:r>
      <w:r w:rsidRPr="00000CD5">
        <w:rPr>
          <w:rFonts w:ascii="Times New Roman" w:hAnsi="Times New Roman"/>
          <w:b/>
        </w:rPr>
        <w:t>,</w:t>
      </w:r>
      <w:r w:rsidRPr="00000CD5">
        <w:rPr>
          <w:rFonts w:ascii="Times New Roman" w:hAnsi="Times New Roman"/>
        </w:rPr>
        <w:t xml:space="preserve"> 253-269.</w:t>
      </w:r>
      <w:r w:rsidRPr="00000CD5">
        <w:rPr>
          <w:rFonts w:ascii="Times New Roman" w:hAnsi="Times New Roman"/>
        </w:rPr>
        <w:fldChar w:fldCharType="end"/>
      </w:r>
    </w:p>
    <w:sectPr w:rsidR="00B61C6F" w:rsidRPr="00000CD5" w:rsidSect="00000CD5">
      <w:footerReference w:type="default" r:id="rId53"/>
      <w:pgSz w:w="11906" w:h="16838"/>
      <w:pgMar w:top="1985" w:right="1418" w:bottom="1701" w:left="284" w:header="1134" w:footer="1134" w:gutter="17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8424E" w14:textId="77777777" w:rsidR="00314F49" w:rsidRDefault="00314F49">
      <w:pPr>
        <w:spacing w:after="0" w:line="240" w:lineRule="auto"/>
      </w:pPr>
      <w:r>
        <w:separator/>
      </w:r>
    </w:p>
  </w:endnote>
  <w:endnote w:type="continuationSeparator" w:id="0">
    <w:p w14:paraId="3EFEA638" w14:textId="77777777" w:rsidR="00314F49" w:rsidRDefault="0031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E00002FF" w:usb1="7AC7FFFF" w:usb2="00000012" w:usb3="00000000" w:csb0="0002000D" w:csb1="00000000"/>
  </w:font>
  <w:font w:name="Times New Roman Bold">
    <w:altName w:val="Times New Roman"/>
    <w:charset w:val="00"/>
    <w:family w:val="auto"/>
    <w:pitch w:val="variable"/>
    <w:sig w:usb0="E0002AEF" w:usb1="C0007841" w:usb2="00000009" w:usb3="00000000" w:csb0="000001FF" w:csb1="00000000"/>
  </w:font>
  <w:font w:name="Times New Roman Italic">
    <w:charset w:val="00"/>
    <w:family w:val="auto"/>
    <w:pitch w:val="variable"/>
    <w:sig w:usb0="E0000AFF" w:usb1="00007843" w:usb2="00000001" w:usb3="00000000" w:csb0="000001BF" w:csb1="00000000"/>
  </w:font>
  <w:font w:name="Stone Sans ITC TT">
    <w:charset w:val="00"/>
    <w:family w:val="auto"/>
    <w:pitch w:val="variable"/>
    <w:sig w:usb0="00000003" w:usb1="00000000" w:usb2="00000000" w:usb3="00000000" w:csb0="00000001" w:csb1="00000000"/>
  </w:font>
  <w:font w:name="Helvetica">
    <w:panose1 w:val="020B05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imes-Roman">
    <w:altName w:val="Times New Roman"/>
    <w:charset w:val="00"/>
    <w:family w:val="auto"/>
    <w:pitch w:val="variable"/>
    <w:sig w:usb0="00000003" w:usb1="00000000" w:usb2="00000000" w:usb3="00000000" w:csb0="00000001" w:csb1="00000000"/>
  </w:font>
  <w:font w:name="AdvOT987ad488">
    <w:altName w:val="Times New Roman"/>
    <w:panose1 w:val="00000000000000000000"/>
    <w:charset w:val="00"/>
    <w:family w:val="roman"/>
    <w:notTrueType/>
    <w:pitch w:val="default"/>
  </w:font>
  <w:font w:name="AdvOT987ad488+fb">
    <w:altName w:val="Times New Roman"/>
    <w:panose1 w:val="00000000000000000000"/>
    <w:charset w:val="00"/>
    <w:family w:val="roman"/>
    <w:notTrueType/>
    <w:pitch w:val="default"/>
  </w:font>
  <w:font w:name="AdvOT987ad488+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8236" w14:textId="1FD12E92" w:rsidR="005217DE" w:rsidRDefault="005217DE">
    <w:pPr>
      <w:pStyle w:val="Footer"/>
      <w:jc w:val="center"/>
    </w:pPr>
    <w:r>
      <w:fldChar w:fldCharType="begin"/>
    </w:r>
    <w:r>
      <w:instrText xml:space="preserve"> PAGE </w:instrText>
    </w:r>
    <w:r>
      <w:fldChar w:fldCharType="separate"/>
    </w:r>
    <w:r>
      <w:rPr>
        <w:noProof/>
      </w:rPr>
      <w:t>1</w:t>
    </w:r>
    <w:r>
      <w:fldChar w:fldCharType="end"/>
    </w:r>
  </w:p>
  <w:p w14:paraId="22355AC6" w14:textId="77777777" w:rsidR="005217DE" w:rsidRDefault="00521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BC24F" w14:textId="77777777" w:rsidR="00314F49" w:rsidRDefault="00314F49">
      <w:pPr>
        <w:spacing w:after="0" w:line="240" w:lineRule="auto"/>
      </w:pPr>
      <w:r>
        <w:rPr>
          <w:color w:val="000000"/>
        </w:rPr>
        <w:separator/>
      </w:r>
    </w:p>
  </w:footnote>
  <w:footnote w:type="continuationSeparator" w:id="0">
    <w:p w14:paraId="75086ABA" w14:textId="77777777" w:rsidR="00314F49" w:rsidRDefault="00314F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9CE"/>
    <w:multiLevelType w:val="multilevel"/>
    <w:tmpl w:val="A31298C8"/>
    <w:lvl w:ilvl="0">
      <w:start w:val="3"/>
      <w:numFmt w:val="decimal"/>
      <w:lvlText w:val="%1"/>
      <w:lvlJc w:val="left"/>
      <w:pPr>
        <w:ind w:left="555" w:hanging="555"/>
      </w:pPr>
      <w:rPr>
        <w:rFonts w:hint="default"/>
      </w:rPr>
    </w:lvl>
    <w:lvl w:ilvl="1">
      <w:start w:val="3"/>
      <w:numFmt w:val="decimal"/>
      <w:lvlText w:val="%1.%2"/>
      <w:lvlJc w:val="left"/>
      <w:pPr>
        <w:ind w:left="592" w:hanging="555"/>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1" w15:restartNumberingAfterBreak="0">
    <w:nsid w:val="02786F66"/>
    <w:multiLevelType w:val="hybridMultilevel"/>
    <w:tmpl w:val="E5126A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E77E6B"/>
    <w:multiLevelType w:val="multilevel"/>
    <w:tmpl w:val="38BE5B34"/>
    <w:styleLink w:val="WWOutlineListStyle4"/>
    <w:lvl w:ilvl="0">
      <w:start w:val="1"/>
      <w:numFmt w:val="decimal"/>
      <w:pStyle w:val="Heading1"/>
      <w:lvlText w:val="%1"/>
      <w:lvlJc w:val="left"/>
      <w:pPr>
        <w:ind w:left="573"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FF31708"/>
    <w:multiLevelType w:val="multilevel"/>
    <w:tmpl w:val="D5AEFB5A"/>
    <w:numStyleLink w:val="WWOutlineListStyle"/>
  </w:abstractNum>
  <w:abstractNum w:abstractNumId="4" w15:restartNumberingAfterBreak="0">
    <w:nsid w:val="1AF84865"/>
    <w:multiLevelType w:val="hybridMultilevel"/>
    <w:tmpl w:val="10AA903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267B58"/>
    <w:multiLevelType w:val="hybridMultilevel"/>
    <w:tmpl w:val="801EA4F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1F343F3B"/>
    <w:multiLevelType w:val="hybridMultilevel"/>
    <w:tmpl w:val="D57EEC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AF2669"/>
    <w:multiLevelType w:val="multilevel"/>
    <w:tmpl w:val="A19C877E"/>
    <w:styleLink w:val="WWOutlineListStyle3"/>
    <w:lvl w:ilvl="0">
      <w:start w:val="1"/>
      <w:numFmt w:val="decimal"/>
      <w:lvlText w:val="%1"/>
      <w:lvlJc w:val="left"/>
      <w:pPr>
        <w:ind w:left="573"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5211B1"/>
    <w:multiLevelType w:val="multilevel"/>
    <w:tmpl w:val="D5AEFB5A"/>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2414A64"/>
    <w:multiLevelType w:val="multilevel"/>
    <w:tmpl w:val="6B7026DC"/>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A9B3150"/>
    <w:multiLevelType w:val="hybridMultilevel"/>
    <w:tmpl w:val="24A2BC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E23A8D"/>
    <w:multiLevelType w:val="multilevel"/>
    <w:tmpl w:val="A31298C8"/>
    <w:lvl w:ilvl="0">
      <w:start w:val="3"/>
      <w:numFmt w:val="decimal"/>
      <w:lvlText w:val="%1"/>
      <w:lvlJc w:val="left"/>
      <w:pPr>
        <w:ind w:left="555" w:hanging="555"/>
      </w:pPr>
      <w:rPr>
        <w:rFonts w:hint="default"/>
      </w:rPr>
    </w:lvl>
    <w:lvl w:ilvl="1">
      <w:start w:val="3"/>
      <w:numFmt w:val="decimal"/>
      <w:lvlText w:val="%1.%2"/>
      <w:lvlJc w:val="left"/>
      <w:pPr>
        <w:ind w:left="592" w:hanging="555"/>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12" w15:restartNumberingAfterBreak="0">
    <w:nsid w:val="3550071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0855CC"/>
    <w:multiLevelType w:val="hybridMultilevel"/>
    <w:tmpl w:val="5A4CA81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3E6C700C"/>
    <w:multiLevelType w:val="hybridMultilevel"/>
    <w:tmpl w:val="20CEE12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EFD2BD2"/>
    <w:multiLevelType w:val="hybridMultilevel"/>
    <w:tmpl w:val="1E16A73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15:restartNumberingAfterBreak="0">
    <w:nsid w:val="46197A08"/>
    <w:multiLevelType w:val="multilevel"/>
    <w:tmpl w:val="A77A5CBE"/>
    <w:styleLink w:val="WWOutlineListStyle2"/>
    <w:lvl w:ilvl="0">
      <w:start w:val="1"/>
      <w:numFmt w:val="decimal"/>
      <w:lvlText w:val="%1"/>
      <w:lvlJc w:val="left"/>
      <w:pPr>
        <w:ind w:left="573"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7BC4116"/>
    <w:multiLevelType w:val="multilevel"/>
    <w:tmpl w:val="6ADCD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E761EA"/>
    <w:multiLevelType w:val="multilevel"/>
    <w:tmpl w:val="51BC03D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C976FD3"/>
    <w:multiLevelType w:val="hybridMultilevel"/>
    <w:tmpl w:val="4A3079C8"/>
    <w:lvl w:ilvl="0" w:tplc="C5DAF4B4">
      <w:start w:val="1"/>
      <w:numFmt w:val="lowerLetter"/>
      <w:lvlText w:val="(%1)"/>
      <w:lvlJc w:val="left"/>
      <w:pPr>
        <w:ind w:left="1800" w:hanging="360"/>
      </w:pPr>
      <w:rPr>
        <w:rFonts w:hint="default"/>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1" w15:restartNumberingAfterBreak="0">
    <w:nsid w:val="4D807AC0"/>
    <w:multiLevelType w:val="hybridMultilevel"/>
    <w:tmpl w:val="922C287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2" w15:restartNumberingAfterBreak="0">
    <w:nsid w:val="565D6AD4"/>
    <w:multiLevelType w:val="multilevel"/>
    <w:tmpl w:val="A31298C8"/>
    <w:lvl w:ilvl="0">
      <w:start w:val="3"/>
      <w:numFmt w:val="decimal"/>
      <w:lvlText w:val="%1"/>
      <w:lvlJc w:val="left"/>
      <w:pPr>
        <w:ind w:left="555" w:hanging="555"/>
      </w:pPr>
      <w:rPr>
        <w:rFonts w:hint="default"/>
      </w:rPr>
    </w:lvl>
    <w:lvl w:ilvl="1">
      <w:start w:val="3"/>
      <w:numFmt w:val="decimal"/>
      <w:lvlText w:val="%1.%2"/>
      <w:lvlJc w:val="left"/>
      <w:pPr>
        <w:ind w:left="592" w:hanging="555"/>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23" w15:restartNumberingAfterBreak="0">
    <w:nsid w:val="5CFC6DC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683371"/>
    <w:multiLevelType w:val="hybridMultilevel"/>
    <w:tmpl w:val="7DC0B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03740C9"/>
    <w:multiLevelType w:val="multilevel"/>
    <w:tmpl w:val="4D62088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C4D69E6"/>
    <w:multiLevelType w:val="multilevel"/>
    <w:tmpl w:val="AD6CA2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D7960AF"/>
    <w:multiLevelType w:val="multilevel"/>
    <w:tmpl w:val="C46A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7"/>
  </w:num>
  <w:num w:numId="4">
    <w:abstractNumId w:val="9"/>
  </w:num>
  <w:num w:numId="5">
    <w:abstractNumId w:val="8"/>
  </w:num>
  <w:num w:numId="6">
    <w:abstractNumId w:val="14"/>
  </w:num>
  <w:num w:numId="7">
    <w:abstractNumId w:val="23"/>
  </w:num>
  <w:num w:numId="8">
    <w:abstractNumId w:val="5"/>
  </w:num>
  <w:num w:numId="9">
    <w:abstractNumId w:val="16"/>
  </w:num>
  <w:num w:numId="10">
    <w:abstractNumId w:val="10"/>
  </w:num>
  <w:num w:numId="11">
    <w:abstractNumId w:val="0"/>
  </w:num>
  <w:num w:numId="12">
    <w:abstractNumId w:val="21"/>
  </w:num>
  <w:num w:numId="13">
    <w:abstractNumId w:val="24"/>
  </w:num>
  <w:num w:numId="14">
    <w:abstractNumId w:val="15"/>
  </w:num>
  <w:num w:numId="15">
    <w:abstractNumId w:val="13"/>
  </w:num>
  <w:num w:numId="16">
    <w:abstractNumId w:val="20"/>
  </w:num>
  <w:num w:numId="17">
    <w:abstractNumId w:val="12"/>
  </w:num>
  <w:num w:numId="18">
    <w:abstractNumId w:val="19"/>
  </w:num>
  <w:num w:numId="19">
    <w:abstractNumId w:val="18"/>
  </w:num>
  <w:num w:numId="20">
    <w:abstractNumId w:val="27"/>
  </w:num>
  <w:num w:numId="21">
    <w:abstractNumId w:val="1"/>
  </w:num>
  <w:num w:numId="22">
    <w:abstractNumId w:val="22"/>
  </w:num>
  <w:num w:numId="23">
    <w:abstractNumId w:val="11"/>
  </w:num>
  <w:num w:numId="24">
    <w:abstractNumId w:val="26"/>
  </w:num>
  <w:num w:numId="25">
    <w:abstractNumId w:val="4"/>
  </w:num>
  <w:num w:numId="26">
    <w:abstractNumId w:val="6"/>
  </w:num>
  <w:num w:numId="27">
    <w:abstractNumId w:val="3"/>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6B9"/>
    <w:rsid w:val="00000CD5"/>
    <w:rsid w:val="00001817"/>
    <w:rsid w:val="00007B75"/>
    <w:rsid w:val="00024DFD"/>
    <w:rsid w:val="00030A00"/>
    <w:rsid w:val="000315F1"/>
    <w:rsid w:val="00036DEE"/>
    <w:rsid w:val="00045A0D"/>
    <w:rsid w:val="00053050"/>
    <w:rsid w:val="000563E8"/>
    <w:rsid w:val="0006534A"/>
    <w:rsid w:val="000657EB"/>
    <w:rsid w:val="00070C4C"/>
    <w:rsid w:val="0007190E"/>
    <w:rsid w:val="00073ABA"/>
    <w:rsid w:val="000B03BF"/>
    <w:rsid w:val="000C43D0"/>
    <w:rsid w:val="000D22F5"/>
    <w:rsid w:val="000F62B2"/>
    <w:rsid w:val="0011285C"/>
    <w:rsid w:val="00117097"/>
    <w:rsid w:val="00124D36"/>
    <w:rsid w:val="00127C09"/>
    <w:rsid w:val="00137047"/>
    <w:rsid w:val="0014216A"/>
    <w:rsid w:val="00147D04"/>
    <w:rsid w:val="00152456"/>
    <w:rsid w:val="00156E70"/>
    <w:rsid w:val="00162F61"/>
    <w:rsid w:val="00177932"/>
    <w:rsid w:val="00177970"/>
    <w:rsid w:val="00184D41"/>
    <w:rsid w:val="00196906"/>
    <w:rsid w:val="0019763E"/>
    <w:rsid w:val="001C03D6"/>
    <w:rsid w:val="001D0781"/>
    <w:rsid w:val="001D318D"/>
    <w:rsid w:val="001F714A"/>
    <w:rsid w:val="002170A5"/>
    <w:rsid w:val="002251D5"/>
    <w:rsid w:val="0023336B"/>
    <w:rsid w:val="00241D1C"/>
    <w:rsid w:val="0024529B"/>
    <w:rsid w:val="00265C2C"/>
    <w:rsid w:val="00273453"/>
    <w:rsid w:val="00274CDB"/>
    <w:rsid w:val="00276865"/>
    <w:rsid w:val="00291673"/>
    <w:rsid w:val="002A76A5"/>
    <w:rsid w:val="002C661A"/>
    <w:rsid w:val="002E1601"/>
    <w:rsid w:val="00300D91"/>
    <w:rsid w:val="00311E19"/>
    <w:rsid w:val="00314F49"/>
    <w:rsid w:val="0032755F"/>
    <w:rsid w:val="00330276"/>
    <w:rsid w:val="00330530"/>
    <w:rsid w:val="00330D24"/>
    <w:rsid w:val="0033377F"/>
    <w:rsid w:val="003559A0"/>
    <w:rsid w:val="0036330A"/>
    <w:rsid w:val="0036350B"/>
    <w:rsid w:val="003706D3"/>
    <w:rsid w:val="00370B04"/>
    <w:rsid w:val="0037139A"/>
    <w:rsid w:val="00371C00"/>
    <w:rsid w:val="00372F3C"/>
    <w:rsid w:val="00382962"/>
    <w:rsid w:val="003A76F0"/>
    <w:rsid w:val="003B24EF"/>
    <w:rsid w:val="003B36D4"/>
    <w:rsid w:val="003B3C03"/>
    <w:rsid w:val="003B451A"/>
    <w:rsid w:val="003B4835"/>
    <w:rsid w:val="003D1DC5"/>
    <w:rsid w:val="003F4D6C"/>
    <w:rsid w:val="00415E62"/>
    <w:rsid w:val="00431EB2"/>
    <w:rsid w:val="00432EA3"/>
    <w:rsid w:val="0043721A"/>
    <w:rsid w:val="004379B6"/>
    <w:rsid w:val="0044136F"/>
    <w:rsid w:val="004565E6"/>
    <w:rsid w:val="004843D9"/>
    <w:rsid w:val="0049688E"/>
    <w:rsid w:val="00496E1C"/>
    <w:rsid w:val="004A7D4A"/>
    <w:rsid w:val="004E45C6"/>
    <w:rsid w:val="004F03A9"/>
    <w:rsid w:val="004F3164"/>
    <w:rsid w:val="0052023B"/>
    <w:rsid w:val="005217DE"/>
    <w:rsid w:val="00531EB6"/>
    <w:rsid w:val="00532F8A"/>
    <w:rsid w:val="005437CA"/>
    <w:rsid w:val="005444B3"/>
    <w:rsid w:val="00561BEC"/>
    <w:rsid w:val="00573C06"/>
    <w:rsid w:val="00577C1F"/>
    <w:rsid w:val="00590C3F"/>
    <w:rsid w:val="00590C97"/>
    <w:rsid w:val="005A1BAC"/>
    <w:rsid w:val="005A4990"/>
    <w:rsid w:val="005A4D7D"/>
    <w:rsid w:val="005A4FCC"/>
    <w:rsid w:val="005A5941"/>
    <w:rsid w:val="005B0F23"/>
    <w:rsid w:val="005B4250"/>
    <w:rsid w:val="005B5368"/>
    <w:rsid w:val="005C7013"/>
    <w:rsid w:val="005C794E"/>
    <w:rsid w:val="005E5855"/>
    <w:rsid w:val="005F3387"/>
    <w:rsid w:val="00614079"/>
    <w:rsid w:val="00617E75"/>
    <w:rsid w:val="00637BDB"/>
    <w:rsid w:val="00644841"/>
    <w:rsid w:val="0065155A"/>
    <w:rsid w:val="00661101"/>
    <w:rsid w:val="00677FDA"/>
    <w:rsid w:val="00681193"/>
    <w:rsid w:val="0069647D"/>
    <w:rsid w:val="00696D6D"/>
    <w:rsid w:val="006970FB"/>
    <w:rsid w:val="006A7F6D"/>
    <w:rsid w:val="006B123C"/>
    <w:rsid w:val="006E0A56"/>
    <w:rsid w:val="006E4CF7"/>
    <w:rsid w:val="006E4F28"/>
    <w:rsid w:val="006E5B41"/>
    <w:rsid w:val="006E7008"/>
    <w:rsid w:val="006E7E93"/>
    <w:rsid w:val="006F2139"/>
    <w:rsid w:val="00702617"/>
    <w:rsid w:val="00706BFD"/>
    <w:rsid w:val="00713860"/>
    <w:rsid w:val="00722026"/>
    <w:rsid w:val="00730BF1"/>
    <w:rsid w:val="00741D7F"/>
    <w:rsid w:val="00754224"/>
    <w:rsid w:val="007623F9"/>
    <w:rsid w:val="00774C63"/>
    <w:rsid w:val="00781835"/>
    <w:rsid w:val="0078256A"/>
    <w:rsid w:val="00787B88"/>
    <w:rsid w:val="007A2976"/>
    <w:rsid w:val="007A55F4"/>
    <w:rsid w:val="007A7F20"/>
    <w:rsid w:val="007E0D25"/>
    <w:rsid w:val="007F2EBE"/>
    <w:rsid w:val="007F4764"/>
    <w:rsid w:val="008117A0"/>
    <w:rsid w:val="00822C70"/>
    <w:rsid w:val="008363C1"/>
    <w:rsid w:val="00843EE4"/>
    <w:rsid w:val="00845ED6"/>
    <w:rsid w:val="00866F0F"/>
    <w:rsid w:val="008734A4"/>
    <w:rsid w:val="008745AD"/>
    <w:rsid w:val="00875AFA"/>
    <w:rsid w:val="00882603"/>
    <w:rsid w:val="0089624A"/>
    <w:rsid w:val="00896E50"/>
    <w:rsid w:val="008A763E"/>
    <w:rsid w:val="008C4339"/>
    <w:rsid w:val="008C7C14"/>
    <w:rsid w:val="008D1E11"/>
    <w:rsid w:val="008E1754"/>
    <w:rsid w:val="008E71A0"/>
    <w:rsid w:val="008F6813"/>
    <w:rsid w:val="00916817"/>
    <w:rsid w:val="00916EF9"/>
    <w:rsid w:val="00917411"/>
    <w:rsid w:val="00917C88"/>
    <w:rsid w:val="00933C8D"/>
    <w:rsid w:val="0094231D"/>
    <w:rsid w:val="009442F0"/>
    <w:rsid w:val="00944794"/>
    <w:rsid w:val="0095132B"/>
    <w:rsid w:val="009642FA"/>
    <w:rsid w:val="00965E66"/>
    <w:rsid w:val="00971E6D"/>
    <w:rsid w:val="009849FF"/>
    <w:rsid w:val="00986C02"/>
    <w:rsid w:val="00987054"/>
    <w:rsid w:val="0098719B"/>
    <w:rsid w:val="0098788D"/>
    <w:rsid w:val="00996052"/>
    <w:rsid w:val="00997A65"/>
    <w:rsid w:val="009A3E14"/>
    <w:rsid w:val="009B1FB2"/>
    <w:rsid w:val="009B24D0"/>
    <w:rsid w:val="009C0C64"/>
    <w:rsid w:val="009C13A5"/>
    <w:rsid w:val="009E2445"/>
    <w:rsid w:val="009E6F4F"/>
    <w:rsid w:val="00A01214"/>
    <w:rsid w:val="00A01EAA"/>
    <w:rsid w:val="00A17820"/>
    <w:rsid w:val="00A27D3F"/>
    <w:rsid w:val="00A36FC7"/>
    <w:rsid w:val="00A447C3"/>
    <w:rsid w:val="00A50553"/>
    <w:rsid w:val="00A53E22"/>
    <w:rsid w:val="00A54DC5"/>
    <w:rsid w:val="00A71C94"/>
    <w:rsid w:val="00A733CE"/>
    <w:rsid w:val="00A73646"/>
    <w:rsid w:val="00A75C6D"/>
    <w:rsid w:val="00A9126D"/>
    <w:rsid w:val="00AA2BE5"/>
    <w:rsid w:val="00AB02F7"/>
    <w:rsid w:val="00AB6D42"/>
    <w:rsid w:val="00AC00C5"/>
    <w:rsid w:val="00AD122B"/>
    <w:rsid w:val="00AD4864"/>
    <w:rsid w:val="00AE69F2"/>
    <w:rsid w:val="00B1128F"/>
    <w:rsid w:val="00B163E3"/>
    <w:rsid w:val="00B256D7"/>
    <w:rsid w:val="00B43AC2"/>
    <w:rsid w:val="00B61C6F"/>
    <w:rsid w:val="00B733FA"/>
    <w:rsid w:val="00B8051F"/>
    <w:rsid w:val="00B80815"/>
    <w:rsid w:val="00B86A90"/>
    <w:rsid w:val="00B90E20"/>
    <w:rsid w:val="00B94575"/>
    <w:rsid w:val="00BA2F3B"/>
    <w:rsid w:val="00BB2B46"/>
    <w:rsid w:val="00BB67F9"/>
    <w:rsid w:val="00BD254B"/>
    <w:rsid w:val="00BD6840"/>
    <w:rsid w:val="00BD75C8"/>
    <w:rsid w:val="00BE2857"/>
    <w:rsid w:val="00BE6491"/>
    <w:rsid w:val="00C00CDD"/>
    <w:rsid w:val="00C07912"/>
    <w:rsid w:val="00C11C6A"/>
    <w:rsid w:val="00C148D7"/>
    <w:rsid w:val="00C14B4F"/>
    <w:rsid w:val="00C205E6"/>
    <w:rsid w:val="00C21E13"/>
    <w:rsid w:val="00C25A5E"/>
    <w:rsid w:val="00C36E68"/>
    <w:rsid w:val="00C416B9"/>
    <w:rsid w:val="00C509DA"/>
    <w:rsid w:val="00C575F8"/>
    <w:rsid w:val="00C65526"/>
    <w:rsid w:val="00C67B14"/>
    <w:rsid w:val="00C82B03"/>
    <w:rsid w:val="00C877A0"/>
    <w:rsid w:val="00C95666"/>
    <w:rsid w:val="00CA1C3F"/>
    <w:rsid w:val="00CA5A6B"/>
    <w:rsid w:val="00CB1282"/>
    <w:rsid w:val="00CB1C2E"/>
    <w:rsid w:val="00CC0D7C"/>
    <w:rsid w:val="00CD09F4"/>
    <w:rsid w:val="00CD247C"/>
    <w:rsid w:val="00CD744B"/>
    <w:rsid w:val="00CE1E03"/>
    <w:rsid w:val="00CE2A50"/>
    <w:rsid w:val="00CE596E"/>
    <w:rsid w:val="00CF394C"/>
    <w:rsid w:val="00CF73CC"/>
    <w:rsid w:val="00D00034"/>
    <w:rsid w:val="00D03089"/>
    <w:rsid w:val="00D23738"/>
    <w:rsid w:val="00D40610"/>
    <w:rsid w:val="00D471FA"/>
    <w:rsid w:val="00D5380F"/>
    <w:rsid w:val="00D62505"/>
    <w:rsid w:val="00D67E1F"/>
    <w:rsid w:val="00D71C06"/>
    <w:rsid w:val="00D77190"/>
    <w:rsid w:val="00D84656"/>
    <w:rsid w:val="00D925E1"/>
    <w:rsid w:val="00D9485E"/>
    <w:rsid w:val="00D96833"/>
    <w:rsid w:val="00DB0447"/>
    <w:rsid w:val="00DB3A5D"/>
    <w:rsid w:val="00DB668E"/>
    <w:rsid w:val="00DC415E"/>
    <w:rsid w:val="00DE0080"/>
    <w:rsid w:val="00DF6DE9"/>
    <w:rsid w:val="00E01753"/>
    <w:rsid w:val="00E46AB6"/>
    <w:rsid w:val="00E47392"/>
    <w:rsid w:val="00E52852"/>
    <w:rsid w:val="00E56C06"/>
    <w:rsid w:val="00E649FC"/>
    <w:rsid w:val="00E7043E"/>
    <w:rsid w:val="00E73182"/>
    <w:rsid w:val="00E871C4"/>
    <w:rsid w:val="00E96E2C"/>
    <w:rsid w:val="00EA4424"/>
    <w:rsid w:val="00EC7E71"/>
    <w:rsid w:val="00ED4B09"/>
    <w:rsid w:val="00EE4BB1"/>
    <w:rsid w:val="00EE6478"/>
    <w:rsid w:val="00EE7467"/>
    <w:rsid w:val="00F045A3"/>
    <w:rsid w:val="00F05154"/>
    <w:rsid w:val="00F11854"/>
    <w:rsid w:val="00F135F4"/>
    <w:rsid w:val="00F151B9"/>
    <w:rsid w:val="00F2261E"/>
    <w:rsid w:val="00F25A65"/>
    <w:rsid w:val="00F2720A"/>
    <w:rsid w:val="00F30D2E"/>
    <w:rsid w:val="00F311C7"/>
    <w:rsid w:val="00F37F72"/>
    <w:rsid w:val="00F42A51"/>
    <w:rsid w:val="00F52E22"/>
    <w:rsid w:val="00F84597"/>
    <w:rsid w:val="00F84A27"/>
    <w:rsid w:val="00FB1C61"/>
    <w:rsid w:val="00FB35CA"/>
    <w:rsid w:val="00FB6331"/>
    <w:rsid w:val="00FC7902"/>
    <w:rsid w:val="00FF1027"/>
    <w:rsid w:val="571305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867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IE"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B0F23"/>
    <w:pPr>
      <w:suppressAutoHyphens/>
    </w:pPr>
  </w:style>
  <w:style w:type="paragraph" w:styleId="Heading1">
    <w:name w:val="heading 1"/>
    <w:basedOn w:val="Normal"/>
    <w:next w:val="Normal"/>
    <w:qFormat/>
    <w:rsid w:val="005B0F23"/>
    <w:pPr>
      <w:keepNext/>
      <w:keepLines/>
      <w:numPr>
        <w:numId w:val="1"/>
      </w:numPr>
      <w:spacing w:before="480" w:after="0" w:line="240" w:lineRule="auto"/>
      <w:outlineLvl w:val="0"/>
    </w:pPr>
    <w:rPr>
      <w:rFonts w:ascii="Calibri Light" w:eastAsia="Times New Roman" w:hAnsi="Calibri Light"/>
      <w:b/>
      <w:bCs/>
      <w:color w:val="2E74B5"/>
      <w:sz w:val="28"/>
      <w:szCs w:val="28"/>
      <w:lang w:val="en-GB" w:eastAsia="en-GB"/>
    </w:rPr>
  </w:style>
  <w:style w:type="paragraph" w:styleId="Heading2">
    <w:name w:val="heading 2"/>
    <w:basedOn w:val="Normal"/>
    <w:next w:val="Normal"/>
    <w:qFormat/>
    <w:rsid w:val="005B0F23"/>
    <w:pPr>
      <w:keepNext/>
      <w:keepLines/>
      <w:numPr>
        <w:ilvl w:val="1"/>
        <w:numId w:val="1"/>
      </w:numPr>
      <w:spacing w:before="200" w:after="0" w:line="240" w:lineRule="auto"/>
      <w:outlineLvl w:val="1"/>
    </w:pPr>
    <w:rPr>
      <w:rFonts w:ascii="Calibri Light" w:eastAsia="Times New Roman" w:hAnsi="Calibri Light"/>
      <w:b/>
      <w:bCs/>
      <w:color w:val="5B9BD5"/>
      <w:sz w:val="26"/>
      <w:szCs w:val="26"/>
      <w:lang w:val="en-GB" w:eastAsia="en-GB"/>
    </w:rPr>
  </w:style>
  <w:style w:type="paragraph" w:styleId="Heading3">
    <w:name w:val="heading 3"/>
    <w:basedOn w:val="Normal"/>
    <w:next w:val="Normal"/>
    <w:link w:val="Heading3Char1"/>
    <w:qFormat/>
    <w:rsid w:val="005B0F23"/>
    <w:pPr>
      <w:keepNext/>
      <w:keepLines/>
      <w:numPr>
        <w:ilvl w:val="2"/>
        <w:numId w:val="1"/>
      </w:numPr>
      <w:spacing w:before="200" w:after="0" w:line="240" w:lineRule="auto"/>
      <w:outlineLvl w:val="2"/>
    </w:pPr>
    <w:rPr>
      <w:rFonts w:ascii="Calibri Light" w:eastAsia="Times New Roman" w:hAnsi="Calibri Light"/>
      <w:b/>
      <w:bCs/>
      <w:color w:val="5B9BD5"/>
      <w:sz w:val="24"/>
      <w:szCs w:val="24"/>
      <w:lang w:val="en-GB" w:eastAsia="en-GB"/>
    </w:rPr>
  </w:style>
  <w:style w:type="paragraph" w:styleId="Heading4">
    <w:name w:val="heading 4"/>
    <w:basedOn w:val="Normal"/>
    <w:next w:val="Normal"/>
    <w:uiPriority w:val="9"/>
    <w:qFormat/>
    <w:rsid w:val="005B0F23"/>
    <w:pPr>
      <w:keepNext/>
      <w:keepLines/>
      <w:numPr>
        <w:ilvl w:val="3"/>
        <w:numId w:val="1"/>
      </w:numPr>
      <w:spacing w:before="200" w:after="0" w:line="240" w:lineRule="auto"/>
      <w:outlineLvl w:val="3"/>
    </w:pPr>
    <w:rPr>
      <w:rFonts w:ascii="Calibri Light" w:eastAsia="Times New Roman" w:hAnsi="Calibri Light"/>
      <w:b/>
      <w:bCs/>
      <w:i/>
      <w:iCs/>
      <w:color w:val="5B9BD5"/>
      <w:sz w:val="24"/>
      <w:szCs w:val="24"/>
      <w:lang w:val="en-GB" w:eastAsia="en-GB"/>
    </w:rPr>
  </w:style>
  <w:style w:type="paragraph" w:styleId="Heading5">
    <w:name w:val="heading 5"/>
    <w:aliases w:val="Standard"/>
    <w:basedOn w:val="Normal"/>
    <w:next w:val="Normal"/>
    <w:qFormat/>
    <w:rsid w:val="005B0F23"/>
    <w:pPr>
      <w:keepNext/>
      <w:keepLines/>
      <w:numPr>
        <w:ilvl w:val="4"/>
        <w:numId w:val="1"/>
      </w:numPr>
      <w:spacing w:before="200" w:after="0" w:line="240" w:lineRule="auto"/>
      <w:outlineLvl w:val="4"/>
    </w:pPr>
    <w:rPr>
      <w:rFonts w:ascii="Calibri Light" w:eastAsia="Times New Roman" w:hAnsi="Calibri Light"/>
      <w:color w:val="1F4D78"/>
      <w:sz w:val="24"/>
      <w:szCs w:val="24"/>
      <w:lang w:val="en-GB" w:eastAsia="en-GB"/>
    </w:rPr>
  </w:style>
  <w:style w:type="paragraph" w:styleId="Heading6">
    <w:name w:val="heading 6"/>
    <w:basedOn w:val="Normal"/>
    <w:next w:val="Normal"/>
    <w:qFormat/>
    <w:rsid w:val="005B0F23"/>
    <w:pPr>
      <w:keepNext/>
      <w:keepLines/>
      <w:numPr>
        <w:ilvl w:val="5"/>
        <w:numId w:val="1"/>
      </w:numPr>
      <w:spacing w:before="200" w:after="0" w:line="240" w:lineRule="auto"/>
      <w:outlineLvl w:val="5"/>
    </w:pPr>
    <w:rPr>
      <w:rFonts w:ascii="Calibri Light" w:eastAsia="Times New Roman" w:hAnsi="Calibri Light"/>
      <w:i/>
      <w:iCs/>
      <w:color w:val="1F4D78"/>
      <w:sz w:val="24"/>
      <w:szCs w:val="24"/>
      <w:lang w:val="en-GB" w:eastAsia="en-GB"/>
    </w:rPr>
  </w:style>
  <w:style w:type="paragraph" w:styleId="Heading7">
    <w:name w:val="heading 7"/>
    <w:basedOn w:val="Normal"/>
    <w:next w:val="Normal"/>
    <w:qFormat/>
    <w:rsid w:val="005B0F23"/>
    <w:pPr>
      <w:keepNext/>
      <w:keepLines/>
      <w:numPr>
        <w:ilvl w:val="6"/>
        <w:numId w:val="1"/>
      </w:numPr>
      <w:spacing w:before="200" w:after="0" w:line="240" w:lineRule="auto"/>
      <w:outlineLvl w:val="6"/>
    </w:pPr>
    <w:rPr>
      <w:rFonts w:ascii="Calibri Light" w:eastAsia="Times New Roman" w:hAnsi="Calibri Light"/>
      <w:i/>
      <w:iCs/>
      <w:color w:val="404040"/>
      <w:sz w:val="24"/>
      <w:szCs w:val="24"/>
      <w:lang w:val="en-GB" w:eastAsia="en-GB"/>
    </w:rPr>
  </w:style>
  <w:style w:type="paragraph" w:styleId="Heading8">
    <w:name w:val="heading 8"/>
    <w:basedOn w:val="Normal"/>
    <w:next w:val="Normal"/>
    <w:qFormat/>
    <w:rsid w:val="005B0F23"/>
    <w:pPr>
      <w:keepNext/>
      <w:keepLines/>
      <w:numPr>
        <w:ilvl w:val="7"/>
        <w:numId w:val="1"/>
      </w:numPr>
      <w:spacing w:before="200" w:after="0" w:line="240" w:lineRule="auto"/>
      <w:outlineLvl w:val="7"/>
    </w:pPr>
    <w:rPr>
      <w:rFonts w:ascii="Calibri Light" w:eastAsia="Times New Roman" w:hAnsi="Calibri Light"/>
      <w:color w:val="404040"/>
      <w:sz w:val="20"/>
      <w:szCs w:val="20"/>
      <w:lang w:val="en-GB" w:eastAsia="en-GB"/>
    </w:rPr>
  </w:style>
  <w:style w:type="paragraph" w:styleId="Heading9">
    <w:name w:val="heading 9"/>
    <w:basedOn w:val="Normal"/>
    <w:next w:val="Normal"/>
    <w:qFormat/>
    <w:rsid w:val="005B0F23"/>
    <w:pPr>
      <w:keepNext/>
      <w:keepLines/>
      <w:numPr>
        <w:ilvl w:val="8"/>
        <w:numId w:val="1"/>
      </w:numPr>
      <w:spacing w:before="200" w:after="0" w:line="240" w:lineRule="auto"/>
      <w:outlineLvl w:val="8"/>
    </w:pPr>
    <w:rPr>
      <w:rFonts w:ascii="Calibri Light" w:eastAsia="Times New Roman" w:hAnsi="Calibri Light"/>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rsid w:val="005B0F23"/>
    <w:pPr>
      <w:numPr>
        <w:numId w:val="1"/>
      </w:numPr>
    </w:pPr>
  </w:style>
  <w:style w:type="character" w:customStyle="1" w:styleId="Heading1Char">
    <w:name w:val="Heading 1 Char"/>
    <w:basedOn w:val="DefaultParagraphFont"/>
    <w:rsid w:val="005B0F23"/>
    <w:rPr>
      <w:rFonts w:ascii="Calibri Light" w:eastAsia="Times New Roman" w:hAnsi="Calibri Light" w:cs="Times New Roman"/>
      <w:b/>
      <w:bCs/>
      <w:color w:val="2E74B5"/>
      <w:sz w:val="28"/>
      <w:szCs w:val="28"/>
      <w:lang w:val="en-GB" w:eastAsia="en-GB"/>
    </w:rPr>
  </w:style>
  <w:style w:type="character" w:customStyle="1" w:styleId="Heading2Char">
    <w:name w:val="Heading 2 Char"/>
    <w:basedOn w:val="DefaultParagraphFont"/>
    <w:rsid w:val="005B0F23"/>
    <w:rPr>
      <w:rFonts w:ascii="Calibri Light" w:eastAsia="Times New Roman" w:hAnsi="Calibri Light" w:cs="Times New Roman"/>
      <w:b/>
      <w:bCs/>
      <w:color w:val="5B9BD5"/>
      <w:sz w:val="26"/>
      <w:szCs w:val="26"/>
      <w:lang w:val="en-GB" w:eastAsia="en-GB"/>
    </w:rPr>
  </w:style>
  <w:style w:type="character" w:customStyle="1" w:styleId="Heading3Char">
    <w:name w:val="Heading 3 Char"/>
    <w:basedOn w:val="DefaultParagraphFont"/>
    <w:rsid w:val="005B0F23"/>
    <w:rPr>
      <w:rFonts w:ascii="Calibri Light" w:eastAsia="Times New Roman" w:hAnsi="Calibri Light" w:cs="Times New Roman"/>
      <w:b/>
      <w:bCs/>
      <w:color w:val="5B9BD5"/>
      <w:sz w:val="24"/>
      <w:szCs w:val="24"/>
      <w:lang w:val="en-GB" w:eastAsia="en-GB"/>
    </w:rPr>
  </w:style>
  <w:style w:type="character" w:customStyle="1" w:styleId="Heading4Char">
    <w:name w:val="Heading 4 Char"/>
    <w:basedOn w:val="DefaultParagraphFont"/>
    <w:uiPriority w:val="9"/>
    <w:rsid w:val="005B0F23"/>
    <w:rPr>
      <w:rFonts w:ascii="Calibri Light" w:eastAsia="Times New Roman" w:hAnsi="Calibri Light" w:cs="Times New Roman"/>
      <w:b/>
      <w:bCs/>
      <w:i/>
      <w:iCs/>
      <w:color w:val="5B9BD5"/>
      <w:sz w:val="24"/>
      <w:szCs w:val="24"/>
      <w:lang w:val="en-GB" w:eastAsia="en-GB"/>
    </w:rPr>
  </w:style>
  <w:style w:type="character" w:customStyle="1" w:styleId="Heading5Char">
    <w:name w:val="Heading 5 Char"/>
    <w:aliases w:val="Standard Char"/>
    <w:basedOn w:val="DefaultParagraphFont"/>
    <w:rsid w:val="005B0F23"/>
    <w:rPr>
      <w:rFonts w:ascii="Calibri Light" w:eastAsia="Times New Roman" w:hAnsi="Calibri Light" w:cs="Times New Roman"/>
      <w:color w:val="1F4D78"/>
      <w:sz w:val="24"/>
      <w:szCs w:val="24"/>
      <w:lang w:val="en-GB" w:eastAsia="en-GB"/>
    </w:rPr>
  </w:style>
  <w:style w:type="character" w:customStyle="1" w:styleId="Heading6Char">
    <w:name w:val="Heading 6 Char"/>
    <w:basedOn w:val="DefaultParagraphFont"/>
    <w:rsid w:val="005B0F23"/>
    <w:rPr>
      <w:rFonts w:ascii="Calibri Light" w:eastAsia="Times New Roman" w:hAnsi="Calibri Light" w:cs="Times New Roman"/>
      <w:i/>
      <w:iCs/>
      <w:color w:val="1F4D78"/>
      <w:sz w:val="24"/>
      <w:szCs w:val="24"/>
      <w:lang w:val="en-GB" w:eastAsia="en-GB"/>
    </w:rPr>
  </w:style>
  <w:style w:type="character" w:customStyle="1" w:styleId="Heading7Char">
    <w:name w:val="Heading 7 Char"/>
    <w:basedOn w:val="DefaultParagraphFont"/>
    <w:rsid w:val="005B0F23"/>
    <w:rPr>
      <w:rFonts w:ascii="Calibri Light" w:eastAsia="Times New Roman" w:hAnsi="Calibri Light" w:cs="Times New Roman"/>
      <w:i/>
      <w:iCs/>
      <w:color w:val="404040"/>
      <w:sz w:val="24"/>
      <w:szCs w:val="24"/>
      <w:lang w:val="en-GB" w:eastAsia="en-GB"/>
    </w:rPr>
  </w:style>
  <w:style w:type="character" w:customStyle="1" w:styleId="Heading8Char">
    <w:name w:val="Heading 8 Char"/>
    <w:basedOn w:val="DefaultParagraphFont"/>
    <w:rsid w:val="005B0F23"/>
    <w:rPr>
      <w:rFonts w:ascii="Calibri Light" w:eastAsia="Times New Roman" w:hAnsi="Calibri Light" w:cs="Times New Roman"/>
      <w:color w:val="404040"/>
      <w:sz w:val="20"/>
      <w:szCs w:val="20"/>
      <w:lang w:val="en-GB" w:eastAsia="en-GB"/>
    </w:rPr>
  </w:style>
  <w:style w:type="character" w:customStyle="1" w:styleId="Heading9Char">
    <w:name w:val="Heading 9 Char"/>
    <w:basedOn w:val="DefaultParagraphFont"/>
    <w:rsid w:val="005B0F23"/>
    <w:rPr>
      <w:rFonts w:ascii="Calibri Light" w:eastAsia="Times New Roman" w:hAnsi="Calibri Light" w:cs="Times New Roman"/>
      <w:i/>
      <w:iCs/>
      <w:color w:val="404040"/>
      <w:sz w:val="20"/>
      <w:szCs w:val="20"/>
      <w:lang w:val="en-GB" w:eastAsia="en-GB"/>
    </w:rPr>
  </w:style>
  <w:style w:type="character" w:styleId="Strong">
    <w:name w:val="Strong"/>
    <w:basedOn w:val="DefaultParagraphFont"/>
    <w:rsid w:val="005B0F23"/>
    <w:rPr>
      <w:b/>
      <w:bCs/>
    </w:rPr>
  </w:style>
  <w:style w:type="character" w:customStyle="1" w:styleId="apple-converted-space">
    <w:name w:val="apple-converted-space"/>
    <w:basedOn w:val="DefaultParagraphFont"/>
    <w:rsid w:val="005B0F23"/>
  </w:style>
  <w:style w:type="paragraph" w:styleId="CommentText">
    <w:name w:val="annotation text"/>
    <w:basedOn w:val="Normal"/>
    <w:uiPriority w:val="99"/>
    <w:rsid w:val="005B0F23"/>
    <w:pPr>
      <w:spacing w:after="0" w:line="240" w:lineRule="auto"/>
    </w:pPr>
    <w:rPr>
      <w:rFonts w:ascii="Times New Roman" w:eastAsia="Times New Roman" w:hAnsi="Times New Roman"/>
      <w:sz w:val="20"/>
      <w:szCs w:val="20"/>
      <w:lang w:val="en-GB" w:eastAsia="en-GB"/>
    </w:rPr>
  </w:style>
  <w:style w:type="character" w:customStyle="1" w:styleId="CommentTextChar">
    <w:name w:val="Comment Text Char"/>
    <w:basedOn w:val="DefaultParagraphFont"/>
    <w:uiPriority w:val="99"/>
    <w:rsid w:val="005B0F23"/>
    <w:rPr>
      <w:rFonts w:ascii="Times New Roman" w:eastAsia="Times New Roman" w:hAnsi="Times New Roman" w:cs="Times New Roman"/>
      <w:sz w:val="20"/>
      <w:szCs w:val="20"/>
      <w:lang w:val="en-GB" w:eastAsia="en-GB"/>
    </w:rPr>
  </w:style>
  <w:style w:type="paragraph" w:styleId="PlainText">
    <w:name w:val="Plain Text"/>
    <w:basedOn w:val="Normal"/>
    <w:rsid w:val="005B0F23"/>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rsid w:val="005B0F23"/>
    <w:rPr>
      <w:rFonts w:ascii="Courier New" w:eastAsia="Times New Roman" w:hAnsi="Courier New" w:cs="Courier New"/>
      <w:sz w:val="20"/>
      <w:szCs w:val="20"/>
      <w:lang w:val="en-US"/>
    </w:rPr>
  </w:style>
  <w:style w:type="paragraph" w:styleId="ListParagraph">
    <w:name w:val="List Paragraph"/>
    <w:basedOn w:val="Normal"/>
    <w:uiPriority w:val="34"/>
    <w:qFormat/>
    <w:rsid w:val="005B0F23"/>
    <w:pPr>
      <w:spacing w:after="0" w:line="240" w:lineRule="auto"/>
      <w:ind w:left="720"/>
    </w:pPr>
    <w:rPr>
      <w:rFonts w:ascii="Times New Roman" w:eastAsia="Times New Roman" w:hAnsi="Times New Roman"/>
      <w:sz w:val="24"/>
      <w:szCs w:val="24"/>
      <w:lang w:val="en-GB" w:eastAsia="en-GB"/>
    </w:rPr>
  </w:style>
  <w:style w:type="paragraph" w:styleId="BalloonText">
    <w:name w:val="Balloon Text"/>
    <w:basedOn w:val="Normal"/>
    <w:uiPriority w:val="99"/>
    <w:rsid w:val="005B0F23"/>
    <w:pPr>
      <w:spacing w:after="0"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uiPriority w:val="99"/>
    <w:rsid w:val="005B0F23"/>
    <w:rPr>
      <w:rFonts w:ascii="Tahoma" w:eastAsia="Times New Roman" w:hAnsi="Tahoma" w:cs="Tahoma"/>
      <w:sz w:val="16"/>
      <w:szCs w:val="16"/>
      <w:lang w:val="en-GB" w:eastAsia="en-GB"/>
    </w:rPr>
  </w:style>
  <w:style w:type="paragraph" w:styleId="NormalWeb">
    <w:name w:val="Normal (Web)"/>
    <w:basedOn w:val="Normal"/>
    <w:uiPriority w:val="99"/>
    <w:rsid w:val="005B0F23"/>
    <w:pPr>
      <w:spacing w:before="100" w:after="100" w:line="240" w:lineRule="auto"/>
    </w:pPr>
    <w:rPr>
      <w:rFonts w:ascii="Times New Roman" w:eastAsia="Times New Roman" w:hAnsi="Times New Roman"/>
      <w:sz w:val="24"/>
      <w:szCs w:val="24"/>
      <w:lang w:eastAsia="en-IE"/>
    </w:rPr>
  </w:style>
  <w:style w:type="paragraph" w:styleId="Caption">
    <w:name w:val="caption"/>
    <w:aliases w:val="Caption (Centred)"/>
    <w:basedOn w:val="Normal"/>
    <w:next w:val="Normal"/>
    <w:link w:val="CaptionChar"/>
    <w:qFormat/>
    <w:rsid w:val="005B0F23"/>
    <w:pPr>
      <w:spacing w:after="0" w:line="360" w:lineRule="auto"/>
      <w:jc w:val="center"/>
    </w:pPr>
    <w:rPr>
      <w:rFonts w:ascii="Times New Roman" w:eastAsia="Times New Roman" w:hAnsi="Times New Roman"/>
      <w:b/>
      <w:bCs/>
      <w:sz w:val="24"/>
      <w:szCs w:val="24"/>
      <w:lang w:val="en-US"/>
    </w:rPr>
  </w:style>
  <w:style w:type="character" w:styleId="CommentReference">
    <w:name w:val="annotation reference"/>
    <w:basedOn w:val="DefaultParagraphFont"/>
    <w:uiPriority w:val="99"/>
    <w:rsid w:val="005B0F23"/>
    <w:rPr>
      <w:sz w:val="16"/>
      <w:szCs w:val="16"/>
    </w:rPr>
  </w:style>
  <w:style w:type="paragraph" w:styleId="CommentSubject">
    <w:name w:val="annotation subject"/>
    <w:basedOn w:val="CommentText"/>
    <w:next w:val="CommentText"/>
    <w:uiPriority w:val="99"/>
    <w:rsid w:val="005B0F23"/>
    <w:rPr>
      <w:b/>
      <w:bCs/>
    </w:rPr>
  </w:style>
  <w:style w:type="character" w:customStyle="1" w:styleId="CommentSubjectChar">
    <w:name w:val="Comment Subject Char"/>
    <w:basedOn w:val="CommentTextChar"/>
    <w:uiPriority w:val="99"/>
    <w:rsid w:val="005B0F23"/>
    <w:rPr>
      <w:rFonts w:ascii="Times New Roman" w:eastAsia="Times New Roman" w:hAnsi="Times New Roman" w:cs="Times New Roman"/>
      <w:b/>
      <w:bCs/>
      <w:sz w:val="20"/>
      <w:szCs w:val="20"/>
      <w:lang w:val="en-GB" w:eastAsia="en-GB"/>
    </w:rPr>
  </w:style>
  <w:style w:type="character" w:styleId="PlaceholderText">
    <w:name w:val="Placeholder Text"/>
    <w:basedOn w:val="DefaultParagraphFont"/>
    <w:uiPriority w:val="99"/>
    <w:rsid w:val="005B0F23"/>
    <w:rPr>
      <w:color w:val="808080"/>
    </w:rPr>
  </w:style>
  <w:style w:type="character" w:styleId="Hyperlink">
    <w:name w:val="Hyperlink"/>
    <w:basedOn w:val="DefaultParagraphFont"/>
    <w:uiPriority w:val="99"/>
    <w:rsid w:val="005B0F23"/>
    <w:rPr>
      <w:color w:val="0000FF"/>
      <w:u w:val="single"/>
    </w:rPr>
  </w:style>
  <w:style w:type="paragraph" w:styleId="Header">
    <w:name w:val="header"/>
    <w:basedOn w:val="Normal"/>
    <w:uiPriority w:val="99"/>
    <w:rsid w:val="005B0F23"/>
    <w:pPr>
      <w:tabs>
        <w:tab w:val="center" w:pos="4513"/>
        <w:tab w:val="right" w:pos="9026"/>
      </w:tabs>
      <w:spacing w:after="0" w:line="240" w:lineRule="auto"/>
    </w:pPr>
  </w:style>
  <w:style w:type="character" w:customStyle="1" w:styleId="HeaderChar">
    <w:name w:val="Header Char"/>
    <w:basedOn w:val="DefaultParagraphFont"/>
    <w:uiPriority w:val="99"/>
    <w:rsid w:val="005B0F23"/>
  </w:style>
  <w:style w:type="paragraph" w:styleId="Footer">
    <w:name w:val="footer"/>
    <w:basedOn w:val="Normal"/>
    <w:uiPriority w:val="99"/>
    <w:rsid w:val="005B0F23"/>
    <w:pPr>
      <w:tabs>
        <w:tab w:val="center" w:pos="4513"/>
        <w:tab w:val="right" w:pos="9026"/>
      </w:tabs>
      <w:spacing w:after="0" w:line="240" w:lineRule="auto"/>
    </w:pPr>
  </w:style>
  <w:style w:type="character" w:customStyle="1" w:styleId="FooterChar">
    <w:name w:val="Footer Char"/>
    <w:basedOn w:val="DefaultParagraphFont"/>
    <w:uiPriority w:val="99"/>
    <w:rsid w:val="005B0F23"/>
  </w:style>
  <w:style w:type="character" w:styleId="LineNumber">
    <w:name w:val="line number"/>
    <w:basedOn w:val="DefaultParagraphFont"/>
    <w:rsid w:val="005B0F23"/>
  </w:style>
  <w:style w:type="paragraph" w:customStyle="1" w:styleId="paragraph">
    <w:name w:val="paragraph"/>
    <w:basedOn w:val="Normal"/>
    <w:rsid w:val="005B0F23"/>
    <w:pPr>
      <w:suppressAutoHyphens w:val="0"/>
      <w:spacing w:before="120" w:after="120" w:line="240" w:lineRule="auto"/>
      <w:textAlignment w:val="auto"/>
    </w:pPr>
    <w:rPr>
      <w:rFonts w:ascii="Palatino Linotype" w:eastAsia="Times New Roman" w:hAnsi="Palatino Linotype"/>
      <w:sz w:val="18"/>
      <w:szCs w:val="20"/>
      <w:lang w:val="en-GB" w:eastAsia="de-AT"/>
    </w:rPr>
  </w:style>
  <w:style w:type="paragraph" w:styleId="EndnoteText">
    <w:name w:val="endnote text"/>
    <w:basedOn w:val="Normal"/>
    <w:uiPriority w:val="99"/>
    <w:rsid w:val="005B0F23"/>
    <w:pPr>
      <w:suppressAutoHyphens w:val="0"/>
      <w:spacing w:after="0" w:line="240" w:lineRule="auto"/>
      <w:textAlignment w:val="auto"/>
    </w:pPr>
    <w:rPr>
      <w:sz w:val="20"/>
      <w:szCs w:val="20"/>
    </w:rPr>
  </w:style>
  <w:style w:type="character" w:customStyle="1" w:styleId="EndnoteTextChar">
    <w:name w:val="Endnote Text Char"/>
    <w:basedOn w:val="DefaultParagraphFont"/>
    <w:uiPriority w:val="99"/>
    <w:rsid w:val="005B0F23"/>
    <w:rPr>
      <w:sz w:val="20"/>
      <w:szCs w:val="20"/>
    </w:rPr>
  </w:style>
  <w:style w:type="character" w:styleId="EndnoteReference">
    <w:name w:val="endnote reference"/>
    <w:rsid w:val="005B0F23"/>
    <w:rPr>
      <w:position w:val="0"/>
      <w:vertAlign w:val="superscript"/>
    </w:rPr>
  </w:style>
  <w:style w:type="numbering" w:customStyle="1" w:styleId="WWOutlineListStyle3">
    <w:name w:val="WW_OutlineListStyle_3"/>
    <w:basedOn w:val="NoList"/>
    <w:rsid w:val="005B0F23"/>
    <w:pPr>
      <w:numPr>
        <w:numId w:val="2"/>
      </w:numPr>
    </w:pPr>
  </w:style>
  <w:style w:type="numbering" w:customStyle="1" w:styleId="WWOutlineListStyle2">
    <w:name w:val="WW_OutlineListStyle_2"/>
    <w:basedOn w:val="NoList"/>
    <w:rsid w:val="005B0F23"/>
    <w:pPr>
      <w:numPr>
        <w:numId w:val="3"/>
      </w:numPr>
    </w:pPr>
  </w:style>
  <w:style w:type="numbering" w:customStyle="1" w:styleId="WWOutlineListStyle1">
    <w:name w:val="WW_OutlineListStyle_1"/>
    <w:basedOn w:val="NoList"/>
    <w:rsid w:val="005B0F23"/>
    <w:pPr>
      <w:numPr>
        <w:numId w:val="4"/>
      </w:numPr>
    </w:pPr>
  </w:style>
  <w:style w:type="numbering" w:customStyle="1" w:styleId="WWOutlineListStyle">
    <w:name w:val="WW_OutlineListStyle"/>
    <w:basedOn w:val="NoList"/>
    <w:rsid w:val="005B0F23"/>
    <w:pPr>
      <w:numPr>
        <w:numId w:val="5"/>
      </w:numPr>
    </w:pPr>
  </w:style>
  <w:style w:type="paragraph" w:styleId="Title">
    <w:name w:val="Title"/>
    <w:basedOn w:val="Normal"/>
    <w:next w:val="Normal"/>
    <w:link w:val="TitleChar"/>
    <w:uiPriority w:val="10"/>
    <w:qFormat/>
    <w:rsid w:val="009B24D0"/>
    <w:pPr>
      <w:framePr w:w="9360" w:hSpace="187" w:vSpace="187" w:wrap="notBeside" w:vAnchor="text" w:hAnchor="page" w:xAlign="center" w:y="1"/>
      <w:suppressAutoHyphens w:val="0"/>
      <w:autoSpaceDN/>
      <w:spacing w:after="0" w:line="240" w:lineRule="auto"/>
      <w:jc w:val="center"/>
      <w:textAlignment w:val="auto"/>
    </w:pPr>
    <w:rPr>
      <w:rFonts w:ascii="Times New Roman" w:eastAsia="Times New Roman" w:hAnsi="Times New Roman"/>
      <w:kern w:val="28"/>
      <w:sz w:val="48"/>
      <w:szCs w:val="48"/>
      <w:lang w:val="en-US"/>
    </w:rPr>
  </w:style>
  <w:style w:type="character" w:customStyle="1" w:styleId="TitleChar">
    <w:name w:val="Title Char"/>
    <w:basedOn w:val="DefaultParagraphFont"/>
    <w:link w:val="Title"/>
    <w:uiPriority w:val="10"/>
    <w:rsid w:val="009B24D0"/>
    <w:rPr>
      <w:rFonts w:ascii="Times New Roman" w:eastAsia="Times New Roman" w:hAnsi="Times New Roman"/>
      <w:kern w:val="28"/>
      <w:sz w:val="48"/>
      <w:szCs w:val="48"/>
      <w:lang w:val="en-US"/>
    </w:rPr>
  </w:style>
  <w:style w:type="paragraph" w:customStyle="1" w:styleId="Abstract">
    <w:name w:val="Abstract"/>
    <w:basedOn w:val="Normal"/>
    <w:next w:val="Normal"/>
    <w:rsid w:val="009B24D0"/>
    <w:pPr>
      <w:suppressAutoHyphens w:val="0"/>
      <w:autoSpaceDN/>
      <w:spacing w:before="20" w:after="0" w:line="240" w:lineRule="auto"/>
      <w:ind w:firstLine="202"/>
      <w:jc w:val="both"/>
      <w:textAlignment w:val="auto"/>
    </w:pPr>
    <w:rPr>
      <w:rFonts w:ascii="Times New Roman" w:eastAsia="Times New Roman" w:hAnsi="Times New Roman"/>
      <w:b/>
      <w:bCs/>
      <w:sz w:val="18"/>
      <w:szCs w:val="18"/>
      <w:lang w:val="en-US"/>
    </w:rPr>
  </w:style>
  <w:style w:type="paragraph" w:customStyle="1" w:styleId="References">
    <w:name w:val="References"/>
    <w:basedOn w:val="Normal"/>
    <w:rsid w:val="009B24D0"/>
    <w:pPr>
      <w:numPr>
        <w:numId w:val="6"/>
      </w:numPr>
      <w:suppressAutoHyphens w:val="0"/>
      <w:autoSpaceDN/>
      <w:spacing w:after="0" w:line="240" w:lineRule="auto"/>
      <w:jc w:val="both"/>
      <w:textAlignment w:val="auto"/>
    </w:pPr>
    <w:rPr>
      <w:rFonts w:ascii="Times New Roman" w:eastAsia="Times New Roman" w:hAnsi="Times New Roman"/>
      <w:sz w:val="16"/>
      <w:szCs w:val="16"/>
      <w:lang w:val="en-US"/>
    </w:rPr>
  </w:style>
  <w:style w:type="character" w:customStyle="1" w:styleId="ms-font-s">
    <w:name w:val="ms-font-s"/>
    <w:basedOn w:val="DefaultParagraphFont"/>
    <w:rsid w:val="009B24D0"/>
  </w:style>
  <w:style w:type="table" w:styleId="TableGrid">
    <w:name w:val="Table Grid"/>
    <w:basedOn w:val="TableNormal"/>
    <w:uiPriority w:val="59"/>
    <w:rsid w:val="00986C02"/>
    <w:pPr>
      <w:autoSpaceDN/>
      <w:spacing w:after="0" w:line="240" w:lineRule="auto"/>
      <w:textAlignment w:val="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link w:val="Heading3"/>
    <w:rsid w:val="006E0A56"/>
    <w:rPr>
      <w:rFonts w:ascii="Calibri Light" w:eastAsia="Times New Roman" w:hAnsi="Calibri Light"/>
      <w:b/>
      <w:bCs/>
      <w:color w:val="5B9BD5"/>
      <w:sz w:val="24"/>
      <w:szCs w:val="24"/>
      <w:lang w:val="en-GB" w:eastAsia="en-GB"/>
    </w:rPr>
  </w:style>
  <w:style w:type="paragraph" w:customStyle="1" w:styleId="indentQuote">
    <w:name w:val="indentQuote"/>
    <w:basedOn w:val="Normal"/>
    <w:autoRedefine/>
    <w:rsid w:val="006E0A56"/>
    <w:pPr>
      <w:suppressAutoHyphens w:val="0"/>
      <w:autoSpaceDN/>
      <w:spacing w:before="200" w:after="360" w:line="276" w:lineRule="auto"/>
      <w:ind w:left="851" w:right="851"/>
      <w:jc w:val="both"/>
      <w:textAlignment w:val="auto"/>
    </w:pPr>
    <w:rPr>
      <w:rFonts w:ascii="Times New Roman" w:eastAsiaTheme="minorHAnsi" w:hAnsi="Times New Roman" w:cstheme="minorBidi"/>
    </w:rPr>
  </w:style>
  <w:style w:type="paragraph" w:customStyle="1" w:styleId="Initial">
    <w:name w:val="Initial"/>
    <w:basedOn w:val="Normal"/>
    <w:next w:val="Normal"/>
    <w:autoRedefine/>
    <w:rsid w:val="006E0A56"/>
    <w:pPr>
      <w:suppressAutoHyphens w:val="0"/>
      <w:autoSpaceDN/>
      <w:spacing w:after="360" w:line="360" w:lineRule="auto"/>
      <w:jc w:val="both"/>
      <w:textAlignment w:val="auto"/>
    </w:pPr>
    <w:rPr>
      <w:rFonts w:ascii="Times New Roman" w:eastAsiaTheme="minorHAnsi" w:hAnsi="Times New Roman" w:cstheme="minorBidi"/>
      <w:b/>
      <w:sz w:val="28"/>
    </w:rPr>
  </w:style>
  <w:style w:type="table" w:customStyle="1" w:styleId="DataTable">
    <w:name w:val="DataTable"/>
    <w:basedOn w:val="TableNormal"/>
    <w:uiPriority w:val="99"/>
    <w:rsid w:val="006E0A56"/>
    <w:pPr>
      <w:autoSpaceDN/>
      <w:spacing w:after="0" w:line="240" w:lineRule="auto"/>
      <w:textAlignment w:val="auto"/>
    </w:pPr>
    <w:rPr>
      <w:rFonts w:asciiTheme="minorHAnsi" w:eastAsiaTheme="minorHAnsi" w:hAnsiTheme="minorHAnsi" w:cstheme="minorBidi"/>
      <w:lang w:val="en-US"/>
    </w:rPr>
    <w:tblPr>
      <w:tblBorders>
        <w:top w:val="single" w:sz="2" w:space="0" w:color="auto"/>
        <w:bottom w:val="single" w:sz="2" w:space="0" w:color="auto"/>
      </w:tblBorders>
    </w:tblPr>
  </w:style>
  <w:style w:type="character" w:customStyle="1" w:styleId="CaptionChar">
    <w:name w:val="Caption Char"/>
    <w:aliases w:val="Caption (Centred) Char"/>
    <w:basedOn w:val="DefaultParagraphFont"/>
    <w:link w:val="Caption"/>
    <w:rsid w:val="006E0A56"/>
    <w:rPr>
      <w:rFonts w:ascii="Times New Roman" w:eastAsia="Times New Roman" w:hAnsi="Times New Roman"/>
      <w:b/>
      <w:bCs/>
      <w:sz w:val="24"/>
      <w:szCs w:val="24"/>
      <w:lang w:val="en-US"/>
    </w:rPr>
  </w:style>
  <w:style w:type="paragraph" w:customStyle="1" w:styleId="Standardmate">
    <w:name w:val="Standard mate"/>
    <w:basedOn w:val="Normal"/>
    <w:link w:val="StandardmateChar"/>
    <w:qFormat/>
    <w:rsid w:val="006E0A56"/>
    <w:pPr>
      <w:suppressAutoHyphens w:val="0"/>
      <w:autoSpaceDN/>
      <w:spacing w:after="360" w:line="360" w:lineRule="auto"/>
      <w:jc w:val="both"/>
      <w:textAlignment w:val="auto"/>
    </w:pPr>
    <w:rPr>
      <w:rFonts w:ascii="Times New Roman" w:eastAsiaTheme="minorHAnsi" w:hAnsi="Times New Roman" w:cstheme="minorBidi"/>
    </w:rPr>
  </w:style>
  <w:style w:type="character" w:customStyle="1" w:styleId="StandardmateChar">
    <w:name w:val="Standard mate Char"/>
    <w:basedOn w:val="DefaultParagraphFont"/>
    <w:link w:val="Standardmate"/>
    <w:rsid w:val="006E0A56"/>
    <w:rPr>
      <w:rFonts w:ascii="Times New Roman" w:eastAsiaTheme="minorHAnsi" w:hAnsi="Times New Roman" w:cstheme="minorBidi"/>
    </w:rPr>
  </w:style>
  <w:style w:type="paragraph" w:styleId="NoSpacing">
    <w:name w:val="No Spacing"/>
    <w:aliases w:val="Reference Style"/>
    <w:basedOn w:val="Normal"/>
    <w:next w:val="Normal"/>
    <w:qFormat/>
    <w:rsid w:val="006E0A56"/>
    <w:pPr>
      <w:suppressAutoHyphens w:val="0"/>
      <w:autoSpaceDN/>
      <w:spacing w:before="100" w:beforeAutospacing="1" w:after="100" w:afterAutospacing="1" w:line="240" w:lineRule="auto"/>
      <w:jc w:val="both"/>
      <w:textAlignment w:val="auto"/>
    </w:pPr>
    <w:rPr>
      <w:rFonts w:ascii="Times New Roman" w:eastAsiaTheme="minorHAnsi" w:hAnsi="Times New Roman" w:cstheme="minorBidi"/>
    </w:rPr>
  </w:style>
  <w:style w:type="paragraph" w:styleId="TOCHeading">
    <w:name w:val="TOC Heading"/>
    <w:basedOn w:val="Heading1"/>
    <w:next w:val="Normal"/>
    <w:uiPriority w:val="39"/>
    <w:unhideWhenUsed/>
    <w:qFormat/>
    <w:rsid w:val="006E0A56"/>
    <w:pPr>
      <w:suppressAutoHyphens w:val="0"/>
      <w:autoSpaceDN/>
      <w:spacing w:afterAutospacing="1" w:line="276" w:lineRule="auto"/>
      <w:ind w:left="360" w:hanging="360"/>
      <w:textAlignment w:val="auto"/>
      <w:outlineLvl w:val="9"/>
    </w:pPr>
    <w:rPr>
      <w:rFonts w:asciiTheme="majorHAnsi" w:eastAsiaTheme="majorEastAsia" w:hAnsiTheme="majorHAnsi" w:cstheme="majorBidi"/>
      <w:color w:val="2E74B5" w:themeColor="accent1" w:themeShade="BF"/>
      <w:lang w:val="en-US" w:eastAsia="ja-JP"/>
    </w:rPr>
  </w:style>
  <w:style w:type="paragraph" w:styleId="TOC1">
    <w:name w:val="toc 1"/>
    <w:basedOn w:val="PreHeading1"/>
    <w:next w:val="Normal"/>
    <w:autoRedefine/>
    <w:uiPriority w:val="39"/>
    <w:unhideWhenUsed/>
    <w:rsid w:val="006E0A56"/>
    <w:pPr>
      <w:tabs>
        <w:tab w:val="left" w:pos="567"/>
        <w:tab w:val="left" w:pos="1320"/>
        <w:tab w:val="right" w:leader="dot" w:pos="8505"/>
      </w:tabs>
      <w:spacing w:after="100" w:line="240" w:lineRule="auto"/>
    </w:pPr>
    <w:rPr>
      <w:sz w:val="22"/>
    </w:rPr>
  </w:style>
  <w:style w:type="paragraph" w:styleId="TOC2">
    <w:name w:val="toc 2"/>
    <w:basedOn w:val="Normal"/>
    <w:next w:val="Normal"/>
    <w:autoRedefine/>
    <w:uiPriority w:val="39"/>
    <w:unhideWhenUsed/>
    <w:rsid w:val="006E0A56"/>
    <w:pPr>
      <w:suppressAutoHyphens w:val="0"/>
      <w:autoSpaceDN/>
      <w:spacing w:after="100" w:line="240" w:lineRule="auto"/>
      <w:ind w:left="240"/>
      <w:jc w:val="both"/>
      <w:textAlignment w:val="auto"/>
    </w:pPr>
    <w:rPr>
      <w:rFonts w:ascii="Times New Roman" w:eastAsiaTheme="minorHAnsi" w:hAnsi="Times New Roman" w:cstheme="minorBidi"/>
    </w:rPr>
  </w:style>
  <w:style w:type="paragraph" w:styleId="TOC3">
    <w:name w:val="toc 3"/>
    <w:basedOn w:val="Normal"/>
    <w:next w:val="Normal"/>
    <w:autoRedefine/>
    <w:uiPriority w:val="39"/>
    <w:unhideWhenUsed/>
    <w:rsid w:val="006E0A56"/>
    <w:pPr>
      <w:suppressAutoHyphens w:val="0"/>
      <w:autoSpaceDN/>
      <w:spacing w:after="100" w:line="240" w:lineRule="auto"/>
      <w:ind w:left="480"/>
      <w:jc w:val="both"/>
      <w:textAlignment w:val="auto"/>
    </w:pPr>
    <w:rPr>
      <w:rFonts w:ascii="Times New Roman" w:eastAsiaTheme="minorHAnsi" w:hAnsi="Times New Roman" w:cstheme="minorBidi"/>
    </w:rPr>
  </w:style>
  <w:style w:type="paragraph" w:styleId="TableofFigures">
    <w:name w:val="table of figures"/>
    <w:basedOn w:val="Normal"/>
    <w:next w:val="Normal"/>
    <w:uiPriority w:val="99"/>
    <w:unhideWhenUsed/>
    <w:rsid w:val="006E0A56"/>
    <w:pPr>
      <w:suppressAutoHyphens w:val="0"/>
      <w:autoSpaceDN/>
      <w:spacing w:after="0" w:line="360" w:lineRule="auto"/>
      <w:jc w:val="both"/>
      <w:textAlignment w:val="auto"/>
    </w:pPr>
    <w:rPr>
      <w:rFonts w:ascii="Times New Roman" w:eastAsiaTheme="minorHAnsi" w:hAnsi="Times New Roman" w:cstheme="minorBidi"/>
    </w:rPr>
  </w:style>
  <w:style w:type="paragraph" w:customStyle="1" w:styleId="Equation">
    <w:name w:val="Equation"/>
    <w:basedOn w:val="Caption"/>
    <w:link w:val="EquationChar"/>
    <w:qFormat/>
    <w:rsid w:val="006E0A56"/>
    <w:pPr>
      <w:keepNext/>
      <w:suppressAutoHyphens w:val="0"/>
      <w:autoSpaceDN/>
      <w:spacing w:after="240"/>
      <w:ind w:right="-40"/>
      <w:jc w:val="both"/>
      <w:textAlignment w:val="auto"/>
    </w:pPr>
    <w:rPr>
      <w:rFonts w:eastAsiaTheme="minorHAnsi" w:cstheme="minorBidi"/>
      <w:b w:val="0"/>
    </w:rPr>
  </w:style>
  <w:style w:type="character" w:customStyle="1" w:styleId="EquationChar">
    <w:name w:val="Equation Char"/>
    <w:basedOn w:val="CaptionChar"/>
    <w:link w:val="Equation"/>
    <w:rsid w:val="006E0A56"/>
    <w:rPr>
      <w:rFonts w:ascii="Times New Roman" w:eastAsiaTheme="minorHAnsi" w:hAnsi="Times New Roman" w:cstheme="minorBidi"/>
      <w:b w:val="0"/>
      <w:bCs/>
      <w:sz w:val="24"/>
      <w:szCs w:val="24"/>
      <w:lang w:val="en-US"/>
    </w:rPr>
  </w:style>
  <w:style w:type="character" w:styleId="FollowedHyperlink">
    <w:name w:val="FollowedHyperlink"/>
    <w:basedOn w:val="DefaultParagraphFont"/>
    <w:uiPriority w:val="99"/>
    <w:semiHidden/>
    <w:unhideWhenUsed/>
    <w:rsid w:val="006E0A56"/>
    <w:rPr>
      <w:color w:val="954F72" w:themeColor="followedHyperlink"/>
      <w:u w:val="single"/>
    </w:rPr>
  </w:style>
  <w:style w:type="character" w:styleId="Emphasis">
    <w:name w:val="Emphasis"/>
    <w:basedOn w:val="DefaultParagraphFont"/>
    <w:uiPriority w:val="20"/>
    <w:qFormat/>
    <w:rsid w:val="006E0A56"/>
    <w:rPr>
      <w:i/>
      <w:iCs/>
    </w:rPr>
  </w:style>
  <w:style w:type="character" w:customStyle="1" w:styleId="hit">
    <w:name w:val="hit"/>
    <w:basedOn w:val="DefaultParagraphFont"/>
    <w:rsid w:val="006E0A56"/>
  </w:style>
  <w:style w:type="paragraph" w:customStyle="1" w:styleId="Default">
    <w:name w:val="Default"/>
    <w:rsid w:val="006E0A56"/>
    <w:pPr>
      <w:autoSpaceDE w:val="0"/>
      <w:adjustRightInd w:val="0"/>
      <w:spacing w:after="0" w:line="240" w:lineRule="auto"/>
      <w:textAlignment w:val="auto"/>
    </w:pPr>
    <w:rPr>
      <w:rFonts w:ascii="Times New Roman" w:eastAsiaTheme="minorHAnsi" w:hAnsi="Times New Roman"/>
      <w:color w:val="000000"/>
      <w:sz w:val="24"/>
      <w:szCs w:val="24"/>
    </w:rPr>
  </w:style>
  <w:style w:type="paragraph" w:customStyle="1" w:styleId="FigureCaption">
    <w:name w:val="Figure Caption"/>
    <w:basedOn w:val="Caption"/>
    <w:rsid w:val="006E0A56"/>
    <w:pPr>
      <w:keepNext/>
      <w:suppressAutoHyphens w:val="0"/>
      <w:autoSpaceDN/>
      <w:spacing w:after="240"/>
      <w:ind w:left="624" w:right="-40" w:hanging="624"/>
      <w:jc w:val="both"/>
      <w:textAlignment w:val="auto"/>
    </w:pPr>
    <w:rPr>
      <w:rFonts w:eastAsiaTheme="minorHAnsi" w:cstheme="minorBidi"/>
      <w:b w:val="0"/>
      <w:sz w:val="22"/>
      <w:lang w:val="en-IE"/>
    </w:rPr>
  </w:style>
  <w:style w:type="paragraph" w:styleId="Quote">
    <w:name w:val="Quote"/>
    <w:basedOn w:val="Normal"/>
    <w:next w:val="Normal"/>
    <w:link w:val="QuoteChar"/>
    <w:uiPriority w:val="29"/>
    <w:qFormat/>
    <w:rsid w:val="006E0A56"/>
    <w:pPr>
      <w:suppressAutoHyphens w:val="0"/>
      <w:autoSpaceDN/>
      <w:spacing w:after="360" w:line="360" w:lineRule="auto"/>
      <w:jc w:val="both"/>
      <w:textAlignment w:val="auto"/>
    </w:pPr>
    <w:rPr>
      <w:rFonts w:ascii="Times New Roman" w:eastAsiaTheme="minorHAnsi" w:hAnsi="Times New Roman" w:cstheme="minorBidi"/>
      <w:i/>
      <w:iCs/>
      <w:color w:val="000000" w:themeColor="text1"/>
    </w:rPr>
  </w:style>
  <w:style w:type="character" w:customStyle="1" w:styleId="QuoteChar">
    <w:name w:val="Quote Char"/>
    <w:basedOn w:val="DefaultParagraphFont"/>
    <w:link w:val="Quote"/>
    <w:uiPriority w:val="29"/>
    <w:rsid w:val="006E0A56"/>
    <w:rPr>
      <w:rFonts w:ascii="Times New Roman" w:eastAsiaTheme="minorHAnsi" w:hAnsi="Times New Roman" w:cstheme="minorBidi"/>
      <w:i/>
      <w:iCs/>
      <w:color w:val="000000" w:themeColor="text1"/>
    </w:rPr>
  </w:style>
  <w:style w:type="paragraph" w:customStyle="1" w:styleId="Figures">
    <w:name w:val="Figures"/>
    <w:basedOn w:val="FigureCaption"/>
    <w:rsid w:val="006E0A56"/>
    <w:pPr>
      <w:spacing w:line="240" w:lineRule="auto"/>
      <w:ind w:left="0" w:right="0" w:firstLine="0"/>
    </w:pPr>
  </w:style>
  <w:style w:type="table" w:customStyle="1" w:styleId="LightShading1">
    <w:name w:val="Light Shading1"/>
    <w:basedOn w:val="TableNormal"/>
    <w:uiPriority w:val="60"/>
    <w:rsid w:val="006E0A56"/>
    <w:pPr>
      <w:autoSpaceDN/>
      <w:spacing w:after="0" w:line="240" w:lineRule="auto"/>
      <w:textAlignment w:val="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
    <w:name w:val="Table"/>
    <w:basedOn w:val="Normal"/>
    <w:qFormat/>
    <w:rsid w:val="006E0A56"/>
    <w:pPr>
      <w:suppressAutoHyphens w:val="0"/>
      <w:autoSpaceDN/>
      <w:spacing w:after="40" w:line="240" w:lineRule="auto"/>
      <w:jc w:val="both"/>
      <w:textAlignment w:val="auto"/>
    </w:pPr>
    <w:rPr>
      <w:rFonts w:ascii="Times New Roman" w:eastAsiaTheme="minorHAnsi" w:hAnsi="Times New Roman" w:cstheme="minorBidi"/>
    </w:rPr>
  </w:style>
  <w:style w:type="paragraph" w:customStyle="1" w:styleId="normal1">
    <w:name w:val="normal1"/>
    <w:basedOn w:val="Normal"/>
    <w:link w:val="normal1Char"/>
    <w:qFormat/>
    <w:rsid w:val="006E0A56"/>
    <w:pPr>
      <w:suppressAutoHyphens w:val="0"/>
      <w:autoSpaceDN/>
      <w:spacing w:after="200" w:line="480" w:lineRule="auto"/>
      <w:jc w:val="both"/>
      <w:textAlignment w:val="auto"/>
    </w:pPr>
    <w:rPr>
      <w:rFonts w:ascii="Times New Roman" w:eastAsiaTheme="minorHAnsi" w:hAnsi="Times New Roman" w:cstheme="minorBidi"/>
    </w:rPr>
  </w:style>
  <w:style w:type="character" w:customStyle="1" w:styleId="normal1Char">
    <w:name w:val="normal1 Char"/>
    <w:basedOn w:val="DefaultParagraphFont"/>
    <w:link w:val="normal1"/>
    <w:rsid w:val="006E0A56"/>
    <w:rPr>
      <w:rFonts w:ascii="Times New Roman" w:eastAsiaTheme="minorHAnsi" w:hAnsi="Times New Roman" w:cstheme="minorBidi"/>
    </w:rPr>
  </w:style>
  <w:style w:type="table" w:customStyle="1" w:styleId="LightShading2">
    <w:name w:val="Light Shading2"/>
    <w:basedOn w:val="TableNormal"/>
    <w:uiPriority w:val="60"/>
    <w:rsid w:val="006E0A56"/>
    <w:pPr>
      <w:autoSpaceDN/>
      <w:spacing w:after="0" w:line="240" w:lineRule="auto"/>
      <w:textAlignment w:val="auto"/>
    </w:pPr>
    <w:rPr>
      <w:rFonts w:asciiTheme="minorHAnsi" w:eastAsiaTheme="minorHAnsi" w:hAnsiTheme="minorHAnsi" w:cstheme="minorBidi"/>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CaptionCentre">
    <w:name w:val="Fig Caption Centre"/>
    <w:basedOn w:val="Normal"/>
    <w:next w:val="Normal"/>
    <w:qFormat/>
    <w:rsid w:val="006E0A56"/>
    <w:pPr>
      <w:suppressAutoHyphens w:val="0"/>
      <w:autoSpaceDN/>
      <w:spacing w:before="120" w:after="480" w:line="360" w:lineRule="auto"/>
      <w:jc w:val="center"/>
      <w:textAlignment w:val="auto"/>
    </w:pPr>
    <w:rPr>
      <w:rFonts w:ascii="Times New Roman" w:eastAsiaTheme="minorHAnsi" w:hAnsi="Times New Roman" w:cstheme="minorBidi"/>
      <w:bCs/>
      <w:szCs w:val="24"/>
    </w:rPr>
  </w:style>
  <w:style w:type="paragraph" w:customStyle="1" w:styleId="FigCaptionJustified">
    <w:name w:val="Fig Caption Justified"/>
    <w:basedOn w:val="Normal"/>
    <w:next w:val="Normal"/>
    <w:qFormat/>
    <w:rsid w:val="006E0A56"/>
    <w:pPr>
      <w:suppressAutoHyphens w:val="0"/>
      <w:autoSpaceDN/>
      <w:spacing w:before="120" w:after="480" w:line="360" w:lineRule="auto"/>
      <w:jc w:val="both"/>
      <w:textAlignment w:val="auto"/>
    </w:pPr>
    <w:rPr>
      <w:rFonts w:ascii="Times New Roman" w:eastAsiaTheme="minorHAnsi" w:hAnsi="Times New Roman" w:cstheme="minorBidi"/>
    </w:rPr>
  </w:style>
  <w:style w:type="paragraph" w:customStyle="1" w:styleId="TableCaption">
    <w:name w:val="Table Caption"/>
    <w:basedOn w:val="Normal"/>
    <w:next w:val="Default"/>
    <w:qFormat/>
    <w:rsid w:val="006E0A56"/>
    <w:pPr>
      <w:suppressAutoHyphens w:val="0"/>
      <w:autoSpaceDN/>
      <w:spacing w:after="40" w:line="240" w:lineRule="auto"/>
      <w:jc w:val="both"/>
      <w:textAlignment w:val="auto"/>
    </w:pPr>
    <w:rPr>
      <w:rFonts w:ascii="Times New Roman" w:eastAsiaTheme="minorHAnsi" w:hAnsi="Times New Roman" w:cstheme="minorBidi"/>
    </w:rPr>
  </w:style>
  <w:style w:type="paragraph" w:customStyle="1" w:styleId="Figcaptioncentre0">
    <w:name w:val="Fig caption centre"/>
    <w:basedOn w:val="Normal"/>
    <w:next w:val="Normal"/>
    <w:qFormat/>
    <w:rsid w:val="006E0A56"/>
    <w:pPr>
      <w:suppressAutoHyphens w:val="0"/>
      <w:autoSpaceDN/>
      <w:spacing w:before="120" w:after="480" w:line="360" w:lineRule="auto"/>
      <w:jc w:val="center"/>
      <w:textAlignment w:val="auto"/>
    </w:pPr>
    <w:rPr>
      <w:rFonts w:ascii="Times New Roman" w:eastAsiaTheme="minorHAnsi" w:hAnsi="Times New Roman" w:cstheme="minorBidi"/>
      <w:bCs/>
      <w:color w:val="000000" w:themeColor="text1" w:themeShade="BF"/>
    </w:rPr>
  </w:style>
  <w:style w:type="paragraph" w:customStyle="1" w:styleId="Figcaptionjustified0">
    <w:name w:val="Fig caption justified"/>
    <w:basedOn w:val="Normal"/>
    <w:next w:val="Normal"/>
    <w:qFormat/>
    <w:rsid w:val="006E0A56"/>
    <w:pPr>
      <w:suppressAutoHyphens w:val="0"/>
      <w:autoSpaceDN/>
      <w:spacing w:before="120" w:after="480" w:line="360" w:lineRule="auto"/>
      <w:jc w:val="both"/>
      <w:textAlignment w:val="auto"/>
    </w:pPr>
    <w:rPr>
      <w:rFonts w:ascii="Times New Roman" w:eastAsiaTheme="minorHAnsi" w:hAnsi="Times New Roman" w:cstheme="minorBidi"/>
      <w:bCs/>
    </w:rPr>
  </w:style>
  <w:style w:type="paragraph" w:styleId="Revision">
    <w:name w:val="Revision"/>
    <w:hidden/>
    <w:uiPriority w:val="99"/>
    <w:semiHidden/>
    <w:rsid w:val="006E0A56"/>
    <w:pPr>
      <w:autoSpaceDN/>
      <w:spacing w:after="0" w:line="240" w:lineRule="auto"/>
      <w:textAlignment w:val="auto"/>
    </w:pPr>
    <w:rPr>
      <w:rFonts w:ascii="Book Antiqua" w:eastAsiaTheme="minorHAnsi" w:hAnsi="Book Antiqua" w:cstheme="minorBidi"/>
    </w:rPr>
  </w:style>
  <w:style w:type="paragraph" w:customStyle="1" w:styleId="FigCaptionCentred">
    <w:name w:val="Fig Caption Centred"/>
    <w:basedOn w:val="Normal"/>
    <w:next w:val="Default"/>
    <w:qFormat/>
    <w:rsid w:val="006E0A56"/>
    <w:pPr>
      <w:suppressAutoHyphens w:val="0"/>
      <w:autoSpaceDN/>
      <w:spacing w:before="120" w:after="480" w:line="360" w:lineRule="auto"/>
      <w:jc w:val="center"/>
      <w:textAlignment w:val="auto"/>
    </w:pPr>
    <w:rPr>
      <w:rFonts w:ascii="Times New Roman" w:eastAsiaTheme="minorHAnsi" w:hAnsi="Times New Roman" w:cstheme="minorBidi"/>
    </w:rPr>
  </w:style>
  <w:style w:type="paragraph" w:customStyle="1" w:styleId="InsideTable">
    <w:name w:val="Inside Table"/>
    <w:basedOn w:val="Normal"/>
    <w:next w:val="Default"/>
    <w:qFormat/>
    <w:rsid w:val="006E0A56"/>
    <w:pPr>
      <w:suppressAutoHyphens w:val="0"/>
      <w:autoSpaceDN/>
      <w:spacing w:after="0" w:line="240" w:lineRule="auto"/>
      <w:jc w:val="both"/>
      <w:textAlignment w:val="auto"/>
    </w:pPr>
    <w:rPr>
      <w:rFonts w:ascii="Times New Roman" w:eastAsiaTheme="minorHAnsi" w:hAnsi="Times New Roman" w:cstheme="minorBidi"/>
    </w:rPr>
  </w:style>
  <w:style w:type="paragraph" w:customStyle="1" w:styleId="Captionjustified">
    <w:name w:val="Caption (justified)"/>
    <w:basedOn w:val="Normal"/>
    <w:next w:val="Normal"/>
    <w:link w:val="CaptionjustifiedChar"/>
    <w:qFormat/>
    <w:rsid w:val="006E0A56"/>
    <w:pPr>
      <w:suppressAutoHyphens w:val="0"/>
      <w:autoSpaceDN/>
      <w:spacing w:before="120" w:after="480" w:line="360" w:lineRule="auto"/>
      <w:jc w:val="both"/>
      <w:textAlignment w:val="auto"/>
    </w:pPr>
    <w:rPr>
      <w:rFonts w:ascii="Times New Roman" w:eastAsiaTheme="minorHAnsi" w:hAnsi="Times New Roman" w:cstheme="minorBidi"/>
    </w:rPr>
  </w:style>
  <w:style w:type="character" w:customStyle="1" w:styleId="CaptionjustifiedChar">
    <w:name w:val="Caption (justified) Char"/>
    <w:basedOn w:val="DefaultParagraphFont"/>
    <w:link w:val="Captionjustified"/>
    <w:rsid w:val="006E0A56"/>
    <w:rPr>
      <w:rFonts w:ascii="Times New Roman" w:eastAsiaTheme="minorHAnsi" w:hAnsi="Times New Roman" w:cstheme="minorBidi"/>
    </w:rPr>
  </w:style>
  <w:style w:type="paragraph" w:styleId="Bibliography">
    <w:name w:val="Bibliography"/>
    <w:basedOn w:val="Normal"/>
    <w:next w:val="Normal"/>
    <w:uiPriority w:val="37"/>
    <w:unhideWhenUsed/>
    <w:rsid w:val="006E0A56"/>
    <w:pPr>
      <w:suppressAutoHyphens w:val="0"/>
      <w:autoSpaceDN/>
      <w:spacing w:after="360" w:line="360" w:lineRule="auto"/>
      <w:jc w:val="both"/>
      <w:textAlignment w:val="auto"/>
    </w:pPr>
    <w:rPr>
      <w:rFonts w:ascii="Times New Roman" w:eastAsiaTheme="minorHAnsi" w:hAnsi="Times New Roman" w:cstheme="minorBidi"/>
    </w:rPr>
  </w:style>
  <w:style w:type="paragraph" w:customStyle="1" w:styleId="FigureNormal">
    <w:name w:val="Figure Normal"/>
    <w:basedOn w:val="Normal"/>
    <w:next w:val="Default"/>
    <w:qFormat/>
    <w:rsid w:val="006E0A56"/>
    <w:pPr>
      <w:suppressAutoHyphens w:val="0"/>
      <w:autoSpaceDN/>
      <w:spacing w:after="0" w:line="240" w:lineRule="auto"/>
      <w:jc w:val="both"/>
      <w:textAlignment w:val="auto"/>
    </w:pPr>
    <w:rPr>
      <w:rFonts w:ascii="Times New Roman" w:eastAsiaTheme="minorHAnsi" w:hAnsi="Times New Roman" w:cstheme="minorBidi"/>
    </w:rPr>
  </w:style>
  <w:style w:type="paragraph" w:customStyle="1" w:styleId="insidetable0">
    <w:name w:val="inside table"/>
    <w:basedOn w:val="Normal"/>
    <w:next w:val="Normal"/>
    <w:qFormat/>
    <w:rsid w:val="006E0A56"/>
    <w:pPr>
      <w:suppressAutoHyphens w:val="0"/>
      <w:autoSpaceDN/>
      <w:spacing w:after="0" w:line="240" w:lineRule="auto"/>
      <w:jc w:val="center"/>
      <w:textAlignment w:val="auto"/>
    </w:pPr>
    <w:rPr>
      <w:rFonts w:ascii="Times New Roman" w:eastAsiaTheme="minorHAnsi" w:hAnsi="Times New Roman" w:cstheme="minorBidi"/>
    </w:rPr>
  </w:style>
  <w:style w:type="paragraph" w:customStyle="1" w:styleId="Captioncentred">
    <w:name w:val="Caption  (centred)"/>
    <w:basedOn w:val="Normal"/>
    <w:next w:val="Normal"/>
    <w:qFormat/>
    <w:rsid w:val="006E0A56"/>
    <w:pPr>
      <w:suppressAutoHyphens w:val="0"/>
      <w:autoSpaceDN/>
      <w:spacing w:before="120" w:after="480" w:line="360" w:lineRule="auto"/>
      <w:jc w:val="center"/>
      <w:textAlignment w:val="auto"/>
    </w:pPr>
    <w:rPr>
      <w:rFonts w:ascii="Times New Roman" w:eastAsiaTheme="minorHAnsi" w:hAnsi="Times New Roman" w:cstheme="minorBidi"/>
    </w:rPr>
  </w:style>
  <w:style w:type="table" w:customStyle="1" w:styleId="LightShading3">
    <w:name w:val="Light Shading3"/>
    <w:basedOn w:val="TableNormal"/>
    <w:uiPriority w:val="60"/>
    <w:rsid w:val="006E0A56"/>
    <w:pPr>
      <w:autoSpaceDN/>
      <w:spacing w:after="0" w:line="240" w:lineRule="auto"/>
      <w:textAlignment w:val="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Heading1">
    <w:name w:val="Pre Heading 1"/>
    <w:basedOn w:val="Normal"/>
    <w:next w:val="Normal"/>
    <w:qFormat/>
    <w:rsid w:val="006E0A56"/>
    <w:pPr>
      <w:suppressAutoHyphens w:val="0"/>
      <w:autoSpaceDN/>
      <w:spacing w:after="360" w:line="360" w:lineRule="auto"/>
      <w:jc w:val="both"/>
      <w:textAlignment w:val="auto"/>
    </w:pPr>
    <w:rPr>
      <w:rFonts w:ascii="Times New Roman" w:eastAsiaTheme="minorHAnsi" w:hAnsi="Times New Roman" w:cstheme="minorBidi"/>
      <w:b/>
      <w:sz w:val="36"/>
    </w:rPr>
  </w:style>
  <w:style w:type="paragraph" w:styleId="TOC4">
    <w:name w:val="toc 4"/>
    <w:basedOn w:val="Normal"/>
    <w:next w:val="Normal"/>
    <w:autoRedefine/>
    <w:uiPriority w:val="39"/>
    <w:unhideWhenUsed/>
    <w:rsid w:val="006E0A56"/>
    <w:pPr>
      <w:suppressAutoHyphens w:val="0"/>
      <w:autoSpaceDN/>
      <w:spacing w:after="100" w:line="240" w:lineRule="auto"/>
      <w:ind w:left="660"/>
      <w:textAlignment w:val="auto"/>
    </w:pPr>
    <w:rPr>
      <w:rFonts w:ascii="Times New Roman" w:eastAsiaTheme="minorEastAsia" w:hAnsi="Times New Roman" w:cstheme="minorBidi"/>
      <w:lang w:eastAsia="en-IE"/>
    </w:rPr>
  </w:style>
  <w:style w:type="paragraph" w:styleId="TOC5">
    <w:name w:val="toc 5"/>
    <w:basedOn w:val="Normal"/>
    <w:next w:val="Normal"/>
    <w:autoRedefine/>
    <w:uiPriority w:val="39"/>
    <w:unhideWhenUsed/>
    <w:rsid w:val="006E0A56"/>
    <w:pPr>
      <w:suppressAutoHyphens w:val="0"/>
      <w:autoSpaceDN/>
      <w:spacing w:after="100" w:line="276" w:lineRule="auto"/>
      <w:ind w:left="880"/>
      <w:textAlignment w:val="auto"/>
    </w:pPr>
    <w:rPr>
      <w:rFonts w:asciiTheme="minorHAnsi" w:eastAsiaTheme="minorEastAsia" w:hAnsiTheme="minorHAnsi" w:cstheme="minorBidi"/>
      <w:lang w:eastAsia="en-IE"/>
    </w:rPr>
  </w:style>
  <w:style w:type="paragraph" w:styleId="TOC6">
    <w:name w:val="toc 6"/>
    <w:basedOn w:val="Normal"/>
    <w:next w:val="Normal"/>
    <w:autoRedefine/>
    <w:uiPriority w:val="39"/>
    <w:unhideWhenUsed/>
    <w:rsid w:val="006E0A56"/>
    <w:pPr>
      <w:suppressAutoHyphens w:val="0"/>
      <w:autoSpaceDN/>
      <w:spacing w:after="100" w:line="276" w:lineRule="auto"/>
      <w:ind w:left="1100"/>
      <w:textAlignment w:val="auto"/>
    </w:pPr>
    <w:rPr>
      <w:rFonts w:asciiTheme="minorHAnsi" w:eastAsiaTheme="minorEastAsia" w:hAnsiTheme="minorHAnsi" w:cstheme="minorBidi"/>
      <w:lang w:eastAsia="en-IE"/>
    </w:rPr>
  </w:style>
  <w:style w:type="paragraph" w:styleId="TOC7">
    <w:name w:val="toc 7"/>
    <w:basedOn w:val="Normal"/>
    <w:next w:val="Normal"/>
    <w:autoRedefine/>
    <w:uiPriority w:val="39"/>
    <w:unhideWhenUsed/>
    <w:rsid w:val="006E0A56"/>
    <w:pPr>
      <w:suppressAutoHyphens w:val="0"/>
      <w:autoSpaceDN/>
      <w:spacing w:after="100" w:line="276" w:lineRule="auto"/>
      <w:ind w:left="1320"/>
      <w:textAlignment w:val="auto"/>
    </w:pPr>
    <w:rPr>
      <w:rFonts w:asciiTheme="minorHAnsi" w:eastAsiaTheme="minorEastAsia" w:hAnsiTheme="minorHAnsi" w:cstheme="minorBidi"/>
      <w:lang w:eastAsia="en-IE"/>
    </w:rPr>
  </w:style>
  <w:style w:type="paragraph" w:styleId="TOC8">
    <w:name w:val="toc 8"/>
    <w:basedOn w:val="Normal"/>
    <w:next w:val="Normal"/>
    <w:autoRedefine/>
    <w:uiPriority w:val="39"/>
    <w:unhideWhenUsed/>
    <w:rsid w:val="006E0A56"/>
    <w:pPr>
      <w:suppressAutoHyphens w:val="0"/>
      <w:autoSpaceDN/>
      <w:spacing w:after="100" w:line="276" w:lineRule="auto"/>
      <w:ind w:left="1540"/>
      <w:textAlignment w:val="auto"/>
    </w:pPr>
    <w:rPr>
      <w:rFonts w:asciiTheme="minorHAnsi" w:eastAsiaTheme="minorEastAsia" w:hAnsiTheme="minorHAnsi" w:cstheme="minorBidi"/>
      <w:lang w:eastAsia="en-IE"/>
    </w:rPr>
  </w:style>
  <w:style w:type="paragraph" w:styleId="TOC9">
    <w:name w:val="toc 9"/>
    <w:basedOn w:val="Normal"/>
    <w:next w:val="Normal"/>
    <w:autoRedefine/>
    <w:uiPriority w:val="39"/>
    <w:unhideWhenUsed/>
    <w:rsid w:val="006E0A56"/>
    <w:pPr>
      <w:suppressAutoHyphens w:val="0"/>
      <w:autoSpaceDN/>
      <w:spacing w:after="100" w:line="276" w:lineRule="auto"/>
      <w:ind w:left="1760"/>
      <w:textAlignment w:val="auto"/>
    </w:pPr>
    <w:rPr>
      <w:rFonts w:asciiTheme="minorHAnsi" w:eastAsiaTheme="minorEastAsia" w:hAnsiTheme="minorHAnsi" w:cstheme="minorBidi"/>
      <w:lang w:eastAsia="en-IE"/>
    </w:rPr>
  </w:style>
  <w:style w:type="paragraph" w:customStyle="1" w:styleId="EndNoteBibliographyTitle">
    <w:name w:val="EndNote Bibliography Title"/>
    <w:basedOn w:val="Normal"/>
    <w:link w:val="EndNoteBibliographyTitleChar"/>
    <w:rsid w:val="006E0A56"/>
    <w:pPr>
      <w:suppressAutoHyphens w:val="0"/>
      <w:autoSpaceDN/>
      <w:spacing w:after="0" w:line="360" w:lineRule="auto"/>
      <w:jc w:val="center"/>
      <w:textAlignment w:val="auto"/>
    </w:pPr>
    <w:rPr>
      <w:rFonts w:ascii="Times New Roman" w:eastAsiaTheme="minorHAnsi" w:hAnsi="Times New Roman"/>
      <w:noProof/>
      <w:lang w:val="en-US"/>
    </w:rPr>
  </w:style>
  <w:style w:type="character" w:customStyle="1" w:styleId="EndNoteBibliographyTitleChar">
    <w:name w:val="EndNote Bibliography Title Char"/>
    <w:basedOn w:val="DefaultParagraphFont"/>
    <w:link w:val="EndNoteBibliographyTitle"/>
    <w:rsid w:val="006E0A56"/>
    <w:rPr>
      <w:rFonts w:ascii="Times New Roman" w:eastAsiaTheme="minorHAnsi" w:hAnsi="Times New Roman"/>
      <w:noProof/>
      <w:lang w:val="en-US"/>
    </w:rPr>
  </w:style>
  <w:style w:type="paragraph" w:customStyle="1" w:styleId="EndNoteBibliography">
    <w:name w:val="EndNote Bibliography"/>
    <w:basedOn w:val="Normal"/>
    <w:link w:val="EndNoteBibliographyChar"/>
    <w:rsid w:val="006E0A56"/>
    <w:pPr>
      <w:suppressAutoHyphens w:val="0"/>
      <w:autoSpaceDN/>
      <w:spacing w:after="360" w:line="240" w:lineRule="auto"/>
      <w:jc w:val="both"/>
      <w:textAlignment w:val="auto"/>
    </w:pPr>
    <w:rPr>
      <w:rFonts w:ascii="Times New Roman" w:eastAsiaTheme="minorHAnsi" w:hAnsi="Times New Roman"/>
      <w:noProof/>
      <w:lang w:val="en-US"/>
    </w:rPr>
  </w:style>
  <w:style w:type="character" w:customStyle="1" w:styleId="EndNoteBibliographyChar">
    <w:name w:val="EndNote Bibliography Char"/>
    <w:basedOn w:val="DefaultParagraphFont"/>
    <w:link w:val="EndNoteBibliography"/>
    <w:rsid w:val="006E0A56"/>
    <w:rPr>
      <w:rFonts w:ascii="Times New Roman" w:eastAsiaTheme="minorHAnsi" w:hAnsi="Times New Roman"/>
      <w:noProof/>
      <w:lang w:val="en-US"/>
    </w:rPr>
  </w:style>
  <w:style w:type="paragraph" w:customStyle="1" w:styleId="Els-body-text">
    <w:name w:val="Els-body-text"/>
    <w:rsid w:val="006E0A56"/>
    <w:pPr>
      <w:autoSpaceDN/>
      <w:spacing w:before="240" w:after="240" w:line="240" w:lineRule="exact"/>
      <w:ind w:firstLine="238"/>
      <w:textAlignment w:val="auto"/>
    </w:pPr>
    <w:rPr>
      <w:rFonts w:ascii="Times New Roman" w:eastAsia="SimSun" w:hAnsi="Times New Roman"/>
      <w:sz w:val="20"/>
      <w:szCs w:val="20"/>
      <w:lang w:val="en-US"/>
    </w:rPr>
  </w:style>
  <w:style w:type="paragraph" w:customStyle="1" w:styleId="Els-caption">
    <w:name w:val="Els-caption"/>
    <w:rsid w:val="006E0A56"/>
    <w:pPr>
      <w:keepLines/>
      <w:autoSpaceDN/>
      <w:spacing w:before="200" w:after="240" w:line="200" w:lineRule="exact"/>
      <w:textAlignment w:val="auto"/>
    </w:pPr>
    <w:rPr>
      <w:rFonts w:ascii="Times New Roman" w:eastAsia="SimSun" w:hAnsi="Times New Roman"/>
      <w:sz w:val="16"/>
      <w:szCs w:val="20"/>
      <w:lang w:val="en-US"/>
    </w:rPr>
  </w:style>
  <w:style w:type="paragraph" w:customStyle="1" w:styleId="Els-acknowledgement">
    <w:name w:val="Els-acknowledgement"/>
    <w:next w:val="Normal"/>
    <w:rsid w:val="006E0A56"/>
    <w:pPr>
      <w:keepNext/>
      <w:autoSpaceDN/>
      <w:spacing w:before="480" w:after="240" w:line="220" w:lineRule="exact"/>
      <w:textAlignment w:val="auto"/>
    </w:pPr>
    <w:rPr>
      <w:rFonts w:ascii="Times New Roman" w:eastAsia="SimSun" w:hAnsi="Times New Roman"/>
      <w:b/>
      <w:sz w:val="20"/>
      <w:szCs w:val="20"/>
      <w:lang w:val="en-US"/>
    </w:rPr>
  </w:style>
  <w:style w:type="paragraph" w:customStyle="1" w:styleId="StandardText">
    <w:name w:val="Standard Text"/>
    <w:basedOn w:val="Normal"/>
    <w:link w:val="StandardTextChar"/>
    <w:qFormat/>
    <w:rsid w:val="006E0A56"/>
    <w:pPr>
      <w:suppressAutoHyphens w:val="0"/>
      <w:autoSpaceDN/>
      <w:spacing w:after="0" w:line="360" w:lineRule="auto"/>
      <w:jc w:val="both"/>
      <w:textAlignment w:val="auto"/>
    </w:pPr>
    <w:rPr>
      <w:rFonts w:ascii="Times New Roman" w:hAnsi="Times New Roman"/>
      <w:szCs w:val="24"/>
    </w:rPr>
  </w:style>
  <w:style w:type="character" w:customStyle="1" w:styleId="StandardTextChar">
    <w:name w:val="Standard Text Char"/>
    <w:link w:val="StandardText"/>
    <w:rsid w:val="006E0A56"/>
    <w:rPr>
      <w:rFonts w:ascii="Times New Roman" w:hAnsi="Times New Roman"/>
      <w:szCs w:val="24"/>
    </w:rPr>
  </w:style>
  <w:style w:type="table" w:customStyle="1" w:styleId="LightShading21">
    <w:name w:val="Light Shading21"/>
    <w:basedOn w:val="TableNormal"/>
    <w:uiPriority w:val="60"/>
    <w:rsid w:val="006E0A56"/>
    <w:pPr>
      <w:autoSpaceDN/>
      <w:spacing w:after="0" w:line="240" w:lineRule="auto"/>
      <w:textAlignment w:val="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andardtext0">
    <w:name w:val="Standard text"/>
    <w:basedOn w:val="Normal"/>
    <w:link w:val="StandardtextChar0"/>
    <w:qFormat/>
    <w:rsid w:val="006E0A56"/>
    <w:pPr>
      <w:suppressAutoHyphens w:val="0"/>
      <w:autoSpaceDN/>
      <w:spacing w:after="200" w:line="276" w:lineRule="auto"/>
      <w:jc w:val="both"/>
      <w:textAlignment w:val="auto"/>
    </w:pPr>
    <w:rPr>
      <w:rFonts w:ascii="Times New Roman" w:eastAsiaTheme="minorHAnsi" w:hAnsi="Times New Roman" w:cstheme="minorBidi"/>
    </w:rPr>
  </w:style>
  <w:style w:type="character" w:customStyle="1" w:styleId="StandardtextChar0">
    <w:name w:val="Standard text Char"/>
    <w:basedOn w:val="DefaultParagraphFont"/>
    <w:link w:val="Standardtext0"/>
    <w:rsid w:val="006E0A56"/>
    <w:rPr>
      <w:rFonts w:ascii="Times New Roman" w:eastAsiaTheme="minorHAnsi" w:hAnsi="Times New Roman" w:cstheme="minorBidi"/>
    </w:rPr>
  </w:style>
  <w:style w:type="paragraph" w:customStyle="1" w:styleId="Els-table-text">
    <w:name w:val="Els-table-text"/>
    <w:rsid w:val="006E0A56"/>
    <w:pPr>
      <w:autoSpaceDN/>
      <w:spacing w:after="80" w:line="200" w:lineRule="exact"/>
      <w:textAlignment w:val="auto"/>
    </w:pPr>
    <w:rPr>
      <w:rFonts w:ascii="Times New Roman" w:eastAsia="ヒラギノ角ゴ Pro W3" w:hAnsi="Times New Roman"/>
      <w:color w:val="000000"/>
      <w:sz w:val="16"/>
      <w:szCs w:val="20"/>
      <w:lang w:val="en-US" w:eastAsia="en-IE"/>
    </w:rPr>
  </w:style>
  <w:style w:type="paragraph" w:customStyle="1" w:styleId="Els-1storder-head">
    <w:name w:val="Els-1storder-head"/>
    <w:next w:val="Els-body-text"/>
    <w:rsid w:val="006E0A56"/>
    <w:pPr>
      <w:keepNext/>
      <w:suppressAutoHyphens/>
      <w:autoSpaceDN/>
      <w:spacing w:before="240" w:after="240" w:line="240" w:lineRule="exact"/>
      <w:textAlignment w:val="auto"/>
    </w:pPr>
    <w:rPr>
      <w:rFonts w:ascii="Times New Roman Bold" w:eastAsia="ヒラギノ角ゴ Pro W3" w:hAnsi="Times New Roman Bold"/>
      <w:color w:val="000000"/>
      <w:sz w:val="20"/>
      <w:szCs w:val="20"/>
      <w:lang w:val="en-US" w:eastAsia="en-IE"/>
    </w:rPr>
  </w:style>
  <w:style w:type="paragraph" w:customStyle="1" w:styleId="Els-2ndorder-head">
    <w:name w:val="Els-2ndorder-head"/>
    <w:next w:val="Els-body-text"/>
    <w:rsid w:val="006E0A56"/>
    <w:pPr>
      <w:keepNext/>
      <w:suppressAutoHyphens/>
      <w:autoSpaceDN/>
      <w:spacing w:before="240" w:after="240" w:line="240" w:lineRule="exact"/>
      <w:textAlignment w:val="auto"/>
    </w:pPr>
    <w:rPr>
      <w:rFonts w:ascii="Times New Roman Italic" w:eastAsia="ヒラギノ角ゴ Pro W3" w:hAnsi="Times New Roman Italic"/>
      <w:color w:val="000000"/>
      <w:sz w:val="20"/>
      <w:szCs w:val="20"/>
      <w:lang w:val="en-US" w:eastAsia="en-IE"/>
    </w:rPr>
  </w:style>
  <w:style w:type="paragraph" w:customStyle="1" w:styleId="Caption1">
    <w:name w:val="Caption1"/>
    <w:next w:val="Normal"/>
    <w:rsid w:val="006E0A56"/>
    <w:pPr>
      <w:keepLines/>
      <w:widowControl w:val="0"/>
      <w:autoSpaceDN/>
      <w:spacing w:before="200" w:after="240" w:line="200" w:lineRule="exact"/>
      <w:textAlignment w:val="auto"/>
    </w:pPr>
    <w:rPr>
      <w:rFonts w:ascii="Times New Roman" w:eastAsia="ヒラギノ角ゴ Pro W3" w:hAnsi="Times New Roman"/>
      <w:color w:val="000000"/>
      <w:sz w:val="16"/>
      <w:szCs w:val="20"/>
      <w:lang w:val="en-GB" w:eastAsia="en-IE"/>
    </w:rPr>
  </w:style>
  <w:style w:type="paragraph" w:customStyle="1" w:styleId="Pa3">
    <w:name w:val="Pa3"/>
    <w:basedOn w:val="Normal"/>
    <w:next w:val="Normal"/>
    <w:uiPriority w:val="99"/>
    <w:rsid w:val="00917C88"/>
    <w:pPr>
      <w:suppressAutoHyphens w:val="0"/>
      <w:autoSpaceDE w:val="0"/>
      <w:adjustRightInd w:val="0"/>
      <w:spacing w:after="0" w:line="181" w:lineRule="atLeast"/>
      <w:textAlignment w:val="auto"/>
    </w:pPr>
    <w:rPr>
      <w:rFonts w:ascii="Stone Sans ITC TT" w:hAnsi="Stone Sans ITC TT"/>
      <w:sz w:val="24"/>
      <w:szCs w:val="24"/>
    </w:rPr>
  </w:style>
  <w:style w:type="character" w:customStyle="1" w:styleId="UnresolvedMention1">
    <w:name w:val="Unresolved Mention1"/>
    <w:basedOn w:val="DefaultParagraphFont"/>
    <w:uiPriority w:val="99"/>
    <w:semiHidden/>
    <w:unhideWhenUsed/>
    <w:rsid w:val="00F2720A"/>
    <w:rPr>
      <w:color w:val="808080"/>
      <w:shd w:val="clear" w:color="auto" w:fill="E6E6E6"/>
    </w:rPr>
  </w:style>
  <w:style w:type="table" w:customStyle="1" w:styleId="PlainTable21">
    <w:name w:val="Plain Table 21"/>
    <w:basedOn w:val="TableNormal"/>
    <w:uiPriority w:val="42"/>
    <w:rsid w:val="00F42A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496E1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1">
    <w:name w:val="p1"/>
    <w:basedOn w:val="Normal"/>
    <w:rsid w:val="00382962"/>
    <w:pPr>
      <w:suppressAutoHyphens w:val="0"/>
      <w:autoSpaceDN/>
      <w:spacing w:after="0" w:line="240" w:lineRule="auto"/>
      <w:textAlignment w:val="auto"/>
    </w:pPr>
    <w:rPr>
      <w:rFonts w:ascii="Helvetica" w:hAnsi="Helvetica"/>
      <w:color w:val="F48600"/>
      <w:sz w:val="17"/>
      <w:szCs w:val="17"/>
      <w:lang w:val="en-US"/>
    </w:rPr>
  </w:style>
  <w:style w:type="character" w:customStyle="1" w:styleId="s1">
    <w:name w:val="s1"/>
    <w:basedOn w:val="DefaultParagraphFont"/>
    <w:rsid w:val="00382962"/>
    <w:rPr>
      <w:rFonts w:ascii="Helvetica" w:hAnsi="Helvetica" w:hint="default"/>
      <w:sz w:val="45"/>
      <w:szCs w:val="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4886">
      <w:bodyDiv w:val="1"/>
      <w:marLeft w:val="0"/>
      <w:marRight w:val="0"/>
      <w:marTop w:val="0"/>
      <w:marBottom w:val="0"/>
      <w:divBdr>
        <w:top w:val="none" w:sz="0" w:space="0" w:color="auto"/>
        <w:left w:val="none" w:sz="0" w:space="0" w:color="auto"/>
        <w:bottom w:val="none" w:sz="0" w:space="0" w:color="auto"/>
        <w:right w:val="none" w:sz="0" w:space="0" w:color="auto"/>
      </w:divBdr>
      <w:divsChild>
        <w:div w:id="170530731">
          <w:marLeft w:val="0"/>
          <w:marRight w:val="0"/>
          <w:marTop w:val="0"/>
          <w:marBottom w:val="0"/>
          <w:divBdr>
            <w:top w:val="none" w:sz="0" w:space="0" w:color="auto"/>
            <w:left w:val="none" w:sz="0" w:space="0" w:color="auto"/>
            <w:bottom w:val="none" w:sz="0" w:space="0" w:color="auto"/>
            <w:right w:val="none" w:sz="0" w:space="0" w:color="auto"/>
          </w:divBdr>
          <w:divsChild>
            <w:div w:id="21975369">
              <w:marLeft w:val="0"/>
              <w:marRight w:val="0"/>
              <w:marTop w:val="0"/>
              <w:marBottom w:val="0"/>
              <w:divBdr>
                <w:top w:val="none" w:sz="0" w:space="0" w:color="auto"/>
                <w:left w:val="none" w:sz="0" w:space="0" w:color="auto"/>
                <w:bottom w:val="none" w:sz="0" w:space="0" w:color="auto"/>
                <w:right w:val="none" w:sz="0" w:space="0" w:color="auto"/>
              </w:divBdr>
              <w:divsChild>
                <w:div w:id="299266880">
                  <w:marLeft w:val="0"/>
                  <w:marRight w:val="0"/>
                  <w:marTop w:val="0"/>
                  <w:marBottom w:val="0"/>
                  <w:divBdr>
                    <w:top w:val="none" w:sz="0" w:space="0" w:color="auto"/>
                    <w:left w:val="none" w:sz="0" w:space="0" w:color="auto"/>
                    <w:bottom w:val="none" w:sz="0" w:space="0" w:color="auto"/>
                    <w:right w:val="none" w:sz="0" w:space="0" w:color="auto"/>
                  </w:divBdr>
                  <w:divsChild>
                    <w:div w:id="9962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04414">
      <w:bodyDiv w:val="1"/>
      <w:marLeft w:val="0"/>
      <w:marRight w:val="0"/>
      <w:marTop w:val="0"/>
      <w:marBottom w:val="0"/>
      <w:divBdr>
        <w:top w:val="none" w:sz="0" w:space="0" w:color="auto"/>
        <w:left w:val="none" w:sz="0" w:space="0" w:color="auto"/>
        <w:bottom w:val="none" w:sz="0" w:space="0" w:color="auto"/>
        <w:right w:val="none" w:sz="0" w:space="0" w:color="auto"/>
      </w:divBdr>
      <w:divsChild>
        <w:div w:id="1833449056">
          <w:marLeft w:val="0"/>
          <w:marRight w:val="0"/>
          <w:marTop w:val="0"/>
          <w:marBottom w:val="0"/>
          <w:divBdr>
            <w:top w:val="none" w:sz="0" w:space="0" w:color="auto"/>
            <w:left w:val="none" w:sz="0" w:space="0" w:color="auto"/>
            <w:bottom w:val="none" w:sz="0" w:space="0" w:color="auto"/>
            <w:right w:val="none" w:sz="0" w:space="0" w:color="auto"/>
          </w:divBdr>
          <w:divsChild>
            <w:div w:id="445151724">
              <w:marLeft w:val="0"/>
              <w:marRight w:val="0"/>
              <w:marTop w:val="0"/>
              <w:marBottom w:val="0"/>
              <w:divBdr>
                <w:top w:val="none" w:sz="0" w:space="0" w:color="auto"/>
                <w:left w:val="none" w:sz="0" w:space="0" w:color="auto"/>
                <w:bottom w:val="none" w:sz="0" w:space="0" w:color="auto"/>
                <w:right w:val="none" w:sz="0" w:space="0" w:color="auto"/>
              </w:divBdr>
              <w:divsChild>
                <w:div w:id="4466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4533">
      <w:bodyDiv w:val="1"/>
      <w:marLeft w:val="0"/>
      <w:marRight w:val="0"/>
      <w:marTop w:val="0"/>
      <w:marBottom w:val="0"/>
      <w:divBdr>
        <w:top w:val="none" w:sz="0" w:space="0" w:color="auto"/>
        <w:left w:val="none" w:sz="0" w:space="0" w:color="auto"/>
        <w:bottom w:val="none" w:sz="0" w:space="0" w:color="auto"/>
        <w:right w:val="none" w:sz="0" w:space="0" w:color="auto"/>
      </w:divBdr>
      <w:divsChild>
        <w:div w:id="920715831">
          <w:marLeft w:val="0"/>
          <w:marRight w:val="0"/>
          <w:marTop w:val="0"/>
          <w:marBottom w:val="0"/>
          <w:divBdr>
            <w:top w:val="none" w:sz="0" w:space="0" w:color="auto"/>
            <w:left w:val="none" w:sz="0" w:space="0" w:color="auto"/>
            <w:bottom w:val="none" w:sz="0" w:space="0" w:color="auto"/>
            <w:right w:val="none" w:sz="0" w:space="0" w:color="auto"/>
          </w:divBdr>
          <w:divsChild>
            <w:div w:id="347370072">
              <w:marLeft w:val="0"/>
              <w:marRight w:val="0"/>
              <w:marTop w:val="0"/>
              <w:marBottom w:val="0"/>
              <w:divBdr>
                <w:top w:val="none" w:sz="0" w:space="0" w:color="auto"/>
                <w:left w:val="none" w:sz="0" w:space="0" w:color="auto"/>
                <w:bottom w:val="none" w:sz="0" w:space="0" w:color="auto"/>
                <w:right w:val="none" w:sz="0" w:space="0" w:color="auto"/>
              </w:divBdr>
              <w:divsChild>
                <w:div w:id="7077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32594">
      <w:bodyDiv w:val="1"/>
      <w:marLeft w:val="0"/>
      <w:marRight w:val="0"/>
      <w:marTop w:val="0"/>
      <w:marBottom w:val="0"/>
      <w:divBdr>
        <w:top w:val="none" w:sz="0" w:space="0" w:color="auto"/>
        <w:left w:val="none" w:sz="0" w:space="0" w:color="auto"/>
        <w:bottom w:val="none" w:sz="0" w:space="0" w:color="auto"/>
        <w:right w:val="none" w:sz="0" w:space="0" w:color="auto"/>
      </w:divBdr>
      <w:divsChild>
        <w:div w:id="367802789">
          <w:marLeft w:val="0"/>
          <w:marRight w:val="0"/>
          <w:marTop w:val="0"/>
          <w:marBottom w:val="0"/>
          <w:divBdr>
            <w:top w:val="none" w:sz="0" w:space="0" w:color="auto"/>
            <w:left w:val="none" w:sz="0" w:space="0" w:color="auto"/>
            <w:bottom w:val="none" w:sz="0" w:space="0" w:color="auto"/>
            <w:right w:val="none" w:sz="0" w:space="0" w:color="auto"/>
          </w:divBdr>
          <w:divsChild>
            <w:div w:id="834762774">
              <w:marLeft w:val="0"/>
              <w:marRight w:val="0"/>
              <w:marTop w:val="0"/>
              <w:marBottom w:val="0"/>
              <w:divBdr>
                <w:top w:val="none" w:sz="0" w:space="0" w:color="auto"/>
                <w:left w:val="none" w:sz="0" w:space="0" w:color="auto"/>
                <w:bottom w:val="none" w:sz="0" w:space="0" w:color="auto"/>
                <w:right w:val="none" w:sz="0" w:space="0" w:color="auto"/>
              </w:divBdr>
              <w:divsChild>
                <w:div w:id="780493936">
                  <w:marLeft w:val="0"/>
                  <w:marRight w:val="0"/>
                  <w:marTop w:val="0"/>
                  <w:marBottom w:val="0"/>
                  <w:divBdr>
                    <w:top w:val="none" w:sz="0" w:space="0" w:color="auto"/>
                    <w:left w:val="none" w:sz="0" w:space="0" w:color="auto"/>
                    <w:bottom w:val="none" w:sz="0" w:space="0" w:color="auto"/>
                    <w:right w:val="none" w:sz="0" w:space="0" w:color="auto"/>
                  </w:divBdr>
                  <w:divsChild>
                    <w:div w:id="11209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22491">
      <w:bodyDiv w:val="1"/>
      <w:marLeft w:val="0"/>
      <w:marRight w:val="0"/>
      <w:marTop w:val="0"/>
      <w:marBottom w:val="0"/>
      <w:divBdr>
        <w:top w:val="none" w:sz="0" w:space="0" w:color="auto"/>
        <w:left w:val="none" w:sz="0" w:space="0" w:color="auto"/>
        <w:bottom w:val="none" w:sz="0" w:space="0" w:color="auto"/>
        <w:right w:val="none" w:sz="0" w:space="0" w:color="auto"/>
      </w:divBdr>
    </w:div>
    <w:div w:id="476537501">
      <w:bodyDiv w:val="1"/>
      <w:marLeft w:val="0"/>
      <w:marRight w:val="0"/>
      <w:marTop w:val="0"/>
      <w:marBottom w:val="0"/>
      <w:divBdr>
        <w:top w:val="none" w:sz="0" w:space="0" w:color="auto"/>
        <w:left w:val="none" w:sz="0" w:space="0" w:color="auto"/>
        <w:bottom w:val="none" w:sz="0" w:space="0" w:color="auto"/>
        <w:right w:val="none" w:sz="0" w:space="0" w:color="auto"/>
      </w:divBdr>
    </w:div>
    <w:div w:id="968633449">
      <w:bodyDiv w:val="1"/>
      <w:marLeft w:val="0"/>
      <w:marRight w:val="0"/>
      <w:marTop w:val="0"/>
      <w:marBottom w:val="0"/>
      <w:divBdr>
        <w:top w:val="none" w:sz="0" w:space="0" w:color="auto"/>
        <w:left w:val="none" w:sz="0" w:space="0" w:color="auto"/>
        <w:bottom w:val="none" w:sz="0" w:space="0" w:color="auto"/>
        <w:right w:val="none" w:sz="0" w:space="0" w:color="auto"/>
      </w:divBdr>
      <w:divsChild>
        <w:div w:id="100686292">
          <w:marLeft w:val="0"/>
          <w:marRight w:val="0"/>
          <w:marTop w:val="0"/>
          <w:marBottom w:val="0"/>
          <w:divBdr>
            <w:top w:val="none" w:sz="0" w:space="0" w:color="auto"/>
            <w:left w:val="none" w:sz="0" w:space="0" w:color="auto"/>
            <w:bottom w:val="none" w:sz="0" w:space="0" w:color="auto"/>
            <w:right w:val="none" w:sz="0" w:space="0" w:color="auto"/>
          </w:divBdr>
          <w:divsChild>
            <w:div w:id="1024945543">
              <w:marLeft w:val="0"/>
              <w:marRight w:val="0"/>
              <w:marTop w:val="0"/>
              <w:marBottom w:val="0"/>
              <w:divBdr>
                <w:top w:val="none" w:sz="0" w:space="0" w:color="auto"/>
                <w:left w:val="none" w:sz="0" w:space="0" w:color="auto"/>
                <w:bottom w:val="none" w:sz="0" w:space="0" w:color="auto"/>
                <w:right w:val="none" w:sz="0" w:space="0" w:color="auto"/>
              </w:divBdr>
              <w:divsChild>
                <w:div w:id="1009521914">
                  <w:marLeft w:val="0"/>
                  <w:marRight w:val="0"/>
                  <w:marTop w:val="0"/>
                  <w:marBottom w:val="0"/>
                  <w:divBdr>
                    <w:top w:val="none" w:sz="0" w:space="0" w:color="auto"/>
                    <w:left w:val="none" w:sz="0" w:space="0" w:color="auto"/>
                    <w:bottom w:val="none" w:sz="0" w:space="0" w:color="auto"/>
                    <w:right w:val="none" w:sz="0" w:space="0" w:color="auto"/>
                  </w:divBdr>
                  <w:divsChild>
                    <w:div w:id="19101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756141">
      <w:bodyDiv w:val="1"/>
      <w:marLeft w:val="0"/>
      <w:marRight w:val="0"/>
      <w:marTop w:val="0"/>
      <w:marBottom w:val="0"/>
      <w:divBdr>
        <w:top w:val="none" w:sz="0" w:space="0" w:color="auto"/>
        <w:left w:val="none" w:sz="0" w:space="0" w:color="auto"/>
        <w:bottom w:val="none" w:sz="0" w:space="0" w:color="auto"/>
        <w:right w:val="none" w:sz="0" w:space="0" w:color="auto"/>
      </w:divBdr>
    </w:div>
    <w:div w:id="1129780693">
      <w:bodyDiv w:val="1"/>
      <w:marLeft w:val="0"/>
      <w:marRight w:val="0"/>
      <w:marTop w:val="0"/>
      <w:marBottom w:val="0"/>
      <w:divBdr>
        <w:top w:val="none" w:sz="0" w:space="0" w:color="auto"/>
        <w:left w:val="none" w:sz="0" w:space="0" w:color="auto"/>
        <w:bottom w:val="none" w:sz="0" w:space="0" w:color="auto"/>
        <w:right w:val="none" w:sz="0" w:space="0" w:color="auto"/>
      </w:divBdr>
      <w:divsChild>
        <w:div w:id="255601011">
          <w:marLeft w:val="0"/>
          <w:marRight w:val="0"/>
          <w:marTop w:val="0"/>
          <w:marBottom w:val="0"/>
          <w:divBdr>
            <w:top w:val="none" w:sz="0" w:space="0" w:color="auto"/>
            <w:left w:val="none" w:sz="0" w:space="0" w:color="auto"/>
            <w:bottom w:val="none" w:sz="0" w:space="0" w:color="auto"/>
            <w:right w:val="none" w:sz="0" w:space="0" w:color="auto"/>
          </w:divBdr>
          <w:divsChild>
            <w:div w:id="1689477521">
              <w:marLeft w:val="0"/>
              <w:marRight w:val="0"/>
              <w:marTop w:val="0"/>
              <w:marBottom w:val="0"/>
              <w:divBdr>
                <w:top w:val="none" w:sz="0" w:space="0" w:color="auto"/>
                <w:left w:val="none" w:sz="0" w:space="0" w:color="auto"/>
                <w:bottom w:val="none" w:sz="0" w:space="0" w:color="auto"/>
                <w:right w:val="none" w:sz="0" w:space="0" w:color="auto"/>
              </w:divBdr>
              <w:divsChild>
                <w:div w:id="1428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1019">
      <w:bodyDiv w:val="1"/>
      <w:marLeft w:val="0"/>
      <w:marRight w:val="0"/>
      <w:marTop w:val="0"/>
      <w:marBottom w:val="0"/>
      <w:divBdr>
        <w:top w:val="none" w:sz="0" w:space="0" w:color="auto"/>
        <w:left w:val="none" w:sz="0" w:space="0" w:color="auto"/>
        <w:bottom w:val="none" w:sz="0" w:space="0" w:color="auto"/>
        <w:right w:val="none" w:sz="0" w:space="0" w:color="auto"/>
      </w:divBdr>
      <w:divsChild>
        <w:div w:id="670837685">
          <w:marLeft w:val="0"/>
          <w:marRight w:val="0"/>
          <w:marTop w:val="0"/>
          <w:marBottom w:val="0"/>
          <w:divBdr>
            <w:top w:val="none" w:sz="0" w:space="0" w:color="auto"/>
            <w:left w:val="none" w:sz="0" w:space="0" w:color="auto"/>
            <w:bottom w:val="none" w:sz="0" w:space="0" w:color="auto"/>
            <w:right w:val="none" w:sz="0" w:space="0" w:color="auto"/>
          </w:divBdr>
          <w:divsChild>
            <w:div w:id="1527862853">
              <w:marLeft w:val="0"/>
              <w:marRight w:val="0"/>
              <w:marTop w:val="0"/>
              <w:marBottom w:val="0"/>
              <w:divBdr>
                <w:top w:val="none" w:sz="0" w:space="0" w:color="auto"/>
                <w:left w:val="none" w:sz="0" w:space="0" w:color="auto"/>
                <w:bottom w:val="none" w:sz="0" w:space="0" w:color="auto"/>
                <w:right w:val="none" w:sz="0" w:space="0" w:color="auto"/>
              </w:divBdr>
              <w:divsChild>
                <w:div w:id="1595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43206">
      <w:bodyDiv w:val="1"/>
      <w:marLeft w:val="0"/>
      <w:marRight w:val="0"/>
      <w:marTop w:val="0"/>
      <w:marBottom w:val="0"/>
      <w:divBdr>
        <w:top w:val="none" w:sz="0" w:space="0" w:color="auto"/>
        <w:left w:val="none" w:sz="0" w:space="0" w:color="auto"/>
        <w:bottom w:val="none" w:sz="0" w:space="0" w:color="auto"/>
        <w:right w:val="none" w:sz="0" w:space="0" w:color="auto"/>
      </w:divBdr>
      <w:divsChild>
        <w:div w:id="1441102295">
          <w:marLeft w:val="0"/>
          <w:marRight w:val="0"/>
          <w:marTop w:val="0"/>
          <w:marBottom w:val="0"/>
          <w:divBdr>
            <w:top w:val="none" w:sz="0" w:space="0" w:color="auto"/>
            <w:left w:val="none" w:sz="0" w:space="0" w:color="auto"/>
            <w:bottom w:val="none" w:sz="0" w:space="0" w:color="auto"/>
            <w:right w:val="none" w:sz="0" w:space="0" w:color="auto"/>
          </w:divBdr>
          <w:divsChild>
            <w:div w:id="895822279">
              <w:marLeft w:val="0"/>
              <w:marRight w:val="0"/>
              <w:marTop w:val="0"/>
              <w:marBottom w:val="0"/>
              <w:divBdr>
                <w:top w:val="none" w:sz="0" w:space="0" w:color="auto"/>
                <w:left w:val="none" w:sz="0" w:space="0" w:color="auto"/>
                <w:bottom w:val="none" w:sz="0" w:space="0" w:color="auto"/>
                <w:right w:val="none" w:sz="0" w:space="0" w:color="auto"/>
              </w:divBdr>
              <w:divsChild>
                <w:div w:id="19673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1705">
      <w:bodyDiv w:val="1"/>
      <w:marLeft w:val="0"/>
      <w:marRight w:val="0"/>
      <w:marTop w:val="0"/>
      <w:marBottom w:val="0"/>
      <w:divBdr>
        <w:top w:val="none" w:sz="0" w:space="0" w:color="auto"/>
        <w:left w:val="none" w:sz="0" w:space="0" w:color="auto"/>
        <w:bottom w:val="none" w:sz="0" w:space="0" w:color="auto"/>
        <w:right w:val="none" w:sz="0" w:space="0" w:color="auto"/>
      </w:divBdr>
    </w:div>
    <w:div w:id="1618097179">
      <w:bodyDiv w:val="1"/>
      <w:marLeft w:val="0"/>
      <w:marRight w:val="0"/>
      <w:marTop w:val="0"/>
      <w:marBottom w:val="0"/>
      <w:divBdr>
        <w:top w:val="none" w:sz="0" w:space="0" w:color="auto"/>
        <w:left w:val="none" w:sz="0" w:space="0" w:color="auto"/>
        <w:bottom w:val="none" w:sz="0" w:space="0" w:color="auto"/>
        <w:right w:val="none" w:sz="0" w:space="0" w:color="auto"/>
      </w:divBdr>
      <w:divsChild>
        <w:div w:id="343362071">
          <w:marLeft w:val="0"/>
          <w:marRight w:val="0"/>
          <w:marTop w:val="0"/>
          <w:marBottom w:val="0"/>
          <w:divBdr>
            <w:top w:val="none" w:sz="0" w:space="0" w:color="auto"/>
            <w:left w:val="none" w:sz="0" w:space="0" w:color="auto"/>
            <w:bottom w:val="none" w:sz="0" w:space="0" w:color="auto"/>
            <w:right w:val="none" w:sz="0" w:space="0" w:color="auto"/>
          </w:divBdr>
          <w:divsChild>
            <w:div w:id="100153048">
              <w:marLeft w:val="0"/>
              <w:marRight w:val="0"/>
              <w:marTop w:val="0"/>
              <w:marBottom w:val="0"/>
              <w:divBdr>
                <w:top w:val="none" w:sz="0" w:space="0" w:color="auto"/>
                <w:left w:val="none" w:sz="0" w:space="0" w:color="auto"/>
                <w:bottom w:val="none" w:sz="0" w:space="0" w:color="auto"/>
                <w:right w:val="none" w:sz="0" w:space="0" w:color="auto"/>
              </w:divBdr>
              <w:divsChild>
                <w:div w:id="1902859387">
                  <w:marLeft w:val="0"/>
                  <w:marRight w:val="0"/>
                  <w:marTop w:val="0"/>
                  <w:marBottom w:val="0"/>
                  <w:divBdr>
                    <w:top w:val="none" w:sz="0" w:space="0" w:color="auto"/>
                    <w:left w:val="none" w:sz="0" w:space="0" w:color="auto"/>
                    <w:bottom w:val="none" w:sz="0" w:space="0" w:color="auto"/>
                    <w:right w:val="none" w:sz="0" w:space="0" w:color="auto"/>
                  </w:divBdr>
                  <w:divsChild>
                    <w:div w:id="14294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796944">
      <w:bodyDiv w:val="1"/>
      <w:marLeft w:val="0"/>
      <w:marRight w:val="0"/>
      <w:marTop w:val="0"/>
      <w:marBottom w:val="0"/>
      <w:divBdr>
        <w:top w:val="none" w:sz="0" w:space="0" w:color="auto"/>
        <w:left w:val="none" w:sz="0" w:space="0" w:color="auto"/>
        <w:bottom w:val="none" w:sz="0" w:space="0" w:color="auto"/>
        <w:right w:val="none" w:sz="0" w:space="0" w:color="auto"/>
      </w:divBdr>
    </w:div>
    <w:div w:id="1902595295">
      <w:bodyDiv w:val="1"/>
      <w:marLeft w:val="0"/>
      <w:marRight w:val="0"/>
      <w:marTop w:val="0"/>
      <w:marBottom w:val="0"/>
      <w:divBdr>
        <w:top w:val="none" w:sz="0" w:space="0" w:color="auto"/>
        <w:left w:val="none" w:sz="0" w:space="0" w:color="auto"/>
        <w:bottom w:val="none" w:sz="0" w:space="0" w:color="auto"/>
        <w:right w:val="none" w:sz="0" w:space="0" w:color="auto"/>
      </w:divBdr>
    </w:div>
    <w:div w:id="212830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hyperlink" Target="mailto:mccorms1@tcd.ie" TargetMode="Externa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A90A0-55F6-421A-B719-A9E1E8FC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56</Pages>
  <Words>48527</Words>
  <Characters>276607</Characters>
  <Application>Microsoft Office Word</Application>
  <DocSecurity>0</DocSecurity>
  <Lines>2305</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hakbari</dc:creator>
  <cp:lastModifiedBy>Hoda Akbari</cp:lastModifiedBy>
  <cp:revision>3</cp:revision>
  <cp:lastPrinted>2016-12-15T11:39:00Z</cp:lastPrinted>
  <dcterms:created xsi:type="dcterms:W3CDTF">2017-10-24T13:52:00Z</dcterms:created>
  <dcterms:modified xsi:type="dcterms:W3CDTF">2017-10-24T14:00:00Z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7356f4dc-f577-311b-b73d-d1657eee0477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http://www.zotero.org/styles/solar-energy</vt:lpwstr>
  </property>
  <property fmtid="{D5CDD505-2E9C-101B-9397-08002B2CF9AE}" pid="24" name="Mendeley Recent Style Name 9_1">
    <vt:lpwstr>Solar Energy</vt:lpwstr>
  </property>
</Properties>
</file>