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69" w:rsidRPr="007A66DE" w:rsidRDefault="00380469" w:rsidP="009208E5">
      <w:pPr>
        <w:jc w:val="both"/>
      </w:pPr>
    </w:p>
    <w:p w:rsidR="00380469" w:rsidRPr="007A66DE" w:rsidRDefault="00380469" w:rsidP="009208E5">
      <w:pPr>
        <w:spacing w:line="480" w:lineRule="auto"/>
        <w:jc w:val="both"/>
      </w:pPr>
      <w:r w:rsidRPr="007A66DE">
        <w:t xml:space="preserve">Digital Citizenship from Below: Turkish State versus </w:t>
      </w:r>
      <w:r w:rsidR="00B668A4" w:rsidRPr="007A66DE">
        <w:t>YouTube</w:t>
      </w:r>
    </w:p>
    <w:p w:rsidR="00380469" w:rsidRPr="007A66DE" w:rsidRDefault="0031673A" w:rsidP="009208E5">
      <w:pPr>
        <w:spacing w:line="480" w:lineRule="auto"/>
        <w:jc w:val="both"/>
      </w:pPr>
      <w:r>
        <w:t>by Murat Akser and Banu Baybars-Hawks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E62DDF" w:rsidRPr="007A66DE" w:rsidRDefault="00E62DDF" w:rsidP="009208E5">
      <w:pPr>
        <w:spacing w:line="480" w:lineRule="auto"/>
        <w:jc w:val="both"/>
        <w:rPr>
          <w:b/>
        </w:rPr>
      </w:pPr>
      <w:r w:rsidRPr="007A66DE">
        <w:rPr>
          <w:b/>
        </w:rPr>
        <w:t>Introduction</w:t>
      </w:r>
    </w:p>
    <w:p w:rsidR="0068090C" w:rsidRPr="007A66DE" w:rsidRDefault="0068090C" w:rsidP="009208E5">
      <w:pPr>
        <w:spacing w:line="480" w:lineRule="auto"/>
        <w:jc w:val="both"/>
      </w:pPr>
      <w:r w:rsidRPr="007A66DE">
        <w:t>You</w:t>
      </w:r>
      <w:r w:rsidR="00D64256">
        <w:t>T</w:t>
      </w:r>
      <w:r w:rsidRPr="007A66DE">
        <w:t>ube.com wa</w:t>
      </w:r>
      <w:r w:rsidR="00CC12DE" w:rsidRPr="007A66DE">
        <w:t>s</w:t>
      </w:r>
      <w:r w:rsidR="00DB5404" w:rsidRPr="007A66DE">
        <w:t xml:space="preserve"> banned in Tu</w:t>
      </w:r>
      <w:r w:rsidRPr="007A66DE">
        <w:t>r</w:t>
      </w:r>
      <w:r w:rsidR="00DB5404" w:rsidRPr="007A66DE">
        <w:t>k</w:t>
      </w:r>
      <w:r w:rsidRPr="007A66DE">
        <w:t xml:space="preserve">ey by </w:t>
      </w:r>
      <w:r w:rsidR="00F63FE9" w:rsidRPr="007A66DE">
        <w:t xml:space="preserve">several </w:t>
      </w:r>
      <w:r w:rsidRPr="007A66DE">
        <w:t>court order</w:t>
      </w:r>
      <w:r w:rsidR="00F63FE9" w:rsidRPr="007A66DE">
        <w:t>s</w:t>
      </w:r>
      <w:r w:rsidRPr="007A66DE">
        <w:t xml:space="preserve"> </w:t>
      </w:r>
      <w:r w:rsidR="00E65D86">
        <w:t>o</w:t>
      </w:r>
      <w:r w:rsidR="00E65D86" w:rsidRPr="00E65D86">
        <w:t>n March 6, 2007</w:t>
      </w:r>
      <w:r w:rsidRPr="007A66DE">
        <w:t xml:space="preserve">. </w:t>
      </w:r>
      <w:r w:rsidR="00E65D86">
        <w:t>Through a series of on and off court orders the ban was lifted and reinstated multiple times. T</w:t>
      </w:r>
      <w:r w:rsidR="00E65D86" w:rsidRPr="00E65D86">
        <w:t xml:space="preserve">he ban </w:t>
      </w:r>
      <w:r w:rsidR="00E65D86">
        <w:t xml:space="preserve">was lifted </w:t>
      </w:r>
      <w:r w:rsidR="00E65D86" w:rsidRPr="00E65D86">
        <w:t xml:space="preserve">on October 30, 2010 </w:t>
      </w:r>
      <w:r w:rsidR="00E65D86">
        <w:t xml:space="preserve">and reinstated again </w:t>
      </w:r>
      <w:r w:rsidR="001D52A8">
        <w:t>o</w:t>
      </w:r>
      <w:r w:rsidR="00E65D86" w:rsidRPr="00E65D86">
        <w:t>n March 27, 2014</w:t>
      </w:r>
      <w:r w:rsidR="00E65D86">
        <w:t xml:space="preserve">, this time remaining in force until </w:t>
      </w:r>
      <w:r w:rsidR="00E65D86" w:rsidRPr="00E65D86">
        <w:t>December 2</w:t>
      </w:r>
      <w:r w:rsidR="00E65D86">
        <w:t>5</w:t>
      </w:r>
      <w:r w:rsidR="00E65D86" w:rsidRPr="00E65D86">
        <w:t>, 2016</w:t>
      </w:r>
      <w:r w:rsidR="00E65D86">
        <w:t>. All in all</w:t>
      </w:r>
      <w:r w:rsidR="008C2638">
        <w:t>,</w:t>
      </w:r>
      <w:r w:rsidR="00E65D86">
        <w:t xml:space="preserve"> access to You</w:t>
      </w:r>
      <w:r w:rsidR="0022134C">
        <w:t>T</w:t>
      </w:r>
      <w:r w:rsidR="00E65D86">
        <w:t xml:space="preserve">ube was denied to Turkish public for nearly </w:t>
      </w:r>
      <w:r w:rsidR="00811843">
        <w:t>seven</w:t>
      </w:r>
      <w:r w:rsidR="00E65D86">
        <w:t xml:space="preserve"> years within a decade</w:t>
      </w:r>
      <w:r w:rsidR="00811843">
        <w:t xml:space="preserve"> spanning between 2007-2016</w:t>
      </w:r>
      <w:r w:rsidR="00E65D86">
        <w:t>.</w:t>
      </w:r>
      <w:r w:rsidR="00E65D86" w:rsidRPr="00E65D86">
        <w:t xml:space="preserve"> </w:t>
      </w:r>
      <w:r w:rsidR="00E65D86">
        <w:t xml:space="preserve">During this time </w:t>
      </w:r>
      <w:r w:rsidRPr="007A66DE">
        <w:t>Turkish</w:t>
      </w:r>
      <w:r w:rsidR="00DB5404" w:rsidRPr="007A66DE">
        <w:t xml:space="preserve"> Telecommunicati</w:t>
      </w:r>
      <w:r w:rsidRPr="007A66DE">
        <w:t>on</w:t>
      </w:r>
      <w:r w:rsidR="00DB5404" w:rsidRPr="007A66DE">
        <w:t>s Board block</w:t>
      </w:r>
      <w:r w:rsidR="00E65D86">
        <w:t>ed</w:t>
      </w:r>
      <w:r w:rsidR="00DB5404" w:rsidRPr="007A66DE">
        <w:t xml:space="preserve"> all </w:t>
      </w:r>
      <w:r w:rsidR="00CE1F54" w:rsidRPr="007A66DE">
        <w:t>access</w:t>
      </w:r>
      <w:r w:rsidR="00DB5404" w:rsidRPr="007A66DE">
        <w:t xml:space="preserve"> on </w:t>
      </w:r>
      <w:r w:rsidRPr="007A66DE">
        <w:t>t</w:t>
      </w:r>
      <w:r w:rsidR="00DB5404" w:rsidRPr="007A66DE">
        <w:t>h</w:t>
      </w:r>
      <w:r w:rsidRPr="007A66DE">
        <w:t>e</w:t>
      </w:r>
      <w:r w:rsidR="00DB5404" w:rsidRPr="007A66DE">
        <w:t xml:space="preserve"> </w:t>
      </w:r>
      <w:r w:rsidRPr="007A66DE">
        <w:t>internet to</w:t>
      </w:r>
      <w:r w:rsidR="00F63FE9" w:rsidRPr="007A66DE">
        <w:t xml:space="preserve"> the</w:t>
      </w:r>
      <w:r w:rsidRPr="007A66DE">
        <w:t xml:space="preserve"> </w:t>
      </w:r>
      <w:r w:rsidR="0022134C">
        <w:rPr>
          <w:i/>
        </w:rPr>
        <w:t>Y</w:t>
      </w:r>
      <w:r w:rsidRPr="007A66DE">
        <w:rPr>
          <w:i/>
        </w:rPr>
        <w:t>ou</w:t>
      </w:r>
      <w:r w:rsidR="0022134C">
        <w:rPr>
          <w:i/>
        </w:rPr>
        <w:t>T</w:t>
      </w:r>
      <w:r w:rsidRPr="007A66DE">
        <w:rPr>
          <w:i/>
        </w:rPr>
        <w:t>ube</w:t>
      </w:r>
      <w:r w:rsidRPr="007A66DE">
        <w:t xml:space="preserve"> site. Yet Turkish citizens found </w:t>
      </w:r>
      <w:r w:rsidR="00CC12DE" w:rsidRPr="007A66DE">
        <w:t>s</w:t>
      </w:r>
      <w:r w:rsidRPr="007A66DE">
        <w:t xml:space="preserve">everal </w:t>
      </w:r>
      <w:r w:rsidR="00F63FE9" w:rsidRPr="007A66DE">
        <w:t xml:space="preserve">innovative digital </w:t>
      </w:r>
      <w:r w:rsidRPr="007A66DE">
        <w:t xml:space="preserve">ways to </w:t>
      </w:r>
      <w:r w:rsidR="00CC12DE" w:rsidRPr="007A66DE">
        <w:t>bypass this ban</w:t>
      </w:r>
      <w:r w:rsidR="00F63FE9" w:rsidRPr="007A66DE">
        <w:t>.</w:t>
      </w:r>
      <w:r w:rsidR="00CC12DE" w:rsidRPr="007A66DE">
        <w:t xml:space="preserve"> </w:t>
      </w:r>
      <w:r w:rsidR="00F63FE9" w:rsidRPr="007A66DE">
        <w:t>A</w:t>
      </w:r>
      <w:r w:rsidR="00CC12DE" w:rsidRPr="007A66DE">
        <w:t xml:space="preserve">t the same time </w:t>
      </w:r>
      <w:r w:rsidR="00F63FE9" w:rsidRPr="007A66DE">
        <w:t xml:space="preserve">several citizens’ rights groups were formed </w:t>
      </w:r>
      <w:r w:rsidR="00684E00" w:rsidRPr="007A66DE">
        <w:t xml:space="preserve">that </w:t>
      </w:r>
      <w:r w:rsidR="00CC12DE" w:rsidRPr="007A66DE">
        <w:t>question the legal, ethical and political aspects of the ban. On the legal side</w:t>
      </w:r>
      <w:r w:rsidR="00F63FE9" w:rsidRPr="007A66DE">
        <w:t>,</w:t>
      </w:r>
      <w:r w:rsidR="00CC12DE" w:rsidRPr="007A66DE">
        <w:t xml:space="preserve"> citizen rights groups </w:t>
      </w:r>
      <w:r w:rsidR="00E65D86">
        <w:t xml:space="preserve">took the ban to court to </w:t>
      </w:r>
      <w:r w:rsidR="00CC12DE" w:rsidRPr="007A66DE">
        <w:t xml:space="preserve">appeal this ban on </w:t>
      </w:r>
      <w:r w:rsidR="00F63FE9" w:rsidRPr="007A66DE">
        <w:t xml:space="preserve">the </w:t>
      </w:r>
      <w:r w:rsidR="00CC12DE" w:rsidRPr="007A66DE">
        <w:t xml:space="preserve">national </w:t>
      </w:r>
      <w:r w:rsidR="00E65D86">
        <w:t xml:space="preserve">level eventually overturning it through Turkish Constitutional court. At </w:t>
      </w:r>
      <w:r w:rsidR="00F63FE9" w:rsidRPr="007A66DE">
        <w:t xml:space="preserve">the </w:t>
      </w:r>
      <w:r w:rsidR="00CC12DE" w:rsidRPr="007A66DE">
        <w:t>international level</w:t>
      </w:r>
      <w:r w:rsidR="00CE1F54" w:rsidRPr="007A66DE">
        <w:t xml:space="preserve"> </w:t>
      </w:r>
      <w:r w:rsidR="00E65D86">
        <w:t xml:space="preserve">scholars and common citizens alike expressed their concern for </w:t>
      </w:r>
      <w:r w:rsidR="00CE1F54" w:rsidRPr="007A66DE">
        <w:t>freedom of ex</w:t>
      </w:r>
      <w:r w:rsidR="008F5583">
        <w:t>p</w:t>
      </w:r>
      <w:r w:rsidR="00CE1F54" w:rsidRPr="007A66DE">
        <w:t>ression of citizens in a democratic polity</w:t>
      </w:r>
      <w:r w:rsidR="00CC12DE" w:rsidRPr="007A66DE">
        <w:t>. On the ethical side</w:t>
      </w:r>
      <w:r w:rsidR="00F63FE9" w:rsidRPr="007A66DE">
        <w:t>,</w:t>
      </w:r>
      <w:r w:rsidR="00CC12DE" w:rsidRPr="007A66DE">
        <w:t xml:space="preserve"> Turkish citizens willfully and knowingly bypass</w:t>
      </w:r>
      <w:r w:rsidR="00E65D86">
        <w:t>ed</w:t>
      </w:r>
      <w:r w:rsidR="00CC12DE" w:rsidRPr="007A66DE">
        <w:t xml:space="preserve"> thi</w:t>
      </w:r>
      <w:r w:rsidR="00DB5404" w:rsidRPr="007A66DE">
        <w:t>s</w:t>
      </w:r>
      <w:r w:rsidR="00CC12DE" w:rsidRPr="007A66DE">
        <w:t xml:space="preserve"> ban </w:t>
      </w:r>
      <w:r w:rsidR="00F63FE9" w:rsidRPr="007A66DE">
        <w:t xml:space="preserve">and </w:t>
      </w:r>
      <w:r w:rsidR="00CC12DE" w:rsidRPr="007A66DE">
        <w:t>exercise</w:t>
      </w:r>
      <w:r w:rsidR="00E65D86">
        <w:t>d</w:t>
      </w:r>
      <w:r w:rsidR="00CC12DE" w:rsidRPr="007A66DE">
        <w:t xml:space="preserve"> their right for freedom</w:t>
      </w:r>
      <w:r w:rsidR="00DB5404" w:rsidRPr="007A66DE">
        <w:t xml:space="preserve"> of exp</w:t>
      </w:r>
      <w:r w:rsidR="00CC12DE" w:rsidRPr="007A66DE">
        <w:t>ression</w:t>
      </w:r>
      <w:r w:rsidR="00F63FE9" w:rsidRPr="007A66DE">
        <w:t xml:space="preserve"> without feeling the guilt and remorse of an illegal activity</w:t>
      </w:r>
      <w:r w:rsidR="00CE1F54" w:rsidRPr="007A66DE">
        <w:t xml:space="preserve"> thus displaying a quality req</w:t>
      </w:r>
      <w:r w:rsidR="008F5583">
        <w:t>u</w:t>
      </w:r>
      <w:r w:rsidR="00CE1F54" w:rsidRPr="007A66DE">
        <w:t>ired for establishment of an autonomous public sphere and civil society that fills this sphere</w:t>
      </w:r>
      <w:r w:rsidR="00CC12DE" w:rsidRPr="007A66DE">
        <w:t>. Politically</w:t>
      </w:r>
      <w:r w:rsidR="00F63FE9" w:rsidRPr="007A66DE">
        <w:t>,</w:t>
      </w:r>
      <w:r w:rsidR="00CC12DE" w:rsidRPr="007A66DE">
        <w:t xml:space="preserve"> </w:t>
      </w:r>
      <w:r w:rsidR="00804820" w:rsidRPr="007A66DE">
        <w:t xml:space="preserve">this counter reaction to government </w:t>
      </w:r>
      <w:r w:rsidR="00F63FE9" w:rsidRPr="007A66DE">
        <w:t xml:space="preserve">censorship </w:t>
      </w:r>
      <w:r w:rsidR="00804820" w:rsidRPr="007A66DE">
        <w:t>policies is a result of EU freedom of speech process initiated by citizens rather than state elites.</w:t>
      </w:r>
      <w:r w:rsidR="00C968BB">
        <w:t xml:space="preserve"> </w:t>
      </w:r>
      <w:r w:rsidR="00E65D86">
        <w:t xml:space="preserve">There are other types of internet bans still in place in Turkey such as Wikipedia ban which was imposed on </w:t>
      </w:r>
      <w:r w:rsidR="00E65D86" w:rsidRPr="00E65D86">
        <w:t>29 April 2017</w:t>
      </w:r>
      <w:r w:rsidR="00E65D86">
        <w:t xml:space="preserve">. </w:t>
      </w:r>
      <w:r w:rsidR="00C968BB">
        <w:t xml:space="preserve">This </w:t>
      </w:r>
      <w:r w:rsidR="003A7795">
        <w:t>study</w:t>
      </w:r>
      <w:r w:rsidR="00C968BB">
        <w:t xml:space="preserve"> </w:t>
      </w:r>
      <w:r w:rsidR="003A7795">
        <w:t xml:space="preserve">aims to </w:t>
      </w:r>
      <w:r w:rsidR="00C968BB">
        <w:t>give</w:t>
      </w:r>
      <w:r w:rsidR="003A7795">
        <w:t xml:space="preserve"> </w:t>
      </w:r>
      <w:r w:rsidR="00C968BB">
        <w:t xml:space="preserve">a </w:t>
      </w:r>
      <w:r w:rsidR="00C048DD">
        <w:lastRenderedPageBreak/>
        <w:t>historically situated</w:t>
      </w:r>
      <w:r w:rsidR="00C968BB">
        <w:t xml:space="preserve"> analysis of the situation </w:t>
      </w:r>
      <w:r w:rsidR="003A7795">
        <w:t xml:space="preserve">as seen by Turkish internet users </w:t>
      </w:r>
      <w:r w:rsidR="00FF0D01">
        <w:t xml:space="preserve">using content and </w:t>
      </w:r>
      <w:r w:rsidR="003A7795">
        <w:t xml:space="preserve">discourse analysis of </w:t>
      </w:r>
      <w:r w:rsidR="00C968BB" w:rsidRPr="007A66DE">
        <w:t xml:space="preserve">different Turkish </w:t>
      </w:r>
      <w:r w:rsidR="00C968BB">
        <w:t xml:space="preserve">online </w:t>
      </w:r>
      <w:r w:rsidR="00C968BB" w:rsidRPr="007A66DE">
        <w:t>citizen activities</w:t>
      </w:r>
      <w:r w:rsidR="008C2638">
        <w:t xml:space="preserve"> during the first ban period between 2007-10</w:t>
      </w:r>
      <w:r w:rsidR="00C968BB">
        <w:t xml:space="preserve">. </w:t>
      </w:r>
      <w:r w:rsidR="003A7795">
        <w:t>The content is used from online Turkish anonymous user platform, eksi sozluk, (s</w:t>
      </w:r>
      <w:bookmarkStart w:id="0" w:name="_GoBack"/>
      <w:bookmarkEnd w:id="0"/>
      <w:r w:rsidR="003A7795">
        <w:t xml:space="preserve">our dictionary) is used </w:t>
      </w:r>
      <w:r w:rsidR="00C968BB">
        <w:t>to test whether there is civil society response to the ban which both parties claim</w:t>
      </w:r>
      <w:r w:rsidR="008C2638">
        <w:t>ed</w:t>
      </w:r>
      <w:r w:rsidR="00C968BB">
        <w:t xml:space="preserve"> to be test</w:t>
      </w:r>
      <w:r w:rsidR="008C2638">
        <w:t>ing</w:t>
      </w:r>
      <w:r w:rsidR="00C968BB">
        <w:t xml:space="preserve"> the density and frequency of this response.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E62DDF" w:rsidRPr="007A66DE" w:rsidRDefault="00E62DDF" w:rsidP="009208E5">
      <w:pPr>
        <w:spacing w:line="480" w:lineRule="auto"/>
        <w:jc w:val="both"/>
        <w:rPr>
          <w:b/>
        </w:rPr>
      </w:pPr>
      <w:r w:rsidRPr="007A66DE">
        <w:rPr>
          <w:b/>
        </w:rPr>
        <w:t>Research Question</w:t>
      </w:r>
    </w:p>
    <w:p w:rsidR="00DB5404" w:rsidRDefault="00DB5404" w:rsidP="009208E5">
      <w:pPr>
        <w:spacing w:line="480" w:lineRule="auto"/>
        <w:jc w:val="both"/>
      </w:pPr>
      <w:r w:rsidRPr="007A66DE">
        <w:t xml:space="preserve">The research question asked here is: </w:t>
      </w:r>
      <w:r w:rsidR="003A7795">
        <w:t>What kinds of discourses</w:t>
      </w:r>
      <w:r w:rsidR="00C63924">
        <w:t xml:space="preserve"> do </w:t>
      </w:r>
      <w:r w:rsidR="003A7795">
        <w:t xml:space="preserve">the </w:t>
      </w:r>
      <w:r w:rsidR="00C63924">
        <w:t xml:space="preserve">Turkish online community </w:t>
      </w:r>
      <w:r w:rsidR="003A7795">
        <w:t xml:space="preserve">use </w:t>
      </w:r>
      <w:r w:rsidR="00C63924">
        <w:t xml:space="preserve">to </w:t>
      </w:r>
      <w:r w:rsidR="003A7795">
        <w:t xml:space="preserve">react </w:t>
      </w:r>
      <w:r w:rsidR="0031673A">
        <w:t xml:space="preserve">during the first </w:t>
      </w:r>
      <w:r w:rsidR="0022134C">
        <w:t>Y</w:t>
      </w:r>
      <w:r w:rsidR="00C63924">
        <w:t>ou</w:t>
      </w:r>
      <w:r w:rsidR="0022134C">
        <w:t>T</w:t>
      </w:r>
      <w:r w:rsidR="00C63924">
        <w:t xml:space="preserve">ube ban? </w:t>
      </w:r>
      <w:r w:rsidR="003A7795">
        <w:t>Another complementary question in this discourse analysis will be to see if</w:t>
      </w:r>
      <w:r w:rsidR="00101326">
        <w:t xml:space="preserve"> the</w:t>
      </w:r>
      <w:r w:rsidR="003A7795">
        <w:t xml:space="preserve"> discourse produced can be interpreted as </w:t>
      </w:r>
      <w:r w:rsidR="00101326">
        <w:t>a</w:t>
      </w:r>
      <w:r w:rsidR="003A7795">
        <w:t>n active</w:t>
      </w:r>
      <w:r w:rsidR="00101326">
        <w:t xml:space="preserve"> resistance/criticism </w:t>
      </w:r>
      <w:r w:rsidR="003A7795">
        <w:t xml:space="preserve">against </w:t>
      </w:r>
      <w:r w:rsidRPr="007A66DE">
        <w:t xml:space="preserve">the </w:t>
      </w:r>
      <w:r w:rsidR="0022134C">
        <w:rPr>
          <w:i/>
        </w:rPr>
        <w:t>Y</w:t>
      </w:r>
      <w:r w:rsidRPr="007A66DE">
        <w:rPr>
          <w:i/>
        </w:rPr>
        <w:t>ou</w:t>
      </w:r>
      <w:r w:rsidR="0022134C">
        <w:rPr>
          <w:i/>
        </w:rPr>
        <w:t>T</w:t>
      </w:r>
      <w:r w:rsidRPr="007A66DE">
        <w:rPr>
          <w:i/>
        </w:rPr>
        <w:t>ube</w:t>
      </w:r>
      <w:r w:rsidRPr="007A66DE">
        <w:t xml:space="preserve"> ban </w:t>
      </w:r>
      <w:r w:rsidR="003A7795">
        <w:t>by the Turkish citizens.</w:t>
      </w:r>
      <w:r w:rsidRPr="007A66DE">
        <w:t xml:space="preserve"> 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E62DDF" w:rsidRPr="007A66DE" w:rsidRDefault="00E62DDF" w:rsidP="009208E5">
      <w:pPr>
        <w:spacing w:line="480" w:lineRule="auto"/>
        <w:jc w:val="both"/>
        <w:rPr>
          <w:b/>
        </w:rPr>
      </w:pPr>
      <w:r w:rsidRPr="007A66DE">
        <w:rPr>
          <w:b/>
        </w:rPr>
        <w:t>Methodology</w:t>
      </w:r>
    </w:p>
    <w:p w:rsidR="00303143" w:rsidRPr="00B22297" w:rsidRDefault="00DB5404" w:rsidP="009208E5">
      <w:pPr>
        <w:spacing w:line="480" w:lineRule="auto"/>
        <w:jc w:val="both"/>
        <w:rPr>
          <w:lang w:val="en-GB"/>
        </w:rPr>
      </w:pPr>
      <w:r w:rsidRPr="007A66DE">
        <w:t>The m</w:t>
      </w:r>
      <w:r w:rsidR="00303143" w:rsidRPr="007A66DE">
        <w:t>ethodology</w:t>
      </w:r>
      <w:r w:rsidRPr="007A66DE">
        <w:t xml:space="preserve"> is </w:t>
      </w:r>
      <w:r w:rsidR="008F5583">
        <w:t>a</w:t>
      </w:r>
      <w:r w:rsidRPr="007A66DE">
        <w:t xml:space="preserve"> </w:t>
      </w:r>
      <w:r w:rsidR="008F5583">
        <w:t xml:space="preserve">discursive </w:t>
      </w:r>
      <w:r w:rsidRPr="007A66DE">
        <w:t xml:space="preserve">analysis of </w:t>
      </w:r>
      <w:r w:rsidR="008F5583">
        <w:t>blog</w:t>
      </w:r>
      <w:r w:rsidR="00101326">
        <w:t xml:space="preserve"> </w:t>
      </w:r>
      <w:r w:rsidR="00101326" w:rsidRPr="00101326">
        <w:rPr>
          <w:i/>
        </w:rPr>
        <w:t>eksi sozluk</w:t>
      </w:r>
      <w:r w:rsidR="00101326">
        <w:t xml:space="preserve"> (sour dictionary)</w:t>
      </w:r>
      <w:r w:rsidR="008F5583">
        <w:t xml:space="preserve"> and </w:t>
      </w:r>
      <w:r w:rsidR="00101326">
        <w:t xml:space="preserve">compare and contrast it with </w:t>
      </w:r>
      <w:r w:rsidR="008E0994">
        <w:t>frequency of usage of certain</w:t>
      </w:r>
      <w:r w:rsidR="00101326">
        <w:t xml:space="preserve"> key words used </w:t>
      </w:r>
      <w:r w:rsidR="00C968BB">
        <w:t xml:space="preserve">to </w:t>
      </w:r>
      <w:r w:rsidR="008F5583">
        <w:t xml:space="preserve">criticize government officials </w:t>
      </w:r>
      <w:r w:rsidR="00C968BB">
        <w:t xml:space="preserve">and policies </w:t>
      </w:r>
      <w:r w:rsidR="001D2BA3" w:rsidRPr="007A66DE">
        <w:t>on th</w:t>
      </w:r>
      <w:r w:rsidR="00C968BB">
        <w:t>is</w:t>
      </w:r>
      <w:r w:rsidR="001D2BA3" w:rsidRPr="007A66DE">
        <w:t xml:space="preserve"> </w:t>
      </w:r>
      <w:r w:rsidR="00C968BB">
        <w:t>ban</w:t>
      </w:r>
      <w:r w:rsidRPr="007A66DE">
        <w:t>.</w:t>
      </w:r>
      <w:r w:rsidR="00101326">
        <w:t xml:space="preserve"> The frequency of blog entries </w:t>
      </w:r>
      <w:r w:rsidR="00FF0D01">
        <w:t>is</w:t>
      </w:r>
      <w:r w:rsidR="00101326">
        <w:t xml:space="preserve"> also indexed with key events during the ban process to see if there is an increase in critical blogging activity during these periods.</w:t>
      </w:r>
      <w:r w:rsidR="008C2638">
        <w:t xml:space="preserve"> The period selected is covering the first ban between 2007-10 when the Ergenekon trials were continuing agai</w:t>
      </w:r>
      <w:r w:rsidR="00C15C0B">
        <w:t>n</w:t>
      </w:r>
      <w:r w:rsidR="008C2638">
        <w:t>st Turkish polit</w:t>
      </w:r>
      <w:r w:rsidR="00C15C0B">
        <w:t>i</w:t>
      </w:r>
      <w:r w:rsidR="008C2638">
        <w:t>cal dissents</w:t>
      </w:r>
      <w:r w:rsidR="00C15C0B">
        <w:t xml:space="preserve"> (secular, Republican Kemalists)</w:t>
      </w:r>
      <w:r w:rsidR="008C2638">
        <w:t xml:space="preserve"> and</w:t>
      </w:r>
      <w:r w:rsidR="00C15C0B">
        <w:t xml:space="preserve"> it was before the rift between Gulenist and Erdogan's AKP in 2014, when the second </w:t>
      </w:r>
      <w:r w:rsidR="00B668A4">
        <w:t>YouTube</w:t>
      </w:r>
      <w:r w:rsidR="00C15C0B">
        <w:t xml:space="preserve"> ban is instated to partially react against political opponents of other kinds (Gulenists, Kurdish movement, leftist activists in general).</w:t>
      </w:r>
      <w:r w:rsidR="00FF0D01">
        <w:t xml:space="preserve"> There </w:t>
      </w:r>
      <w:r w:rsidR="00B668A4">
        <w:lastRenderedPageBreak/>
        <w:t>have</w:t>
      </w:r>
      <w:r w:rsidR="00FF0D01">
        <w:t xml:space="preserve"> been other schol</w:t>
      </w:r>
      <w:r w:rsidR="00C53A71">
        <w:t>a</w:t>
      </w:r>
      <w:r w:rsidR="00FF0D01">
        <w:t xml:space="preserve">rs who looked at </w:t>
      </w:r>
      <w:r w:rsidR="00A4083D">
        <w:t xml:space="preserve">the second </w:t>
      </w:r>
      <w:r w:rsidR="00B668A4">
        <w:t>YouTube</w:t>
      </w:r>
      <w:r w:rsidR="00FF0D01">
        <w:t xml:space="preserve"> ban in Turkey rom a citizen consumer perspective</w:t>
      </w:r>
      <w:r w:rsidR="00A4083D">
        <w:t xml:space="preserve"> using et</w:t>
      </w:r>
      <w:r w:rsidR="00C53A71">
        <w:t>h</w:t>
      </w:r>
      <w:r w:rsidR="00A4083D">
        <w:t>n</w:t>
      </w:r>
      <w:r w:rsidR="00C53A71">
        <w:t>o</w:t>
      </w:r>
      <w:r w:rsidR="00A4083D">
        <w:t>gra</w:t>
      </w:r>
      <w:r w:rsidR="00C53A71">
        <w:t>p</w:t>
      </w:r>
      <w:r w:rsidR="00A4083D">
        <w:t xml:space="preserve">hic (interview) methods. </w:t>
      </w:r>
      <w:r w:rsidR="00A4083D" w:rsidRPr="00A4083D">
        <w:rPr>
          <w:lang w:val="en-GB"/>
        </w:rPr>
        <w:t>Yalkin</w:t>
      </w:r>
      <w:r w:rsidR="00A4083D">
        <w:rPr>
          <w:lang w:val="en-GB"/>
        </w:rPr>
        <w:t>,</w:t>
      </w:r>
      <w:r w:rsidR="00A4083D" w:rsidRPr="00A4083D">
        <w:rPr>
          <w:lang w:val="en-GB"/>
        </w:rPr>
        <w:t xml:space="preserve"> Kerrigan, and Vom Lehn</w:t>
      </w:r>
      <w:r w:rsidR="00A4083D">
        <w:rPr>
          <w:lang w:val="en-GB"/>
        </w:rPr>
        <w:t xml:space="preserve"> (2014) argued that Turkish citizen consumers protested against their right to be part of the global online community during the second ban period</w:t>
      </w:r>
      <w:r w:rsidR="00A4083D" w:rsidRPr="00A4083D">
        <w:rPr>
          <w:lang w:val="en-GB"/>
        </w:rPr>
        <w:t>.</w:t>
      </w:r>
      <w:r w:rsidR="00A4083D">
        <w:rPr>
          <w:lang w:val="en-GB"/>
        </w:rPr>
        <w:t xml:space="preserve"> Our study uses a different methodology (content/</w:t>
      </w:r>
      <w:r w:rsidR="00BD4EEA">
        <w:rPr>
          <w:lang w:val="en-GB"/>
        </w:rPr>
        <w:t>discourse</w:t>
      </w:r>
      <w:r w:rsidR="00A4083D">
        <w:rPr>
          <w:lang w:val="en-GB"/>
        </w:rPr>
        <w:t xml:space="preserve"> analysis), focusing on a different period of the ban (first period) where date from the sam</w:t>
      </w:r>
      <w:r w:rsidR="00BD4EEA">
        <w:rPr>
          <w:lang w:val="en-GB"/>
        </w:rPr>
        <w:t>e</w:t>
      </w:r>
      <w:r w:rsidR="00A4083D">
        <w:rPr>
          <w:lang w:val="en-GB"/>
        </w:rPr>
        <w:t xml:space="preserve"> site</w:t>
      </w:r>
      <w:r w:rsidR="00BD4EEA">
        <w:rPr>
          <w:lang w:val="en-GB"/>
        </w:rPr>
        <w:t>. Our findings</w:t>
      </w:r>
      <w:r w:rsidR="00A4083D">
        <w:rPr>
          <w:lang w:val="en-GB"/>
        </w:rPr>
        <w:t xml:space="preserve"> show that the T</w:t>
      </w:r>
      <w:r w:rsidR="00BD4EEA">
        <w:rPr>
          <w:lang w:val="en-GB"/>
        </w:rPr>
        <w:t>u</w:t>
      </w:r>
      <w:r w:rsidR="00A4083D">
        <w:rPr>
          <w:lang w:val="en-GB"/>
        </w:rPr>
        <w:t>rkish internet users were concerned more on social</w:t>
      </w:r>
      <w:r w:rsidR="00BD4EEA">
        <w:rPr>
          <w:lang w:val="en-GB"/>
        </w:rPr>
        <w:t xml:space="preserve"> </w:t>
      </w:r>
      <w:r w:rsidR="00A4083D">
        <w:rPr>
          <w:lang w:val="en-GB"/>
        </w:rPr>
        <w:t>an</w:t>
      </w:r>
      <w:r w:rsidR="00BD4EEA">
        <w:rPr>
          <w:lang w:val="en-GB"/>
        </w:rPr>
        <w:t>d</w:t>
      </w:r>
      <w:r w:rsidR="00A4083D">
        <w:rPr>
          <w:lang w:val="en-GB"/>
        </w:rPr>
        <w:t xml:space="preserve"> polit</w:t>
      </w:r>
      <w:r w:rsidR="00BD4EEA">
        <w:rPr>
          <w:lang w:val="en-GB"/>
        </w:rPr>
        <w:t>i</w:t>
      </w:r>
      <w:r w:rsidR="00A4083D">
        <w:rPr>
          <w:lang w:val="en-GB"/>
        </w:rPr>
        <w:t>cal issues at the time.</w:t>
      </w:r>
      <w:r w:rsidR="00C53A71">
        <w:rPr>
          <w:lang w:val="en-GB"/>
        </w:rPr>
        <w:t xml:space="preserve"> Other studies like </w:t>
      </w:r>
      <w:r w:rsidR="00C53A71" w:rsidRPr="00C53A71">
        <w:rPr>
          <w:lang w:val="en-GB"/>
        </w:rPr>
        <w:t>Altug, and Zıraman</w:t>
      </w:r>
      <w:r w:rsidR="00C53A71">
        <w:rPr>
          <w:lang w:val="en-GB"/>
        </w:rPr>
        <w:t xml:space="preserve"> (2015) give more agency to true internet users through Gramscian form of Marxist analysis. </w:t>
      </w:r>
      <w:r w:rsidR="00B22297">
        <w:rPr>
          <w:lang w:val="en-GB"/>
        </w:rPr>
        <w:t>O</w:t>
      </w:r>
      <w:r w:rsidR="00C53A71">
        <w:rPr>
          <w:lang w:val="en-GB"/>
        </w:rPr>
        <w:t xml:space="preserve">ur study focuses on users who preferred to remain anonymous out of fear of government reprisal where the creation of discourses </w:t>
      </w:r>
      <w:r w:rsidR="007E3045">
        <w:rPr>
          <w:lang w:val="en-GB"/>
        </w:rPr>
        <w:t>is</w:t>
      </w:r>
      <w:r w:rsidR="00C53A71">
        <w:rPr>
          <w:lang w:val="en-GB"/>
        </w:rPr>
        <w:t xml:space="preserve"> cautious and balanced for legal fears of prosecution. These fears proved to be true as </w:t>
      </w:r>
      <w:r w:rsidR="00B22297">
        <w:rPr>
          <w:lang w:val="en-GB"/>
        </w:rPr>
        <w:t xml:space="preserve">After Gezi Park protests of 2015, </w:t>
      </w:r>
      <w:r w:rsidR="00C53A71">
        <w:rPr>
          <w:lang w:val="en-GB"/>
        </w:rPr>
        <w:t xml:space="preserve">AKP government ordered the </w:t>
      </w:r>
      <w:r w:rsidR="00B22297">
        <w:rPr>
          <w:lang w:val="en-GB"/>
        </w:rPr>
        <w:t xml:space="preserve">operators of eksi sozluk to release the true identities of its users and remove certain entries </w:t>
      </w:r>
      <w:r w:rsidR="007E3045">
        <w:rPr>
          <w:lang w:val="en-GB"/>
        </w:rPr>
        <w:t xml:space="preserve">(Harris, 2015) </w:t>
      </w:r>
      <w:r w:rsidR="00B22297">
        <w:rPr>
          <w:lang w:val="en-GB"/>
        </w:rPr>
        <w:t>found to be disturbing or face prison sentences, which the operators complied</w:t>
      </w:r>
      <w:r w:rsidR="007E3045">
        <w:rPr>
          <w:lang w:val="en-GB"/>
        </w:rPr>
        <w:t xml:space="preserve"> (Nefes, 2017)</w:t>
      </w:r>
      <w:r w:rsidR="00B22297">
        <w:rPr>
          <w:lang w:val="en-GB"/>
        </w:rPr>
        <w:t xml:space="preserve">. 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E62DDF" w:rsidRPr="008C2638" w:rsidRDefault="00E62DDF" w:rsidP="009208E5">
      <w:pPr>
        <w:spacing w:line="480" w:lineRule="auto"/>
        <w:jc w:val="both"/>
        <w:rPr>
          <w:b/>
        </w:rPr>
      </w:pPr>
      <w:r w:rsidRPr="008C2638">
        <w:rPr>
          <w:b/>
        </w:rPr>
        <w:t>New Media and Freedom of Expression</w:t>
      </w:r>
      <w:r w:rsidR="00101326" w:rsidRPr="008C2638">
        <w:rPr>
          <w:b/>
        </w:rPr>
        <w:t xml:space="preserve"> in Turkey</w:t>
      </w:r>
      <w:r w:rsidRPr="008C2638">
        <w:rPr>
          <w:b/>
        </w:rPr>
        <w:t xml:space="preserve"> </w:t>
      </w:r>
    </w:p>
    <w:p w:rsidR="00E62DDF" w:rsidRPr="007A66DE" w:rsidRDefault="00E62DDF" w:rsidP="009208E5">
      <w:pPr>
        <w:spacing w:line="480" w:lineRule="auto"/>
        <w:jc w:val="both"/>
        <w:rPr>
          <w:i/>
        </w:rPr>
      </w:pPr>
      <w:r w:rsidRPr="007A66DE">
        <w:rPr>
          <w:i/>
        </w:rPr>
        <w:t>Basic restrictions on press freedom</w:t>
      </w:r>
    </w:p>
    <w:p w:rsidR="00684E00" w:rsidRDefault="00684E00" w:rsidP="009208E5">
      <w:pPr>
        <w:spacing w:line="480" w:lineRule="auto"/>
        <w:jc w:val="both"/>
      </w:pPr>
      <w:r w:rsidRPr="007A66DE">
        <w:t xml:space="preserve">This is not the first attempt to repress new </w:t>
      </w:r>
      <w:r w:rsidR="00125863" w:rsidRPr="007A66DE">
        <w:t xml:space="preserve">communication </w:t>
      </w:r>
      <w:r w:rsidRPr="007A66DE">
        <w:t>technologies</w:t>
      </w:r>
      <w:r w:rsidR="00125863" w:rsidRPr="007A66DE">
        <w:t xml:space="preserve"> in Turkey by the government</w:t>
      </w:r>
      <w:r w:rsidRPr="007A66DE">
        <w:t xml:space="preserve">. </w:t>
      </w:r>
      <w:r w:rsidR="008C2638">
        <w:t>There is a long history of media repression by the government in Turkey from Ottoman times (Yalman,</w:t>
      </w:r>
      <w:r w:rsidR="00152C18">
        <w:t xml:space="preserve"> </w:t>
      </w:r>
      <w:r w:rsidR="008C2638">
        <w:t>1914) to the early years of the Turkish Repu</w:t>
      </w:r>
      <w:r w:rsidR="00C15C0B">
        <w:t>b</w:t>
      </w:r>
      <w:r w:rsidR="008C2638">
        <w:t>l</w:t>
      </w:r>
      <w:r w:rsidR="00C15C0B">
        <w:t>i</w:t>
      </w:r>
      <w:r w:rsidR="008C2638">
        <w:t>c</w:t>
      </w:r>
      <w:r w:rsidR="00C15C0B">
        <w:t xml:space="preserve"> (Akser and Baybars-Hawks, 2012),</w:t>
      </w:r>
      <w:r w:rsidR="008C2638">
        <w:t xml:space="preserve"> to aftermath of successive mil</w:t>
      </w:r>
      <w:r w:rsidR="00C15C0B">
        <w:t>i</w:t>
      </w:r>
      <w:r w:rsidR="008C2638">
        <w:t xml:space="preserve">tary coups </w:t>
      </w:r>
      <w:r w:rsidR="00C15C0B">
        <w:t>between 1960-1980 (</w:t>
      </w:r>
      <w:r w:rsidR="00C15C0B" w:rsidRPr="00C15C0B">
        <w:t>Ozgüden,</w:t>
      </w:r>
      <w:r w:rsidR="00C15C0B">
        <w:t xml:space="preserve"> 1973) </w:t>
      </w:r>
      <w:r w:rsidR="008C2638">
        <w:t>and finally in post 2007 repression by AKP gove</w:t>
      </w:r>
      <w:r w:rsidR="00C15C0B">
        <w:t>rn</w:t>
      </w:r>
      <w:r w:rsidR="008C2638">
        <w:t>ment inte</w:t>
      </w:r>
      <w:r w:rsidR="00C15C0B">
        <w:t>n</w:t>
      </w:r>
      <w:r w:rsidR="008C2638">
        <w:t>sifying after July 2016 coup attemp</w:t>
      </w:r>
      <w:r w:rsidR="00C15C0B">
        <w:t>t (</w:t>
      </w:r>
      <w:r w:rsidR="00C15C0B" w:rsidRPr="00C15C0B">
        <w:t>Farmanfarmaian, Sonay, and Akser</w:t>
      </w:r>
      <w:r w:rsidR="00C15C0B">
        <w:t>, 2018)</w:t>
      </w:r>
      <w:r w:rsidR="008C2638">
        <w:t xml:space="preserve">. </w:t>
      </w:r>
      <w:r w:rsidR="00C15C0B">
        <w:t xml:space="preserve">There have always </w:t>
      </w:r>
      <w:r w:rsidR="00C15C0B">
        <w:lastRenderedPageBreak/>
        <w:t>been activist citizen protests to counter the media repression by the T</w:t>
      </w:r>
      <w:r w:rsidR="0031673A">
        <w:t>u</w:t>
      </w:r>
      <w:r w:rsidR="00C15C0B">
        <w:t>rkish government</w:t>
      </w:r>
      <w:r w:rsidR="0031673A">
        <w:t xml:space="preserve"> of the time</w:t>
      </w:r>
      <w:r w:rsidR="00C15C0B">
        <w:t>. Historically these took shape in the media format of their day, ranging from samizdat journals in the 1970s to video activism in the 2000s (</w:t>
      </w:r>
      <w:r w:rsidR="0031673A">
        <w:t>A</w:t>
      </w:r>
      <w:r w:rsidR="00C15C0B">
        <w:t>kser and McCollum, 2018). A successful example of citizen activism against governmen</w:t>
      </w:r>
      <w:r w:rsidR="0031673A">
        <w:t>t</w:t>
      </w:r>
      <w:r w:rsidR="00C15C0B">
        <w:t xml:space="preserve"> repression of med</w:t>
      </w:r>
      <w:r w:rsidR="0031673A">
        <w:t>i</w:t>
      </w:r>
      <w:r w:rsidR="00C15C0B">
        <w:t>a is in</w:t>
      </w:r>
      <w:r w:rsidRPr="007A66DE">
        <w:t xml:space="preserve"> 1992 </w:t>
      </w:r>
      <w:r w:rsidR="00C15C0B">
        <w:t xml:space="preserve">when </w:t>
      </w:r>
      <w:r w:rsidRPr="007A66DE">
        <w:t xml:space="preserve">the </w:t>
      </w:r>
      <w:r w:rsidR="00B668A4" w:rsidRPr="007A66DE">
        <w:t>first-generation</w:t>
      </w:r>
      <w:r w:rsidRPr="007A66DE">
        <w:t xml:space="preserve"> pri</w:t>
      </w:r>
      <w:r w:rsidR="00125863" w:rsidRPr="007A66DE">
        <w:t>v</w:t>
      </w:r>
      <w:r w:rsidRPr="007A66DE">
        <w:t>a</w:t>
      </w:r>
      <w:r w:rsidR="00125863" w:rsidRPr="007A66DE">
        <w:t>t</w:t>
      </w:r>
      <w:r w:rsidRPr="007A66DE">
        <w:t>e radios and te</w:t>
      </w:r>
      <w:r w:rsidR="00125863" w:rsidRPr="007A66DE">
        <w:t>l</w:t>
      </w:r>
      <w:r w:rsidRPr="007A66DE">
        <w:t>evis</w:t>
      </w:r>
      <w:r w:rsidR="00125863" w:rsidRPr="007A66DE">
        <w:t>i</w:t>
      </w:r>
      <w:r w:rsidRPr="007A66DE">
        <w:t>ons were ba</w:t>
      </w:r>
      <w:r w:rsidR="00125863" w:rsidRPr="007A66DE">
        <w:t>n</w:t>
      </w:r>
      <w:r w:rsidRPr="007A66DE">
        <w:t xml:space="preserve">ned </w:t>
      </w:r>
      <w:r w:rsidR="00C15C0B">
        <w:t xml:space="preserve">and </w:t>
      </w:r>
      <w:r w:rsidRPr="007A66DE">
        <w:t>deemed unconstitutional</w:t>
      </w:r>
      <w:r w:rsidR="00C15C0B">
        <w:t xml:space="preserve"> by the government</w:t>
      </w:r>
      <w:r w:rsidRPr="007A66DE">
        <w:t xml:space="preserve">. </w:t>
      </w:r>
      <w:r w:rsidR="00F92683" w:rsidRPr="007A66DE">
        <w:t>In the</w:t>
      </w:r>
      <w:r w:rsidRPr="007A66DE">
        <w:t xml:space="preserve"> following days citizen unrest hit the streets and there were crow</w:t>
      </w:r>
      <w:r w:rsidR="00125863" w:rsidRPr="007A66DE">
        <w:t>d</w:t>
      </w:r>
      <w:r w:rsidRPr="007A66DE">
        <w:t>s shouting</w:t>
      </w:r>
      <w:r w:rsidR="00F92683" w:rsidRPr="007A66DE">
        <w:t>:</w:t>
      </w:r>
      <w:r w:rsidRPr="007A66DE">
        <w:t xml:space="preserve"> </w:t>
      </w:r>
      <w:r w:rsidR="00F92683" w:rsidRPr="007A66DE">
        <w:t>“</w:t>
      </w:r>
      <w:r w:rsidRPr="007A66DE">
        <w:t xml:space="preserve">I want my </w:t>
      </w:r>
      <w:r w:rsidR="00811843">
        <w:t>Radio</w:t>
      </w:r>
      <w:r w:rsidR="00F92683" w:rsidRPr="007A66DE">
        <w:t>”</w:t>
      </w:r>
      <w:r w:rsidR="00811843">
        <w:t xml:space="preserve"> (Algan, 2003)</w:t>
      </w:r>
      <w:r w:rsidR="00F92683" w:rsidRPr="007A66DE">
        <w:t xml:space="preserve">. The government yielded by changing the constitution to accommodate the legal broadcasting by private corporations. There </w:t>
      </w:r>
      <w:r w:rsidR="00AD6509" w:rsidRPr="007A66DE">
        <w:t>has been a period</w:t>
      </w:r>
      <w:r w:rsidR="00F92683" w:rsidRPr="007A66DE">
        <w:t xml:space="preserve"> of absolute freedom enjoyed by the media until the government created an FCC equivalent RTUK.</w:t>
      </w:r>
      <w:r w:rsidR="00C15C0B">
        <w:t xml:space="preserve"> </w:t>
      </w:r>
    </w:p>
    <w:p w:rsidR="00C15C0B" w:rsidRPr="007A66DE" w:rsidRDefault="00C15C0B" w:rsidP="009208E5">
      <w:pPr>
        <w:spacing w:line="480" w:lineRule="auto"/>
        <w:jc w:val="both"/>
      </w:pPr>
    </w:p>
    <w:p w:rsidR="00F92683" w:rsidRPr="007A66DE" w:rsidRDefault="00F92683" w:rsidP="009208E5">
      <w:pPr>
        <w:spacing w:line="480" w:lineRule="auto"/>
        <w:jc w:val="both"/>
        <w:rPr>
          <w:i/>
        </w:rPr>
      </w:pPr>
      <w:r w:rsidRPr="007A66DE">
        <w:rPr>
          <w:i/>
        </w:rPr>
        <w:t>A</w:t>
      </w:r>
      <w:r w:rsidR="00E62DDF" w:rsidRPr="007A66DE">
        <w:rPr>
          <w:i/>
        </w:rPr>
        <w:t xml:space="preserve">fter 2002 </w:t>
      </w:r>
      <w:r w:rsidRPr="007A66DE">
        <w:rPr>
          <w:i/>
        </w:rPr>
        <w:t>R</w:t>
      </w:r>
      <w:r w:rsidR="00E62DDF" w:rsidRPr="007A66DE">
        <w:rPr>
          <w:i/>
        </w:rPr>
        <w:t>estrictions on new media</w:t>
      </w:r>
    </w:p>
    <w:p w:rsidR="00E62DDF" w:rsidRPr="007A66DE" w:rsidRDefault="00F92683" w:rsidP="009208E5">
      <w:pPr>
        <w:spacing w:line="480" w:lineRule="auto"/>
        <w:jc w:val="both"/>
      </w:pPr>
      <w:r w:rsidRPr="007A66DE">
        <w:t xml:space="preserve">After 2002 elections the conservative </w:t>
      </w:r>
      <w:r w:rsidR="00E62DDF" w:rsidRPr="007A66DE">
        <w:t>AKP governments</w:t>
      </w:r>
      <w:r w:rsidRPr="007A66DE">
        <w:t xml:space="preserve"> took a turn at media management.</w:t>
      </w:r>
      <w:r w:rsidR="00417590" w:rsidRPr="007A66DE">
        <w:t xml:space="preserve"> The reorganization of media ownership created a divided system of big </w:t>
      </w:r>
      <w:r w:rsidR="00AD6509" w:rsidRPr="007A66DE">
        <w:t>conglomerate</w:t>
      </w:r>
      <w:r w:rsidR="00417590" w:rsidRPr="007A66DE">
        <w:t xml:space="preserve"> companies such as Doğan media who remained complacent for a while as Aydın Doğan</w:t>
      </w:r>
      <w:r w:rsidR="00DB4DD8" w:rsidRPr="007A66DE">
        <w:t>’</w:t>
      </w:r>
      <w:r w:rsidR="00417590" w:rsidRPr="007A66DE">
        <w:t>s com</w:t>
      </w:r>
      <w:r w:rsidR="00DB4DD8" w:rsidRPr="007A66DE">
        <w:t>p</w:t>
      </w:r>
      <w:r w:rsidR="00417590" w:rsidRPr="007A66DE">
        <w:t>anies were bidders go</w:t>
      </w:r>
      <w:r w:rsidR="00DB4DD8" w:rsidRPr="007A66DE">
        <w:t>t</w:t>
      </w:r>
      <w:r w:rsidR="00417590" w:rsidRPr="007A66DE">
        <w:t xml:space="preserve"> government contracts</w:t>
      </w:r>
      <w:r w:rsidR="00152C18">
        <w:t xml:space="preserve"> (Silverman, 2014)</w:t>
      </w:r>
      <w:r w:rsidR="00417590" w:rsidRPr="007A66DE">
        <w:t xml:space="preserve">. </w:t>
      </w:r>
      <w:r w:rsidRPr="007A66DE">
        <w:t>The rest of the media organized around government sided owners of forme</w:t>
      </w:r>
      <w:r w:rsidR="00DB4DD8" w:rsidRPr="007A66DE">
        <w:t>r</w:t>
      </w:r>
      <w:r w:rsidRPr="007A66DE">
        <w:t xml:space="preserve"> media barons companies distri</w:t>
      </w:r>
      <w:r w:rsidR="00DB4DD8" w:rsidRPr="007A66DE">
        <w:t>b</w:t>
      </w:r>
      <w:r w:rsidRPr="007A66DE">
        <w:t xml:space="preserve">uted by the government after they seized the companies of </w:t>
      </w:r>
      <w:r w:rsidR="00003403" w:rsidRPr="007A66DE">
        <w:t>businessmen who did not pay back cre</w:t>
      </w:r>
      <w:r w:rsidR="00DB4DD8" w:rsidRPr="007A66DE">
        <w:t>di</w:t>
      </w:r>
      <w:r w:rsidR="00003403" w:rsidRPr="007A66DE">
        <w:t>tors.</w:t>
      </w:r>
      <w:r w:rsidR="00DB4DD8" w:rsidRPr="007A66DE">
        <w:t xml:space="preserve"> After this reorganization and after a second majority win in 2007 RTE government turned repressive. </w:t>
      </w:r>
      <w:r w:rsidR="00AD6509" w:rsidRPr="007A66DE">
        <w:t>RTUK</w:t>
      </w:r>
      <w:r w:rsidR="00DB4DD8" w:rsidRPr="007A66DE">
        <w:t xml:space="preserve"> fines increased in monetary terms and in volume</w:t>
      </w:r>
      <w:r w:rsidR="00811843">
        <w:t xml:space="preserve"> against Aydin Dogan's companies and eventually he had to pay large fines and leave him media business to more government friendly businessman like Demiroren </w:t>
      </w:r>
      <w:r w:rsidR="00152C18">
        <w:t>(Akser, 2018)</w:t>
      </w:r>
      <w:r w:rsidR="00152C18" w:rsidRPr="007A66DE">
        <w:t>.</w:t>
      </w:r>
    </w:p>
    <w:p w:rsidR="002635CF" w:rsidRDefault="002635CF" w:rsidP="009208E5">
      <w:pPr>
        <w:spacing w:line="480" w:lineRule="auto"/>
        <w:jc w:val="both"/>
        <w:rPr>
          <w:i/>
        </w:rPr>
      </w:pPr>
    </w:p>
    <w:p w:rsidR="00003403" w:rsidRPr="007A66DE" w:rsidRDefault="00003403" w:rsidP="009208E5">
      <w:pPr>
        <w:spacing w:line="480" w:lineRule="auto"/>
        <w:jc w:val="both"/>
        <w:rPr>
          <w:i/>
        </w:rPr>
      </w:pPr>
      <w:r w:rsidRPr="007A66DE">
        <w:rPr>
          <w:i/>
        </w:rPr>
        <w:lastRenderedPageBreak/>
        <w:t xml:space="preserve">Infamous </w:t>
      </w:r>
      <w:r w:rsidR="00B668A4" w:rsidRPr="007A66DE">
        <w:rPr>
          <w:i/>
        </w:rPr>
        <w:t>YouTube</w:t>
      </w:r>
      <w:r w:rsidRPr="007A66DE">
        <w:rPr>
          <w:i/>
        </w:rPr>
        <w:t xml:space="preserve"> Ban: A History</w:t>
      </w:r>
    </w:p>
    <w:p w:rsidR="00E62DDF" w:rsidRDefault="00DB4DD8" w:rsidP="009208E5">
      <w:pPr>
        <w:spacing w:line="480" w:lineRule="auto"/>
        <w:jc w:val="both"/>
      </w:pPr>
      <w:r w:rsidRPr="007A66DE">
        <w:t xml:space="preserve">In Turkey </w:t>
      </w:r>
      <w:r w:rsidR="00B668A4" w:rsidRPr="007A66DE">
        <w:t>YouTube</w:t>
      </w:r>
      <w:r w:rsidRPr="007A66DE">
        <w:t xml:space="preserve"> was a fan favorite as soon as it was launched in 200</w:t>
      </w:r>
      <w:r w:rsidR="00A35328">
        <w:t>5</w:t>
      </w:r>
      <w:r w:rsidRPr="007A66DE">
        <w:t xml:space="preserve">. Although there have been strange videos such as high school students bizarre behavior put on the site there </w:t>
      </w:r>
      <w:r w:rsidR="00AD6509" w:rsidRPr="007A66DE">
        <w:t>were</w:t>
      </w:r>
      <w:r w:rsidRPr="007A66DE">
        <w:t xml:space="preserve"> mainly music, news </w:t>
      </w:r>
      <w:r w:rsidR="00AD6509" w:rsidRPr="007A66DE">
        <w:t>clips</w:t>
      </w:r>
      <w:r w:rsidRPr="007A66DE">
        <w:t xml:space="preserve">, comments by users, trailers </w:t>
      </w:r>
      <w:r w:rsidR="00AD6509" w:rsidRPr="007A66DE">
        <w:t>until</w:t>
      </w:r>
      <w:r w:rsidRPr="007A66DE">
        <w:t xml:space="preserve"> 2007. In 2007 there emerged </w:t>
      </w:r>
      <w:r w:rsidR="00AD6509" w:rsidRPr="007A66DE">
        <w:t>politically</w:t>
      </w:r>
      <w:r w:rsidRPr="007A66DE">
        <w:t xml:space="preserve"> sensitive videos condemning the </w:t>
      </w:r>
      <w:r w:rsidR="00FF0D01">
        <w:t xml:space="preserve">Turkish </w:t>
      </w:r>
      <w:r w:rsidRPr="007A66DE">
        <w:t xml:space="preserve">government. </w:t>
      </w:r>
      <w:r w:rsidR="00AD6509" w:rsidRPr="007A66DE">
        <w:t xml:space="preserve">The release videos escalated to former comments by the president Abdullah Gül condemning the EU and Tayyip Erdoğan's promise of overthrow of the secular republic coincided with </w:t>
      </w:r>
      <w:r w:rsidR="00D16D92" w:rsidRPr="007A66DE">
        <w:t>the</w:t>
      </w:r>
      <w:r w:rsidR="00AD6509" w:rsidRPr="007A66DE">
        <w:t xml:space="preserve"> mass protest</w:t>
      </w:r>
      <w:r w:rsidR="00D16D92" w:rsidRPr="007A66DE">
        <w:t>s</w:t>
      </w:r>
      <w:r w:rsidR="00AD6509" w:rsidRPr="007A66DE">
        <w:t xml:space="preserve"> against AKP organized by society for protection of modern life, a republican NGO critical of the government. </w:t>
      </w:r>
      <w:r w:rsidR="006A3503" w:rsidRPr="007A66DE">
        <w:t xml:space="preserve">Then an </w:t>
      </w:r>
      <w:r w:rsidR="00A35328">
        <w:t>obscure Anatolian</w:t>
      </w:r>
      <w:r w:rsidR="006A3503" w:rsidRPr="007A66DE">
        <w:t xml:space="preserve"> town court suddenly </w:t>
      </w:r>
      <w:r w:rsidR="00AD6509" w:rsidRPr="007A66DE">
        <w:t>banned</w:t>
      </w:r>
      <w:r w:rsidR="006A3503" w:rsidRPr="007A66DE">
        <w:t xml:space="preserve"> </w:t>
      </w:r>
      <w:r w:rsidR="00AD6509" w:rsidRPr="007A66DE">
        <w:t>YouTube</w:t>
      </w:r>
      <w:r w:rsidR="006A3503" w:rsidRPr="007A66DE">
        <w:t xml:space="preserve"> based on Greek university students attack videos on Atatürk. </w:t>
      </w:r>
      <w:r w:rsidR="00AD6509" w:rsidRPr="007A66DE">
        <w:t xml:space="preserve">There have been appeals to remove the video from YouTube and the courts lifted the ban twice for a day until other courts banned the site once again. </w:t>
      </w:r>
      <w:r w:rsidR="00A35328">
        <w:t>Between 2007-2010</w:t>
      </w:r>
      <w:r w:rsidR="006A3503" w:rsidRPr="007A66DE">
        <w:t xml:space="preserve"> </w:t>
      </w:r>
      <w:proofErr w:type="gramStart"/>
      <w:r w:rsidR="00AD6509" w:rsidRPr="007A66DE">
        <w:t>millions</w:t>
      </w:r>
      <w:proofErr w:type="gramEnd"/>
      <w:r w:rsidR="00A35328">
        <w:t xml:space="preserve"> of citizens</w:t>
      </w:r>
      <w:r w:rsidR="006A3503" w:rsidRPr="007A66DE">
        <w:t xml:space="preserve"> in Turkey </w:t>
      </w:r>
      <w:r w:rsidR="00AD6509" w:rsidRPr="007A66DE">
        <w:t>use</w:t>
      </w:r>
      <w:r w:rsidR="00A35328">
        <w:t>d</w:t>
      </w:r>
      <w:r w:rsidR="00AD6509" w:rsidRPr="007A66DE">
        <w:t xml:space="preserve"> the</w:t>
      </w:r>
      <w:r w:rsidR="006A3503" w:rsidRPr="007A66DE">
        <w:t xml:space="preserve"> site through bypassing DNS and use of alternative sites like ktunnel</w:t>
      </w:r>
      <w:r w:rsidR="00A35328">
        <w:t>, even PM Erdogan and President Gul expressed that they use vtunnel at the time ("</w:t>
      </w:r>
      <w:r w:rsidR="00A35328" w:rsidRPr="00A35328">
        <w:t>Turkish president uses Twitter to condemn YouTube ban</w:t>
      </w:r>
      <w:r w:rsidR="00A35328">
        <w:t>")</w:t>
      </w:r>
      <w:r w:rsidR="006A3503" w:rsidRPr="007A66DE">
        <w:t xml:space="preserve">. </w:t>
      </w:r>
    </w:p>
    <w:p w:rsidR="00FF0D01" w:rsidRPr="007A66DE" w:rsidRDefault="00FF0D01" w:rsidP="009208E5">
      <w:pPr>
        <w:spacing w:line="480" w:lineRule="auto"/>
        <w:jc w:val="both"/>
      </w:pPr>
    </w:p>
    <w:p w:rsidR="00E62DDF" w:rsidRPr="007F22A9" w:rsidRDefault="00E62DDF" w:rsidP="009208E5">
      <w:pPr>
        <w:spacing w:line="480" w:lineRule="auto"/>
        <w:jc w:val="both"/>
        <w:rPr>
          <w:i/>
        </w:rPr>
      </w:pPr>
      <w:r w:rsidRPr="007F22A9">
        <w:rPr>
          <w:i/>
        </w:rPr>
        <w:t xml:space="preserve">The Ban- Legal, Ethical, Political </w:t>
      </w:r>
      <w:r w:rsidR="00A35328">
        <w:rPr>
          <w:i/>
        </w:rPr>
        <w:t>Context</w:t>
      </w:r>
      <w:r w:rsidRPr="007F22A9">
        <w:rPr>
          <w:i/>
        </w:rPr>
        <w:t xml:space="preserve"> of the ban</w:t>
      </w:r>
    </w:p>
    <w:p w:rsidR="00545D2B" w:rsidRPr="007A66DE" w:rsidRDefault="009F7E30" w:rsidP="009208E5">
      <w:pPr>
        <w:spacing w:line="480" w:lineRule="auto"/>
        <w:jc w:val="both"/>
      </w:pPr>
      <w:r>
        <w:t>Scholars of Turkish media commented on legal, ethical and political aspects of various internet</w:t>
      </w:r>
      <w:r w:rsidR="00A35328">
        <w:t xml:space="preserve"> </w:t>
      </w:r>
      <w:r w:rsidR="005875D0" w:rsidRPr="007A66DE">
        <w:t>ban</w:t>
      </w:r>
      <w:r>
        <w:t>s</w:t>
      </w:r>
      <w:r w:rsidR="005875D0" w:rsidRPr="007A66DE">
        <w:t xml:space="preserve"> </w:t>
      </w:r>
      <w:r>
        <w:t>in Turkey (</w:t>
      </w:r>
      <w:proofErr w:type="spellStart"/>
      <w:r>
        <w:t>Tunc</w:t>
      </w:r>
      <w:proofErr w:type="spellEnd"/>
      <w:r>
        <w:t xml:space="preserve"> 2013; Saka 2014; </w:t>
      </w:r>
      <w:proofErr w:type="spellStart"/>
      <w:r>
        <w:t>Yesil</w:t>
      </w:r>
      <w:proofErr w:type="spellEnd"/>
      <w:r>
        <w:t xml:space="preserve"> 2016). Based on these studies o</w:t>
      </w:r>
      <w:r w:rsidR="00A35328">
        <w:t xml:space="preserve">nline anonymous </w:t>
      </w:r>
      <w:r w:rsidR="005875D0" w:rsidRPr="007A66DE">
        <w:t xml:space="preserve">responses from the public have three </w:t>
      </w:r>
      <w:r w:rsidR="00AD6509" w:rsidRPr="007A66DE">
        <w:t>implications</w:t>
      </w:r>
      <w:r w:rsidR="005875D0" w:rsidRPr="007A66DE">
        <w:t xml:space="preserve"> in terms of s</w:t>
      </w:r>
      <w:r w:rsidR="008F5583">
        <w:t>t</w:t>
      </w:r>
      <w:r w:rsidR="005875D0" w:rsidRPr="007A66DE">
        <w:t>ate and society relations.</w:t>
      </w:r>
      <w:r w:rsidR="00A35328">
        <w:t xml:space="preserve"> </w:t>
      </w:r>
      <w:r w:rsidR="00BC04AF" w:rsidRPr="007A66DE">
        <w:t>On the legal side</w:t>
      </w:r>
      <w:r>
        <w:t>,</w:t>
      </w:r>
      <w:r w:rsidR="00BC04AF" w:rsidRPr="007A66DE">
        <w:t xml:space="preserve"> we have a </w:t>
      </w:r>
      <w:r>
        <w:t xml:space="preserve">regulatory framework shaped by politicians' needs </w:t>
      </w:r>
      <w:r w:rsidR="00BC04AF" w:rsidRPr="007A66DE">
        <w:t>that does not fu</w:t>
      </w:r>
      <w:r w:rsidR="00125863" w:rsidRPr="007A66DE">
        <w:t>n</w:t>
      </w:r>
      <w:r w:rsidR="00BC04AF" w:rsidRPr="007A66DE">
        <w:t xml:space="preserve">ction and serve citizens’ needs. The communication </w:t>
      </w:r>
      <w:r w:rsidR="00AD6509" w:rsidRPr="007A66DE">
        <w:t>law protects individuals’ rights to privacy and prevents</w:t>
      </w:r>
      <w:r w:rsidR="00BC04AF" w:rsidRPr="007A66DE">
        <w:t xml:space="preserve"> personal attacks but the law that protects the </w:t>
      </w:r>
      <w:r>
        <w:lastRenderedPageBreak/>
        <w:t xml:space="preserve">ruling political elite </w:t>
      </w:r>
      <w:r w:rsidR="00BC04AF" w:rsidRPr="007A66DE">
        <w:t>is much more co</w:t>
      </w:r>
      <w:r w:rsidR="00125863" w:rsidRPr="007A66DE">
        <w:t>mp</w:t>
      </w:r>
      <w:r w:rsidR="00BC04AF" w:rsidRPr="007A66DE">
        <w:t>re</w:t>
      </w:r>
      <w:r w:rsidR="00125863" w:rsidRPr="007A66DE">
        <w:t>he</w:t>
      </w:r>
      <w:r w:rsidR="00BC04AF" w:rsidRPr="007A66DE">
        <w:t xml:space="preserve">nsive in regulating everyday communication by the people. This broad generalization on protection of </w:t>
      </w:r>
      <w:r>
        <w:t>national interests embodied in the personas of political elite</w:t>
      </w:r>
      <w:r w:rsidR="00BC04AF" w:rsidRPr="007A66DE">
        <w:t xml:space="preserve"> </w:t>
      </w:r>
      <w:r>
        <w:t>is used to justify</w:t>
      </w:r>
      <w:r w:rsidR="00BC04AF" w:rsidRPr="007A66DE">
        <w:t xml:space="preserve"> for the banning of </w:t>
      </w:r>
      <w:r w:rsidR="00AD6509" w:rsidRPr="007A66DE">
        <w:t>YouTube</w:t>
      </w:r>
      <w:r w:rsidR="00BC04AF" w:rsidRPr="007A66DE">
        <w:t xml:space="preserve">. </w:t>
      </w:r>
      <w:r w:rsidR="00545D2B" w:rsidRPr="007A66DE">
        <w:t xml:space="preserve">The </w:t>
      </w:r>
      <w:r w:rsidR="00AD6509" w:rsidRPr="007A66DE">
        <w:t>legal</w:t>
      </w:r>
      <w:r w:rsidR="00545D2B" w:rsidRPr="007A66DE">
        <w:t xml:space="preserve"> ban brought with the search for means of bypassing the </w:t>
      </w:r>
      <w:r w:rsidR="005875D0" w:rsidRPr="007A66DE">
        <w:t>b</w:t>
      </w:r>
      <w:r w:rsidR="00545D2B" w:rsidRPr="007A66DE">
        <w:t xml:space="preserve">an. </w:t>
      </w:r>
      <w:r w:rsidR="00AD6509" w:rsidRPr="007A66DE">
        <w:t>The DNS substitutes worked for more techno</w:t>
      </w:r>
      <w:r w:rsidR="00D16D92" w:rsidRPr="007A66DE">
        <w:t xml:space="preserve">logically savvy users whereas </w:t>
      </w:r>
      <w:r w:rsidR="00AD6509" w:rsidRPr="007A66DE">
        <w:t>site</w:t>
      </w:r>
      <w:r w:rsidR="00D16D92" w:rsidRPr="007A66DE">
        <w:t>s</w:t>
      </w:r>
      <w:r w:rsidR="00AD6509" w:rsidRPr="007A66DE">
        <w:t xml:space="preserve"> like vtunnel or ktunnel offer instant solutions. Even</w:t>
      </w:r>
      <w:r w:rsidR="00545D2B" w:rsidRPr="007A66DE">
        <w:t xml:space="preserve"> the Prime Mi</w:t>
      </w:r>
      <w:r w:rsidR="007427F4" w:rsidRPr="007A66DE">
        <w:t>n</w:t>
      </w:r>
      <w:r w:rsidR="00545D2B" w:rsidRPr="007A66DE">
        <w:t>ister Recep Tayyip Erdogan states that he use</w:t>
      </w:r>
      <w:r>
        <w:t>d</w:t>
      </w:r>
      <w:r w:rsidR="00545D2B" w:rsidRPr="007A66DE">
        <w:t xml:space="preserve"> </w:t>
      </w:r>
      <w:r w:rsidR="007427F4" w:rsidRPr="007A66DE">
        <w:t>YouTube</w:t>
      </w:r>
      <w:r w:rsidR="00545D2B" w:rsidRPr="007A66DE">
        <w:t xml:space="preserve"> and asked c</w:t>
      </w:r>
      <w:r w:rsidR="007427F4" w:rsidRPr="007A66DE">
        <w:t>i</w:t>
      </w:r>
      <w:r w:rsidR="00545D2B" w:rsidRPr="007A66DE">
        <w:t>tizens to act as well.</w:t>
      </w:r>
    </w:p>
    <w:p w:rsidR="00A35328" w:rsidRDefault="00A35328" w:rsidP="009208E5">
      <w:pPr>
        <w:autoSpaceDE w:val="0"/>
        <w:autoSpaceDN w:val="0"/>
        <w:adjustRightInd w:val="0"/>
        <w:spacing w:line="480" w:lineRule="auto"/>
        <w:jc w:val="both"/>
      </w:pPr>
    </w:p>
    <w:p w:rsidR="000D06E2" w:rsidRPr="007A66DE" w:rsidRDefault="000D06E2" w:rsidP="009208E5">
      <w:pPr>
        <w:autoSpaceDE w:val="0"/>
        <w:autoSpaceDN w:val="0"/>
        <w:adjustRightInd w:val="0"/>
        <w:spacing w:line="480" w:lineRule="auto"/>
        <w:jc w:val="both"/>
      </w:pPr>
      <w:r w:rsidRPr="007A66DE">
        <w:t xml:space="preserve">According to freedom house report in 2008 </w:t>
      </w:r>
      <w:r w:rsidR="009F7E30">
        <w:t xml:space="preserve">(Freedom House, 2009) </w:t>
      </w:r>
      <w:r w:rsidR="007427F4" w:rsidRPr="007A66DE">
        <w:t>YouTube</w:t>
      </w:r>
      <w:r w:rsidRPr="007A66DE">
        <w:t xml:space="preserve"> was blocked by 11 </w:t>
      </w:r>
      <w:r w:rsidR="009F7E30">
        <w:t xml:space="preserve">separate </w:t>
      </w:r>
      <w:r w:rsidR="007427F4" w:rsidRPr="007A66DE">
        <w:t>court</w:t>
      </w:r>
      <w:r w:rsidRPr="007A66DE">
        <w:t xml:space="preserve"> orders. Two groups, the All Internet Association (TID) and the Turkish Informatics </w:t>
      </w:r>
      <w:r w:rsidR="007427F4" w:rsidRPr="007A66DE">
        <w:t>Association TBD</w:t>
      </w:r>
      <w:r w:rsidRPr="007A66DE">
        <w:t>), have brought cases to the Council of State in an effort to annul all the secondary regulations</w:t>
      </w:r>
      <w:r w:rsidR="002C7D6F" w:rsidRPr="007A66DE">
        <w:t xml:space="preserve"> </w:t>
      </w:r>
      <w:r w:rsidRPr="007A66DE">
        <w:t>drawn up on the basis of Law No. 5651 as unconstitutional. The TID has particularly faulted the</w:t>
      </w:r>
      <w:r w:rsidR="002C7D6F" w:rsidRPr="007A66DE">
        <w:t xml:space="preserve"> </w:t>
      </w:r>
      <w:r w:rsidRPr="007A66DE">
        <w:t>TIB‘s authority to issue administrative blocking orders without judicial involvement.</w:t>
      </w:r>
    </w:p>
    <w:p w:rsidR="002C7D6F" w:rsidRPr="007A66DE" w:rsidRDefault="002C7D6F" w:rsidP="009208E5">
      <w:pPr>
        <w:autoSpaceDE w:val="0"/>
        <w:autoSpaceDN w:val="0"/>
        <w:adjustRightInd w:val="0"/>
        <w:spacing w:line="480" w:lineRule="auto"/>
        <w:jc w:val="both"/>
      </w:pPr>
    </w:p>
    <w:p w:rsidR="00E62DDF" w:rsidRPr="007A66DE" w:rsidRDefault="009F7E30" w:rsidP="009208E5">
      <w:pPr>
        <w:spacing w:line="480" w:lineRule="auto"/>
        <w:jc w:val="both"/>
      </w:pPr>
      <w:r>
        <w:t>In this regulatory framework th</w:t>
      </w:r>
      <w:r w:rsidR="005875D0" w:rsidRPr="007A66DE">
        <w:t xml:space="preserve">e laws </w:t>
      </w:r>
      <w:r w:rsidR="007427F4" w:rsidRPr="007A66DE">
        <w:t>protecting</w:t>
      </w:r>
      <w:r w:rsidR="005875D0" w:rsidRPr="007A66DE">
        <w:t xml:space="preserve"> the </w:t>
      </w:r>
      <w:r w:rsidR="007427F4" w:rsidRPr="007A66DE">
        <w:t>state</w:t>
      </w:r>
      <w:r w:rsidR="005875D0" w:rsidRPr="007A66DE">
        <w:t xml:space="preserve"> and </w:t>
      </w:r>
      <w:r w:rsidR="007427F4" w:rsidRPr="007A66DE">
        <w:t>protecting</w:t>
      </w:r>
      <w:r w:rsidR="005875D0" w:rsidRPr="007A66DE">
        <w:t xml:space="preserve"> </w:t>
      </w:r>
      <w:r w:rsidR="007427F4" w:rsidRPr="007A66DE">
        <w:t>citizens’</w:t>
      </w:r>
      <w:r w:rsidR="005875D0" w:rsidRPr="007A66DE">
        <w:t xml:space="preserve"> right to information </w:t>
      </w:r>
      <w:r w:rsidR="007427F4" w:rsidRPr="007A66DE">
        <w:t>clash</w:t>
      </w:r>
      <w:r>
        <w:t>ed</w:t>
      </w:r>
      <w:r w:rsidR="005875D0" w:rsidRPr="007A66DE">
        <w:t xml:space="preserve">. </w:t>
      </w:r>
      <w:r w:rsidR="00623185" w:rsidRPr="007A66DE">
        <w:t xml:space="preserve">At this point the NGS regarding internet communication in Turkey appealed the ban through Human Rights Tribunal in Europe. </w:t>
      </w:r>
      <w:r w:rsidR="005875D0" w:rsidRPr="007A66DE">
        <w:t>The court</w:t>
      </w:r>
      <w:r>
        <w:t>'</w:t>
      </w:r>
      <w:r w:rsidR="005875D0" w:rsidRPr="007A66DE">
        <w:t>s decision w</w:t>
      </w:r>
      <w:r>
        <w:t>ould</w:t>
      </w:r>
      <w:r w:rsidR="005875D0" w:rsidRPr="007A66DE">
        <w:t xml:space="preserve"> be </w:t>
      </w:r>
      <w:r w:rsidR="00623185" w:rsidRPr="007A66DE">
        <w:t>binding</w:t>
      </w:r>
      <w:r w:rsidR="005875D0" w:rsidRPr="007A66DE">
        <w:t xml:space="preserve"> </w:t>
      </w:r>
      <w:r w:rsidR="00D16D92" w:rsidRPr="007A66DE">
        <w:t>a</w:t>
      </w:r>
      <w:r w:rsidR="005875D0" w:rsidRPr="007A66DE">
        <w:t xml:space="preserve">s Turkey is a signatory to the agreement that </w:t>
      </w:r>
      <w:r w:rsidR="00623185" w:rsidRPr="007A66DE">
        <w:t>established</w:t>
      </w:r>
      <w:r w:rsidR="005875D0" w:rsidRPr="007A66DE">
        <w:t xml:space="preserve"> the court. </w:t>
      </w:r>
      <w:r>
        <w:t>Until the lifting of the ban in 2010,</w:t>
      </w:r>
      <w:r w:rsidR="00142E34" w:rsidRPr="007A66DE">
        <w:t xml:space="preserve"> </w:t>
      </w:r>
      <w:r w:rsidR="00623185" w:rsidRPr="007A66DE">
        <w:t>millions</w:t>
      </w:r>
      <w:r w:rsidR="00142E34" w:rsidRPr="007A66DE">
        <w:t xml:space="preserve"> of </w:t>
      </w:r>
      <w:r w:rsidR="00623185" w:rsidRPr="007A66DE">
        <w:t>YouTube</w:t>
      </w:r>
      <w:r w:rsidR="00142E34" w:rsidRPr="007A66DE">
        <w:t xml:space="preserve"> users in Turkey </w:t>
      </w:r>
      <w:r>
        <w:t>we</w:t>
      </w:r>
      <w:r w:rsidR="00142E34" w:rsidRPr="007A66DE">
        <w:t xml:space="preserve">re </w:t>
      </w:r>
      <w:r>
        <w:t xml:space="preserve">daily </w:t>
      </w:r>
      <w:r w:rsidR="00142E34" w:rsidRPr="007A66DE">
        <w:t>committing a crime.</w:t>
      </w:r>
      <w:r w:rsidR="00070E2B">
        <w:t xml:space="preserve"> </w:t>
      </w:r>
      <w:r w:rsidR="00142E34" w:rsidRPr="007A66DE">
        <w:t xml:space="preserve">The </w:t>
      </w:r>
      <w:r w:rsidR="00142E34" w:rsidRPr="007A66DE">
        <w:rPr>
          <w:i/>
        </w:rPr>
        <w:t>e</w:t>
      </w:r>
      <w:r w:rsidR="00365392" w:rsidRPr="007A66DE">
        <w:rPr>
          <w:i/>
        </w:rPr>
        <w:t>thical</w:t>
      </w:r>
      <w:r w:rsidR="00BC67CB" w:rsidRPr="007A66DE">
        <w:t xml:space="preserve"> </w:t>
      </w:r>
      <w:r w:rsidR="00623185" w:rsidRPr="007A66DE">
        <w:t>aspect of the ban enters</w:t>
      </w:r>
      <w:r w:rsidR="00142E34" w:rsidRPr="007A66DE">
        <w:t xml:space="preserve"> as </w:t>
      </w:r>
      <w:r w:rsidR="00BC67CB" w:rsidRPr="007A66DE">
        <w:t xml:space="preserve">everyone is a criminal now because we all </w:t>
      </w:r>
      <w:proofErr w:type="gramStart"/>
      <w:r w:rsidR="00BC67CB" w:rsidRPr="007A66DE">
        <w:t>bypass</w:t>
      </w:r>
      <w:proofErr w:type="gramEnd"/>
      <w:r w:rsidR="00365392" w:rsidRPr="007A66DE">
        <w:t xml:space="preserve"> the legal blocks</w:t>
      </w:r>
      <w:r w:rsidR="00142E34" w:rsidRPr="007A66DE">
        <w:t>. This attitude erode</w:t>
      </w:r>
      <w:r w:rsidR="00070E2B">
        <w:t>d</w:t>
      </w:r>
      <w:r w:rsidR="00142E34" w:rsidRPr="007A66DE">
        <w:t xml:space="preserve"> citizen state relationship as the </w:t>
      </w:r>
      <w:r w:rsidR="00623185" w:rsidRPr="007A66DE">
        <w:t>government</w:t>
      </w:r>
      <w:r w:rsidR="00142E34" w:rsidRPr="007A66DE">
        <w:t xml:space="preserve"> </w:t>
      </w:r>
      <w:r w:rsidR="00142E34" w:rsidRPr="007A66DE">
        <w:lastRenderedPageBreak/>
        <w:t xml:space="preserve">acts to protect </w:t>
      </w:r>
      <w:r w:rsidR="00623185" w:rsidRPr="007A66DE">
        <w:t>citizens’</w:t>
      </w:r>
      <w:r w:rsidR="00142E34" w:rsidRPr="007A66DE">
        <w:t xml:space="preserve"> </w:t>
      </w:r>
      <w:r w:rsidR="00623185" w:rsidRPr="007A66DE">
        <w:t>interests</w:t>
      </w:r>
      <w:r w:rsidR="00142E34" w:rsidRPr="007A66DE">
        <w:t xml:space="preserve"> but tats them as </w:t>
      </w:r>
      <w:r w:rsidR="00623185" w:rsidRPr="007A66DE">
        <w:t>children</w:t>
      </w:r>
      <w:r w:rsidR="00142E34" w:rsidRPr="007A66DE">
        <w:t xml:space="preserve"> who </w:t>
      </w:r>
      <w:r w:rsidR="00070E2B">
        <w:t>could not</w:t>
      </w:r>
      <w:r w:rsidR="00142E34" w:rsidRPr="007A66DE">
        <w:t xml:space="preserve"> </w:t>
      </w:r>
      <w:r w:rsidR="00623185" w:rsidRPr="007A66DE">
        <w:t>protect</w:t>
      </w:r>
      <w:r w:rsidR="00142E34" w:rsidRPr="007A66DE">
        <w:t xml:space="preserve"> themselves from web propaganda.</w:t>
      </w:r>
    </w:p>
    <w:p w:rsidR="002635CF" w:rsidRDefault="002635CF" w:rsidP="009208E5">
      <w:pPr>
        <w:spacing w:line="480" w:lineRule="auto"/>
        <w:jc w:val="both"/>
      </w:pPr>
    </w:p>
    <w:p w:rsidR="00142E34" w:rsidRDefault="00142E34" w:rsidP="009208E5">
      <w:pPr>
        <w:spacing w:line="480" w:lineRule="auto"/>
        <w:jc w:val="both"/>
      </w:pPr>
      <w:r w:rsidRPr="007A66DE">
        <w:t xml:space="preserve">On the </w:t>
      </w:r>
      <w:r w:rsidRPr="007A66DE">
        <w:rPr>
          <w:i/>
        </w:rPr>
        <w:t>p</w:t>
      </w:r>
      <w:r w:rsidR="00450EB2" w:rsidRPr="007A66DE">
        <w:rPr>
          <w:i/>
        </w:rPr>
        <w:t>olitical</w:t>
      </w:r>
      <w:r w:rsidR="00450EB2" w:rsidRPr="007A66DE">
        <w:t xml:space="preserve"> </w:t>
      </w:r>
      <w:r w:rsidRPr="007A66DE">
        <w:t xml:space="preserve">aspect as </w:t>
      </w:r>
      <w:r w:rsidR="00623185" w:rsidRPr="007A66DE">
        <w:t>YouTube</w:t>
      </w:r>
      <w:r w:rsidRPr="007A66DE">
        <w:t xml:space="preserve"> ban happ</w:t>
      </w:r>
      <w:r w:rsidR="00394D53" w:rsidRPr="007A66DE">
        <w:t>e</w:t>
      </w:r>
      <w:r w:rsidRPr="007A66DE">
        <w:t xml:space="preserve">ned at a stage where citizens were </w:t>
      </w:r>
      <w:r w:rsidR="00623185" w:rsidRPr="007A66DE">
        <w:t>uploading</w:t>
      </w:r>
      <w:r w:rsidRPr="007A66DE">
        <w:t xml:space="preserve"> critical videos of the government now </w:t>
      </w:r>
      <w:r w:rsidR="00450EB2" w:rsidRPr="007A66DE">
        <w:t>there cannot be political criticism on the web</w:t>
      </w:r>
      <w:r w:rsidRPr="007A66DE">
        <w:t xml:space="preserve">. The </w:t>
      </w:r>
      <w:r w:rsidR="00623185" w:rsidRPr="007A66DE">
        <w:t>government</w:t>
      </w:r>
      <w:r w:rsidRPr="007A66DE">
        <w:t xml:space="preserve"> ha</w:t>
      </w:r>
      <w:r w:rsidR="00070E2B">
        <w:t>d</w:t>
      </w:r>
      <w:r w:rsidRPr="007A66DE">
        <w:t xml:space="preserve"> been trying to change laws to create a society better </w:t>
      </w:r>
      <w:r w:rsidR="00623185" w:rsidRPr="007A66DE">
        <w:t>equipped</w:t>
      </w:r>
      <w:r w:rsidRPr="007A66DE">
        <w:t xml:space="preserve"> to enter the EU. This move, the ban, </w:t>
      </w:r>
      <w:r w:rsidR="00070E2B">
        <w:t>wa</w:t>
      </w:r>
      <w:r w:rsidRPr="007A66DE">
        <w:t>s a c</w:t>
      </w:r>
      <w:r w:rsidR="007823A7" w:rsidRPr="007A66DE">
        <w:t xml:space="preserve">ounter reaction </w:t>
      </w:r>
      <w:r w:rsidRPr="007A66DE">
        <w:t>towards this EU</w:t>
      </w:r>
      <w:r w:rsidR="007823A7" w:rsidRPr="007A66DE">
        <w:t xml:space="preserve"> process</w:t>
      </w:r>
      <w:r w:rsidR="00FA7BB8" w:rsidRPr="007A66DE">
        <w:t xml:space="preserve"> </w:t>
      </w:r>
      <w:r w:rsidRPr="007A66DE">
        <w:t xml:space="preserve">and </w:t>
      </w:r>
      <w:r w:rsidR="00623185" w:rsidRPr="007A66DE">
        <w:t>perceived</w:t>
      </w:r>
      <w:r w:rsidRPr="007A66DE">
        <w:t xml:space="preserve"> as an </w:t>
      </w:r>
      <w:r w:rsidR="00FA7BB8" w:rsidRPr="007A66DE">
        <w:t>unkept promise for a better tomorrow</w:t>
      </w:r>
      <w:r w:rsidRPr="007A66DE">
        <w:t>.</w:t>
      </w:r>
    </w:p>
    <w:p w:rsidR="00070E2B" w:rsidRPr="007A66DE" w:rsidRDefault="00070E2B" w:rsidP="009208E5">
      <w:pPr>
        <w:spacing w:line="480" w:lineRule="auto"/>
        <w:jc w:val="both"/>
      </w:pPr>
    </w:p>
    <w:p w:rsidR="00293A1E" w:rsidRPr="007A66DE" w:rsidRDefault="00142E34" w:rsidP="00C968BB">
      <w:pPr>
        <w:spacing w:line="480" w:lineRule="auto"/>
        <w:jc w:val="both"/>
      </w:pPr>
      <w:r w:rsidRPr="007A66DE">
        <w:t xml:space="preserve">When we look at Turkish </w:t>
      </w:r>
      <w:r w:rsidR="00623185" w:rsidRPr="007A66DE">
        <w:t>government</w:t>
      </w:r>
      <w:r w:rsidRPr="007A66DE">
        <w:t xml:space="preserve"> </w:t>
      </w:r>
      <w:r w:rsidR="0021680F" w:rsidRPr="007A66DE">
        <w:t xml:space="preserve">EU negotiation process </w:t>
      </w:r>
      <w:r w:rsidRPr="007A66DE">
        <w:t xml:space="preserve">the </w:t>
      </w:r>
      <w:r w:rsidR="00623185" w:rsidRPr="007A66DE">
        <w:t>promises</w:t>
      </w:r>
      <w:r w:rsidRPr="007A66DE">
        <w:t xml:space="preserve"> made on the </w:t>
      </w:r>
      <w:r w:rsidR="0021680F" w:rsidRPr="007A66DE">
        <w:t>chapter on freedom of expression</w:t>
      </w:r>
      <w:r w:rsidRPr="007A66DE">
        <w:t xml:space="preserve"> </w:t>
      </w:r>
      <w:r w:rsidR="00070E2B">
        <w:t>wa</w:t>
      </w:r>
      <w:r w:rsidRPr="007A66DE">
        <w:t>s as follows.</w:t>
      </w:r>
      <w:r w:rsidR="00C968BB">
        <w:t xml:space="preserve"> </w:t>
      </w:r>
      <w:r w:rsidR="00293A1E" w:rsidRPr="007A66DE">
        <w:t xml:space="preserve">Explicitly the aim made to create a </w:t>
      </w:r>
      <w:r w:rsidR="00293A1E" w:rsidRPr="007A66DE">
        <w:rPr>
          <w:i/>
        </w:rPr>
        <w:t>Law on Control of Certain Crimes Committed in the Internet Media</w:t>
      </w:r>
      <w:r w:rsidR="00293A1E" w:rsidRPr="007A66DE">
        <w:t xml:space="preserve"> which aims at “controlling certain crimes committed in the internet media on the basis of content, place and access providers.”</w:t>
      </w:r>
      <w:r w:rsidR="00070E2B">
        <w:t xml:space="preserve"> Ironically the AKP government and promised for more expression through media but also used the means to prevent citizens from doing so.</w:t>
      </w:r>
      <w:r w:rsidR="001547D2">
        <w:t xml:space="preserve"> In an attempt to justify their position as valid, the government</w:t>
      </w:r>
      <w:r w:rsidR="00B264FD">
        <w:t xml:space="preserve"> employees used the state's need for law and order perspective.</w:t>
      </w:r>
    </w:p>
    <w:p w:rsidR="007F22A9" w:rsidRDefault="007F22A9" w:rsidP="009208E5">
      <w:pPr>
        <w:spacing w:line="480" w:lineRule="auto"/>
        <w:jc w:val="both"/>
      </w:pPr>
    </w:p>
    <w:p w:rsidR="00E62733" w:rsidRPr="008F5583" w:rsidRDefault="00E62733" w:rsidP="009208E5">
      <w:pPr>
        <w:spacing w:line="480" w:lineRule="auto"/>
        <w:jc w:val="both"/>
        <w:rPr>
          <w:b/>
        </w:rPr>
      </w:pPr>
      <w:r w:rsidRPr="008F5583">
        <w:rPr>
          <w:b/>
        </w:rPr>
        <w:t>The discourse of the debate:</w:t>
      </w:r>
      <w:r w:rsidR="008F5583" w:rsidRPr="008F5583">
        <w:rPr>
          <w:b/>
        </w:rPr>
        <w:t xml:space="preserve"> </w:t>
      </w:r>
      <w:r w:rsidRPr="008F5583">
        <w:rPr>
          <w:b/>
        </w:rPr>
        <w:t>An analysis of two perspectives</w:t>
      </w:r>
    </w:p>
    <w:p w:rsidR="00E62733" w:rsidRPr="007A66DE" w:rsidRDefault="008F5583" w:rsidP="009208E5">
      <w:pPr>
        <w:spacing w:line="480" w:lineRule="auto"/>
        <w:jc w:val="both"/>
      </w:pPr>
      <w:r w:rsidRPr="00335BB6">
        <w:rPr>
          <w:b/>
          <w:u w:val="single"/>
        </w:rPr>
        <w:t>a-</w:t>
      </w:r>
      <w:r w:rsidR="007F22A9">
        <w:rPr>
          <w:b/>
          <w:u w:val="single"/>
        </w:rPr>
        <w:t xml:space="preserve"> </w:t>
      </w:r>
      <w:r w:rsidR="00E62733" w:rsidRPr="00335BB6">
        <w:rPr>
          <w:b/>
          <w:u w:val="single"/>
        </w:rPr>
        <w:t xml:space="preserve">The state and law </w:t>
      </w:r>
      <w:r w:rsidR="00335BB6" w:rsidRPr="00335BB6">
        <w:rPr>
          <w:b/>
          <w:u w:val="single"/>
        </w:rPr>
        <w:t>Perspective</w:t>
      </w:r>
      <w:r w:rsidR="00335BB6">
        <w:t xml:space="preserve"> </w:t>
      </w:r>
    </w:p>
    <w:p w:rsidR="00E62733" w:rsidRPr="007A66DE" w:rsidRDefault="00E62733" w:rsidP="009208E5">
      <w:pPr>
        <w:spacing w:line="480" w:lineRule="auto"/>
        <w:jc w:val="both"/>
      </w:pPr>
      <w:r w:rsidRPr="007A66DE">
        <w:t xml:space="preserve">The public prosecutor </w:t>
      </w:r>
      <w:proofErr w:type="spellStart"/>
      <w:r w:rsidRPr="007A66DE">
        <w:t>Kursat</w:t>
      </w:r>
      <w:proofErr w:type="spellEnd"/>
      <w:r w:rsidRPr="007A66DE">
        <w:t xml:space="preserve"> </w:t>
      </w:r>
      <w:proofErr w:type="spellStart"/>
      <w:r w:rsidRPr="007A66DE">
        <w:t>Kayral</w:t>
      </w:r>
      <w:proofErr w:type="spellEnd"/>
      <w:r w:rsidRPr="007A66DE">
        <w:t xml:space="preserve"> a judge Yusuf </w:t>
      </w:r>
      <w:proofErr w:type="spellStart"/>
      <w:r w:rsidRPr="007A66DE">
        <w:t>Ziya</w:t>
      </w:r>
      <w:proofErr w:type="spellEnd"/>
      <w:r w:rsidRPr="007A66DE">
        <w:t xml:space="preserve"> </w:t>
      </w:r>
      <w:proofErr w:type="spellStart"/>
      <w:r w:rsidR="008F5583">
        <w:t>A</w:t>
      </w:r>
      <w:r w:rsidRPr="007A66DE">
        <w:t>rican</w:t>
      </w:r>
      <w:proofErr w:type="spellEnd"/>
      <w:r w:rsidRPr="007A66DE">
        <w:t xml:space="preserve"> </w:t>
      </w:r>
      <w:r w:rsidR="00B264FD">
        <w:t>we</w:t>
      </w:r>
      <w:r w:rsidR="008F5583">
        <w:t xml:space="preserve">re responsible for the ban. </w:t>
      </w:r>
      <w:r w:rsidR="00B264FD">
        <w:t xml:space="preserve">This is an extremely odd couple as </w:t>
      </w:r>
      <w:proofErr w:type="spellStart"/>
      <w:r w:rsidR="00B264FD">
        <w:t>Kayral's</w:t>
      </w:r>
      <w:proofErr w:type="spellEnd"/>
      <w:r w:rsidR="00B264FD">
        <w:t xml:space="preserve"> former cases involved conservative and ideological choices (Cases against LGBT groups, against left wing publications</w:t>
      </w:r>
      <w:r w:rsidR="00B705BE">
        <w:t xml:space="preserve"> see </w:t>
      </w:r>
      <w:proofErr w:type="spellStart"/>
      <w:r w:rsidR="00B705BE">
        <w:t>Gusten</w:t>
      </w:r>
      <w:proofErr w:type="spellEnd"/>
      <w:r w:rsidR="00B705BE">
        <w:t xml:space="preserve">, </w:t>
      </w:r>
      <w:r w:rsidR="00B705BE">
        <w:lastRenderedPageBreak/>
        <w:t>2010</w:t>
      </w:r>
      <w:r w:rsidR="00B264FD">
        <w:t xml:space="preserve">). </w:t>
      </w:r>
      <w:proofErr w:type="spellStart"/>
      <w:r w:rsidR="00B264FD">
        <w:t>Arican</w:t>
      </w:r>
      <w:proofErr w:type="spellEnd"/>
      <w:r w:rsidR="00B264FD">
        <w:t xml:space="preserve"> is a fugitive from justice as of 2018 accused of manipulating justice as per orders from Gulenist organization</w:t>
      </w:r>
      <w:r w:rsidR="00B705BE">
        <w:t xml:space="preserve"> ("</w:t>
      </w:r>
      <w:proofErr w:type="spellStart"/>
      <w:r w:rsidR="00B705BE" w:rsidRPr="00B705BE">
        <w:t>Firari</w:t>
      </w:r>
      <w:proofErr w:type="spellEnd"/>
      <w:r w:rsidR="00B705BE" w:rsidRPr="00B705BE">
        <w:t xml:space="preserve"> </w:t>
      </w:r>
      <w:proofErr w:type="spellStart"/>
      <w:r w:rsidR="00B705BE" w:rsidRPr="00B705BE">
        <w:t>eski</w:t>
      </w:r>
      <w:proofErr w:type="spellEnd"/>
      <w:r w:rsidR="00B705BE" w:rsidRPr="00B705BE">
        <w:t xml:space="preserve"> </w:t>
      </w:r>
      <w:proofErr w:type="spellStart"/>
      <w:r w:rsidR="00B705BE" w:rsidRPr="00B705BE">
        <w:t>Yargıtay</w:t>
      </w:r>
      <w:proofErr w:type="spellEnd"/>
      <w:r w:rsidR="00B705BE" w:rsidRPr="00B705BE">
        <w:t xml:space="preserve"> </w:t>
      </w:r>
      <w:proofErr w:type="spellStart"/>
      <w:r w:rsidR="00B705BE" w:rsidRPr="00B705BE">
        <w:t>üyeleri</w:t>
      </w:r>
      <w:proofErr w:type="spellEnd"/>
      <w:r w:rsidR="00B705BE" w:rsidRPr="00B705BE">
        <w:t xml:space="preserve"> her </w:t>
      </w:r>
      <w:proofErr w:type="spellStart"/>
      <w:r w:rsidR="00B705BE" w:rsidRPr="00B705BE">
        <w:t>yerde</w:t>
      </w:r>
      <w:proofErr w:type="spellEnd"/>
      <w:r w:rsidR="00B705BE" w:rsidRPr="00B705BE">
        <w:t xml:space="preserve"> </w:t>
      </w:r>
      <w:proofErr w:type="spellStart"/>
      <w:r w:rsidR="00B705BE" w:rsidRPr="00B705BE">
        <w:t>aranıyor</w:t>
      </w:r>
      <w:proofErr w:type="spellEnd"/>
      <w:r w:rsidR="00B705BE">
        <w:t>")</w:t>
      </w:r>
      <w:r w:rsidR="00B264FD">
        <w:t xml:space="preserve">.  </w:t>
      </w:r>
      <w:r w:rsidR="008F5583">
        <w:t>In a length television</w:t>
      </w:r>
      <w:r w:rsidR="00335BB6">
        <w:t xml:space="preserve"> </w:t>
      </w:r>
      <w:r w:rsidR="008F5583">
        <w:t xml:space="preserve">interview </w:t>
      </w:r>
      <w:r w:rsidR="00B264FD" w:rsidRPr="007A66DE">
        <w:t>(23.06.20</w:t>
      </w:r>
      <w:r w:rsidR="00B264FD">
        <w:t>0</w:t>
      </w:r>
      <w:r w:rsidR="00B264FD" w:rsidRPr="007A66DE">
        <w:t xml:space="preserve">8 </w:t>
      </w:r>
      <w:r w:rsidR="00B264FD">
        <w:t>NTV</w:t>
      </w:r>
      <w:r w:rsidR="00B264FD" w:rsidRPr="007A66DE">
        <w:t xml:space="preserve"> interview)</w:t>
      </w:r>
      <w:r w:rsidR="00B264FD">
        <w:t xml:space="preserve"> </w:t>
      </w:r>
      <w:r w:rsidR="008F5583">
        <w:t>they presented their perspective as a necessary evil to protect citizens’ rights. The duo</w:t>
      </w:r>
      <w:r w:rsidRPr="007A66DE">
        <w:t xml:space="preserve"> complain</w:t>
      </w:r>
      <w:r w:rsidR="00FC0200">
        <w:t>ed</w:t>
      </w:r>
      <w:r w:rsidRPr="007A66DE">
        <w:t xml:space="preserve"> </w:t>
      </w:r>
      <w:r w:rsidR="008F5583">
        <w:t xml:space="preserve">that </w:t>
      </w:r>
      <w:r w:rsidRPr="007A66DE">
        <w:t xml:space="preserve">they are </w:t>
      </w:r>
      <w:r w:rsidR="008F5583">
        <w:t xml:space="preserve">also </w:t>
      </w:r>
      <w:r w:rsidRPr="007A66DE">
        <w:t>victim</w:t>
      </w:r>
      <w:r w:rsidR="008F5583">
        <w:t>s</w:t>
      </w:r>
      <w:r w:rsidRPr="007A66DE">
        <w:t xml:space="preserve"> </w:t>
      </w:r>
      <w:r w:rsidR="008F5583">
        <w:t xml:space="preserve">of the ban </w:t>
      </w:r>
      <w:r w:rsidRPr="007A66DE">
        <w:t>as there are nearly 100</w:t>
      </w:r>
      <w:r w:rsidR="008F5583">
        <w:t>.</w:t>
      </w:r>
      <w:r w:rsidRPr="007A66DE">
        <w:t>000 sites against them</w:t>
      </w:r>
      <w:r w:rsidR="008F5583">
        <w:t xml:space="preserve"> on the web</w:t>
      </w:r>
      <w:r w:rsidRPr="007A66DE">
        <w:t xml:space="preserve">. </w:t>
      </w:r>
      <w:proofErr w:type="spellStart"/>
      <w:r w:rsidR="008F5583">
        <w:t>Kayral</w:t>
      </w:r>
      <w:proofErr w:type="spellEnd"/>
      <w:r w:rsidR="008F5583">
        <w:t xml:space="preserve"> complain</w:t>
      </w:r>
      <w:r w:rsidR="00FC0200">
        <w:t>ed</w:t>
      </w:r>
      <w:r w:rsidR="008F5583">
        <w:t xml:space="preserve"> that he </w:t>
      </w:r>
      <w:proofErr w:type="spellStart"/>
      <w:r w:rsidR="00FC0200">
        <w:t>was</w:t>
      </w:r>
      <w:r w:rsidR="008F5583">
        <w:t>s</w:t>
      </w:r>
      <w:proofErr w:type="spellEnd"/>
      <w:r w:rsidR="008F5583">
        <w:t xml:space="preserve"> not</w:t>
      </w:r>
      <w:r w:rsidRPr="007A66DE">
        <w:t xml:space="preserve"> </w:t>
      </w:r>
      <w:r w:rsidR="008F5583">
        <w:t>able</w:t>
      </w:r>
      <w:r w:rsidR="008E0994">
        <w:t xml:space="preserve"> </w:t>
      </w:r>
      <w:r w:rsidR="008F5583">
        <w:t xml:space="preserve">to </w:t>
      </w:r>
      <w:r w:rsidRPr="007A66DE">
        <w:t>watch plane video</w:t>
      </w:r>
      <w:r w:rsidR="008F5583">
        <w:t>s (his hobby)</w:t>
      </w:r>
      <w:r w:rsidRPr="007A66DE">
        <w:t xml:space="preserve"> and judge </w:t>
      </w:r>
      <w:proofErr w:type="spellStart"/>
      <w:r w:rsidR="008F5583">
        <w:t>Arican</w:t>
      </w:r>
      <w:proofErr w:type="spellEnd"/>
      <w:r w:rsidR="008F5583">
        <w:t xml:space="preserve"> </w:t>
      </w:r>
      <w:r w:rsidRPr="007A66DE">
        <w:t>ha</w:t>
      </w:r>
      <w:r w:rsidR="00FC0200">
        <w:t>d</w:t>
      </w:r>
      <w:r w:rsidRPr="007A66DE">
        <w:t xml:space="preserve"> problems with his daughter at home. </w:t>
      </w:r>
      <w:r w:rsidR="008F5583">
        <w:t>The couple base</w:t>
      </w:r>
      <w:r w:rsidR="00FC0200">
        <w:t>d</w:t>
      </w:r>
      <w:r w:rsidR="008F5583">
        <w:t xml:space="preserve"> their verdict on the current </w:t>
      </w:r>
      <w:r w:rsidRPr="007A66DE">
        <w:t>Inte</w:t>
      </w:r>
      <w:r w:rsidR="008F5583">
        <w:t>r</w:t>
      </w:r>
      <w:r w:rsidRPr="007A66DE">
        <w:t>n</w:t>
      </w:r>
      <w:r w:rsidR="008F5583">
        <w:t>e</w:t>
      </w:r>
      <w:r w:rsidRPr="007A66DE">
        <w:t>t law (Inte</w:t>
      </w:r>
      <w:r w:rsidR="008F5583">
        <w:t>r</w:t>
      </w:r>
      <w:r w:rsidRPr="007A66DE">
        <w:t xml:space="preserve">net </w:t>
      </w:r>
      <w:proofErr w:type="spellStart"/>
      <w:r w:rsidR="008F5583">
        <w:t>Y</w:t>
      </w:r>
      <w:r w:rsidRPr="007A66DE">
        <w:t>asasi</w:t>
      </w:r>
      <w:proofErr w:type="spellEnd"/>
      <w:r w:rsidRPr="007A66DE">
        <w:t>)</w:t>
      </w:r>
      <w:r w:rsidR="008F5583">
        <w:t xml:space="preserve"> and </w:t>
      </w:r>
      <w:r w:rsidRPr="007A66DE">
        <w:t xml:space="preserve">protection of personal information </w:t>
      </w:r>
      <w:r w:rsidR="008F5583">
        <w:t xml:space="preserve">law </w:t>
      </w:r>
      <w:r w:rsidRPr="007A66DE">
        <w:t>(</w:t>
      </w:r>
      <w:proofErr w:type="spellStart"/>
      <w:r w:rsidRPr="007A66DE">
        <w:t>Kisi</w:t>
      </w:r>
      <w:r w:rsidR="008F5583">
        <w:t>s</w:t>
      </w:r>
      <w:r w:rsidRPr="007A66DE">
        <w:t>el</w:t>
      </w:r>
      <w:proofErr w:type="spellEnd"/>
      <w:r w:rsidRPr="007A66DE">
        <w:t xml:space="preserve"> </w:t>
      </w:r>
      <w:proofErr w:type="spellStart"/>
      <w:r w:rsidRPr="007A66DE">
        <w:t>verilerin</w:t>
      </w:r>
      <w:proofErr w:type="spellEnd"/>
      <w:r w:rsidRPr="007A66DE">
        <w:t xml:space="preserve"> </w:t>
      </w:r>
      <w:proofErr w:type="spellStart"/>
      <w:r w:rsidRPr="007A66DE">
        <w:t>Korunmasi</w:t>
      </w:r>
      <w:proofErr w:type="spellEnd"/>
      <w:r w:rsidRPr="007A66DE">
        <w:t xml:space="preserve"> </w:t>
      </w:r>
      <w:proofErr w:type="spellStart"/>
      <w:r w:rsidRPr="007A66DE">
        <w:t>hakkindaki</w:t>
      </w:r>
      <w:proofErr w:type="spellEnd"/>
      <w:r w:rsidRPr="007A66DE">
        <w:t xml:space="preserve"> </w:t>
      </w:r>
      <w:proofErr w:type="spellStart"/>
      <w:r w:rsidRPr="007A66DE">
        <w:t>kanun</w:t>
      </w:r>
      <w:proofErr w:type="spellEnd"/>
      <w:r w:rsidRPr="007A66DE">
        <w:t xml:space="preserve">) law no 5651. </w:t>
      </w:r>
      <w:r w:rsidR="008F5583">
        <w:t>This law create</w:t>
      </w:r>
      <w:r w:rsidR="00FC0200">
        <w:t>d</w:t>
      </w:r>
      <w:r w:rsidR="008F5583">
        <w:t xml:space="preserve"> a ca</w:t>
      </w:r>
      <w:r w:rsidRPr="007A66DE">
        <w:t>t</w:t>
      </w:r>
      <w:r w:rsidR="008F5583">
        <w:t>e</w:t>
      </w:r>
      <w:r w:rsidRPr="007A66DE">
        <w:t>gor</w:t>
      </w:r>
      <w:r w:rsidR="008F5583">
        <w:t xml:space="preserve">y called </w:t>
      </w:r>
      <w:r w:rsidRPr="008F5583">
        <w:rPr>
          <w:i/>
        </w:rPr>
        <w:t>internet crime</w:t>
      </w:r>
      <w:r w:rsidRPr="007A66DE">
        <w:t xml:space="preserve"> and li</w:t>
      </w:r>
      <w:r w:rsidR="008F5583">
        <w:t>s</w:t>
      </w:r>
      <w:r w:rsidRPr="007A66DE">
        <w:t>t</w:t>
      </w:r>
      <w:r w:rsidR="00FC0200">
        <w:t>ed</w:t>
      </w:r>
      <w:r w:rsidRPr="007A66DE">
        <w:t xml:space="preserve"> </w:t>
      </w:r>
      <w:r w:rsidR="00FC0200">
        <w:t>nine</w:t>
      </w:r>
      <w:r w:rsidRPr="007A66DE">
        <w:t xml:space="preserve"> of them: attack on Ataturk, </w:t>
      </w:r>
      <w:r w:rsidR="008F5583">
        <w:t>on</w:t>
      </w:r>
      <w:r w:rsidRPr="007A66DE">
        <w:t xml:space="preserve"> Turkish flag, </w:t>
      </w:r>
      <w:r w:rsidR="008F5583">
        <w:t>on a</w:t>
      </w:r>
      <w:r w:rsidRPr="007A66DE">
        <w:t>r</w:t>
      </w:r>
      <w:r w:rsidR="008F5583">
        <w:t>me</w:t>
      </w:r>
      <w:r w:rsidRPr="007A66DE">
        <w:t xml:space="preserve">d forces, </w:t>
      </w:r>
      <w:r w:rsidR="008F5583">
        <w:t xml:space="preserve">on </w:t>
      </w:r>
      <w:r w:rsidRPr="007A66DE">
        <w:t>religion, suicide encouragement, pedophilia, drug use, prostitution, gambling, pornography. This law also use</w:t>
      </w:r>
      <w:r w:rsidR="00FC0200">
        <w:t>d</w:t>
      </w:r>
      <w:r w:rsidRPr="007A66DE">
        <w:t xml:space="preserve"> the phrase </w:t>
      </w:r>
      <w:r w:rsidRPr="008F5583">
        <w:rPr>
          <w:i/>
        </w:rPr>
        <w:t>prevent</w:t>
      </w:r>
      <w:r w:rsidRPr="007A66DE">
        <w:t xml:space="preserve"> the videos from viewing with</w:t>
      </w:r>
      <w:r w:rsidR="008F5583">
        <w:t>o</w:t>
      </w:r>
      <w:r w:rsidRPr="007A66DE">
        <w:t>ut clearly defining how and where</w:t>
      </w:r>
      <w:r w:rsidR="008F5583">
        <w:t xml:space="preserve"> to prevent</w:t>
      </w:r>
      <w:r w:rsidRPr="007A66DE">
        <w:t xml:space="preserve">. As it </w:t>
      </w:r>
      <w:r w:rsidR="00FC0200">
        <w:t>wa</w:t>
      </w:r>
      <w:r w:rsidRPr="007A66DE">
        <w:t xml:space="preserve">s the law not only </w:t>
      </w:r>
      <w:r w:rsidR="008F5583">
        <w:t xml:space="preserve">it </w:t>
      </w:r>
      <w:r w:rsidR="00FC0200">
        <w:t>wa</w:t>
      </w:r>
      <w:r w:rsidR="008F5583">
        <w:t>s</w:t>
      </w:r>
      <w:r w:rsidRPr="007A66DE">
        <w:t xml:space="preserve"> applicable in </w:t>
      </w:r>
      <w:r w:rsidR="008F5583">
        <w:t>T</w:t>
      </w:r>
      <w:r w:rsidRPr="007A66DE">
        <w:t>urkey</w:t>
      </w:r>
      <w:r w:rsidR="008F5583">
        <w:t xml:space="preserve"> but encompa</w:t>
      </w:r>
      <w:r w:rsidRPr="007A66DE">
        <w:t>s</w:t>
      </w:r>
      <w:r w:rsidR="008F5583">
        <w:t>se</w:t>
      </w:r>
      <w:r w:rsidR="00FC0200">
        <w:t>d</w:t>
      </w:r>
      <w:r w:rsidRPr="007A66DE">
        <w:t xml:space="preserve"> the whole world. The attorney </w:t>
      </w:r>
      <w:r w:rsidR="008F5583">
        <w:t>use</w:t>
      </w:r>
      <w:r w:rsidR="00FC0200">
        <w:t>d</w:t>
      </w:r>
      <w:r w:rsidR="008F5583">
        <w:t xml:space="preserve"> the wor</w:t>
      </w:r>
      <w:r w:rsidRPr="007A66DE">
        <w:t>d</w:t>
      </w:r>
      <w:r w:rsidR="008F5583">
        <w:t xml:space="preserve"> that it is their dut</w:t>
      </w:r>
      <w:r w:rsidR="008E0994">
        <w:t>y to</w:t>
      </w:r>
      <w:r w:rsidRPr="007A66DE">
        <w:t xml:space="preserve"> </w:t>
      </w:r>
      <w:r w:rsidRPr="008F5583">
        <w:rPr>
          <w:i/>
        </w:rPr>
        <w:t>legally punish the criminal</w:t>
      </w:r>
      <w:r w:rsidRPr="007A66DE">
        <w:t xml:space="preserve">. </w:t>
      </w:r>
      <w:r w:rsidR="00FC0200">
        <w:t>He also</w:t>
      </w:r>
      <w:r w:rsidRPr="007A66DE">
        <w:t xml:space="preserve"> claim</w:t>
      </w:r>
      <w:r w:rsidR="00FC0200">
        <w:t>ed</w:t>
      </w:r>
      <w:r w:rsidRPr="007A66DE">
        <w:t xml:space="preserve"> </w:t>
      </w:r>
      <w:r w:rsidR="008F5583">
        <w:t>Y</w:t>
      </w:r>
      <w:r w:rsidRPr="007A66DE">
        <w:t>ou</w:t>
      </w:r>
      <w:r w:rsidR="00FC0200">
        <w:t>T</w:t>
      </w:r>
      <w:r w:rsidRPr="007A66DE">
        <w:t>ube c</w:t>
      </w:r>
      <w:r w:rsidR="00FC0200">
        <w:t>ould not</w:t>
      </w:r>
      <w:r w:rsidRPr="007A66DE">
        <w:t xml:space="preserve"> be represented in </w:t>
      </w:r>
      <w:r w:rsidR="008F5583">
        <w:t>T</w:t>
      </w:r>
      <w:r w:rsidRPr="007A66DE">
        <w:t>urkey as the co</w:t>
      </w:r>
      <w:r w:rsidR="008F5583">
        <w:t>r</w:t>
      </w:r>
      <w:r w:rsidRPr="007A66DE">
        <w:t xml:space="preserve">poration </w:t>
      </w:r>
      <w:r w:rsidR="008F5583">
        <w:t>(as they d</w:t>
      </w:r>
      <w:r w:rsidR="00FC0200">
        <w:t>id</w:t>
      </w:r>
      <w:r w:rsidR="008F5583">
        <w:t xml:space="preserve"> not want to be bound by any cou</w:t>
      </w:r>
      <w:r w:rsidR="008F5583" w:rsidRPr="007A66DE">
        <w:t>n</w:t>
      </w:r>
      <w:r w:rsidR="008F5583">
        <w:t>t</w:t>
      </w:r>
      <w:r w:rsidR="008F5583" w:rsidRPr="007A66DE">
        <w:t>ry</w:t>
      </w:r>
      <w:r w:rsidR="008F5583">
        <w:t>’</w:t>
      </w:r>
      <w:r w:rsidR="008F5583" w:rsidRPr="007A66DE">
        <w:t>s laws</w:t>
      </w:r>
      <w:r w:rsidR="008F5583">
        <w:t>) the court could not find a defendant</w:t>
      </w:r>
      <w:r w:rsidRPr="007A66DE">
        <w:t xml:space="preserve">. </w:t>
      </w:r>
      <w:r w:rsidR="008F5583">
        <w:t>T</w:t>
      </w:r>
      <w:r w:rsidRPr="007A66DE">
        <w:t>he cour</w:t>
      </w:r>
      <w:r w:rsidR="008F5583">
        <w:t>t</w:t>
      </w:r>
      <w:r w:rsidRPr="007A66DE">
        <w:t xml:space="preserve"> demanded </w:t>
      </w:r>
      <w:r w:rsidR="00FC0200">
        <w:t>Y</w:t>
      </w:r>
      <w:r w:rsidRPr="007A66DE">
        <w:t>ou</w:t>
      </w:r>
      <w:r w:rsidR="00FC0200">
        <w:t>T</w:t>
      </w:r>
      <w:r w:rsidRPr="007A66DE">
        <w:t xml:space="preserve">ube </w:t>
      </w:r>
      <w:r w:rsidR="008F5583">
        <w:t xml:space="preserve">to produce </w:t>
      </w:r>
      <w:r w:rsidRPr="007A66DE">
        <w:t>represent</w:t>
      </w:r>
      <w:r w:rsidR="008F5583">
        <w:t>ation</w:t>
      </w:r>
      <w:r w:rsidRPr="007A66DE">
        <w:t xml:space="preserve"> </w:t>
      </w:r>
      <w:r w:rsidR="008F5583">
        <w:t>through</w:t>
      </w:r>
      <w:r w:rsidRPr="007A66DE">
        <w:t xml:space="preserve"> a local law firm to deliver the </w:t>
      </w:r>
      <w:r w:rsidR="008F5583">
        <w:t>names of individuals who upload</w:t>
      </w:r>
      <w:r w:rsidRPr="007A66DE">
        <w:t>ed the videos</w:t>
      </w:r>
      <w:r w:rsidR="001F697F">
        <w:t xml:space="preserve"> in question. You</w:t>
      </w:r>
      <w:r w:rsidR="00FC0200">
        <w:t>T</w:t>
      </w:r>
      <w:r w:rsidR="001F697F">
        <w:t>ube refused on grou</w:t>
      </w:r>
      <w:r w:rsidRPr="007A66DE">
        <w:t>n</w:t>
      </w:r>
      <w:r w:rsidR="001F697F">
        <w:t>d</w:t>
      </w:r>
      <w:r w:rsidRPr="007A66DE">
        <w:t xml:space="preserve">s that </w:t>
      </w:r>
      <w:r w:rsidR="001F697F">
        <w:t>T</w:t>
      </w:r>
      <w:r w:rsidRPr="007A66DE">
        <w:t>urkey</w:t>
      </w:r>
      <w:r w:rsidR="001F697F">
        <w:t xml:space="preserve"> </w:t>
      </w:r>
      <w:r w:rsidR="00FC0200">
        <w:t>wa</w:t>
      </w:r>
      <w:r w:rsidR="001F697F">
        <w:t>s not signat</w:t>
      </w:r>
      <w:r w:rsidRPr="007A66DE">
        <w:t xml:space="preserve">ory to International Cyber </w:t>
      </w:r>
      <w:r w:rsidR="001F697F">
        <w:t>A</w:t>
      </w:r>
      <w:r w:rsidRPr="007A66DE">
        <w:t xml:space="preserve">greement and </w:t>
      </w:r>
      <w:r w:rsidR="001F697F">
        <w:t xml:space="preserve">that as a corporation they had to </w:t>
      </w:r>
      <w:r w:rsidRPr="007A66DE">
        <w:t xml:space="preserve">protect personal information of individuals. </w:t>
      </w:r>
    </w:p>
    <w:p w:rsidR="001F697F" w:rsidRDefault="001F697F" w:rsidP="009208E5">
      <w:pPr>
        <w:spacing w:line="480" w:lineRule="auto"/>
        <w:jc w:val="both"/>
      </w:pPr>
    </w:p>
    <w:p w:rsidR="007F22A9" w:rsidRDefault="00E62733" w:rsidP="009208E5">
      <w:pPr>
        <w:spacing w:line="480" w:lineRule="auto"/>
        <w:jc w:val="both"/>
      </w:pPr>
      <w:r w:rsidRPr="007A66DE">
        <w:t>Two s</w:t>
      </w:r>
      <w:r w:rsidR="001F697F">
        <w:t>e</w:t>
      </w:r>
      <w:r w:rsidRPr="007A66DE">
        <w:t>p</w:t>
      </w:r>
      <w:r w:rsidR="001F697F">
        <w:t>arate ideas are</w:t>
      </w:r>
      <w:r w:rsidRPr="007A66DE">
        <w:t xml:space="preserve"> </w:t>
      </w:r>
      <w:r w:rsidR="00FC0200">
        <w:t>conveyed through this interview</w:t>
      </w:r>
      <w:r w:rsidRPr="007A66DE">
        <w:t xml:space="preserve">: state </w:t>
      </w:r>
      <w:r w:rsidR="00FC0200">
        <w:t xml:space="preserve">used </w:t>
      </w:r>
      <w:r w:rsidR="00FC0200" w:rsidRPr="007A66DE">
        <w:t>the law</w:t>
      </w:r>
      <w:r w:rsidR="00FC0200">
        <w:t xml:space="preserve"> </w:t>
      </w:r>
      <w:r w:rsidRPr="007A66DE">
        <w:t>aiming</w:t>
      </w:r>
      <w:r w:rsidR="001F697F">
        <w:t xml:space="preserve"> </w:t>
      </w:r>
      <w:r w:rsidRPr="007A66DE">
        <w:t>to pun</w:t>
      </w:r>
      <w:r w:rsidR="001F697F">
        <w:t xml:space="preserve">ish and </w:t>
      </w:r>
      <w:r w:rsidRPr="007A66DE">
        <w:t>the company use</w:t>
      </w:r>
      <w:r w:rsidR="00FC0200">
        <w:t>d</w:t>
      </w:r>
      <w:r w:rsidRPr="007A66DE">
        <w:t xml:space="preserve"> the terms and co</w:t>
      </w:r>
      <w:r w:rsidR="001F697F">
        <w:t>n</w:t>
      </w:r>
      <w:r w:rsidRPr="007A66DE">
        <w:t>cept</w:t>
      </w:r>
      <w:r w:rsidR="00FC0200">
        <w:t>s</w:t>
      </w:r>
      <w:r w:rsidRPr="007A66DE">
        <w:t xml:space="preserve"> </w:t>
      </w:r>
      <w:r w:rsidR="001F697F">
        <w:t>s</w:t>
      </w:r>
      <w:r w:rsidRPr="007A66DE">
        <w:t>uch as indiv</w:t>
      </w:r>
      <w:r w:rsidR="001F697F">
        <w:t>id</w:t>
      </w:r>
      <w:r w:rsidRPr="007A66DE">
        <w:t>ual, rights, priva</w:t>
      </w:r>
      <w:r w:rsidR="001F697F">
        <w:t>c</w:t>
      </w:r>
      <w:r w:rsidRPr="007A66DE">
        <w:t>y</w:t>
      </w:r>
      <w:r w:rsidR="001F697F">
        <w:t>,</w:t>
      </w:r>
      <w:r w:rsidRPr="007A66DE">
        <w:t xml:space="preserve"> </w:t>
      </w:r>
      <w:r w:rsidRPr="007A66DE">
        <w:lastRenderedPageBreak/>
        <w:t>freedom of e</w:t>
      </w:r>
      <w:r w:rsidR="001F697F">
        <w:t>x</w:t>
      </w:r>
      <w:r w:rsidRPr="007A66DE">
        <w:t>pres</w:t>
      </w:r>
      <w:r w:rsidR="001F697F">
        <w:t>s</w:t>
      </w:r>
      <w:r w:rsidRPr="007A66DE">
        <w:t xml:space="preserve">ion. The judge </w:t>
      </w:r>
      <w:proofErr w:type="spellStart"/>
      <w:r w:rsidR="001F697F">
        <w:t>A</w:t>
      </w:r>
      <w:r w:rsidRPr="007A66DE">
        <w:t>rican</w:t>
      </w:r>
      <w:proofErr w:type="spellEnd"/>
      <w:r w:rsidRPr="007A66DE">
        <w:t xml:space="preserve"> c</w:t>
      </w:r>
      <w:r w:rsidR="001F697F">
        <w:t>laim</w:t>
      </w:r>
      <w:r w:rsidR="00FC0200">
        <w:t>ed</w:t>
      </w:r>
      <w:r w:rsidRPr="007A66DE">
        <w:t xml:space="preserve"> th</w:t>
      </w:r>
      <w:r w:rsidR="001F697F">
        <w:t>a</w:t>
      </w:r>
      <w:r w:rsidRPr="007A66DE">
        <w:t xml:space="preserve">t there </w:t>
      </w:r>
      <w:r w:rsidR="00FC0200">
        <w:t>wa</w:t>
      </w:r>
      <w:r w:rsidR="001F697F">
        <w:t>s no</w:t>
      </w:r>
      <w:r w:rsidRPr="007A66DE">
        <w:t xml:space="preserve"> such thing a</w:t>
      </w:r>
      <w:r w:rsidR="001F697F">
        <w:t>s</w:t>
      </w:r>
      <w:r w:rsidRPr="007A66DE">
        <w:t xml:space="preserve"> unlimited free</w:t>
      </w:r>
      <w:r w:rsidR="001F697F">
        <w:t>d</w:t>
      </w:r>
      <w:r w:rsidRPr="007A66DE">
        <w:t xml:space="preserve">om. </w:t>
      </w:r>
      <w:r w:rsidR="00FC0200">
        <w:t xml:space="preserve">He went on to </w:t>
      </w:r>
      <w:r w:rsidRPr="007A66DE">
        <w:t xml:space="preserve">claim that </w:t>
      </w:r>
      <w:r w:rsidR="001F697F">
        <w:t>C</w:t>
      </w:r>
      <w:r w:rsidRPr="007A66DE">
        <w:t>hina exercise</w:t>
      </w:r>
      <w:r w:rsidR="00FC0200">
        <w:t>d</w:t>
      </w:r>
      <w:r w:rsidRPr="007A66DE">
        <w:t xml:space="preserve"> cens</w:t>
      </w:r>
      <w:r w:rsidR="001F697F">
        <w:t>o</w:t>
      </w:r>
      <w:r w:rsidRPr="007A66DE">
        <w:t>r</w:t>
      </w:r>
      <w:r w:rsidR="008E0994">
        <w:t>s</w:t>
      </w:r>
      <w:r w:rsidRPr="007A66DE">
        <w:t>h</w:t>
      </w:r>
      <w:r w:rsidR="001F697F">
        <w:t>i</w:t>
      </w:r>
      <w:r w:rsidRPr="007A66DE">
        <w:t xml:space="preserve">p on the internet </w:t>
      </w:r>
      <w:r w:rsidR="001F697F">
        <w:t xml:space="preserve">and </w:t>
      </w:r>
      <w:r w:rsidRPr="007A66DE">
        <w:t>ha</w:t>
      </w:r>
      <w:r w:rsidR="00FC0200">
        <w:t xml:space="preserve">d </w:t>
      </w:r>
      <w:r w:rsidR="001F697F">
        <w:t>around 60.000 gove</w:t>
      </w:r>
      <w:r w:rsidRPr="007A66DE">
        <w:t>r</w:t>
      </w:r>
      <w:r w:rsidR="001F697F">
        <w:t>n</w:t>
      </w:r>
      <w:r w:rsidRPr="007A66DE">
        <w:t xml:space="preserve">ment employees </w:t>
      </w:r>
      <w:r w:rsidR="001F697F">
        <w:t xml:space="preserve">who </w:t>
      </w:r>
      <w:r w:rsidRPr="007A66DE">
        <w:t>directly w</w:t>
      </w:r>
      <w:r w:rsidR="001F697F">
        <w:t>ork</w:t>
      </w:r>
      <w:r w:rsidR="00FC0200">
        <w:t>ed</w:t>
      </w:r>
      <w:r w:rsidRPr="007A66DE">
        <w:t xml:space="preserve"> to pre</w:t>
      </w:r>
      <w:r w:rsidR="001F697F">
        <w:t>v</w:t>
      </w:r>
      <w:r w:rsidRPr="007A66DE">
        <w:t xml:space="preserve">ent </w:t>
      </w:r>
      <w:r w:rsidR="001F697F">
        <w:t>Chinese citiz</w:t>
      </w:r>
      <w:r w:rsidRPr="007A66DE">
        <w:t>en</w:t>
      </w:r>
      <w:r w:rsidR="001F697F">
        <w:t>s</w:t>
      </w:r>
      <w:r w:rsidRPr="007A66DE">
        <w:t xml:space="preserve"> from reaching web</w:t>
      </w:r>
      <w:r w:rsidR="001F697F">
        <w:t>s</w:t>
      </w:r>
      <w:r w:rsidRPr="007A66DE">
        <w:t>ites on a daily basi</w:t>
      </w:r>
      <w:r w:rsidR="001F697F">
        <w:t xml:space="preserve">s. </w:t>
      </w:r>
      <w:r w:rsidR="00FC0200">
        <w:t>he complained that i</w:t>
      </w:r>
      <w:r w:rsidR="001F697F">
        <w:t>n Turkey for a court to prevent internet access there</w:t>
      </w:r>
      <w:r w:rsidRPr="007A66DE">
        <w:t xml:space="preserve"> ha</w:t>
      </w:r>
      <w:r w:rsidR="00FC0200">
        <w:t>d</w:t>
      </w:r>
      <w:r w:rsidRPr="007A66DE">
        <w:t xml:space="preserve"> to be a c</w:t>
      </w:r>
      <w:r w:rsidR="001F697F">
        <w:t>o</w:t>
      </w:r>
      <w:r w:rsidRPr="007A66DE">
        <w:t>mplain</w:t>
      </w:r>
      <w:r w:rsidR="001F697F">
        <w:t>t</w:t>
      </w:r>
      <w:r w:rsidRPr="007A66DE">
        <w:t xml:space="preserve"> filed for prosecutors to act on </w:t>
      </w:r>
      <w:r w:rsidR="001F697F">
        <w:t xml:space="preserve">because </w:t>
      </w:r>
    </w:p>
    <w:p w:rsidR="00E62733" w:rsidRDefault="007F22A9" w:rsidP="009208E5">
      <w:pPr>
        <w:spacing w:line="480" w:lineRule="auto"/>
        <w:jc w:val="both"/>
      </w:pPr>
      <w:r>
        <w:t>the</w:t>
      </w:r>
      <w:r w:rsidR="00FC0200">
        <w:t>ir mandate prevented them f</w:t>
      </w:r>
      <w:r w:rsidR="0022134C">
        <w:t>r</w:t>
      </w:r>
      <w:r w:rsidR="00FC0200">
        <w:t xml:space="preserve">om </w:t>
      </w:r>
      <w:r w:rsidR="00E62733" w:rsidRPr="007A66DE">
        <w:t xml:space="preserve">actively </w:t>
      </w:r>
      <w:r w:rsidR="00FC0200" w:rsidRPr="007A66DE">
        <w:t>s</w:t>
      </w:r>
      <w:r w:rsidR="00FC0200">
        <w:t>e</w:t>
      </w:r>
      <w:r w:rsidR="00FC0200" w:rsidRPr="007A66DE">
        <w:t>arch</w:t>
      </w:r>
      <w:r w:rsidR="00FC0200">
        <w:t>ing</w:t>
      </w:r>
      <w:r w:rsidR="00FC0200" w:rsidRPr="007A66DE">
        <w:t xml:space="preserve"> </w:t>
      </w:r>
      <w:r w:rsidR="00E62733" w:rsidRPr="007A66DE">
        <w:t xml:space="preserve">for such illegal </w:t>
      </w:r>
      <w:r w:rsidR="001F697F">
        <w:t>s</w:t>
      </w:r>
      <w:r w:rsidR="00E62733" w:rsidRPr="007A66DE">
        <w:t xml:space="preserve">ites.  </w:t>
      </w:r>
      <w:r w:rsidR="001F697F">
        <w:br/>
      </w:r>
      <w:r w:rsidR="00E62733" w:rsidRPr="007A66DE">
        <w:t>You</w:t>
      </w:r>
      <w:r w:rsidR="0022134C">
        <w:t>Tu</w:t>
      </w:r>
      <w:r w:rsidR="00E62733" w:rsidRPr="007A66DE">
        <w:t>be respond</w:t>
      </w:r>
      <w:r w:rsidR="00FC0200">
        <w:t>ed</w:t>
      </w:r>
      <w:r w:rsidR="00E62733" w:rsidRPr="007A66DE">
        <w:t xml:space="preserve"> by blocking the conte</w:t>
      </w:r>
      <w:r w:rsidR="001F697F">
        <w:t>nt f</w:t>
      </w:r>
      <w:r w:rsidR="00E62733" w:rsidRPr="007A66DE">
        <w:t>o</w:t>
      </w:r>
      <w:r w:rsidR="001F697F">
        <w:t>r</w:t>
      </w:r>
      <w:r w:rsidR="00E62733" w:rsidRPr="007A66DE">
        <w:t xml:space="preserve"> </w:t>
      </w:r>
      <w:r w:rsidR="001F697F">
        <w:t>IP</w:t>
      </w:r>
      <w:r w:rsidR="00E62733" w:rsidRPr="007A66DE">
        <w:t xml:space="preserve">s from </w:t>
      </w:r>
      <w:r w:rsidR="00FC0200">
        <w:t>T</w:t>
      </w:r>
      <w:r w:rsidR="00E62733" w:rsidRPr="007A66DE">
        <w:t>urkey and putting a</w:t>
      </w:r>
      <w:r w:rsidR="001F697F">
        <w:t xml:space="preserve"> </w:t>
      </w:r>
      <w:r w:rsidR="00E62733" w:rsidRPr="007A66DE">
        <w:t xml:space="preserve">note </w:t>
      </w:r>
      <w:r w:rsidR="00FC0200">
        <w:t xml:space="preserve">for Turkish users </w:t>
      </w:r>
      <w:r w:rsidR="00E62733" w:rsidRPr="007A66DE">
        <w:t xml:space="preserve">on </w:t>
      </w:r>
      <w:r w:rsidR="00FC0200">
        <w:t>the site citing the ban. The judge further claimed that reaching the banned sites even from aboard would constitute a c</w:t>
      </w:r>
      <w:r w:rsidR="00E62733" w:rsidRPr="007A66DE">
        <w:t>rime again</w:t>
      </w:r>
      <w:r w:rsidR="001F697F">
        <w:t>s</w:t>
      </w:r>
      <w:r w:rsidR="00E62733" w:rsidRPr="007A66DE">
        <w:t>t</w:t>
      </w:r>
      <w:r w:rsidR="001F697F">
        <w:t xml:space="preserve"> Turkey </w:t>
      </w:r>
      <w:r w:rsidR="00FC0200">
        <w:t>per</w:t>
      </w:r>
      <w:r w:rsidR="00E62733" w:rsidRPr="007A66DE">
        <w:t xml:space="preserve"> </w:t>
      </w:r>
      <w:r w:rsidR="001F697F">
        <w:t>TCK 12-</w:t>
      </w:r>
      <w:r w:rsidR="00E62733" w:rsidRPr="007A66DE">
        <w:t>13</w:t>
      </w:r>
      <w:r w:rsidR="00FC0200">
        <w:t>. T</w:t>
      </w:r>
      <w:r w:rsidR="00E62733" w:rsidRPr="007A66DE">
        <w:t>he judge con</w:t>
      </w:r>
      <w:r w:rsidR="001F697F">
        <w:t>c</w:t>
      </w:r>
      <w:r w:rsidR="00E62733" w:rsidRPr="007A66DE">
        <w:t>lu</w:t>
      </w:r>
      <w:r w:rsidR="001F697F">
        <w:t>d</w:t>
      </w:r>
      <w:r w:rsidR="00E62733" w:rsidRPr="007A66DE">
        <w:t>e</w:t>
      </w:r>
      <w:r w:rsidR="00FC0200">
        <w:t>d</w:t>
      </w:r>
      <w:r w:rsidR="00E62733" w:rsidRPr="007A66DE">
        <w:t xml:space="preserve"> by claiming that in the </w:t>
      </w:r>
      <w:r w:rsidR="001F697F">
        <w:t>E</w:t>
      </w:r>
      <w:r w:rsidR="00E62733" w:rsidRPr="007A66DE">
        <w:t>urope</w:t>
      </w:r>
      <w:r w:rsidR="001F697F">
        <w:t>an</w:t>
      </w:r>
      <w:r w:rsidR="00E62733" w:rsidRPr="007A66DE">
        <w:t xml:space="preserve"> integration</w:t>
      </w:r>
      <w:r w:rsidR="00FC0200">
        <w:t>,</w:t>
      </w:r>
      <w:r w:rsidR="00E62733" w:rsidRPr="007A66DE">
        <w:t xml:space="preserve"> </w:t>
      </w:r>
      <w:r w:rsidR="00FC0200">
        <w:t>Turkey</w:t>
      </w:r>
      <w:r w:rsidR="00E62733" w:rsidRPr="007A66DE">
        <w:t xml:space="preserve"> </w:t>
      </w:r>
      <w:r w:rsidR="00FC0200">
        <w:t>was</w:t>
      </w:r>
      <w:r w:rsidR="00E62733" w:rsidRPr="007A66DE">
        <w:t xml:space="preserve"> at a cros</w:t>
      </w:r>
      <w:r w:rsidR="001F697F">
        <w:t>s</w:t>
      </w:r>
      <w:r w:rsidR="00E62733" w:rsidRPr="007A66DE">
        <w:t>roads where individual rights and freedoms c</w:t>
      </w:r>
      <w:r w:rsidR="001F697F">
        <w:t>o</w:t>
      </w:r>
      <w:r w:rsidR="00FC0200">
        <w:t>n</w:t>
      </w:r>
      <w:r w:rsidR="00E62733" w:rsidRPr="007A66DE">
        <w:t>fl</w:t>
      </w:r>
      <w:r w:rsidR="001F697F">
        <w:t>i</w:t>
      </w:r>
      <w:r w:rsidR="00E62733" w:rsidRPr="007A66DE">
        <w:t>ct</w:t>
      </w:r>
      <w:r w:rsidR="00FC0200">
        <w:t>ed</w:t>
      </w:r>
      <w:r w:rsidR="00E62733" w:rsidRPr="007A66DE">
        <w:t xml:space="preserve"> wi</w:t>
      </w:r>
      <w:r w:rsidR="001F697F">
        <w:t>th public se</w:t>
      </w:r>
      <w:r w:rsidR="00E62733" w:rsidRPr="007A66DE">
        <w:t>c</w:t>
      </w:r>
      <w:r w:rsidR="001F697F">
        <w:t>uri</w:t>
      </w:r>
      <w:r w:rsidR="00E62733" w:rsidRPr="007A66DE">
        <w:t>ty and state</w:t>
      </w:r>
      <w:r w:rsidR="001F697F">
        <w:t>’s</w:t>
      </w:r>
      <w:r w:rsidR="00E62733" w:rsidRPr="007A66DE">
        <w:t xml:space="preserve"> right-duty to protect it. </w:t>
      </w:r>
    </w:p>
    <w:p w:rsidR="00FC0200" w:rsidRPr="007A66DE" w:rsidRDefault="00FC0200" w:rsidP="009208E5">
      <w:pPr>
        <w:spacing w:line="480" w:lineRule="auto"/>
        <w:jc w:val="both"/>
      </w:pPr>
    </w:p>
    <w:p w:rsidR="00E62733" w:rsidRPr="001F697F" w:rsidRDefault="008E0994" w:rsidP="009208E5">
      <w:pPr>
        <w:spacing w:line="480" w:lineRule="auto"/>
        <w:jc w:val="both"/>
        <w:rPr>
          <w:b/>
        </w:rPr>
      </w:pPr>
      <w:r>
        <w:rPr>
          <w:b/>
        </w:rPr>
        <w:t>b-</w:t>
      </w:r>
      <w:r w:rsidR="00E62733" w:rsidRPr="001F697F">
        <w:rPr>
          <w:b/>
        </w:rPr>
        <w:t xml:space="preserve">The </w:t>
      </w:r>
      <w:r w:rsidR="001F697F">
        <w:rPr>
          <w:b/>
        </w:rPr>
        <w:t>P</w:t>
      </w:r>
      <w:r w:rsidR="00E62733" w:rsidRPr="001F697F">
        <w:rPr>
          <w:b/>
        </w:rPr>
        <w:t xml:space="preserve">ublic and </w:t>
      </w:r>
      <w:r w:rsidR="001F697F">
        <w:rPr>
          <w:b/>
        </w:rPr>
        <w:t>F</w:t>
      </w:r>
      <w:r w:rsidR="00E62733" w:rsidRPr="001F697F">
        <w:rPr>
          <w:b/>
        </w:rPr>
        <w:t xml:space="preserve">reedom of </w:t>
      </w:r>
      <w:r w:rsidR="001F697F">
        <w:rPr>
          <w:b/>
        </w:rPr>
        <w:t>E</w:t>
      </w:r>
      <w:r w:rsidR="00E62733" w:rsidRPr="001F697F">
        <w:rPr>
          <w:b/>
        </w:rPr>
        <w:t>xpression</w:t>
      </w:r>
      <w:r w:rsidR="001F697F" w:rsidRPr="001F697F">
        <w:rPr>
          <w:b/>
        </w:rPr>
        <w:t xml:space="preserve"> – The Other Side</w:t>
      </w:r>
    </w:p>
    <w:p w:rsidR="00C968BB" w:rsidRPr="007A66DE" w:rsidRDefault="00FC0200" w:rsidP="00C968BB">
      <w:pPr>
        <w:spacing w:line="480" w:lineRule="auto"/>
        <w:jc w:val="both"/>
      </w:pPr>
      <w:r>
        <w:t xml:space="preserve">In 2008 </w:t>
      </w:r>
      <w:r w:rsidR="00C968BB" w:rsidRPr="007A66DE">
        <w:t xml:space="preserve">a consortium of internet and IT users and professionals </w:t>
      </w:r>
      <w:r>
        <w:t>took</w:t>
      </w:r>
      <w:r w:rsidR="00C968BB" w:rsidRPr="007A66DE">
        <w:t xml:space="preserve"> the YouT</w:t>
      </w:r>
      <w:r w:rsidR="00C968BB">
        <w:t>u</w:t>
      </w:r>
      <w:r w:rsidR="00C968BB" w:rsidRPr="007A66DE">
        <w:t>be ban to European Human Rights Tribunal.</w:t>
      </w:r>
      <w:r w:rsidR="00C968BB">
        <w:t xml:space="preserve"> </w:t>
      </w:r>
      <w:r w:rsidR="00C968BB" w:rsidRPr="007A66DE">
        <w:t>The consortium view</w:t>
      </w:r>
      <w:r>
        <w:t>ed</w:t>
      </w:r>
      <w:r w:rsidR="00C968BB" w:rsidRPr="007A66DE">
        <w:t xml:space="preserve"> YouTube as a platform for Turkish (and for all) people for</w:t>
      </w:r>
      <w:r>
        <w:t xml:space="preserve"> free</w:t>
      </w:r>
      <w:r w:rsidR="00C968BB" w:rsidRPr="007A66DE">
        <w:t xml:space="preserve"> expression. Turkish internet users </w:t>
      </w:r>
      <w:r>
        <w:t>we</w:t>
      </w:r>
      <w:r w:rsidR="00C968BB" w:rsidRPr="007A66DE">
        <w:t>re unable to access a site the rest of the world c</w:t>
      </w:r>
      <w:r>
        <w:t xml:space="preserve">ould </w:t>
      </w:r>
      <w:r w:rsidR="00C968BB" w:rsidRPr="007A66DE">
        <w:t xml:space="preserve">easily use. There </w:t>
      </w:r>
      <w:r>
        <w:t>wa</w:t>
      </w:r>
      <w:r w:rsidR="00C968BB" w:rsidRPr="007A66DE">
        <w:t xml:space="preserve">s also bitterness as </w:t>
      </w:r>
      <w:r>
        <w:t>access to YouTube shifted from a right to a</w:t>
      </w:r>
      <w:r w:rsidR="00C968BB" w:rsidRPr="007A66DE">
        <w:t xml:space="preserve"> privilege. The</w:t>
      </w:r>
      <w:r>
        <w:t>y also expressed the</w:t>
      </w:r>
      <w:r w:rsidR="00C968BB" w:rsidRPr="007A66DE">
        <w:t xml:space="preserve"> irony that the reason of the ban, </w:t>
      </w:r>
      <w:r>
        <w:t xml:space="preserve">Greek video </w:t>
      </w:r>
      <w:r w:rsidR="00C968BB" w:rsidRPr="007A66DE">
        <w:t xml:space="preserve">attacks on Ataturk, </w:t>
      </w:r>
      <w:r>
        <w:t>we</w:t>
      </w:r>
      <w:r w:rsidR="00C968BB" w:rsidRPr="007A66DE">
        <w:t>re still available for the rest of the world to see.</w:t>
      </w:r>
      <w:r>
        <w:t xml:space="preserve"> The ban did not make a difference for the rest of the world.</w:t>
      </w:r>
    </w:p>
    <w:p w:rsidR="00E62733" w:rsidRPr="007A66DE" w:rsidRDefault="00E62733" w:rsidP="009208E5">
      <w:pPr>
        <w:spacing w:line="480" w:lineRule="auto"/>
        <w:jc w:val="both"/>
      </w:pPr>
    </w:p>
    <w:p w:rsidR="00E62733" w:rsidRDefault="00E62733" w:rsidP="009208E5">
      <w:pPr>
        <w:spacing w:line="480" w:lineRule="auto"/>
        <w:jc w:val="both"/>
      </w:pPr>
      <w:r w:rsidRPr="007A66DE">
        <w:lastRenderedPageBreak/>
        <w:t xml:space="preserve">The </w:t>
      </w:r>
      <w:r w:rsidR="001F697F">
        <w:t>I</w:t>
      </w:r>
      <w:r w:rsidRPr="007A66DE">
        <w:t>nte</w:t>
      </w:r>
      <w:r w:rsidR="001F697F">
        <w:t>r</w:t>
      </w:r>
      <w:r w:rsidRPr="007A66DE">
        <w:t xml:space="preserve">net </w:t>
      </w:r>
      <w:r w:rsidR="001F697F">
        <w:t>T</w:t>
      </w:r>
      <w:r w:rsidRPr="007A66DE">
        <w:t xml:space="preserve">echnologies </w:t>
      </w:r>
      <w:r w:rsidR="001F697F">
        <w:t>Asso</w:t>
      </w:r>
      <w:r w:rsidRPr="007A66DE">
        <w:t xml:space="preserve">ciation of </w:t>
      </w:r>
      <w:r w:rsidR="001F697F">
        <w:t>T</w:t>
      </w:r>
      <w:r w:rsidRPr="007A66DE">
        <w:t>urkey base</w:t>
      </w:r>
      <w:r w:rsidR="00E72FF5">
        <w:t>d</w:t>
      </w:r>
      <w:r w:rsidRPr="007A66DE">
        <w:t xml:space="preserve"> their claim on European convention of human rights articles 10 and article 6. </w:t>
      </w:r>
      <w:r w:rsidR="001F697F">
        <w:t xml:space="preserve">The </w:t>
      </w:r>
      <w:r w:rsidR="001F697F" w:rsidRPr="007A66DE">
        <w:t>INETD president Must</w:t>
      </w:r>
      <w:r w:rsidR="00335BB6">
        <w:t>a</w:t>
      </w:r>
      <w:r w:rsidR="001F697F" w:rsidRPr="007A66DE">
        <w:t xml:space="preserve">fa </w:t>
      </w:r>
      <w:proofErr w:type="spellStart"/>
      <w:r w:rsidR="001F697F" w:rsidRPr="007A66DE">
        <w:t>Akgul</w:t>
      </w:r>
      <w:proofErr w:type="spellEnd"/>
      <w:r w:rsidR="001F697F" w:rsidRPr="007A66DE">
        <w:t xml:space="preserve"> </w:t>
      </w:r>
      <w:r w:rsidRPr="007A66DE">
        <w:t>complain</w:t>
      </w:r>
      <w:r w:rsidR="004E5B7D">
        <w:t>ed</w:t>
      </w:r>
      <w:r w:rsidRPr="007A66DE">
        <w:t xml:space="preserve"> that Turkish public i</w:t>
      </w:r>
      <w:r w:rsidR="001F697F">
        <w:t>s not pressuring the government e</w:t>
      </w:r>
      <w:r w:rsidRPr="007A66DE">
        <w:t>nough. Lo</w:t>
      </w:r>
      <w:r w:rsidR="001F697F">
        <w:t>t</w:t>
      </w:r>
      <w:r w:rsidRPr="007A66DE">
        <w:t xml:space="preserve"> of education oppo</w:t>
      </w:r>
      <w:r w:rsidR="001F697F">
        <w:t>r</w:t>
      </w:r>
      <w:r w:rsidRPr="007A66DE">
        <w:t>tunitie</w:t>
      </w:r>
      <w:r w:rsidR="001F697F">
        <w:t xml:space="preserve">s disappear as educators and students cannot reach </w:t>
      </w:r>
      <w:r w:rsidR="0022134C">
        <w:t>Y</w:t>
      </w:r>
      <w:r w:rsidR="001F697F">
        <w:t>ou</w:t>
      </w:r>
      <w:r w:rsidR="0022134C">
        <w:t>T</w:t>
      </w:r>
      <w:r w:rsidR="001F697F">
        <w:t xml:space="preserve">ube videos. </w:t>
      </w:r>
      <w:r w:rsidRPr="007A66DE">
        <w:t>(</w:t>
      </w:r>
      <w:r w:rsidR="004E5B7D">
        <w:t>"</w:t>
      </w:r>
      <w:proofErr w:type="spellStart"/>
      <w:r w:rsidR="004E5B7D" w:rsidRPr="004E5B7D">
        <w:t>Youtube</w:t>
      </w:r>
      <w:proofErr w:type="spellEnd"/>
      <w:r w:rsidR="004E5B7D" w:rsidRPr="004E5B7D">
        <w:t xml:space="preserve"> </w:t>
      </w:r>
      <w:proofErr w:type="spellStart"/>
      <w:r w:rsidR="004E5B7D" w:rsidRPr="004E5B7D">
        <w:t>yasağı</w:t>
      </w:r>
      <w:proofErr w:type="spellEnd"/>
      <w:r w:rsidR="004E5B7D" w:rsidRPr="004E5B7D">
        <w:t xml:space="preserve">' 1 </w:t>
      </w:r>
      <w:proofErr w:type="spellStart"/>
      <w:r w:rsidR="004E5B7D" w:rsidRPr="004E5B7D">
        <w:t>yaşında</w:t>
      </w:r>
      <w:proofErr w:type="spellEnd"/>
      <w:r w:rsidR="004E5B7D" w:rsidRPr="004E5B7D">
        <w:t xml:space="preserve">! </w:t>
      </w:r>
      <w:r w:rsidR="004E5B7D">
        <w:t>"</w:t>
      </w:r>
      <w:r w:rsidRPr="007A66DE">
        <w:t>30.11.2009</w:t>
      </w:r>
      <w:r w:rsidR="001F697F">
        <w:t xml:space="preserve"> interview</w:t>
      </w:r>
      <w:r w:rsidR="007F22A9">
        <w:t>)</w:t>
      </w:r>
      <w:r w:rsidR="00335BB6">
        <w:t>.</w:t>
      </w:r>
    </w:p>
    <w:p w:rsidR="00CD216E" w:rsidRPr="007A66DE" w:rsidRDefault="00C968BB" w:rsidP="009208E5">
      <w:pPr>
        <w:spacing w:line="480" w:lineRule="auto"/>
        <w:jc w:val="both"/>
      </w:pPr>
      <w:r>
        <w:t xml:space="preserve">According to these groups a </w:t>
      </w:r>
      <w:r w:rsidRPr="00C968BB">
        <w:t>large number of internet user</w:t>
      </w:r>
      <w:r>
        <w:t>s</w:t>
      </w:r>
      <w:r w:rsidRPr="00C968BB">
        <w:t xml:space="preserve"> are </w:t>
      </w:r>
      <w:r w:rsidR="004E5B7D">
        <w:t>a</w:t>
      </w:r>
      <w:r w:rsidRPr="00C968BB">
        <w:t>ffected b</w:t>
      </w:r>
      <w:r w:rsidR="004E5B7D">
        <w:t>y</w:t>
      </w:r>
      <w:r w:rsidRPr="00C968BB">
        <w:t xml:space="preserve"> this ban. But who uses the internet in Turkey and how often?</w:t>
      </w:r>
      <w:r>
        <w:t xml:space="preserve"> Internet penetration in Tur</w:t>
      </w:r>
      <w:r w:rsidR="00CB76C4" w:rsidRPr="007A66DE">
        <w:t xml:space="preserve">key </w:t>
      </w:r>
      <w:r w:rsidR="004E5B7D">
        <w:t xml:space="preserve">annual </w:t>
      </w:r>
      <w:r w:rsidR="00CB76C4" w:rsidRPr="007A66DE">
        <w:t xml:space="preserve">increase around %10 percent </w:t>
      </w:r>
      <w:r w:rsidR="004E5B7D">
        <w:t>between</w:t>
      </w:r>
      <w:r w:rsidR="00CB76C4" w:rsidRPr="007A66DE">
        <w:t xml:space="preserve"> 200</w:t>
      </w:r>
      <w:r w:rsidR="004E5B7D">
        <w:t>4-2010</w:t>
      </w:r>
      <w:r w:rsidR="00CB76C4" w:rsidRPr="007A66DE">
        <w:t xml:space="preserve">. It </w:t>
      </w:r>
      <w:r w:rsidR="004E5B7D">
        <w:t>i</w:t>
      </w:r>
      <w:r w:rsidR="00CB76C4" w:rsidRPr="007A66DE">
        <w:t>s mostly students and young professionals who use the web. Also housew</w:t>
      </w:r>
      <w:r w:rsidR="001F697F">
        <w:t>i</w:t>
      </w:r>
      <w:r w:rsidR="00CB76C4" w:rsidRPr="007A66DE">
        <w:t>ves use the med</w:t>
      </w:r>
      <w:r w:rsidR="001F697F">
        <w:t>i</w:t>
      </w:r>
      <w:r w:rsidR="00CB76C4" w:rsidRPr="007A66DE">
        <w:t xml:space="preserve">um to see tv series episodes. </w:t>
      </w:r>
    </w:p>
    <w:p w:rsidR="00CB76C4" w:rsidRDefault="00410F9B" w:rsidP="009208E5">
      <w:pPr>
        <w:spacing w:line="480" w:lineRule="auto"/>
        <w:jc w:val="both"/>
      </w:pPr>
      <w:r>
        <w:t>I</w:t>
      </w:r>
      <w:r w:rsidRPr="007A66DE">
        <w:t xml:space="preserve">nternet </w:t>
      </w:r>
      <w:r>
        <w:t xml:space="preserve">Usage numbers in </w:t>
      </w:r>
      <w:r w:rsidR="00C968BB">
        <w:t xml:space="preserve">Turkey </w:t>
      </w:r>
      <w:r w:rsidR="000136DA">
        <w:t>(2004-2009)</w:t>
      </w:r>
    </w:p>
    <w:p w:rsidR="00C968BB" w:rsidRDefault="00C968BB" w:rsidP="009208E5">
      <w:pPr>
        <w:spacing w:line="480" w:lineRule="auto"/>
        <w:jc w:val="both"/>
      </w:pPr>
      <w:r>
        <w:t>Population</w:t>
      </w:r>
      <w:r w:rsidR="000136DA">
        <w:t xml:space="preserve"> </w:t>
      </w:r>
      <w:r>
        <w:tab/>
      </w:r>
      <w:r w:rsidR="000136DA">
        <w:tab/>
        <w:t>PC</w:t>
      </w:r>
      <w:r w:rsidR="000136DA">
        <w:tab/>
      </w:r>
      <w:r w:rsidR="000136DA">
        <w:tab/>
      </w:r>
      <w:r w:rsidR="000136DA">
        <w:tab/>
        <w:t>Laptop</w:t>
      </w:r>
      <w:r w:rsidR="000136DA">
        <w:tab/>
      </w:r>
      <w:r w:rsidR="000136DA">
        <w:tab/>
        <w:t>Cell Phones</w:t>
      </w:r>
    </w:p>
    <w:p w:rsidR="00C968BB" w:rsidRDefault="000136DA" w:rsidP="009208E5">
      <w:pPr>
        <w:spacing w:line="480" w:lineRule="auto"/>
        <w:jc w:val="both"/>
      </w:pPr>
      <w:r>
        <w:t xml:space="preserve">65 M - </w:t>
      </w:r>
      <w:r w:rsidR="00C968BB">
        <w:t xml:space="preserve">70 </w:t>
      </w:r>
      <w:r>
        <w:t>M</w:t>
      </w:r>
      <w:r>
        <w:tab/>
      </w:r>
      <w:r>
        <w:tab/>
        <w:t xml:space="preserve">6.5M </w:t>
      </w:r>
      <w:r>
        <w:tab/>
        <w:t>21 M</w:t>
      </w:r>
      <w:r>
        <w:tab/>
      </w:r>
      <w:r>
        <w:tab/>
        <w:t xml:space="preserve">0.7M  </w:t>
      </w:r>
      <w:r>
        <w:tab/>
        <w:t>8 M</w:t>
      </w:r>
      <w:r>
        <w:tab/>
        <w:t>35M</w:t>
      </w:r>
      <w:r>
        <w:tab/>
        <w:t>60 M</w:t>
      </w:r>
    </w:p>
    <w:tbl>
      <w:tblPr>
        <w:tblW w:w="9780" w:type="dxa"/>
        <w:tblInd w:w="99" w:type="dxa"/>
        <w:tblLook w:val="0000" w:firstRow="0" w:lastRow="0" w:firstColumn="0" w:lastColumn="0" w:noHBand="0" w:noVBand="0"/>
      </w:tblPr>
      <w:tblGrid>
        <w:gridCol w:w="4000"/>
        <w:gridCol w:w="1000"/>
        <w:gridCol w:w="900"/>
        <w:gridCol w:w="1000"/>
        <w:gridCol w:w="1000"/>
        <w:gridCol w:w="880"/>
        <w:gridCol w:w="1000"/>
      </w:tblGrid>
      <w:tr w:rsidR="000136DA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Computer User</w:t>
            </w:r>
            <w:r w:rsidR="00D03AA5">
              <w:rPr>
                <w:rFonts w:ascii="Arial" w:hAnsi="Arial" w:cs="Arial"/>
                <w:sz w:val="17"/>
                <w:szCs w:val="17"/>
              </w:rPr>
              <w:t xml:space="preserve"> (%)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Internet Use</w:t>
            </w:r>
            <w:r w:rsidR="00D03AA5">
              <w:rPr>
                <w:rFonts w:ascii="Arial" w:hAnsi="Arial" w:cs="Arial"/>
                <w:sz w:val="17"/>
                <w:szCs w:val="17"/>
              </w:rPr>
              <w:t xml:space="preserve"> (%)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0136DA">
              <w:rPr>
                <w:rFonts w:ascii="Arial" w:hAnsi="Arial" w:cs="Arial"/>
                <w:b/>
                <w:sz w:val="17"/>
                <w:szCs w:val="17"/>
              </w:rPr>
              <w:t>2004</w:t>
            </w:r>
          </w:p>
        </w:tc>
      </w:tr>
      <w:tr w:rsidR="000136DA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 w:rsidP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 w:rsidP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 w:rsidP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Female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Age group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16 - 24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44.4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15.9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25 - 34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9.9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35 - 44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4.9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45 - 54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1.7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55 - 64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0.6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65 - 74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D03AA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0.1</w:t>
            </w:r>
          </w:p>
        </w:tc>
      </w:tr>
    </w:tbl>
    <w:p w:rsidR="000136DA" w:rsidRDefault="00410F9B" w:rsidP="009208E5">
      <w:pPr>
        <w:spacing w:line="480" w:lineRule="auto"/>
        <w:jc w:val="both"/>
      </w:pPr>
      <w:r>
        <w:tab/>
      </w:r>
    </w:p>
    <w:p w:rsidR="002635CF" w:rsidRDefault="002635CF" w:rsidP="009208E5">
      <w:pPr>
        <w:spacing w:line="480" w:lineRule="auto"/>
        <w:jc w:val="both"/>
      </w:pPr>
    </w:p>
    <w:p w:rsidR="002635CF" w:rsidRDefault="002635CF" w:rsidP="009208E5">
      <w:pPr>
        <w:spacing w:line="480" w:lineRule="auto"/>
        <w:jc w:val="both"/>
      </w:pPr>
    </w:p>
    <w:p w:rsidR="002635CF" w:rsidRDefault="002635CF" w:rsidP="009208E5">
      <w:pPr>
        <w:spacing w:line="480" w:lineRule="auto"/>
        <w:jc w:val="both"/>
      </w:pPr>
    </w:p>
    <w:p w:rsidR="002635CF" w:rsidRPr="007A66DE" w:rsidRDefault="002635CF" w:rsidP="009208E5">
      <w:pPr>
        <w:spacing w:line="480" w:lineRule="auto"/>
        <w:jc w:val="both"/>
      </w:pPr>
    </w:p>
    <w:tbl>
      <w:tblPr>
        <w:tblW w:w="9780" w:type="dxa"/>
        <w:tblInd w:w="99" w:type="dxa"/>
        <w:tblLook w:val="0000" w:firstRow="0" w:lastRow="0" w:firstColumn="0" w:lastColumn="0" w:noHBand="0" w:noVBand="0"/>
      </w:tblPr>
      <w:tblGrid>
        <w:gridCol w:w="4000"/>
        <w:gridCol w:w="1000"/>
        <w:gridCol w:w="900"/>
        <w:gridCol w:w="1000"/>
        <w:gridCol w:w="1000"/>
        <w:gridCol w:w="880"/>
        <w:gridCol w:w="1000"/>
      </w:tblGrid>
      <w:tr w:rsidR="000136DA">
        <w:trPr>
          <w:trHeight w:val="28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136DA" w:rsidRDefault="000136DA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2009</w:t>
            </w:r>
          </w:p>
        </w:tc>
      </w:tr>
      <w:tr w:rsidR="000136DA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Computer Use (%)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Internet Use  (%)</w:t>
            </w:r>
          </w:p>
        </w:tc>
      </w:tr>
      <w:tr w:rsidR="000136DA">
        <w:trPr>
          <w:trHeight w:val="600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36DA" w:rsidRDefault="000136DA" w:rsidP="00D03AA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Female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Age group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16 - 24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76.4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49.1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46.0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25 - 34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34.5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32.9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35 - 44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21.3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19.9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45 - 54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10.5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55 - 64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3.1</w:t>
            </w:r>
          </w:p>
        </w:tc>
      </w:tr>
      <w:tr w:rsidR="000136DA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6DA" w:rsidRDefault="000136D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65 - 74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6DA" w:rsidRDefault="00013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1.2</w:t>
            </w:r>
          </w:p>
        </w:tc>
      </w:tr>
    </w:tbl>
    <w:p w:rsidR="000136DA" w:rsidRDefault="000136DA" w:rsidP="009208E5">
      <w:pPr>
        <w:spacing w:line="480" w:lineRule="auto"/>
        <w:jc w:val="both"/>
      </w:pPr>
    </w:p>
    <w:p w:rsidR="007369D3" w:rsidRPr="007A66DE" w:rsidRDefault="004E5B7D" w:rsidP="009208E5">
      <w:pPr>
        <w:spacing w:line="480" w:lineRule="auto"/>
        <w:jc w:val="both"/>
      </w:pPr>
      <w:r>
        <w:t>Between 2004-2009</w:t>
      </w:r>
      <w:r w:rsidR="00D03AA5">
        <w:t xml:space="preserve"> the number of users of internet increase %100. The age group most actively using the internet </w:t>
      </w:r>
      <w:r>
        <w:t>wa</w:t>
      </w:r>
      <w:r w:rsidR="00D03AA5">
        <w:t>s 16-34. This generation was born and raised in post-1980 military coup anti-political conformist social climate.</w:t>
      </w:r>
      <w:r>
        <w:t xml:space="preserve"> </w:t>
      </w:r>
      <w:r w:rsidR="00410F9B">
        <w:t>In term</w:t>
      </w:r>
      <w:r>
        <w:t>s</w:t>
      </w:r>
      <w:r w:rsidR="00410F9B">
        <w:t xml:space="preserve"> of </w:t>
      </w:r>
      <w:r>
        <w:t>Y</w:t>
      </w:r>
      <w:r w:rsidR="00CD216E" w:rsidRPr="007A66DE">
        <w:t>ou</w:t>
      </w:r>
      <w:r>
        <w:t>T</w:t>
      </w:r>
      <w:r w:rsidR="00CD216E" w:rsidRPr="007A66DE">
        <w:t xml:space="preserve">ube </w:t>
      </w:r>
      <w:r w:rsidR="00410F9B">
        <w:t xml:space="preserve">usage </w:t>
      </w:r>
      <w:r w:rsidR="00335BB6">
        <w:t>numbers</w:t>
      </w:r>
      <w:r w:rsidR="00410F9B">
        <w:t xml:space="preserve"> sports videos or movie trailers reach</w:t>
      </w:r>
      <w:r>
        <w:t>ed</w:t>
      </w:r>
      <w:r w:rsidR="00410F9B">
        <w:t xml:space="preserve"> millions whereas attack</w:t>
      </w:r>
      <w:r>
        <w:t xml:space="preserve"> videos</w:t>
      </w:r>
      <w:r w:rsidR="00410F9B">
        <w:t xml:space="preserve"> on Ataturk only reach 1000 people. </w:t>
      </w:r>
      <w:r>
        <w:t>These figures reflected how You</w:t>
      </w:r>
      <w:r w:rsidR="0022134C">
        <w:t>T</w:t>
      </w:r>
      <w:r>
        <w:t>ube</w:t>
      </w:r>
      <w:r w:rsidR="007369D3" w:rsidRPr="007A66DE">
        <w:t xml:space="preserve"> ban punish</w:t>
      </w:r>
      <w:r>
        <w:t>ed</w:t>
      </w:r>
      <w:r w:rsidR="007369D3" w:rsidRPr="007A66DE">
        <w:t xml:space="preserve"> to the innocent</w:t>
      </w:r>
      <w:r>
        <w:t xml:space="preserve"> majorities for crime committed by </w:t>
      </w:r>
      <w:r w:rsidR="007B2B7E" w:rsidRPr="007A66DE">
        <w:t>a marginal a</w:t>
      </w:r>
      <w:r w:rsidR="001F697F">
        <w:t>ud</w:t>
      </w:r>
      <w:r w:rsidR="007B2B7E" w:rsidRPr="007A66DE">
        <w:t>i</w:t>
      </w:r>
      <w:r w:rsidR="001F697F">
        <w:t>e</w:t>
      </w:r>
      <w:r w:rsidR="007B2B7E" w:rsidRPr="007A66DE">
        <w:t xml:space="preserve">nce of around </w:t>
      </w:r>
      <w:proofErr w:type="gramStart"/>
      <w:r w:rsidR="007B2B7E" w:rsidRPr="007A66DE">
        <w:t>a 1000 hits</w:t>
      </w:r>
      <w:proofErr w:type="gramEnd"/>
      <w:r w:rsidR="007B2B7E" w:rsidRPr="007A66DE">
        <w:t xml:space="preserve"> only</w:t>
      </w:r>
      <w:r w:rsidR="00CB76C4" w:rsidRPr="007A66DE">
        <w:t>.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8E0994" w:rsidRDefault="00E62DDF" w:rsidP="009208E5">
      <w:pPr>
        <w:spacing w:line="480" w:lineRule="auto"/>
        <w:jc w:val="both"/>
        <w:rPr>
          <w:b/>
        </w:rPr>
      </w:pPr>
      <w:r w:rsidRPr="007A66DE">
        <w:rPr>
          <w:b/>
        </w:rPr>
        <w:t>Findings</w:t>
      </w:r>
      <w:r w:rsidR="008E0994">
        <w:rPr>
          <w:b/>
        </w:rPr>
        <w:t>:</w:t>
      </w:r>
    </w:p>
    <w:p w:rsidR="008E0994" w:rsidRDefault="008E0994" w:rsidP="009208E5">
      <w:pPr>
        <w:spacing w:line="480" w:lineRule="auto"/>
        <w:jc w:val="both"/>
        <w:rPr>
          <w:b/>
        </w:rPr>
      </w:pPr>
      <w:r>
        <w:rPr>
          <w:b/>
        </w:rPr>
        <w:t>a-</w:t>
      </w:r>
      <w:r w:rsidR="007F22A9">
        <w:rPr>
          <w:b/>
        </w:rPr>
        <w:t xml:space="preserve"> </w:t>
      </w:r>
      <w:r>
        <w:rPr>
          <w:b/>
        </w:rPr>
        <w:t xml:space="preserve">Frequency of critical blog entries increase in times of events critical of government’s </w:t>
      </w:r>
      <w:r w:rsidR="0022134C">
        <w:rPr>
          <w:b/>
        </w:rPr>
        <w:t>Y</w:t>
      </w:r>
      <w:r>
        <w:rPr>
          <w:b/>
        </w:rPr>
        <w:t>ou</w:t>
      </w:r>
      <w:r w:rsidR="0022134C">
        <w:rPr>
          <w:b/>
        </w:rPr>
        <w:t>T</w:t>
      </w:r>
      <w:r>
        <w:rPr>
          <w:b/>
        </w:rPr>
        <w:t>ube ban</w:t>
      </w:r>
      <w:r w:rsidR="001F18F7">
        <w:rPr>
          <w:b/>
        </w:rPr>
        <w:t xml:space="preserve"> </w:t>
      </w:r>
      <w:r w:rsidR="001F18F7" w:rsidRPr="001F18F7">
        <w:t>(Google blog search)</w:t>
      </w:r>
      <w:r>
        <w:rPr>
          <w:b/>
        </w:rPr>
        <w:t xml:space="preserve"> </w:t>
      </w:r>
    </w:p>
    <w:p w:rsidR="008E0994" w:rsidRPr="008E0994" w:rsidRDefault="004E5B7D" w:rsidP="009208E5">
      <w:pPr>
        <w:spacing w:line="480" w:lineRule="auto"/>
        <w:jc w:val="both"/>
      </w:pPr>
      <w:r>
        <w:t>During</w:t>
      </w:r>
      <w:r w:rsidR="008E0994">
        <w:t xml:space="preserve"> the ban </w:t>
      </w:r>
      <w:r>
        <w:t xml:space="preserve">between </w:t>
      </w:r>
      <w:r w:rsidR="005A1B74">
        <w:t>M</w:t>
      </w:r>
      <w:r w:rsidR="008E0994">
        <w:t>arch 6, 2007 until April 24, 2010 there have been 40</w:t>
      </w:r>
      <w:r w:rsidR="005A1B74">
        <w:t>,</w:t>
      </w:r>
      <w:r w:rsidR="008E0994">
        <w:t>0</w:t>
      </w:r>
      <w:r w:rsidR="005A1B74">
        <w:t>74</w:t>
      </w:r>
      <w:r w:rsidR="008E0994">
        <w:t xml:space="preserve"> entries </w:t>
      </w:r>
      <w:r>
        <w:t xml:space="preserve">on the ban </w:t>
      </w:r>
      <w:r w:rsidR="008E0994">
        <w:t>that c</w:t>
      </w:r>
      <w:r>
        <w:t>ould</w:t>
      </w:r>
      <w:r w:rsidR="008E0994">
        <w:t xml:space="preserve"> be reached through google blog scan. Weekly average entries range between </w:t>
      </w:r>
      <w:r w:rsidR="005A1B74">
        <w:t>20-40</w:t>
      </w:r>
      <w:r w:rsidR="008E0994">
        <w:t xml:space="preserve"> blogs. In time of critical events the numbe</w:t>
      </w:r>
      <w:r w:rsidR="005A1B74">
        <w:t>r of critical blogs increase</w:t>
      </w:r>
      <w:r w:rsidR="007F22A9">
        <w:t>s</w:t>
      </w:r>
      <w:r w:rsidR="005A1B74">
        <w:t xml:space="preserve"> </w:t>
      </w:r>
      <w:r w:rsidR="008E0994">
        <w:t>20</w:t>
      </w:r>
      <w:r w:rsidR="005A1B74">
        <w:t>-30</w:t>
      </w:r>
      <w:r w:rsidR="008E0994">
        <w:t xml:space="preserve"> times reaching more than 1000 that week.</w:t>
      </w:r>
      <w:r w:rsidR="001F18F7">
        <w:t xml:space="preserve"> The list below reveals the increase of entries during the week of the critical events.</w:t>
      </w:r>
    </w:p>
    <w:p w:rsidR="001F18F7" w:rsidRDefault="004E5B7D" w:rsidP="008610BC">
      <w:pPr>
        <w:spacing w:line="480" w:lineRule="auto"/>
        <w:jc w:val="both"/>
      </w:pPr>
      <w:r w:rsidRPr="004E5B7D">
        <w:lastRenderedPageBreak/>
        <w:t>For example</w:t>
      </w:r>
      <w:r>
        <w:t>,</w:t>
      </w:r>
      <w:r w:rsidRPr="004E5B7D">
        <w:t xml:space="preserve"> each time a major turning event happ</w:t>
      </w:r>
      <w:r>
        <w:t>e</w:t>
      </w:r>
      <w:r w:rsidRPr="004E5B7D">
        <w:t>n</w:t>
      </w:r>
      <w:r>
        <w:t>ed</w:t>
      </w:r>
      <w:r w:rsidRPr="004E5B7D">
        <w:t xml:space="preserve"> such as a court appea</w:t>
      </w:r>
      <w:r>
        <w:t>l</w:t>
      </w:r>
      <w:r w:rsidRPr="004E5B7D">
        <w:t xml:space="preserve"> or </w:t>
      </w:r>
      <w:r>
        <w:t>a</w:t>
      </w:r>
      <w:r w:rsidRPr="004E5B7D">
        <w:t>n in</w:t>
      </w:r>
      <w:r>
        <w:t>tern</w:t>
      </w:r>
      <w:r w:rsidRPr="004E5B7D">
        <w:t>atio</w:t>
      </w:r>
      <w:r>
        <w:t>n</w:t>
      </w:r>
      <w:r w:rsidRPr="004E5B7D">
        <w:t>al article condemning the ban circul</w:t>
      </w:r>
      <w:r>
        <w:t>a</w:t>
      </w:r>
      <w:r w:rsidRPr="004E5B7D">
        <w:t>te</w:t>
      </w:r>
      <w:r>
        <w:t>d</w:t>
      </w:r>
      <w:r w:rsidRPr="004E5B7D">
        <w:t>, the users</w:t>
      </w:r>
      <w:r w:rsidR="0022134C">
        <w:t>'</w:t>
      </w:r>
      <w:r w:rsidRPr="004E5B7D">
        <w:t xml:space="preserve"> gr</w:t>
      </w:r>
      <w:r>
        <w:t>o</w:t>
      </w:r>
      <w:r w:rsidRPr="004E5B7D">
        <w:t>up and wr</w:t>
      </w:r>
      <w:r>
        <w:t>ote</w:t>
      </w:r>
      <w:r w:rsidRPr="004E5B7D">
        <w:t xml:space="preserve"> comments in mass numbers.</w:t>
      </w:r>
      <w:r>
        <w:t xml:space="preserve"> For example</w:t>
      </w:r>
      <w:r w:rsidR="0022134C">
        <w:t>,</w:t>
      </w:r>
      <w:r>
        <w:t xml:space="preserve"> when </w:t>
      </w:r>
      <w:r w:rsidR="001F18F7">
        <w:t>European Human Rights Court Appeal</w:t>
      </w:r>
      <w:r>
        <w:t xml:space="preserve"> was launc</w:t>
      </w:r>
      <w:r w:rsidR="008610BC">
        <w:t>h</w:t>
      </w:r>
      <w:r>
        <w:t xml:space="preserve">ed by Turkish users on </w:t>
      </w:r>
      <w:r w:rsidR="001F18F7">
        <w:t xml:space="preserve">30 November 2009 </w:t>
      </w:r>
      <w:r>
        <w:t xml:space="preserve">there were </w:t>
      </w:r>
      <w:r w:rsidR="001F18F7">
        <w:t xml:space="preserve">1867 </w:t>
      </w:r>
      <w:r>
        <w:t>unique responses on eksi sozluk. Similarly</w:t>
      </w:r>
      <w:r w:rsidR="008610BC">
        <w:t>,</w:t>
      </w:r>
      <w:r>
        <w:t xml:space="preserve"> when </w:t>
      </w:r>
      <w:r w:rsidR="001F18F7">
        <w:t>Wall Street Journal article</w:t>
      </w:r>
      <w:r>
        <w:t xml:space="preserve"> on</w:t>
      </w:r>
      <w:r w:rsidR="008610BC">
        <w:t xml:space="preserve"> </w:t>
      </w:r>
      <w:r>
        <w:t xml:space="preserve">the ban was published on </w:t>
      </w:r>
      <w:r w:rsidR="001F18F7">
        <w:t>16 Feb 2010</w:t>
      </w:r>
      <w:r>
        <w:t xml:space="preserve">, a further </w:t>
      </w:r>
      <w:r w:rsidR="001F18F7">
        <w:t xml:space="preserve">2048 </w:t>
      </w:r>
      <w:r>
        <w:t>comments were made</w:t>
      </w:r>
      <w:r w:rsidR="008610BC">
        <w:t>. A media sector magazine,</w:t>
      </w:r>
      <w:r w:rsidR="001F18F7">
        <w:t xml:space="preserve"> </w:t>
      </w:r>
      <w:proofErr w:type="spellStart"/>
      <w:r w:rsidR="001F18F7" w:rsidRPr="0022134C">
        <w:rPr>
          <w:i/>
        </w:rPr>
        <w:t>Mediacat</w:t>
      </w:r>
      <w:proofErr w:type="spellEnd"/>
      <w:r w:rsidR="001F18F7" w:rsidRPr="0022134C">
        <w:rPr>
          <w:i/>
        </w:rPr>
        <w:t xml:space="preserve"> Journal</w:t>
      </w:r>
      <w:r w:rsidR="008610BC">
        <w:t>,</w:t>
      </w:r>
      <w:r w:rsidR="001F18F7">
        <w:t xml:space="preserve"> announce</w:t>
      </w:r>
      <w:r w:rsidR="008610BC">
        <w:t>d</w:t>
      </w:r>
      <w:r w:rsidR="001F18F7">
        <w:t xml:space="preserve"> anti-ban poster competition results</w:t>
      </w:r>
      <w:r w:rsidR="008610BC">
        <w:t xml:space="preserve"> as an April Fool's Day joke on </w:t>
      </w:r>
      <w:r w:rsidR="001F18F7">
        <w:t>April 1, 2010</w:t>
      </w:r>
      <w:r w:rsidR="008610BC">
        <w:t xml:space="preserve">, there were further </w:t>
      </w:r>
      <w:r w:rsidR="001F18F7">
        <w:t xml:space="preserve">1208 </w:t>
      </w:r>
      <w:r w:rsidR="008610BC">
        <w:t>entries on the ban.</w:t>
      </w:r>
    </w:p>
    <w:p w:rsidR="001F18F7" w:rsidRDefault="001F18F7" w:rsidP="009208E5">
      <w:pPr>
        <w:spacing w:line="480" w:lineRule="auto"/>
        <w:jc w:val="both"/>
        <w:rPr>
          <w:b/>
        </w:rPr>
      </w:pPr>
    </w:p>
    <w:p w:rsidR="00410F9B" w:rsidRPr="007247F0" w:rsidRDefault="008610BC" w:rsidP="009208E5">
      <w:pPr>
        <w:spacing w:line="480" w:lineRule="auto"/>
        <w:jc w:val="both"/>
      </w:pPr>
      <w:r>
        <w:t>The first</w:t>
      </w:r>
      <w:r w:rsidR="00410F9B" w:rsidRPr="007247F0">
        <w:t xml:space="preserve"> 900 Eksi sozluk entries </w:t>
      </w:r>
      <w:r>
        <w:t xml:space="preserve">showed the intensification of comments on the ban by bloggers on certain dates that either gave hope for the lifting of the ban or gave a reason to vent off anger against the ban because another court order reinstated the ban. For </w:t>
      </w:r>
      <w:proofErr w:type="gramStart"/>
      <w:r>
        <w:t>example</w:t>
      </w:r>
      <w:proofErr w:type="gramEnd"/>
      <w:r>
        <w:t xml:space="preserve"> When we look at the first five days of the ban between May 6-10, the first day has 100 entries and second ay 200 entries, day 3 around 7 and fourth and fifth day, the entries are in the tens. Between May 11, 2007 to January 17, 2008 there are only 22 entries for a period of 7 months.</w:t>
      </w:r>
      <w:r w:rsidR="009756C6">
        <w:t xml:space="preserve"> T</w:t>
      </w:r>
      <w:r w:rsidR="009756C6" w:rsidRPr="009756C6">
        <w:t xml:space="preserve">he Sivas 2nd Criminal Court of Peace </w:t>
      </w:r>
      <w:r w:rsidR="009756C6">
        <w:t xml:space="preserve">reissued </w:t>
      </w:r>
      <w:r w:rsidR="009756C6" w:rsidRPr="009756C6">
        <w:t>on January 16, 2008</w:t>
      </w:r>
      <w:r w:rsidR="009756C6">
        <w:t xml:space="preserve"> and there was a briefly explosion of comments criticizing the ban but not as fervent as the previous outburst of public anger online.</w:t>
      </w:r>
    </w:p>
    <w:p w:rsidR="007247F0" w:rsidRPr="007247F0" w:rsidRDefault="007247F0" w:rsidP="009208E5">
      <w:pPr>
        <w:spacing w:line="480" w:lineRule="auto"/>
        <w:jc w:val="both"/>
      </w:pPr>
      <w:r w:rsidRPr="007247F0">
        <w:t>1-107</w:t>
      </w:r>
      <w:r w:rsidRPr="007247F0">
        <w:tab/>
      </w:r>
      <w:r>
        <w:tab/>
      </w:r>
      <w:r w:rsidRPr="007247F0">
        <w:t>May 6, 2007</w:t>
      </w:r>
      <w:r>
        <w:tab/>
      </w:r>
      <w:r>
        <w:tab/>
        <w:t>422-444</w:t>
      </w:r>
      <w:r>
        <w:tab/>
        <w:t>May 11, 2007 – Jan. 17, 2008</w:t>
      </w:r>
      <w:r>
        <w:tab/>
      </w:r>
      <w:r>
        <w:tab/>
      </w:r>
    </w:p>
    <w:p w:rsidR="007247F0" w:rsidRPr="007247F0" w:rsidRDefault="007247F0" w:rsidP="009208E5">
      <w:pPr>
        <w:spacing w:line="480" w:lineRule="auto"/>
        <w:jc w:val="both"/>
      </w:pPr>
      <w:r w:rsidRPr="007247F0">
        <w:t xml:space="preserve">108-327 </w:t>
      </w:r>
      <w:r>
        <w:tab/>
      </w:r>
      <w:r w:rsidRPr="007247F0">
        <w:t>May 7, 2007</w:t>
      </w:r>
      <w:r>
        <w:tab/>
      </w:r>
      <w:r>
        <w:tab/>
        <w:t xml:space="preserve">445-475 </w:t>
      </w:r>
      <w:r>
        <w:tab/>
        <w:t>January 18, 2008</w:t>
      </w:r>
    </w:p>
    <w:p w:rsidR="007247F0" w:rsidRDefault="007247F0" w:rsidP="009208E5">
      <w:pPr>
        <w:spacing w:line="480" w:lineRule="auto"/>
        <w:jc w:val="both"/>
      </w:pPr>
      <w:r w:rsidRPr="007247F0">
        <w:t xml:space="preserve">328-399 </w:t>
      </w:r>
      <w:r>
        <w:tab/>
      </w:r>
      <w:r w:rsidRPr="007247F0">
        <w:t>May 8, 2007</w:t>
      </w:r>
      <w:r>
        <w:tab/>
      </w:r>
      <w:r>
        <w:tab/>
        <w:t>476-559</w:t>
      </w:r>
      <w:r>
        <w:tab/>
        <w:t>January 19, 2008</w:t>
      </w:r>
    </w:p>
    <w:p w:rsidR="007247F0" w:rsidRDefault="007247F0" w:rsidP="009208E5">
      <w:pPr>
        <w:spacing w:line="480" w:lineRule="auto"/>
        <w:jc w:val="both"/>
      </w:pPr>
      <w:r>
        <w:t>400-414</w:t>
      </w:r>
      <w:r>
        <w:tab/>
        <w:t>May 9, 2007</w:t>
      </w:r>
      <w:r>
        <w:tab/>
      </w:r>
      <w:r>
        <w:tab/>
        <w:t>560-601</w:t>
      </w:r>
      <w:r>
        <w:tab/>
        <w:t>January 20, 2008</w:t>
      </w:r>
    </w:p>
    <w:p w:rsidR="0044525B" w:rsidRDefault="007247F0" w:rsidP="0044525B">
      <w:pPr>
        <w:spacing w:line="480" w:lineRule="auto"/>
        <w:jc w:val="both"/>
      </w:pPr>
      <w:r>
        <w:t>415-421</w:t>
      </w:r>
      <w:r>
        <w:tab/>
        <w:t>May 10, 2007</w:t>
      </w:r>
      <w:r>
        <w:tab/>
      </w:r>
      <w:r>
        <w:tab/>
        <w:t>602-634</w:t>
      </w:r>
      <w:r>
        <w:tab/>
        <w:t xml:space="preserve">January 21, 2008  </w:t>
      </w:r>
    </w:p>
    <w:p w:rsidR="008610BC" w:rsidRDefault="008610BC" w:rsidP="0044525B">
      <w:pPr>
        <w:spacing w:line="48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7247F0">
        <w:t xml:space="preserve">603-695 </w:t>
      </w:r>
      <w:r w:rsidR="00A35328">
        <w:tab/>
      </w:r>
      <w:r>
        <w:t xml:space="preserve">January 22, 2008 </w:t>
      </w:r>
      <w:r w:rsidR="007247F0">
        <w:tab/>
      </w:r>
    </w:p>
    <w:p w:rsidR="00A35328" w:rsidRDefault="008610BC" w:rsidP="0044525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696-733 </w:t>
      </w:r>
      <w:r>
        <w:tab/>
        <w:t xml:space="preserve">January 23, 2008  </w:t>
      </w:r>
    </w:p>
    <w:p w:rsidR="0044525B" w:rsidRDefault="008610BC" w:rsidP="0044525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4525B">
        <w:t xml:space="preserve">734-772 </w:t>
      </w:r>
      <w:r w:rsidR="0044525B">
        <w:tab/>
        <w:t>31 January 2008 – 13 March 2008</w:t>
      </w:r>
    </w:p>
    <w:p w:rsidR="0044525B" w:rsidRDefault="008610BC" w:rsidP="0044525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4525B">
        <w:t>773-788</w:t>
      </w:r>
      <w:r w:rsidR="0044525B">
        <w:tab/>
        <w:t>March 13-14-15, 2008</w:t>
      </w:r>
    </w:p>
    <w:p w:rsidR="0044525B" w:rsidRPr="007247F0" w:rsidRDefault="008610BC" w:rsidP="0044525B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4525B">
        <w:t>804-811</w:t>
      </w:r>
      <w:r w:rsidR="0044525B">
        <w:tab/>
        <w:t>May 6, 2008</w:t>
      </w:r>
    </w:p>
    <w:p w:rsidR="007F22A9" w:rsidRDefault="007F22A9" w:rsidP="009208E5">
      <w:pPr>
        <w:spacing w:line="480" w:lineRule="auto"/>
        <w:jc w:val="both"/>
        <w:rPr>
          <w:b/>
        </w:rPr>
      </w:pPr>
    </w:p>
    <w:p w:rsidR="001F18F7" w:rsidRDefault="008E0994" w:rsidP="009756C6">
      <w:pPr>
        <w:spacing w:line="480" w:lineRule="auto"/>
        <w:jc w:val="both"/>
      </w:pPr>
      <w:r>
        <w:rPr>
          <w:b/>
        </w:rPr>
        <w:t>b-</w:t>
      </w:r>
      <w:r w:rsidR="007F22A9">
        <w:rPr>
          <w:b/>
        </w:rPr>
        <w:t xml:space="preserve"> </w:t>
      </w:r>
      <w:r>
        <w:rPr>
          <w:b/>
        </w:rPr>
        <w:t>The response to the ban is either based on condemning it or offering ways around the ban</w:t>
      </w:r>
      <w:r w:rsidR="005A1B74">
        <w:rPr>
          <w:b/>
        </w:rPr>
        <w:t>; but not calling for united action</w:t>
      </w:r>
      <w:r w:rsidRPr="009756C6">
        <w:t>.</w:t>
      </w:r>
      <w:r w:rsidR="001F18F7" w:rsidRPr="009756C6">
        <w:t xml:space="preserve"> </w:t>
      </w:r>
      <w:r w:rsidR="009756C6" w:rsidRPr="009756C6">
        <w:t>Based on</w:t>
      </w:r>
      <w:r w:rsidR="009756C6">
        <w:rPr>
          <w:b/>
        </w:rPr>
        <w:t xml:space="preserve"> </w:t>
      </w:r>
      <w:r w:rsidR="001F18F7" w:rsidRPr="001F18F7">
        <w:t>blog</w:t>
      </w:r>
      <w:r w:rsidR="001F18F7">
        <w:t>cu</w:t>
      </w:r>
      <w:r w:rsidR="001F18F7" w:rsidRPr="001F18F7">
        <w:t xml:space="preserve">.com </w:t>
      </w:r>
      <w:r w:rsidR="001F18F7">
        <w:t>s</w:t>
      </w:r>
      <w:r w:rsidR="001F18F7" w:rsidRPr="001F18F7">
        <w:t>ea</w:t>
      </w:r>
      <w:r w:rsidR="001F18F7">
        <w:t>r</w:t>
      </w:r>
      <w:r w:rsidR="001F18F7" w:rsidRPr="001F18F7">
        <w:t>ch</w:t>
      </w:r>
      <w:r w:rsidR="009756C6">
        <w:t>, the entries showed that there were two types of responses to the ban either condemning it or offering ways around it.</w:t>
      </w:r>
      <w:r w:rsidR="009756C6" w:rsidRPr="009756C6">
        <w:rPr>
          <w:b/>
        </w:rPr>
        <w:t xml:space="preserve"> </w:t>
      </w:r>
      <w:r w:rsidR="001F18F7" w:rsidRPr="009756C6">
        <w:t>The reasons for condemning can be</w:t>
      </w:r>
      <w:r w:rsidR="009756C6">
        <w:t xml:space="preserve"> the users' inability </w:t>
      </w:r>
      <w:r w:rsidR="001F18F7">
        <w:t xml:space="preserve">to go </w:t>
      </w:r>
      <w:r w:rsidR="009756C6">
        <w:t>watch</w:t>
      </w:r>
      <w:r w:rsidR="001F18F7">
        <w:t xml:space="preserve"> nostalgic videos (He-Man, trailers of 70s films)</w:t>
      </w:r>
      <w:r w:rsidR="009756C6">
        <w:t xml:space="preserve">, </w:t>
      </w:r>
      <w:r w:rsidR="001F18F7">
        <w:t>benefit from education videos (pregnancy, kung-</w:t>
      </w:r>
      <w:proofErr w:type="spellStart"/>
      <w:r w:rsidR="001F18F7">
        <w:t>fu</w:t>
      </w:r>
      <w:proofErr w:type="spellEnd"/>
      <w:r w:rsidR="001F18F7">
        <w:t>, cancer)</w:t>
      </w:r>
      <w:r w:rsidR="009756C6">
        <w:t xml:space="preserve"> or </w:t>
      </w:r>
      <w:r w:rsidR="001F18F7">
        <w:t>to reach entertainment (music video channel, sports)</w:t>
      </w:r>
      <w:r w:rsidR="009756C6">
        <w:t>.</w:t>
      </w:r>
    </w:p>
    <w:p w:rsidR="001F18F7" w:rsidRPr="001F18F7" w:rsidRDefault="009756C6" w:rsidP="00136017">
      <w:pPr>
        <w:spacing w:line="480" w:lineRule="auto"/>
        <w:jc w:val="both"/>
      </w:pPr>
      <w:r>
        <w:t>Whereas the comments offering w</w:t>
      </w:r>
      <w:r w:rsidR="001F18F7" w:rsidRPr="009756C6">
        <w:t xml:space="preserve">ays </w:t>
      </w:r>
      <w:r>
        <w:t>a</w:t>
      </w:r>
      <w:r w:rsidR="001F18F7" w:rsidRPr="009756C6">
        <w:t xml:space="preserve">round the </w:t>
      </w:r>
      <w:r>
        <w:t>b</w:t>
      </w:r>
      <w:r w:rsidRPr="009756C6">
        <w:t>an</w:t>
      </w:r>
      <w:r>
        <w:t xml:space="preserve"> conc</w:t>
      </w:r>
      <w:r w:rsidR="00ED2A3B">
        <w:t>e</w:t>
      </w:r>
      <w:r>
        <w:t>ntrated on</w:t>
      </w:r>
      <w:r w:rsidR="00ED2A3B">
        <w:t xml:space="preserve"> a</w:t>
      </w:r>
      <w:r>
        <w:t>lternative</w:t>
      </w:r>
      <w:r w:rsidR="001F18F7">
        <w:t xml:space="preserve"> sites use th</w:t>
      </w:r>
      <w:r w:rsidR="005A1B74">
        <w:t>em (</w:t>
      </w:r>
      <w:proofErr w:type="spellStart"/>
      <w:r w:rsidR="005A1B74">
        <w:t>Metacafe</w:t>
      </w:r>
      <w:proofErr w:type="spellEnd"/>
      <w:r w:rsidR="005A1B74">
        <w:t>, Justin TV)</w:t>
      </w:r>
      <w:r>
        <w:t xml:space="preserve">, ways </w:t>
      </w:r>
      <w:r w:rsidR="001F18F7">
        <w:t xml:space="preserve">to </w:t>
      </w:r>
      <w:r>
        <w:t>change</w:t>
      </w:r>
      <w:r w:rsidR="001F18F7">
        <w:t xml:space="preserve"> DNS settings</w:t>
      </w:r>
      <w:r w:rsidR="00ED2A3B">
        <w:t>.</w:t>
      </w:r>
      <w:r>
        <w:t xml:space="preserve"> </w:t>
      </w:r>
      <w:r w:rsidR="00ED2A3B">
        <w:t>T</w:t>
      </w:r>
      <w:r>
        <w:t>here</w:t>
      </w:r>
      <w:r w:rsidR="00ED2A3B">
        <w:t xml:space="preserve"> </w:t>
      </w:r>
      <w:r>
        <w:t>h</w:t>
      </w:r>
      <w:r w:rsidR="00ED2A3B">
        <w:t>a</w:t>
      </w:r>
      <w:r>
        <w:t>ve also been e</w:t>
      </w:r>
      <w:r w:rsidR="001F18F7" w:rsidRPr="009756C6">
        <w:t xml:space="preserve">xtremely </w:t>
      </w:r>
      <w:r>
        <w:t>c</w:t>
      </w:r>
      <w:r w:rsidR="001F18F7" w:rsidRPr="009756C6">
        <w:t xml:space="preserve">ritical </w:t>
      </w:r>
      <w:r w:rsidR="002C621B">
        <w:t xml:space="preserve">minority </w:t>
      </w:r>
      <w:r>
        <w:t>r</w:t>
      </w:r>
      <w:r w:rsidR="001F18F7" w:rsidRPr="009756C6">
        <w:t>espons</w:t>
      </w:r>
      <w:r>
        <w:t xml:space="preserve">es </w:t>
      </w:r>
      <w:r w:rsidR="002C621B">
        <w:t>that described</w:t>
      </w:r>
      <w:r>
        <w:t xml:space="preserve"> C</w:t>
      </w:r>
      <w:r w:rsidR="00ED2A3B">
        <w:t>h</w:t>
      </w:r>
      <w:r>
        <w:t>ina as a freer</w:t>
      </w:r>
      <w:r w:rsidR="00ED2A3B">
        <w:t xml:space="preserve"> </w:t>
      </w:r>
      <w:r>
        <w:t>country ("</w:t>
      </w:r>
      <w:r w:rsidR="001F18F7">
        <w:t>not even China does this</w:t>
      </w:r>
      <w:r>
        <w:t xml:space="preserve"> hars</w:t>
      </w:r>
      <w:r w:rsidR="00ED2A3B">
        <w:t>h</w:t>
      </w:r>
      <w:r>
        <w:t xml:space="preserve"> a ban')</w:t>
      </w:r>
      <w:r w:rsidR="002C621B">
        <w:t>. Other bloggers</w:t>
      </w:r>
      <w:r>
        <w:t xml:space="preserve"> comme</w:t>
      </w:r>
      <w:r w:rsidR="00ED2A3B">
        <w:t>n</w:t>
      </w:r>
      <w:r>
        <w:t xml:space="preserve">ted that </w:t>
      </w:r>
      <w:r w:rsidR="002C621B">
        <w:t>such bans</w:t>
      </w:r>
      <w:r>
        <w:t xml:space="preserve"> were </w:t>
      </w:r>
      <w:r w:rsidR="005A1B74">
        <w:t>against</w:t>
      </w:r>
      <w:r w:rsidR="00ED2A3B">
        <w:t xml:space="preserve"> </w:t>
      </w:r>
      <w:r>
        <w:t xml:space="preserve">basic </w:t>
      </w:r>
      <w:r w:rsidR="001F18F7">
        <w:t>freedom</w:t>
      </w:r>
      <w:r>
        <w:t xml:space="preserve">s, and called the ban illegal. There were a few comments that </w:t>
      </w:r>
      <w:r w:rsidR="001F18F7">
        <w:t>call</w:t>
      </w:r>
      <w:r>
        <w:t>ed</w:t>
      </w:r>
      <w:r w:rsidR="001F18F7">
        <w:t xml:space="preserve"> blog</w:t>
      </w:r>
      <w:r w:rsidR="00ED2A3B">
        <w:t>g</w:t>
      </w:r>
      <w:r>
        <w:t>ers</w:t>
      </w:r>
      <w:r w:rsidR="001F18F7">
        <w:t xml:space="preserve"> to rise against government</w:t>
      </w:r>
      <w:r w:rsidR="002C621B">
        <w:t xml:space="preserve">. </w:t>
      </w:r>
      <w:r w:rsidRPr="009756C6">
        <w:t>In opposition to ext</w:t>
      </w:r>
      <w:r w:rsidR="00ED2A3B">
        <w:t>r</w:t>
      </w:r>
      <w:r w:rsidRPr="009756C6">
        <w:t>emist calls c</w:t>
      </w:r>
      <w:r w:rsidR="001F18F7" w:rsidRPr="009756C6">
        <w:t xml:space="preserve">omplacent </w:t>
      </w:r>
      <w:r w:rsidRPr="009756C6">
        <w:t>r</w:t>
      </w:r>
      <w:r w:rsidR="001F18F7" w:rsidRPr="009756C6">
        <w:t>esponses</w:t>
      </w:r>
      <w:r w:rsidRPr="009756C6">
        <w:t xml:space="preserve"> included that the ban</w:t>
      </w:r>
      <w:r>
        <w:t xml:space="preserve"> </w:t>
      </w:r>
      <w:r w:rsidRPr="009756C6">
        <w:t>"</w:t>
      </w:r>
      <w:r>
        <w:t>was</w:t>
      </w:r>
      <w:r w:rsidR="001F18F7" w:rsidRPr="001F18F7">
        <w:t xml:space="preserve"> a good thing</w:t>
      </w:r>
      <w:r>
        <w:t xml:space="preserve">", that "even </w:t>
      </w:r>
      <w:r w:rsidR="001F18F7" w:rsidRPr="001F18F7">
        <w:t xml:space="preserve">China does it </w:t>
      </w:r>
      <w:r>
        <w:t>so it must be good"</w:t>
      </w:r>
    </w:p>
    <w:p w:rsidR="001F18F7" w:rsidRDefault="001F18F7" w:rsidP="00136017">
      <w:pPr>
        <w:spacing w:line="480" w:lineRule="auto"/>
        <w:jc w:val="both"/>
        <w:rPr>
          <w:b/>
        </w:rPr>
      </w:pPr>
    </w:p>
    <w:p w:rsidR="001F18F7" w:rsidRDefault="001F18F7" w:rsidP="00136017">
      <w:pPr>
        <w:spacing w:line="480" w:lineRule="auto"/>
        <w:jc w:val="both"/>
        <w:rPr>
          <w:b/>
        </w:rPr>
      </w:pPr>
      <w:r>
        <w:rPr>
          <w:b/>
        </w:rPr>
        <w:t>c-</w:t>
      </w:r>
      <w:r w:rsidR="007F22A9">
        <w:rPr>
          <w:b/>
        </w:rPr>
        <w:t xml:space="preserve"> </w:t>
      </w:r>
      <w:r>
        <w:rPr>
          <w:b/>
        </w:rPr>
        <w:t>Anon</w:t>
      </w:r>
      <w:r w:rsidR="005A1B74">
        <w:rPr>
          <w:b/>
        </w:rPr>
        <w:t>y</w:t>
      </w:r>
      <w:r>
        <w:rPr>
          <w:b/>
        </w:rPr>
        <w:t>mity of the user increases the level of criticism and participation</w:t>
      </w:r>
    </w:p>
    <w:p w:rsidR="001F18F7" w:rsidRPr="001F18F7" w:rsidRDefault="001F18F7" w:rsidP="00136017">
      <w:pPr>
        <w:spacing w:line="480" w:lineRule="auto"/>
        <w:jc w:val="both"/>
      </w:pPr>
      <w:r w:rsidRPr="002C621B">
        <w:rPr>
          <w:i/>
        </w:rPr>
        <w:lastRenderedPageBreak/>
        <w:t>Eksi sozluk</w:t>
      </w:r>
      <w:r w:rsidRPr="001F18F7">
        <w:t xml:space="preserve"> users had most innovative and critical voice since day 1 of the ban</w:t>
      </w:r>
      <w:r w:rsidR="009756C6">
        <w:t>. W</w:t>
      </w:r>
      <w:r w:rsidR="00ED2A3B">
        <w:t>h</w:t>
      </w:r>
      <w:r w:rsidR="009756C6">
        <w:t>en it came to cr</w:t>
      </w:r>
      <w:r w:rsidR="00ED2A3B">
        <w:t>i</w:t>
      </w:r>
      <w:r w:rsidR="009756C6">
        <w:t>tici</w:t>
      </w:r>
      <w:r w:rsidR="00ED2A3B">
        <w:t>z</w:t>
      </w:r>
      <w:r w:rsidR="009756C6">
        <w:t>ing the T</w:t>
      </w:r>
      <w:r w:rsidR="00ED2A3B">
        <w:t>u</w:t>
      </w:r>
      <w:r w:rsidR="009756C6">
        <w:t>rkish governm</w:t>
      </w:r>
      <w:r w:rsidR="00ED2A3B">
        <w:t>e</w:t>
      </w:r>
      <w:r w:rsidR="009756C6">
        <w:t>n</w:t>
      </w:r>
      <w:r w:rsidR="00ED2A3B">
        <w:t>t</w:t>
      </w:r>
      <w:r w:rsidR="009756C6">
        <w:t xml:space="preserve"> on YouT</w:t>
      </w:r>
      <w:r w:rsidR="00ED2A3B">
        <w:t>u</w:t>
      </w:r>
      <w:r w:rsidR="009756C6">
        <w:t>be ban issue they were able to expresses all kinds o</w:t>
      </w:r>
      <w:r w:rsidR="00ED2A3B">
        <w:t>f</w:t>
      </w:r>
      <w:r w:rsidR="009756C6">
        <w:t xml:space="preserve"> ext</w:t>
      </w:r>
      <w:r w:rsidR="00ED2A3B">
        <w:t>remi</w:t>
      </w:r>
      <w:r w:rsidR="009756C6">
        <w:t>st view or s</w:t>
      </w:r>
      <w:r w:rsidR="00ED2A3B">
        <w:t>o</w:t>
      </w:r>
      <w:r w:rsidR="009756C6">
        <w:t>metimes views that were in favor.</w:t>
      </w:r>
    </w:p>
    <w:p w:rsidR="001F18F7" w:rsidRDefault="001F18F7" w:rsidP="001F18F7">
      <w:pPr>
        <w:jc w:val="both"/>
        <w:rPr>
          <w:b/>
        </w:rPr>
      </w:pPr>
    </w:p>
    <w:p w:rsidR="001F18F7" w:rsidRDefault="001F18F7" w:rsidP="001F18F7">
      <w:pPr>
        <w:jc w:val="both"/>
        <w:rPr>
          <w:b/>
        </w:rPr>
      </w:pPr>
      <w:r>
        <w:rPr>
          <w:b/>
        </w:rPr>
        <w:t>d-</w:t>
      </w:r>
      <w:r w:rsidR="007F22A9">
        <w:rPr>
          <w:b/>
        </w:rPr>
        <w:t xml:space="preserve"> </w:t>
      </w:r>
      <w:r>
        <w:rPr>
          <w:b/>
        </w:rPr>
        <w:t>Both the government authorities and NGOs expect individual action but demand organized corporate action</w:t>
      </w:r>
    </w:p>
    <w:p w:rsidR="005A1B74" w:rsidRDefault="005A1B74" w:rsidP="001F18F7">
      <w:pPr>
        <w:jc w:val="both"/>
      </w:pPr>
    </w:p>
    <w:p w:rsidR="001F18F7" w:rsidRPr="001F18F7" w:rsidRDefault="00D03AA5" w:rsidP="007F22A9">
      <w:pPr>
        <w:spacing w:line="480" w:lineRule="auto"/>
        <w:jc w:val="both"/>
      </w:pPr>
      <w:r>
        <w:t>In the length</w:t>
      </w:r>
      <w:r w:rsidR="005A1B74">
        <w:t>y interviews conducted with both the prosecutor-judges who imposed the ban and those NGO chairmen who filed a claim at European Human Rights courts demand</w:t>
      </w:r>
      <w:r w:rsidR="009756C6">
        <w:t>ed</w:t>
      </w:r>
      <w:r w:rsidR="001F18F7">
        <w:t xml:space="preserve"> </w:t>
      </w:r>
      <w:r w:rsidR="005A1B74">
        <w:t>that</w:t>
      </w:r>
      <w:r w:rsidR="001F18F7" w:rsidRPr="001F18F7">
        <w:t xml:space="preserve"> </w:t>
      </w:r>
      <w:r w:rsidR="001F18F7">
        <w:t>Turkish inte</w:t>
      </w:r>
      <w:r w:rsidR="005A1B74">
        <w:t>r</w:t>
      </w:r>
      <w:r w:rsidR="001F18F7">
        <w:t>net users raise their voices</w:t>
      </w:r>
      <w:r w:rsidR="005A1B74">
        <w:t>. Yet in conflicting statements</w:t>
      </w:r>
      <w:r w:rsidR="001F18F7">
        <w:t xml:space="preserve"> </w:t>
      </w:r>
      <w:r w:rsidR="009756C6">
        <w:t>sees in eksi sozluk comments unde</w:t>
      </w:r>
      <w:r w:rsidR="00364F3F">
        <w:t xml:space="preserve">r </w:t>
      </w:r>
      <w:r w:rsidR="009756C6">
        <w:t>the You</w:t>
      </w:r>
      <w:r w:rsidR="00ED2A3B">
        <w:t>T</w:t>
      </w:r>
      <w:r w:rsidR="009756C6">
        <w:t>ube ban e</w:t>
      </w:r>
      <w:r w:rsidR="00364F3F">
        <w:t>n</w:t>
      </w:r>
      <w:r w:rsidR="00ED2A3B">
        <w:t>t</w:t>
      </w:r>
      <w:r w:rsidR="009756C6">
        <w:t xml:space="preserve">ry, </w:t>
      </w:r>
      <w:r w:rsidR="001F18F7">
        <w:t>the</w:t>
      </w:r>
      <w:r w:rsidR="009756C6">
        <w:t xml:space="preserve"> bloggers</w:t>
      </w:r>
      <w:r w:rsidR="001F18F7">
        <w:t xml:space="preserve"> claim</w:t>
      </w:r>
      <w:r w:rsidR="009756C6">
        <w:t>ed</w:t>
      </w:r>
      <w:r w:rsidR="001F18F7">
        <w:t xml:space="preserve"> that they need</w:t>
      </w:r>
      <w:r w:rsidR="009756C6">
        <w:t>ed</w:t>
      </w:r>
      <w:r w:rsidR="001F18F7">
        <w:t xml:space="preserve"> </w:t>
      </w:r>
      <w:r w:rsidR="005A1B74">
        <w:t>organized third parties</w:t>
      </w:r>
      <w:r w:rsidR="009756C6">
        <w:t xml:space="preserve">, </w:t>
      </w:r>
      <w:r w:rsidR="009756C6" w:rsidRPr="009756C6">
        <w:rPr>
          <w:i/>
        </w:rPr>
        <w:t>other t</w:t>
      </w:r>
      <w:r w:rsidR="009756C6">
        <w:rPr>
          <w:i/>
        </w:rPr>
        <w:t>h</w:t>
      </w:r>
      <w:r w:rsidR="009756C6" w:rsidRPr="009756C6">
        <w:rPr>
          <w:i/>
        </w:rPr>
        <w:t>an themselves</w:t>
      </w:r>
      <w:r w:rsidR="009756C6">
        <w:t xml:space="preserve">, </w:t>
      </w:r>
      <w:r w:rsidR="005A1B74">
        <w:t>(</w:t>
      </w:r>
      <w:r w:rsidR="009756C6">
        <w:t>such as</w:t>
      </w:r>
      <w:r w:rsidR="00364F3F">
        <w:t xml:space="preserve"> </w:t>
      </w:r>
      <w:r w:rsidR="005A1B74">
        <w:t xml:space="preserve">a united Internet Users Platform) </w:t>
      </w:r>
      <w:r w:rsidR="00364F3F">
        <w:t>to take legal action against</w:t>
      </w:r>
      <w:r w:rsidR="005A1B74">
        <w:t xml:space="preserve"> the ban.</w:t>
      </w:r>
      <w:r w:rsidR="001F18F7" w:rsidRPr="001F18F7">
        <w:t xml:space="preserve"> 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E62DDF" w:rsidRPr="007A66DE" w:rsidRDefault="00E62DDF" w:rsidP="009208E5">
      <w:pPr>
        <w:spacing w:line="480" w:lineRule="auto"/>
        <w:jc w:val="both"/>
        <w:rPr>
          <w:b/>
        </w:rPr>
      </w:pPr>
      <w:r w:rsidRPr="007A66DE">
        <w:rPr>
          <w:b/>
        </w:rPr>
        <w:t>Conclusion</w:t>
      </w:r>
    </w:p>
    <w:p w:rsidR="001760CD" w:rsidRPr="007A66DE" w:rsidRDefault="00410F9B" w:rsidP="009208E5">
      <w:pPr>
        <w:spacing w:line="480" w:lineRule="auto"/>
        <w:jc w:val="both"/>
      </w:pPr>
      <w:r w:rsidRPr="007A66DE">
        <w:t xml:space="preserve">In terms of citizenship and democracy and </w:t>
      </w:r>
      <w:r w:rsidR="00364F3F">
        <w:t>Y</w:t>
      </w:r>
      <w:r w:rsidRPr="007A66DE">
        <w:t>ou</w:t>
      </w:r>
      <w:r w:rsidR="00364F3F">
        <w:t>T</w:t>
      </w:r>
      <w:r w:rsidRPr="007A66DE">
        <w:t xml:space="preserve">ube ban in Turkey </w:t>
      </w:r>
      <w:r w:rsidR="00364F3F">
        <w:t xml:space="preserve">between 2007-10 </w:t>
      </w:r>
      <w:r w:rsidRPr="007A66DE">
        <w:t>show</w:t>
      </w:r>
      <w:r w:rsidR="00364F3F">
        <w:t>ed</w:t>
      </w:r>
      <w:r w:rsidRPr="007A66DE">
        <w:t xml:space="preserve"> that </w:t>
      </w:r>
      <w:r w:rsidR="00364F3F">
        <w:t>the</w:t>
      </w:r>
      <w:r w:rsidRPr="007A66DE">
        <w:t xml:space="preserve"> pol</w:t>
      </w:r>
      <w:r>
        <w:t>i</w:t>
      </w:r>
      <w:r w:rsidRPr="007A66DE">
        <w:t>tical el</w:t>
      </w:r>
      <w:r>
        <w:t>it</w:t>
      </w:r>
      <w:r w:rsidRPr="007A66DE">
        <w:t>e</w:t>
      </w:r>
      <w:r>
        <w:t>s</w:t>
      </w:r>
      <w:r w:rsidRPr="007A66DE">
        <w:t xml:space="preserve"> </w:t>
      </w:r>
      <w:r w:rsidR="00364F3F">
        <w:t xml:space="preserve">of the time created a legal regulatory framework that </w:t>
      </w:r>
      <w:r w:rsidRPr="007A66DE">
        <w:t>treat</w:t>
      </w:r>
      <w:r w:rsidR="00364F3F">
        <w:t>ed</w:t>
      </w:r>
      <w:r w:rsidRPr="007A66DE">
        <w:t xml:space="preserve"> citizens as children tryin</w:t>
      </w:r>
      <w:r>
        <w:t xml:space="preserve">g to prevent them from harming </w:t>
      </w:r>
      <w:r w:rsidRPr="007A66DE">
        <w:t>t</w:t>
      </w:r>
      <w:r>
        <w:t>hemselves</w:t>
      </w:r>
      <w:r w:rsidRPr="007A66DE">
        <w:t xml:space="preserve">. </w:t>
      </w:r>
      <w:r w:rsidR="00364F3F">
        <w:t xml:space="preserve">This aspect is voiced through the public comments of prosecutors and judges. Even then there was also legal confusion as </w:t>
      </w:r>
      <w:r w:rsidRPr="007A66DE">
        <w:t>two different courts c</w:t>
      </w:r>
      <w:r w:rsidR="00364F3F">
        <w:t>ould</w:t>
      </w:r>
      <w:r w:rsidRPr="007A66DE">
        <w:t xml:space="preserve"> issue conflicting orders</w:t>
      </w:r>
      <w:r w:rsidR="00364F3F">
        <w:t xml:space="preserve"> one lifting ban and another reinstating it the same day. Turkish </w:t>
      </w:r>
      <w:r w:rsidRPr="007A66DE">
        <w:t>c</w:t>
      </w:r>
      <w:r>
        <w:t>i</w:t>
      </w:r>
      <w:r w:rsidRPr="007A66DE">
        <w:t>t</w:t>
      </w:r>
      <w:r>
        <w:t>i</w:t>
      </w:r>
      <w:r w:rsidRPr="007A66DE">
        <w:t xml:space="preserve">zens </w:t>
      </w:r>
      <w:r w:rsidR="00364F3F">
        <w:t xml:space="preserve">had to openly </w:t>
      </w:r>
      <w:r w:rsidRPr="007A66DE">
        <w:t xml:space="preserve">commit crime by reaching the internet whereas </w:t>
      </w:r>
      <w:r>
        <w:t>governme</w:t>
      </w:r>
      <w:r w:rsidRPr="007A66DE">
        <w:t>n</w:t>
      </w:r>
      <w:r>
        <w:t>t</w:t>
      </w:r>
      <w:r w:rsidRPr="007A66DE">
        <w:t xml:space="preserve"> offic</w:t>
      </w:r>
      <w:r>
        <w:t>i</w:t>
      </w:r>
      <w:r w:rsidRPr="007A66DE">
        <w:t xml:space="preserve">als </w:t>
      </w:r>
      <w:r w:rsidR="00364F3F">
        <w:t xml:space="preserve">such as PM Erdogan and the President Gul who had the means to change the law instead </w:t>
      </w:r>
      <w:r w:rsidRPr="007A66DE">
        <w:t>encourage</w:t>
      </w:r>
      <w:r w:rsidR="00364F3F">
        <w:t>d</w:t>
      </w:r>
      <w:r w:rsidRPr="007A66DE">
        <w:t xml:space="preserve"> citizens to </w:t>
      </w:r>
      <w:r w:rsidR="00364F3F">
        <w:t>break it</w:t>
      </w:r>
      <w:r w:rsidRPr="007A66DE">
        <w:t>.</w:t>
      </w:r>
      <w:r>
        <w:t xml:space="preserve"> </w:t>
      </w:r>
      <w:r w:rsidR="00DB5404" w:rsidRPr="007A66DE">
        <w:t>F</w:t>
      </w:r>
      <w:r w:rsidR="00303143" w:rsidRPr="007A66DE">
        <w:t>indings</w:t>
      </w:r>
      <w:r w:rsidR="00DB5404" w:rsidRPr="007A66DE">
        <w:t xml:space="preserve"> </w:t>
      </w:r>
      <w:r w:rsidR="00364F3F">
        <w:t xml:space="preserve">of the analysis from </w:t>
      </w:r>
      <w:r w:rsidR="00364F3F" w:rsidRPr="00ED2A3B">
        <w:rPr>
          <w:i/>
        </w:rPr>
        <w:t>eksi sozluk</w:t>
      </w:r>
      <w:r w:rsidR="00364F3F">
        <w:t xml:space="preserve"> You</w:t>
      </w:r>
      <w:r w:rsidR="00ED2A3B">
        <w:t>T</w:t>
      </w:r>
      <w:r w:rsidR="00364F3F">
        <w:t>ube ban en</w:t>
      </w:r>
      <w:r w:rsidR="00ED2A3B">
        <w:t>t</w:t>
      </w:r>
      <w:r w:rsidR="00364F3F">
        <w:t xml:space="preserve">ries </w:t>
      </w:r>
      <w:r w:rsidR="00DB5404" w:rsidRPr="007A66DE">
        <w:t>could be</w:t>
      </w:r>
      <w:r w:rsidR="00F63FE9" w:rsidRPr="007A66DE">
        <w:t xml:space="preserve"> summarized this way: </w:t>
      </w:r>
      <w:r w:rsidR="00DB5404" w:rsidRPr="007A66DE">
        <w:t>Th</w:t>
      </w:r>
      <w:r w:rsidR="00F63FE9" w:rsidRPr="007A66DE">
        <w:t>e</w:t>
      </w:r>
      <w:r w:rsidR="00DB5404" w:rsidRPr="007A66DE">
        <w:t xml:space="preserve"> response </w:t>
      </w:r>
      <w:r w:rsidR="00F63FE9" w:rsidRPr="007A66DE">
        <w:t xml:space="preserve">to </w:t>
      </w:r>
      <w:r w:rsidR="00ED2A3B">
        <w:t>Y</w:t>
      </w:r>
      <w:r w:rsidR="00F63FE9" w:rsidRPr="007A66DE">
        <w:t>ou</w:t>
      </w:r>
      <w:r w:rsidR="00ED2A3B">
        <w:t>T</w:t>
      </w:r>
      <w:r w:rsidR="00F63FE9" w:rsidRPr="007A66DE">
        <w:t>ube ban that com</w:t>
      </w:r>
      <w:r w:rsidR="00364F3F">
        <w:t>e</w:t>
      </w:r>
      <w:r w:rsidR="00F63FE9" w:rsidRPr="007A66DE">
        <w:t xml:space="preserve"> </w:t>
      </w:r>
      <w:r w:rsidR="00DB5404" w:rsidRPr="007A66DE">
        <w:t xml:space="preserve">from </w:t>
      </w:r>
      <w:r w:rsidR="00D03AA5">
        <w:t xml:space="preserve">Turkish internet users (from below) </w:t>
      </w:r>
      <w:r w:rsidR="00364F3F">
        <w:t>wa</w:t>
      </w:r>
      <w:r w:rsidR="00D03AA5">
        <w:t xml:space="preserve">s critical in times of </w:t>
      </w:r>
      <w:r>
        <w:lastRenderedPageBreak/>
        <w:t xml:space="preserve">global events effecting the usage of </w:t>
      </w:r>
      <w:r w:rsidR="00D03AA5">
        <w:t>internet</w:t>
      </w:r>
      <w:r w:rsidR="00DB5404" w:rsidRPr="007A66DE">
        <w:t xml:space="preserve"> </w:t>
      </w:r>
      <w:r w:rsidR="00D03AA5">
        <w:t xml:space="preserve">and </w:t>
      </w:r>
      <w:r w:rsidR="00364F3F">
        <w:t>wa</w:t>
      </w:r>
      <w:r w:rsidR="00D03AA5">
        <w:t xml:space="preserve">s not silenced between these </w:t>
      </w:r>
      <w:r>
        <w:t>eve</w:t>
      </w:r>
      <w:r w:rsidR="00D03AA5">
        <w:t>n</w:t>
      </w:r>
      <w:r>
        <w:t>t</w:t>
      </w:r>
      <w:r w:rsidR="00D03AA5">
        <w:t>s. As</w:t>
      </w:r>
      <w:r>
        <w:t xml:space="preserve"> </w:t>
      </w:r>
      <w:r w:rsidR="00D03AA5">
        <w:t>long as they remain</w:t>
      </w:r>
      <w:r w:rsidR="00364F3F">
        <w:t>ed</w:t>
      </w:r>
      <w:r w:rsidR="00D03AA5">
        <w:t xml:space="preserve"> anonymous (n</w:t>
      </w:r>
      <w:r>
        <w:t>o</w:t>
      </w:r>
      <w:r w:rsidR="00D03AA5">
        <w:t xml:space="preserve">t organized action) </w:t>
      </w:r>
      <w:r w:rsidR="00F63FE9" w:rsidRPr="007A66DE">
        <w:t xml:space="preserve">Turkish </w:t>
      </w:r>
      <w:r w:rsidR="00364F3F">
        <w:t>bloggers</w:t>
      </w:r>
      <w:r w:rsidR="00AA16B4" w:rsidRPr="007A66DE">
        <w:t xml:space="preserve"> utiliz</w:t>
      </w:r>
      <w:r w:rsidR="00364F3F">
        <w:t>ed</w:t>
      </w:r>
      <w:r w:rsidR="00AA16B4" w:rsidRPr="007A66DE">
        <w:t xml:space="preserve"> the</w:t>
      </w:r>
      <w:r w:rsidR="00F63FE9" w:rsidRPr="007A66DE">
        <w:t>ir</w:t>
      </w:r>
      <w:r w:rsidR="00AA16B4" w:rsidRPr="007A66DE">
        <w:t xml:space="preserve"> rights </w:t>
      </w:r>
      <w:r w:rsidR="00F63FE9" w:rsidRPr="007A66DE">
        <w:t xml:space="preserve">for </w:t>
      </w:r>
      <w:r w:rsidR="00364F3F">
        <w:t xml:space="preserve">online </w:t>
      </w:r>
      <w:r w:rsidR="00F63FE9" w:rsidRPr="007A66DE">
        <w:t>expression.</w:t>
      </w:r>
      <w:r w:rsidR="00CB76C4" w:rsidRPr="007A66DE">
        <w:t xml:space="preserve"> This indicates a s</w:t>
      </w:r>
      <w:r w:rsidR="007E45F8" w:rsidRPr="007A66DE">
        <w:t>hift in attitude people now value and fight for their rights</w:t>
      </w:r>
      <w:r w:rsidR="00CB76C4" w:rsidRPr="007A66DE">
        <w:t xml:space="preserve">. </w:t>
      </w:r>
      <w:r w:rsidR="00364F3F">
        <w:t xml:space="preserve">Turkish bloggers could use internet forums such as eksi sozluk as it was new </w:t>
      </w:r>
      <w:r w:rsidR="00CB76C4" w:rsidRPr="007A66DE">
        <w:t>type of media n</w:t>
      </w:r>
      <w:r w:rsidR="001760CD" w:rsidRPr="007A66DE">
        <w:t>ot like older media where finance techn</w:t>
      </w:r>
      <w:r w:rsidR="001F697F">
        <w:t>o</w:t>
      </w:r>
      <w:r w:rsidR="00CB76C4" w:rsidRPr="007A66DE">
        <w:t>l</w:t>
      </w:r>
      <w:r w:rsidR="001F697F">
        <w:t>ogy</w:t>
      </w:r>
      <w:r w:rsidR="00CB76C4" w:rsidRPr="007A66DE">
        <w:t xml:space="preserve"> and</w:t>
      </w:r>
      <w:r w:rsidR="001760CD" w:rsidRPr="007A66DE">
        <w:t xml:space="preserve"> </w:t>
      </w:r>
      <w:r w:rsidR="001F697F">
        <w:t xml:space="preserve">infrastructure </w:t>
      </w:r>
      <w:r w:rsidR="001760CD" w:rsidRPr="007A66DE">
        <w:t xml:space="preserve">are owned </w:t>
      </w:r>
      <w:r w:rsidR="00CB76C4" w:rsidRPr="007A66DE">
        <w:t xml:space="preserve">and controlled </w:t>
      </w:r>
      <w:r w:rsidR="001760CD" w:rsidRPr="007A66DE">
        <w:t xml:space="preserve">by </w:t>
      </w:r>
      <w:r w:rsidR="00CB76C4" w:rsidRPr="007A66DE">
        <w:t xml:space="preserve">an </w:t>
      </w:r>
      <w:r w:rsidR="001760CD" w:rsidRPr="007A66DE">
        <w:t>elite</w:t>
      </w:r>
      <w:r w:rsidR="00CB76C4" w:rsidRPr="007A66DE">
        <w:t xml:space="preserve"> group</w:t>
      </w:r>
      <w:r w:rsidR="00364F3F">
        <w:t xml:space="preserve"> (</w:t>
      </w:r>
      <w:proofErr w:type="spellStart"/>
      <w:r w:rsidR="00364F3F">
        <w:t>conglamorates</w:t>
      </w:r>
      <w:proofErr w:type="spellEnd"/>
      <w:r w:rsidR="00364F3F">
        <w:t xml:space="preserve"> like Dogan)</w:t>
      </w:r>
      <w:r w:rsidR="00CB76C4" w:rsidRPr="007A66DE">
        <w:t xml:space="preserve">. It </w:t>
      </w:r>
      <w:r w:rsidR="00364F3F">
        <w:t>was</w:t>
      </w:r>
      <w:r w:rsidR="00CB76C4" w:rsidRPr="007A66DE">
        <w:t xml:space="preserve"> b</w:t>
      </w:r>
      <w:r w:rsidR="001760CD" w:rsidRPr="007A66DE">
        <w:t>ut a more democratic and interacti</w:t>
      </w:r>
      <w:r w:rsidR="00CB76C4" w:rsidRPr="007A66DE">
        <w:t>v</w:t>
      </w:r>
      <w:r w:rsidR="001760CD" w:rsidRPr="007A66DE">
        <w:t xml:space="preserve">e </w:t>
      </w:r>
      <w:r w:rsidR="00CB76C4" w:rsidRPr="007A66DE">
        <w:t xml:space="preserve">and </w:t>
      </w:r>
      <w:r w:rsidR="001F697F">
        <w:t>participa</w:t>
      </w:r>
      <w:r w:rsidR="001760CD" w:rsidRPr="007A66DE">
        <w:t>t</w:t>
      </w:r>
      <w:r w:rsidR="00CB76C4" w:rsidRPr="007A66DE">
        <w:t>o</w:t>
      </w:r>
      <w:r w:rsidR="001760CD" w:rsidRPr="007A66DE">
        <w:t xml:space="preserve">ry </w:t>
      </w:r>
      <w:r w:rsidR="00CB76C4" w:rsidRPr="007A66DE">
        <w:t xml:space="preserve">type of </w:t>
      </w:r>
      <w:r w:rsidR="001760CD" w:rsidRPr="007A66DE">
        <w:t>media</w:t>
      </w:r>
      <w:r w:rsidR="00CB76C4" w:rsidRPr="007A66DE">
        <w:t>.</w:t>
      </w:r>
    </w:p>
    <w:p w:rsidR="002635CF" w:rsidRDefault="002635CF" w:rsidP="009208E5">
      <w:pPr>
        <w:spacing w:line="480" w:lineRule="auto"/>
        <w:jc w:val="both"/>
      </w:pPr>
    </w:p>
    <w:p w:rsidR="00A35328" w:rsidRDefault="00473659" w:rsidP="00364F3F">
      <w:pPr>
        <w:spacing w:line="480" w:lineRule="auto"/>
        <w:jc w:val="both"/>
      </w:pPr>
      <w:r w:rsidRPr="007A66DE">
        <w:t xml:space="preserve">Turkish </w:t>
      </w:r>
      <w:r w:rsidR="00D03AA5">
        <w:t>NGOs on the</w:t>
      </w:r>
      <w:r w:rsidR="00410F9B">
        <w:t xml:space="preserve"> </w:t>
      </w:r>
      <w:r w:rsidR="00D03AA5">
        <w:t>other hand prefer</w:t>
      </w:r>
      <w:r w:rsidR="00364F3F">
        <w:t>red</w:t>
      </w:r>
      <w:r w:rsidR="00D03AA5">
        <w:t xml:space="preserve"> to use older media such as print and television to champion their cau</w:t>
      </w:r>
      <w:r w:rsidR="00410F9B">
        <w:t>s</w:t>
      </w:r>
      <w:r w:rsidR="00D03AA5">
        <w:t>e</w:t>
      </w:r>
      <w:r w:rsidR="00364F3F">
        <w:t xml:space="preserve"> (</w:t>
      </w:r>
      <w:proofErr w:type="spellStart"/>
      <w:r w:rsidR="00364F3F">
        <w:t>Akgul</w:t>
      </w:r>
      <w:proofErr w:type="spellEnd"/>
      <w:r w:rsidR="00364F3F">
        <w:t xml:space="preserve"> and </w:t>
      </w:r>
      <w:proofErr w:type="spellStart"/>
      <w:r w:rsidR="00364F3F">
        <w:t>Kirlidog</w:t>
      </w:r>
      <w:proofErr w:type="spellEnd"/>
      <w:r w:rsidR="00364F3F">
        <w:t>, 2015)</w:t>
      </w:r>
      <w:r w:rsidR="00D03AA5">
        <w:t xml:space="preserve">. This group </w:t>
      </w:r>
      <w:r w:rsidR="00364F3F">
        <w:t>was consisting of</w:t>
      </w:r>
      <w:r w:rsidR="00D03AA5">
        <w:t xml:space="preserve"> trained professionals over age 34 who make a living off the inte</w:t>
      </w:r>
      <w:r w:rsidR="00410F9B">
        <w:t>rnet (mostly softwa</w:t>
      </w:r>
      <w:r w:rsidR="00D03AA5">
        <w:t xml:space="preserve">re engineers). On the opposite end of the political scale the </w:t>
      </w:r>
      <w:r w:rsidR="00410F9B">
        <w:t>government offi</w:t>
      </w:r>
      <w:r w:rsidR="00D03AA5">
        <w:t>c</w:t>
      </w:r>
      <w:r w:rsidR="00410F9B">
        <w:t>ia</w:t>
      </w:r>
      <w:r w:rsidR="002635CF">
        <w:t>l</w:t>
      </w:r>
      <w:r w:rsidR="00364F3F">
        <w:t>s</w:t>
      </w:r>
      <w:r w:rsidR="002635CF">
        <w:t xml:space="preserve"> who use</w:t>
      </w:r>
      <w:r w:rsidR="00364F3F">
        <w:t>d</w:t>
      </w:r>
      <w:r w:rsidR="002635CF">
        <w:t xml:space="preserve"> legal mean</w:t>
      </w:r>
      <w:r w:rsidR="00D03AA5">
        <w:t xml:space="preserve">s to ban </w:t>
      </w:r>
      <w:r w:rsidR="0022134C">
        <w:t>Y</w:t>
      </w:r>
      <w:r w:rsidR="00D03AA5">
        <w:t>ou</w:t>
      </w:r>
      <w:r w:rsidR="0022134C">
        <w:t>T</w:t>
      </w:r>
      <w:r w:rsidR="00D03AA5">
        <w:t>ube also use</w:t>
      </w:r>
      <w:r w:rsidR="00364F3F">
        <w:t>d</w:t>
      </w:r>
      <w:r w:rsidR="00D03AA5">
        <w:t xml:space="preserve"> older media to fight back criticism </w:t>
      </w:r>
      <w:r w:rsidR="00410F9B">
        <w:t>done through blogs by anonymous citizens</w:t>
      </w:r>
      <w:r w:rsidR="00364F3F">
        <w:t xml:space="preserve"> (television interviews)</w:t>
      </w:r>
      <w:r w:rsidR="00410F9B">
        <w:t xml:space="preserve">. </w:t>
      </w:r>
      <w:r w:rsidR="00364F3F">
        <w:t>In different interviews, b</w:t>
      </w:r>
      <w:r w:rsidR="00410F9B">
        <w:t xml:space="preserve">oth </w:t>
      </w:r>
      <w:r w:rsidR="00364F3F">
        <w:t xml:space="preserve">government officials and NGOs asked </w:t>
      </w:r>
      <w:r w:rsidR="00410F9B">
        <w:t xml:space="preserve">these bloggers to come out and pressure the government </w:t>
      </w:r>
      <w:r w:rsidR="00364F3F">
        <w:t>through</w:t>
      </w:r>
      <w:r w:rsidR="00410F9B">
        <w:t xml:space="preserve"> classical political means (petitions, demonstrations etc.). Ironically</w:t>
      </w:r>
      <w:r w:rsidR="00364F3F">
        <w:t>,</w:t>
      </w:r>
      <w:r w:rsidR="00410F9B">
        <w:t xml:space="preserve"> both the IT users NGOs and government officials demand</w:t>
      </w:r>
      <w:r w:rsidR="00364F3F">
        <w:t>ed</w:t>
      </w:r>
      <w:r w:rsidR="00410F9B">
        <w:t xml:space="preserve"> that these bloggers </w:t>
      </w:r>
      <w:r w:rsidR="00364F3F">
        <w:t xml:space="preserve">who were </w:t>
      </w:r>
      <w:r w:rsidR="00410F9B">
        <w:t xml:space="preserve">critical of the ban should </w:t>
      </w:r>
      <w:r w:rsidRPr="007A66DE">
        <w:t xml:space="preserve">view themselves entitled to certain rights and fight for it. </w:t>
      </w:r>
      <w:r w:rsidR="00364F3F">
        <w:t xml:space="preserve">By remaining anonymous the bloggers who criticized YouTube ban between 2007-10 were able to walk the fine line of participating in </w:t>
      </w:r>
      <w:r w:rsidR="001F697F">
        <w:t xml:space="preserve">a </w:t>
      </w:r>
      <w:r w:rsidR="00410F9B">
        <w:t xml:space="preserve">pluralist </w:t>
      </w:r>
      <w:r w:rsidR="001F697F">
        <w:t>democ</w:t>
      </w:r>
      <w:r w:rsidR="00364F3F">
        <w:t>ratic discussion online while remaining anonymous to avoid prosecution.</w:t>
      </w:r>
    </w:p>
    <w:p w:rsidR="002635CF" w:rsidRDefault="002635CF" w:rsidP="009208E5">
      <w:pPr>
        <w:spacing w:line="480" w:lineRule="auto"/>
        <w:jc w:val="both"/>
        <w:rPr>
          <w:b/>
        </w:rPr>
      </w:pPr>
    </w:p>
    <w:p w:rsidR="00E62733" w:rsidRPr="00335BB6" w:rsidRDefault="00E62733" w:rsidP="009208E5">
      <w:pPr>
        <w:spacing w:line="480" w:lineRule="auto"/>
        <w:jc w:val="both"/>
        <w:rPr>
          <w:b/>
        </w:rPr>
      </w:pPr>
      <w:r w:rsidRPr="00335BB6">
        <w:rPr>
          <w:b/>
        </w:rPr>
        <w:t>Bibliography:</w:t>
      </w:r>
    </w:p>
    <w:p w:rsidR="00AF5299" w:rsidRPr="0031673A" w:rsidRDefault="00AF5299" w:rsidP="009208E5">
      <w:pPr>
        <w:spacing w:line="480" w:lineRule="auto"/>
        <w:jc w:val="both"/>
        <w:rPr>
          <w:lang w:val="en-GB"/>
        </w:rPr>
      </w:pPr>
      <w:r w:rsidRPr="00AF5299">
        <w:rPr>
          <w:lang w:val="en-GB"/>
        </w:rPr>
        <w:lastRenderedPageBreak/>
        <w:t xml:space="preserve">Akin, Altug, and </w:t>
      </w:r>
      <w:proofErr w:type="spellStart"/>
      <w:r w:rsidRPr="00AF5299">
        <w:rPr>
          <w:lang w:val="en-GB"/>
        </w:rPr>
        <w:t>Doğan</w:t>
      </w:r>
      <w:proofErr w:type="spellEnd"/>
      <w:r w:rsidRPr="00AF5299">
        <w:rPr>
          <w:lang w:val="en-GB"/>
        </w:rPr>
        <w:t xml:space="preserve"> </w:t>
      </w:r>
      <w:proofErr w:type="spellStart"/>
      <w:r w:rsidRPr="00AF5299">
        <w:rPr>
          <w:lang w:val="en-GB"/>
        </w:rPr>
        <w:t>Emrah</w:t>
      </w:r>
      <w:proofErr w:type="spellEnd"/>
      <w:r w:rsidRPr="00AF5299">
        <w:rPr>
          <w:lang w:val="en-GB"/>
        </w:rPr>
        <w:t xml:space="preserve"> Zıraman. "Power struggle in/around the Turkish online realm and three forms of opposition: </w:t>
      </w:r>
      <w:proofErr w:type="spellStart"/>
      <w:r w:rsidRPr="00AF5299">
        <w:rPr>
          <w:lang w:val="en-GB"/>
        </w:rPr>
        <w:t>Redhack</w:t>
      </w:r>
      <w:proofErr w:type="spellEnd"/>
      <w:r w:rsidRPr="00AF5299">
        <w:rPr>
          <w:lang w:val="en-GB"/>
        </w:rPr>
        <w:t>, Alternative IS Association and personal resistances against YouTube ban." </w:t>
      </w:r>
      <w:r w:rsidRPr="00AF5299">
        <w:rPr>
          <w:i/>
          <w:iCs/>
          <w:lang w:val="en-GB"/>
        </w:rPr>
        <w:t>Global Media Journal: Mediterranean Edition</w:t>
      </w:r>
      <w:r w:rsidRPr="00AF5299">
        <w:rPr>
          <w:lang w:val="en-GB"/>
        </w:rPr>
        <w:t> 10, no. 1 (2015).</w:t>
      </w:r>
    </w:p>
    <w:p w:rsidR="00152C18" w:rsidRDefault="00152C18" w:rsidP="009208E5">
      <w:pPr>
        <w:spacing w:line="480" w:lineRule="auto"/>
        <w:jc w:val="both"/>
        <w:rPr>
          <w:lang w:val="en-GB"/>
        </w:rPr>
      </w:pPr>
    </w:p>
    <w:p w:rsidR="008418C4" w:rsidRDefault="008418C4" w:rsidP="009208E5">
      <w:pPr>
        <w:spacing w:line="480" w:lineRule="auto"/>
        <w:jc w:val="both"/>
        <w:rPr>
          <w:lang w:val="en-GB"/>
        </w:rPr>
      </w:pPr>
      <w:proofErr w:type="spellStart"/>
      <w:r w:rsidRPr="008418C4">
        <w:rPr>
          <w:lang w:val="en-GB"/>
        </w:rPr>
        <w:t>Akgul</w:t>
      </w:r>
      <w:proofErr w:type="spellEnd"/>
      <w:r w:rsidRPr="008418C4">
        <w:rPr>
          <w:lang w:val="en-GB"/>
        </w:rPr>
        <w:t xml:space="preserve">, Mustafa, and </w:t>
      </w:r>
      <w:proofErr w:type="spellStart"/>
      <w:r w:rsidRPr="008418C4">
        <w:rPr>
          <w:lang w:val="en-GB"/>
        </w:rPr>
        <w:t>Melih</w:t>
      </w:r>
      <w:proofErr w:type="spellEnd"/>
      <w:r w:rsidRPr="008418C4">
        <w:rPr>
          <w:lang w:val="en-GB"/>
        </w:rPr>
        <w:t xml:space="preserve"> </w:t>
      </w:r>
      <w:proofErr w:type="spellStart"/>
      <w:r w:rsidRPr="008418C4">
        <w:rPr>
          <w:lang w:val="en-GB"/>
        </w:rPr>
        <w:t>Kirlidog</w:t>
      </w:r>
      <w:proofErr w:type="spellEnd"/>
      <w:r w:rsidRPr="008418C4">
        <w:rPr>
          <w:lang w:val="en-GB"/>
        </w:rPr>
        <w:t>. "Internet censorship in Turkey." </w:t>
      </w:r>
      <w:r w:rsidRPr="008418C4">
        <w:rPr>
          <w:i/>
          <w:iCs/>
          <w:lang w:val="en-GB"/>
        </w:rPr>
        <w:t>Internet Policy Review</w:t>
      </w:r>
      <w:r w:rsidRPr="008418C4">
        <w:rPr>
          <w:lang w:val="en-GB"/>
        </w:rPr>
        <w:t> 4, no. 2 (2015): 1-22.</w:t>
      </w:r>
    </w:p>
    <w:p w:rsidR="00152C18" w:rsidRDefault="00152C18" w:rsidP="00811843">
      <w:pPr>
        <w:spacing w:line="480" w:lineRule="auto"/>
        <w:jc w:val="both"/>
        <w:rPr>
          <w:lang w:val="en-GB"/>
        </w:rPr>
      </w:pPr>
    </w:p>
    <w:p w:rsidR="00811843" w:rsidRDefault="00811843" w:rsidP="00811843">
      <w:pPr>
        <w:spacing w:line="480" w:lineRule="auto"/>
        <w:jc w:val="both"/>
        <w:rPr>
          <w:lang w:val="en-GB"/>
        </w:rPr>
      </w:pPr>
      <w:r w:rsidRPr="00811843">
        <w:rPr>
          <w:lang w:val="en-GB"/>
        </w:rPr>
        <w:t xml:space="preserve">Akser, Murat. "News Media Consolidation and Censorship in Turkey: From Liberal Ideals to Corporatist Realities." </w:t>
      </w:r>
      <w:r w:rsidRPr="00811843">
        <w:rPr>
          <w:i/>
          <w:lang w:val="en-GB"/>
        </w:rPr>
        <w:t>Mediterranean Quarterly</w:t>
      </w:r>
      <w:r w:rsidRPr="00811843">
        <w:rPr>
          <w:lang w:val="en-GB"/>
        </w:rPr>
        <w:t xml:space="preserve"> 29, no. 3 (2018): 78-97.</w:t>
      </w:r>
      <w:r w:rsidRPr="00811843">
        <w:rPr>
          <w:lang w:val="en-GB"/>
        </w:rPr>
        <w:tab/>
      </w:r>
    </w:p>
    <w:p w:rsidR="00152C18" w:rsidRDefault="00152C18" w:rsidP="009208E5">
      <w:pPr>
        <w:spacing w:line="480" w:lineRule="auto"/>
        <w:jc w:val="both"/>
        <w:rPr>
          <w:lang w:val="en-GB"/>
        </w:rPr>
      </w:pPr>
    </w:p>
    <w:p w:rsidR="008C2638" w:rsidRDefault="008C2638" w:rsidP="009208E5">
      <w:pPr>
        <w:spacing w:line="480" w:lineRule="auto"/>
        <w:jc w:val="both"/>
        <w:rPr>
          <w:lang w:val="en-GB"/>
        </w:rPr>
      </w:pPr>
      <w:r w:rsidRPr="008C2638">
        <w:rPr>
          <w:lang w:val="en-GB"/>
        </w:rPr>
        <w:t xml:space="preserve">Akser, Murat, and Banu </w:t>
      </w:r>
      <w:proofErr w:type="spellStart"/>
      <w:r w:rsidRPr="008C2638">
        <w:rPr>
          <w:lang w:val="en-GB"/>
        </w:rPr>
        <w:t>Baybars</w:t>
      </w:r>
      <w:proofErr w:type="spellEnd"/>
      <w:r w:rsidRPr="008C2638">
        <w:rPr>
          <w:lang w:val="en-GB"/>
        </w:rPr>
        <w:t xml:space="preserve">-Hawks. "Media and democracy in Turkey: Toward a model of neoliberal media autocracy." </w:t>
      </w:r>
      <w:r w:rsidRPr="0031673A">
        <w:rPr>
          <w:i/>
          <w:lang w:val="en-GB"/>
        </w:rPr>
        <w:t>Middle East Journal of Culture and Communication</w:t>
      </w:r>
      <w:r w:rsidRPr="008C2638">
        <w:rPr>
          <w:lang w:val="en-GB"/>
        </w:rPr>
        <w:t xml:space="preserve"> 5, no. 3 (2012): 302-321.</w:t>
      </w:r>
    </w:p>
    <w:p w:rsidR="00152C18" w:rsidRDefault="00152C18" w:rsidP="00C15C0B">
      <w:pPr>
        <w:spacing w:line="480" w:lineRule="auto"/>
        <w:jc w:val="both"/>
        <w:rPr>
          <w:lang w:val="en-GB"/>
        </w:rPr>
      </w:pPr>
    </w:p>
    <w:p w:rsidR="00C15C0B" w:rsidRPr="00C15C0B" w:rsidRDefault="00C15C0B" w:rsidP="00C15C0B">
      <w:pPr>
        <w:spacing w:line="480" w:lineRule="auto"/>
        <w:jc w:val="both"/>
        <w:rPr>
          <w:i/>
          <w:lang w:val="en-GB"/>
        </w:rPr>
      </w:pPr>
      <w:r w:rsidRPr="00C15C0B">
        <w:rPr>
          <w:lang w:val="en-GB"/>
        </w:rPr>
        <w:t>Akser</w:t>
      </w:r>
      <w:r>
        <w:rPr>
          <w:lang w:val="en-GB"/>
        </w:rPr>
        <w:t>,</w:t>
      </w:r>
      <w:r w:rsidRPr="00C15C0B">
        <w:rPr>
          <w:lang w:val="en-GB"/>
        </w:rPr>
        <w:t xml:space="preserve"> Murat </w:t>
      </w:r>
      <w:r>
        <w:rPr>
          <w:lang w:val="en-GB"/>
        </w:rPr>
        <w:t>and</w:t>
      </w:r>
      <w:r w:rsidRPr="00C15C0B">
        <w:rPr>
          <w:lang w:val="en-GB"/>
        </w:rPr>
        <w:t xml:space="preserve"> Victoria Mc</w:t>
      </w:r>
      <w:r w:rsidR="008C1B09">
        <w:rPr>
          <w:lang w:val="en-GB"/>
        </w:rPr>
        <w:t>C</w:t>
      </w:r>
      <w:r w:rsidRPr="00C15C0B">
        <w:rPr>
          <w:lang w:val="en-GB"/>
        </w:rPr>
        <w:t>ollum</w:t>
      </w:r>
      <w:r>
        <w:rPr>
          <w:lang w:val="en-GB"/>
        </w:rPr>
        <w:t xml:space="preserve"> eds. </w:t>
      </w:r>
      <w:r w:rsidRPr="00C15C0B">
        <w:rPr>
          <w:i/>
          <w:lang w:val="en-GB"/>
        </w:rPr>
        <w:t>Alternative Media in Contemporary Turkey:</w:t>
      </w:r>
    </w:p>
    <w:p w:rsidR="00C15C0B" w:rsidRPr="00C15C0B" w:rsidRDefault="00C15C0B" w:rsidP="00C15C0B">
      <w:pPr>
        <w:spacing w:line="480" w:lineRule="auto"/>
        <w:jc w:val="both"/>
        <w:rPr>
          <w:lang w:val="en-GB"/>
        </w:rPr>
      </w:pPr>
      <w:r w:rsidRPr="00C15C0B">
        <w:rPr>
          <w:i/>
          <w:lang w:val="en-GB"/>
        </w:rPr>
        <w:t>Sustainability, Activism, and Resistance</w:t>
      </w:r>
      <w:r>
        <w:rPr>
          <w:lang w:val="en-GB"/>
        </w:rPr>
        <w:t>. Rowman and Littlefield, 2018.</w:t>
      </w:r>
    </w:p>
    <w:p w:rsidR="00152C18" w:rsidRDefault="00152C18" w:rsidP="009208E5">
      <w:pPr>
        <w:spacing w:line="480" w:lineRule="auto"/>
        <w:jc w:val="both"/>
        <w:rPr>
          <w:lang w:val="en-GB"/>
        </w:rPr>
      </w:pPr>
    </w:p>
    <w:p w:rsidR="00C15C0B" w:rsidRPr="008418C4" w:rsidRDefault="00811843" w:rsidP="009208E5">
      <w:pPr>
        <w:spacing w:line="480" w:lineRule="auto"/>
        <w:jc w:val="both"/>
        <w:rPr>
          <w:lang w:val="en-GB"/>
        </w:rPr>
      </w:pPr>
      <w:proofErr w:type="spellStart"/>
      <w:r w:rsidRPr="00811843">
        <w:rPr>
          <w:lang w:val="en-GB"/>
        </w:rPr>
        <w:t>Algan</w:t>
      </w:r>
      <w:proofErr w:type="spellEnd"/>
      <w:r w:rsidRPr="00811843">
        <w:rPr>
          <w:lang w:val="en-GB"/>
        </w:rPr>
        <w:t xml:space="preserve">, </w:t>
      </w:r>
      <w:proofErr w:type="spellStart"/>
      <w:r w:rsidRPr="00811843">
        <w:rPr>
          <w:lang w:val="en-GB"/>
        </w:rPr>
        <w:t>Ece</w:t>
      </w:r>
      <w:proofErr w:type="spellEnd"/>
      <w:r w:rsidRPr="00811843">
        <w:rPr>
          <w:lang w:val="en-GB"/>
        </w:rPr>
        <w:t>. "Privatization of radio and media hegemony in Turkey."</w:t>
      </w:r>
      <w:r>
        <w:rPr>
          <w:lang w:val="en-GB"/>
        </w:rPr>
        <w:t xml:space="preserve"> in </w:t>
      </w:r>
      <w:r w:rsidRPr="00811843">
        <w:rPr>
          <w:lang w:val="en-GB"/>
        </w:rPr>
        <w:t>Lee</w:t>
      </w:r>
      <w:r>
        <w:rPr>
          <w:lang w:val="en-GB"/>
        </w:rPr>
        <w:t xml:space="preserve"> </w:t>
      </w:r>
      <w:proofErr w:type="spellStart"/>
      <w:r w:rsidRPr="00811843">
        <w:rPr>
          <w:lang w:val="en-GB"/>
        </w:rPr>
        <w:t>Artz</w:t>
      </w:r>
      <w:proofErr w:type="spellEnd"/>
      <w:r w:rsidRPr="00811843">
        <w:rPr>
          <w:lang w:val="en-GB"/>
        </w:rPr>
        <w:t xml:space="preserve">, and Yahya R. </w:t>
      </w:r>
      <w:proofErr w:type="spellStart"/>
      <w:r w:rsidRPr="00811843">
        <w:rPr>
          <w:lang w:val="en-GB"/>
        </w:rPr>
        <w:t>Kamalipour</w:t>
      </w:r>
      <w:proofErr w:type="spellEnd"/>
      <w:r w:rsidRPr="00811843">
        <w:rPr>
          <w:lang w:val="en-GB"/>
        </w:rPr>
        <w:t xml:space="preserve">, eds. </w:t>
      </w:r>
      <w:r w:rsidRPr="00811843">
        <w:rPr>
          <w:i/>
          <w:lang w:val="en-GB"/>
        </w:rPr>
        <w:t xml:space="preserve">Globalization of Corporate Media Hegemony, </w:t>
      </w:r>
      <w:proofErr w:type="gramStart"/>
      <w:r w:rsidRPr="00811843">
        <w:rPr>
          <w:i/>
          <w:lang w:val="en-GB"/>
        </w:rPr>
        <w:t>The</w:t>
      </w:r>
      <w:proofErr w:type="gramEnd"/>
      <w:r w:rsidRPr="00811843">
        <w:rPr>
          <w:i/>
          <w:lang w:val="en-GB"/>
        </w:rPr>
        <w:t>: Evaluating California's Imprisonment Crisis</w:t>
      </w:r>
      <w:r w:rsidRPr="00811843">
        <w:rPr>
          <w:lang w:val="en-GB"/>
        </w:rPr>
        <w:t>. SUNY Press (2003): 169-92.</w:t>
      </w:r>
    </w:p>
    <w:p w:rsidR="00364F3F" w:rsidRDefault="00364F3F" w:rsidP="009208E5">
      <w:pPr>
        <w:spacing w:line="480" w:lineRule="auto"/>
        <w:jc w:val="both"/>
      </w:pPr>
    </w:p>
    <w:p w:rsidR="00152C18" w:rsidRDefault="00B705BE" w:rsidP="009208E5">
      <w:pPr>
        <w:spacing w:line="480" w:lineRule="auto"/>
        <w:jc w:val="both"/>
      </w:pPr>
      <w:r>
        <w:lastRenderedPageBreak/>
        <w:t>"</w:t>
      </w:r>
      <w:proofErr w:type="spellStart"/>
      <w:r w:rsidRPr="00B705BE">
        <w:t>Firari</w:t>
      </w:r>
      <w:proofErr w:type="spellEnd"/>
      <w:r w:rsidRPr="00B705BE">
        <w:t xml:space="preserve"> </w:t>
      </w:r>
      <w:proofErr w:type="spellStart"/>
      <w:r w:rsidRPr="00B705BE">
        <w:t>eski</w:t>
      </w:r>
      <w:proofErr w:type="spellEnd"/>
      <w:r w:rsidRPr="00B705BE">
        <w:t xml:space="preserve"> </w:t>
      </w:r>
      <w:proofErr w:type="spellStart"/>
      <w:r w:rsidRPr="00B705BE">
        <w:t>Yargıtay</w:t>
      </w:r>
      <w:proofErr w:type="spellEnd"/>
      <w:r w:rsidRPr="00B705BE">
        <w:t xml:space="preserve"> </w:t>
      </w:r>
      <w:proofErr w:type="spellStart"/>
      <w:r w:rsidRPr="00B705BE">
        <w:t>üyeleri</w:t>
      </w:r>
      <w:proofErr w:type="spellEnd"/>
      <w:r w:rsidRPr="00B705BE">
        <w:t xml:space="preserve"> her </w:t>
      </w:r>
      <w:proofErr w:type="spellStart"/>
      <w:r w:rsidRPr="00B705BE">
        <w:t>yerde</w:t>
      </w:r>
      <w:proofErr w:type="spellEnd"/>
      <w:r w:rsidRPr="00B705BE">
        <w:t xml:space="preserve"> </w:t>
      </w:r>
      <w:proofErr w:type="spellStart"/>
      <w:r w:rsidRPr="00B705BE">
        <w:t>aranıyor</w:t>
      </w:r>
      <w:proofErr w:type="spellEnd"/>
      <w:r>
        <w:t xml:space="preserve"> (Fugitive members of High Court are Hunted)</w:t>
      </w:r>
      <w:proofErr w:type="gramStart"/>
      <w:r>
        <w:t>"  Sabah</w:t>
      </w:r>
      <w:proofErr w:type="gramEnd"/>
      <w:r>
        <w:t xml:space="preserve"> 18 December 2017. Accessed at: </w:t>
      </w:r>
      <w:r w:rsidRPr="00B705BE">
        <w:t>https://www.sabah.com.tr/gundem/2017/12/18/firari-eski-yargitay-uyeleri-her-yerde-araniyor</w:t>
      </w:r>
    </w:p>
    <w:p w:rsidR="00E62733" w:rsidRDefault="00E62733" w:rsidP="009208E5">
      <w:pPr>
        <w:spacing w:line="480" w:lineRule="auto"/>
        <w:jc w:val="both"/>
      </w:pPr>
      <w:r w:rsidRPr="007A66DE">
        <w:t>Freedom House Report</w:t>
      </w:r>
      <w:r w:rsidR="00410F9B">
        <w:t xml:space="preserve"> – Special Report on Internet use in Turkey 2009</w:t>
      </w:r>
    </w:p>
    <w:p w:rsidR="00152C18" w:rsidRDefault="00152C18" w:rsidP="009208E5">
      <w:pPr>
        <w:spacing w:line="480" w:lineRule="auto"/>
        <w:jc w:val="both"/>
      </w:pPr>
    </w:p>
    <w:p w:rsidR="00C15C0B" w:rsidRPr="007A66DE" w:rsidRDefault="00C15C0B" w:rsidP="009208E5">
      <w:pPr>
        <w:spacing w:line="480" w:lineRule="auto"/>
        <w:jc w:val="both"/>
      </w:pPr>
      <w:r w:rsidRPr="00C15C0B">
        <w:t xml:space="preserve">Farmanfarmaian, Roxane, Ali Sonay, and Murat Akser. "The Turkish media structure in judicial and political context: an illustration of values and status negotiation." </w:t>
      </w:r>
      <w:r w:rsidRPr="0031673A">
        <w:rPr>
          <w:i/>
        </w:rPr>
        <w:t>Middle East Critique</w:t>
      </w:r>
      <w:r w:rsidRPr="00C15C0B">
        <w:t xml:space="preserve"> 27, no. 2 (2018): 111-125.</w:t>
      </w:r>
    </w:p>
    <w:p w:rsidR="00E62733" w:rsidRPr="00364F3F" w:rsidRDefault="00364F3F" w:rsidP="00364F3F">
      <w:pPr>
        <w:pStyle w:val="Heading1"/>
        <w:spacing w:before="0" w:beforeAutospacing="0" w:after="0" w:afterAutospacing="0" w:line="288" w:lineRule="atLeast"/>
        <w:jc w:val="both"/>
        <w:rPr>
          <w:b w:val="0"/>
          <w:bCs w:val="0"/>
          <w:color w:val="000000"/>
          <w:sz w:val="24"/>
          <w:szCs w:val="24"/>
          <w:lang w:val="en"/>
        </w:rPr>
      </w:pPr>
      <w:r>
        <w:rPr>
          <w:b w:val="0"/>
          <w:bCs w:val="0"/>
          <w:color w:val="000000"/>
          <w:sz w:val="24"/>
          <w:szCs w:val="24"/>
          <w:lang w:val="en"/>
        </w:rPr>
        <w:t>"</w:t>
      </w:r>
      <w:r w:rsidR="00CE1F54" w:rsidRPr="007A66DE">
        <w:rPr>
          <w:b w:val="0"/>
          <w:bCs w:val="0"/>
          <w:color w:val="000000"/>
          <w:sz w:val="24"/>
          <w:szCs w:val="24"/>
          <w:lang w:val="en"/>
        </w:rPr>
        <w:t>YouTube banned in Turkey after video insults</w:t>
      </w:r>
      <w:r>
        <w:rPr>
          <w:b w:val="0"/>
          <w:bCs w:val="0"/>
          <w:color w:val="000000"/>
          <w:sz w:val="24"/>
          <w:szCs w:val="24"/>
          <w:lang w:val="en"/>
        </w:rPr>
        <w:t>:</w:t>
      </w:r>
      <w:r w:rsidRPr="00364F3F">
        <w:rPr>
          <w:b w:val="0"/>
          <w:bCs w:val="0"/>
          <w:color w:val="000000"/>
          <w:sz w:val="24"/>
          <w:szCs w:val="24"/>
          <w:lang w:val="en"/>
        </w:rPr>
        <w:t xml:space="preserve"> Times Online March 7, 2007.</w:t>
      </w:r>
    </w:p>
    <w:p w:rsidR="00CE1F54" w:rsidRPr="007A66DE" w:rsidRDefault="00D64256" w:rsidP="009208E5">
      <w:pPr>
        <w:spacing w:line="480" w:lineRule="auto"/>
        <w:jc w:val="both"/>
      </w:pPr>
      <w:hyperlink r:id="rId4" w:history="1">
        <w:r w:rsidR="00CE1F54" w:rsidRPr="007A66DE">
          <w:rPr>
            <w:rStyle w:val="Hyperlink"/>
          </w:rPr>
          <w:t>http://www.timesonline.co.uk/tol/news/world/europe/article1483840.ece</w:t>
        </w:r>
      </w:hyperlink>
    </w:p>
    <w:p w:rsidR="00CE1F54" w:rsidRPr="007A66DE" w:rsidRDefault="00CE1F54" w:rsidP="009208E5">
      <w:pPr>
        <w:jc w:val="both"/>
        <w:rPr>
          <w:b/>
          <w:bCs/>
          <w:color w:val="000000"/>
        </w:rPr>
      </w:pPr>
      <w:r w:rsidRPr="007A66DE">
        <w:t>BBC News</w:t>
      </w:r>
      <w:r w:rsidR="007A66DE" w:rsidRPr="007A66DE">
        <w:t xml:space="preserve"> Europe March 7, 2007.</w:t>
      </w:r>
      <w:r w:rsidRPr="007A66DE">
        <w:t xml:space="preserve"> </w:t>
      </w:r>
      <w:r w:rsidRPr="00A35328">
        <w:rPr>
          <w:bCs/>
          <w:color w:val="000000"/>
        </w:rPr>
        <w:t>Turkish court bans YouTube access</w:t>
      </w:r>
      <w:r w:rsidRPr="007A66DE">
        <w:rPr>
          <w:b/>
          <w:bCs/>
          <w:color w:val="000000"/>
        </w:rPr>
        <w:t xml:space="preserve"> </w:t>
      </w:r>
    </w:p>
    <w:p w:rsidR="00CE1F54" w:rsidRPr="007A66DE" w:rsidRDefault="00D64256" w:rsidP="009208E5">
      <w:pPr>
        <w:spacing w:line="480" w:lineRule="auto"/>
        <w:jc w:val="both"/>
      </w:pPr>
      <w:hyperlink r:id="rId5" w:history="1">
        <w:r w:rsidR="00CE1F54" w:rsidRPr="007A66DE">
          <w:rPr>
            <w:rStyle w:val="Hyperlink"/>
          </w:rPr>
          <w:t>http://news.bbc.co.uk/2/hi/6427355.stm</w:t>
        </w:r>
      </w:hyperlink>
    </w:p>
    <w:p w:rsidR="007A66DE" w:rsidRPr="007A66DE" w:rsidRDefault="00D64256" w:rsidP="009208E5">
      <w:pPr>
        <w:spacing w:line="480" w:lineRule="auto"/>
        <w:jc w:val="both"/>
      </w:pPr>
      <w:hyperlink r:id="rId6" w:history="1">
        <w:r w:rsidR="007A66DE" w:rsidRPr="007A66DE">
          <w:rPr>
            <w:rStyle w:val="Hyperlink"/>
          </w:rPr>
          <w:t>http://www.pbs.org/mediashift/2010/03/turkish-reporters-unite-to-protest-youtube-ban068.html</w:t>
        </w:r>
      </w:hyperlink>
    </w:p>
    <w:p w:rsidR="008418C4" w:rsidRDefault="00B705BE" w:rsidP="00C968BB">
      <w:pPr>
        <w:spacing w:line="480" w:lineRule="auto"/>
        <w:jc w:val="both"/>
      </w:pPr>
      <w:proofErr w:type="spellStart"/>
      <w:r>
        <w:t>Gusten</w:t>
      </w:r>
      <w:proofErr w:type="spellEnd"/>
      <w:r>
        <w:t>, Susanne. "</w:t>
      </w:r>
      <w:r w:rsidRPr="00B705BE">
        <w:t>Turkey Plans to Lift Bans on Hundreds of Publications</w:t>
      </w:r>
      <w:r>
        <w:t xml:space="preserve">" </w:t>
      </w:r>
      <w:r w:rsidRPr="00B705BE">
        <w:rPr>
          <w:i/>
        </w:rPr>
        <w:t>The New York Times</w:t>
      </w:r>
      <w:r>
        <w:t xml:space="preserve">. 12 December 2010. Accessed at: </w:t>
      </w:r>
      <w:r w:rsidRPr="00B705BE">
        <w:t>https://www.nytimes.com/2012/12/13/world/middleeast/turkey-plans-to-lift-bans-on-hundreds-of-publications.html</w:t>
      </w:r>
      <w:r>
        <w:t xml:space="preserve"> </w:t>
      </w:r>
    </w:p>
    <w:p w:rsidR="00B705BE" w:rsidRDefault="00B705BE" w:rsidP="00C968BB">
      <w:pPr>
        <w:spacing w:line="480" w:lineRule="auto"/>
        <w:jc w:val="both"/>
      </w:pPr>
    </w:p>
    <w:p w:rsidR="008418C4" w:rsidRDefault="008418C4" w:rsidP="008418C4">
      <w:pPr>
        <w:spacing w:line="480" w:lineRule="auto"/>
        <w:jc w:val="both"/>
        <w:rPr>
          <w:lang w:val="en-GB"/>
        </w:rPr>
      </w:pPr>
      <w:r w:rsidRPr="008418C4">
        <w:rPr>
          <w:lang w:val="en-GB"/>
        </w:rPr>
        <w:t>Harris, Sarah K. "Networked erasure: Visualizing information censorship in Turkey." </w:t>
      </w:r>
      <w:r w:rsidRPr="008418C4">
        <w:rPr>
          <w:i/>
          <w:iCs/>
          <w:lang w:val="en-GB"/>
        </w:rPr>
        <w:t>Convergence</w:t>
      </w:r>
      <w:r w:rsidRPr="008418C4">
        <w:rPr>
          <w:lang w:val="en-GB"/>
        </w:rPr>
        <w:t> 21, no. 2 (2015): 257-278.</w:t>
      </w:r>
    </w:p>
    <w:p w:rsidR="007E3045" w:rsidRDefault="007E3045" w:rsidP="007E3045">
      <w:pPr>
        <w:spacing w:line="480" w:lineRule="auto"/>
        <w:jc w:val="both"/>
        <w:rPr>
          <w:lang w:val="en-GB"/>
        </w:rPr>
      </w:pPr>
    </w:p>
    <w:p w:rsidR="007E3045" w:rsidRPr="007E3045" w:rsidRDefault="007E3045" w:rsidP="007E3045">
      <w:pPr>
        <w:spacing w:line="480" w:lineRule="auto"/>
        <w:jc w:val="both"/>
        <w:rPr>
          <w:lang w:val="en-GB"/>
        </w:rPr>
      </w:pPr>
      <w:r w:rsidRPr="007E3045">
        <w:rPr>
          <w:lang w:val="en-GB"/>
        </w:rPr>
        <w:lastRenderedPageBreak/>
        <w:t xml:space="preserve">Nefes, </w:t>
      </w:r>
      <w:proofErr w:type="spellStart"/>
      <w:r w:rsidRPr="007E3045">
        <w:rPr>
          <w:lang w:val="en-GB"/>
        </w:rPr>
        <w:t>Türkay</w:t>
      </w:r>
      <w:proofErr w:type="spellEnd"/>
      <w:r w:rsidRPr="007E3045">
        <w:rPr>
          <w:lang w:val="en-GB"/>
        </w:rPr>
        <w:t xml:space="preserve"> Salim. "The impacts of the Turkish government’s conspiratorial framing of the Gezi Park protests." </w:t>
      </w:r>
      <w:r w:rsidRPr="007E3045">
        <w:rPr>
          <w:i/>
          <w:lang w:val="en-GB"/>
        </w:rPr>
        <w:t>Social Movement Studies</w:t>
      </w:r>
      <w:r w:rsidRPr="007E3045">
        <w:rPr>
          <w:lang w:val="en-GB"/>
        </w:rPr>
        <w:t xml:space="preserve"> 16, no. 5 (2017): 610-622.</w:t>
      </w:r>
    </w:p>
    <w:p w:rsidR="007E3045" w:rsidRDefault="007E3045" w:rsidP="00C968BB">
      <w:pPr>
        <w:spacing w:line="480" w:lineRule="auto"/>
        <w:jc w:val="both"/>
        <w:rPr>
          <w:lang w:val="en-GB"/>
        </w:rPr>
      </w:pPr>
    </w:p>
    <w:p w:rsidR="008418C4" w:rsidRDefault="0031673A" w:rsidP="00C968BB">
      <w:pPr>
        <w:spacing w:line="480" w:lineRule="auto"/>
        <w:jc w:val="both"/>
      </w:pPr>
      <w:proofErr w:type="spellStart"/>
      <w:r w:rsidRPr="0031673A">
        <w:t>Özcan</w:t>
      </w:r>
      <w:proofErr w:type="spellEnd"/>
      <w:r w:rsidRPr="0031673A">
        <w:t xml:space="preserve">, </w:t>
      </w:r>
      <w:proofErr w:type="spellStart"/>
      <w:r w:rsidRPr="0031673A">
        <w:t>Esra</w:t>
      </w:r>
      <w:proofErr w:type="spellEnd"/>
      <w:r w:rsidRPr="0031673A">
        <w:t xml:space="preserve"> A. "Turkey: Media System." </w:t>
      </w:r>
      <w:r w:rsidRPr="0031673A">
        <w:rPr>
          <w:i/>
        </w:rPr>
        <w:t>The International Encyclopedia of Communication</w:t>
      </w:r>
      <w:r w:rsidRPr="0031673A">
        <w:t xml:space="preserve"> (2008).</w:t>
      </w:r>
    </w:p>
    <w:p w:rsidR="00C53A71" w:rsidRDefault="00C53A71" w:rsidP="00C968BB">
      <w:pPr>
        <w:spacing w:line="480" w:lineRule="auto"/>
        <w:jc w:val="both"/>
      </w:pPr>
    </w:p>
    <w:p w:rsidR="008C2638" w:rsidRDefault="008C2638" w:rsidP="00AF5299">
      <w:pPr>
        <w:spacing w:line="480" w:lineRule="auto"/>
        <w:jc w:val="both"/>
        <w:rPr>
          <w:lang w:val="en-GB"/>
        </w:rPr>
      </w:pPr>
      <w:proofErr w:type="spellStart"/>
      <w:r w:rsidRPr="008C2638">
        <w:rPr>
          <w:lang w:val="en-GB"/>
        </w:rPr>
        <w:t>Ozgüden</w:t>
      </w:r>
      <w:proofErr w:type="spellEnd"/>
      <w:r w:rsidRPr="008C2638">
        <w:rPr>
          <w:lang w:val="en-GB"/>
        </w:rPr>
        <w:t xml:space="preserve">, Dogan. "The press under martial law." </w:t>
      </w:r>
      <w:r w:rsidRPr="008C2638">
        <w:rPr>
          <w:i/>
          <w:lang w:val="en-GB"/>
        </w:rPr>
        <w:t>Index on Censorship</w:t>
      </w:r>
      <w:r w:rsidRPr="008C2638">
        <w:rPr>
          <w:lang w:val="en-GB"/>
        </w:rPr>
        <w:t xml:space="preserve"> 2, no. 1 (1973): 4-10. </w:t>
      </w:r>
    </w:p>
    <w:p w:rsidR="00364F3F" w:rsidRDefault="00364F3F" w:rsidP="00AF5299">
      <w:pPr>
        <w:spacing w:line="480" w:lineRule="auto"/>
        <w:jc w:val="both"/>
        <w:rPr>
          <w:lang w:val="en-GB"/>
        </w:rPr>
      </w:pPr>
    </w:p>
    <w:p w:rsidR="00AF5299" w:rsidRPr="00AF5299" w:rsidRDefault="00AF5299" w:rsidP="00AF5299">
      <w:pPr>
        <w:spacing w:line="480" w:lineRule="auto"/>
        <w:jc w:val="both"/>
        <w:rPr>
          <w:lang w:val="en-GB"/>
        </w:rPr>
      </w:pPr>
      <w:r w:rsidRPr="00AF5299">
        <w:rPr>
          <w:lang w:val="en-GB"/>
        </w:rPr>
        <w:t>Saka, Erkan. "The AK Party’s social media strategy: Controlling the uncontrollable." </w:t>
      </w:r>
      <w:r w:rsidRPr="00AF5299">
        <w:rPr>
          <w:i/>
          <w:iCs/>
          <w:lang w:val="en-GB"/>
        </w:rPr>
        <w:t>Turkish Review</w:t>
      </w:r>
      <w:r w:rsidRPr="00AF5299">
        <w:rPr>
          <w:lang w:val="en-GB"/>
        </w:rPr>
        <w:t> 4, no. 4 (2014): 418-423.</w:t>
      </w:r>
    </w:p>
    <w:p w:rsidR="00152C18" w:rsidRDefault="00152C18" w:rsidP="008418C4">
      <w:pPr>
        <w:spacing w:line="480" w:lineRule="auto"/>
        <w:jc w:val="both"/>
        <w:rPr>
          <w:lang w:val="en-GB"/>
        </w:rPr>
      </w:pPr>
    </w:p>
    <w:p w:rsidR="008418C4" w:rsidRDefault="00152C18" w:rsidP="008418C4">
      <w:pPr>
        <w:spacing w:line="480" w:lineRule="auto"/>
        <w:jc w:val="both"/>
        <w:rPr>
          <w:lang w:val="en-GB"/>
        </w:rPr>
      </w:pPr>
      <w:r w:rsidRPr="00152C18">
        <w:rPr>
          <w:lang w:val="en-GB"/>
        </w:rPr>
        <w:t xml:space="preserve">Silverman, Reuben. "Dogan versus Erdogan: Business and politics in AKP-era Turkey." </w:t>
      </w:r>
      <w:r w:rsidRPr="00152C18">
        <w:rPr>
          <w:i/>
          <w:lang w:val="en-GB"/>
        </w:rPr>
        <w:t xml:space="preserve">Mediterranean Quarterly </w:t>
      </w:r>
      <w:r w:rsidRPr="00152C18">
        <w:rPr>
          <w:lang w:val="en-GB"/>
        </w:rPr>
        <w:t>25, no. 2 (2014): 131-151.</w:t>
      </w:r>
    </w:p>
    <w:p w:rsidR="00152C18" w:rsidRDefault="00152C18" w:rsidP="00AF5299">
      <w:pPr>
        <w:spacing w:line="480" w:lineRule="auto"/>
        <w:jc w:val="both"/>
        <w:rPr>
          <w:lang w:val="en-GB"/>
        </w:rPr>
      </w:pPr>
    </w:p>
    <w:p w:rsidR="00AF5299" w:rsidRDefault="008418C4" w:rsidP="00AF5299">
      <w:pPr>
        <w:spacing w:line="480" w:lineRule="auto"/>
        <w:jc w:val="both"/>
        <w:rPr>
          <w:lang w:val="en-GB"/>
        </w:rPr>
      </w:pPr>
      <w:proofErr w:type="spellStart"/>
      <w:r w:rsidRPr="008418C4">
        <w:rPr>
          <w:lang w:val="en-GB"/>
        </w:rPr>
        <w:t>Tunç</w:t>
      </w:r>
      <w:proofErr w:type="spellEnd"/>
      <w:r w:rsidRPr="008418C4">
        <w:rPr>
          <w:lang w:val="en-GB"/>
        </w:rPr>
        <w:t xml:space="preserve">, </w:t>
      </w:r>
      <w:proofErr w:type="spellStart"/>
      <w:r w:rsidRPr="008418C4">
        <w:rPr>
          <w:lang w:val="en-GB"/>
        </w:rPr>
        <w:t>Asli</w:t>
      </w:r>
      <w:proofErr w:type="spellEnd"/>
      <w:r w:rsidRPr="008418C4">
        <w:rPr>
          <w:lang w:val="en-GB"/>
        </w:rPr>
        <w:t>. "Freedom of expression debates in Turkey: Acute problems and new hopes." </w:t>
      </w:r>
      <w:r w:rsidRPr="008418C4">
        <w:rPr>
          <w:i/>
          <w:iCs/>
          <w:lang w:val="en-GB"/>
        </w:rPr>
        <w:t>International Journal of Media &amp; Cultural Politics</w:t>
      </w:r>
      <w:r w:rsidRPr="008418C4">
        <w:rPr>
          <w:lang w:val="en-GB"/>
        </w:rPr>
        <w:t> 9, no. 2 (2013): 153-163.</w:t>
      </w:r>
    </w:p>
    <w:p w:rsidR="00A35328" w:rsidRDefault="00A35328" w:rsidP="00A35328">
      <w:pPr>
        <w:spacing w:line="480" w:lineRule="auto"/>
        <w:jc w:val="both"/>
        <w:rPr>
          <w:lang w:val="en-GB"/>
        </w:rPr>
      </w:pPr>
    </w:p>
    <w:p w:rsidR="00A35328" w:rsidRDefault="00A35328" w:rsidP="00A35328">
      <w:pPr>
        <w:spacing w:line="480" w:lineRule="auto"/>
        <w:jc w:val="both"/>
        <w:rPr>
          <w:lang w:val="en-GB"/>
        </w:rPr>
      </w:pPr>
      <w:r>
        <w:rPr>
          <w:lang w:val="en-GB"/>
        </w:rPr>
        <w:t>"</w:t>
      </w:r>
      <w:r w:rsidRPr="00A35328">
        <w:rPr>
          <w:lang w:val="en-GB"/>
        </w:rPr>
        <w:t>Turkish president uses Twitter to condemn YouTube ban</w:t>
      </w:r>
      <w:r>
        <w:rPr>
          <w:lang w:val="en-GB"/>
        </w:rPr>
        <w:t xml:space="preserve">" Guardian 11 June 2010. Accessed at: </w:t>
      </w:r>
      <w:r w:rsidRPr="00A35328">
        <w:rPr>
          <w:lang w:val="en-GB"/>
        </w:rPr>
        <w:t>https://www.theguardian.com/world/2010/jun/11/abdullah-gul-twitter-turkey-youtube-ban</w:t>
      </w:r>
    </w:p>
    <w:p w:rsidR="00AF5299" w:rsidRPr="007A66DE" w:rsidRDefault="00AF5299" w:rsidP="00C968BB">
      <w:pPr>
        <w:spacing w:line="480" w:lineRule="auto"/>
        <w:jc w:val="both"/>
      </w:pPr>
    </w:p>
    <w:p w:rsidR="00870F25" w:rsidRPr="00870F25" w:rsidRDefault="00870F25" w:rsidP="00870F25">
      <w:pPr>
        <w:spacing w:line="480" w:lineRule="auto"/>
        <w:jc w:val="both"/>
        <w:rPr>
          <w:lang w:val="en-GB"/>
        </w:rPr>
      </w:pPr>
      <w:proofErr w:type="spellStart"/>
      <w:r w:rsidRPr="00870F25">
        <w:rPr>
          <w:lang w:val="en-GB"/>
        </w:rPr>
        <w:lastRenderedPageBreak/>
        <w:t>Yesil</w:t>
      </w:r>
      <w:proofErr w:type="spellEnd"/>
      <w:r w:rsidRPr="00870F25">
        <w:rPr>
          <w:lang w:val="en-GB"/>
        </w:rPr>
        <w:t>, Bilge. "State Policy toward Online Communications and the Internet Regulatory Regime in Turkey." In </w:t>
      </w:r>
      <w:r w:rsidRPr="00870F25">
        <w:rPr>
          <w:i/>
          <w:iCs/>
          <w:lang w:val="en-GB"/>
        </w:rPr>
        <w:t>Locating emerging media</w:t>
      </w:r>
      <w:r w:rsidRPr="00870F25">
        <w:rPr>
          <w:lang w:val="en-GB"/>
        </w:rPr>
        <w:t>, pp. 44-58. Routledge, 2016.</w:t>
      </w:r>
    </w:p>
    <w:p w:rsidR="008C2638" w:rsidRDefault="008C2638" w:rsidP="00A51E7D">
      <w:pPr>
        <w:spacing w:line="480" w:lineRule="auto"/>
        <w:jc w:val="both"/>
      </w:pPr>
    </w:p>
    <w:p w:rsidR="008C2638" w:rsidRPr="007A66DE" w:rsidRDefault="008C2638" w:rsidP="00A51E7D">
      <w:pPr>
        <w:spacing w:line="480" w:lineRule="auto"/>
        <w:jc w:val="both"/>
      </w:pPr>
      <w:r w:rsidRPr="008C2638">
        <w:t xml:space="preserve">Yalman, Ahmet </w:t>
      </w:r>
      <w:proofErr w:type="spellStart"/>
      <w:r w:rsidRPr="008C2638">
        <w:t>Emin</w:t>
      </w:r>
      <w:proofErr w:type="spellEnd"/>
      <w:r w:rsidRPr="008C2638">
        <w:t>. The development of modern Turkey as measured by its press. Vol. 59, no. 1. Columbia University, 1914.</w:t>
      </w:r>
    </w:p>
    <w:sectPr w:rsidR="008C2638" w:rsidRPr="007A66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06"/>
    <w:rsid w:val="00003403"/>
    <w:rsid w:val="000136DA"/>
    <w:rsid w:val="00020C0B"/>
    <w:rsid w:val="000235CB"/>
    <w:rsid w:val="000350CB"/>
    <w:rsid w:val="00066F3F"/>
    <w:rsid w:val="00070E2B"/>
    <w:rsid w:val="000754D2"/>
    <w:rsid w:val="00081B10"/>
    <w:rsid w:val="000A5457"/>
    <w:rsid w:val="000C4CB4"/>
    <w:rsid w:val="000C5BF4"/>
    <w:rsid w:val="000C7CD1"/>
    <w:rsid w:val="000D06E2"/>
    <w:rsid w:val="000D7829"/>
    <w:rsid w:val="000E6C52"/>
    <w:rsid w:val="000F49E5"/>
    <w:rsid w:val="00101326"/>
    <w:rsid w:val="00117B73"/>
    <w:rsid w:val="00125863"/>
    <w:rsid w:val="00136017"/>
    <w:rsid w:val="00141246"/>
    <w:rsid w:val="00142E34"/>
    <w:rsid w:val="00152C18"/>
    <w:rsid w:val="001547D2"/>
    <w:rsid w:val="00162AEC"/>
    <w:rsid w:val="001760CD"/>
    <w:rsid w:val="001A4C70"/>
    <w:rsid w:val="001A7E22"/>
    <w:rsid w:val="001C7383"/>
    <w:rsid w:val="001D2BA3"/>
    <w:rsid w:val="001D52A8"/>
    <w:rsid w:val="001F18F7"/>
    <w:rsid w:val="001F23E5"/>
    <w:rsid w:val="001F697F"/>
    <w:rsid w:val="0021680F"/>
    <w:rsid w:val="0022134C"/>
    <w:rsid w:val="00252139"/>
    <w:rsid w:val="00256587"/>
    <w:rsid w:val="002635CF"/>
    <w:rsid w:val="00265A84"/>
    <w:rsid w:val="00285900"/>
    <w:rsid w:val="00293A1E"/>
    <w:rsid w:val="002A4BAD"/>
    <w:rsid w:val="002B2339"/>
    <w:rsid w:val="002C40F5"/>
    <w:rsid w:val="002C4444"/>
    <w:rsid w:val="002C621B"/>
    <w:rsid w:val="002C7D6F"/>
    <w:rsid w:val="002C7E8C"/>
    <w:rsid w:val="002D0F98"/>
    <w:rsid w:val="002D1A1A"/>
    <w:rsid w:val="002D6AF1"/>
    <w:rsid w:val="002E4DF0"/>
    <w:rsid w:val="00303143"/>
    <w:rsid w:val="00303CE4"/>
    <w:rsid w:val="0031673A"/>
    <w:rsid w:val="00322BC8"/>
    <w:rsid w:val="00335BB6"/>
    <w:rsid w:val="00356418"/>
    <w:rsid w:val="00363A03"/>
    <w:rsid w:val="00364F3F"/>
    <w:rsid w:val="00365392"/>
    <w:rsid w:val="00365B65"/>
    <w:rsid w:val="0037513E"/>
    <w:rsid w:val="00380469"/>
    <w:rsid w:val="00385047"/>
    <w:rsid w:val="00392BD1"/>
    <w:rsid w:val="00394D53"/>
    <w:rsid w:val="003A7795"/>
    <w:rsid w:val="003B7C1E"/>
    <w:rsid w:val="003D41B6"/>
    <w:rsid w:val="003D4B27"/>
    <w:rsid w:val="003D6379"/>
    <w:rsid w:val="003E071F"/>
    <w:rsid w:val="003E0BE0"/>
    <w:rsid w:val="003E2B4D"/>
    <w:rsid w:val="003E2FCF"/>
    <w:rsid w:val="003E75ED"/>
    <w:rsid w:val="00402E75"/>
    <w:rsid w:val="004065CB"/>
    <w:rsid w:val="00410F9B"/>
    <w:rsid w:val="00417590"/>
    <w:rsid w:val="004329DA"/>
    <w:rsid w:val="00433714"/>
    <w:rsid w:val="0044525B"/>
    <w:rsid w:val="00450EB2"/>
    <w:rsid w:val="00473659"/>
    <w:rsid w:val="0047629B"/>
    <w:rsid w:val="00476776"/>
    <w:rsid w:val="00483888"/>
    <w:rsid w:val="00493B29"/>
    <w:rsid w:val="004B4DF8"/>
    <w:rsid w:val="004D2E9F"/>
    <w:rsid w:val="004D4D27"/>
    <w:rsid w:val="004E4BA4"/>
    <w:rsid w:val="004E56E4"/>
    <w:rsid w:val="004E5B7D"/>
    <w:rsid w:val="004F29EC"/>
    <w:rsid w:val="005003A6"/>
    <w:rsid w:val="005140B4"/>
    <w:rsid w:val="00526CB2"/>
    <w:rsid w:val="005315FA"/>
    <w:rsid w:val="00532B7D"/>
    <w:rsid w:val="00535724"/>
    <w:rsid w:val="00545D2B"/>
    <w:rsid w:val="00552E72"/>
    <w:rsid w:val="00584AF3"/>
    <w:rsid w:val="005875D0"/>
    <w:rsid w:val="005A070F"/>
    <w:rsid w:val="005A1B74"/>
    <w:rsid w:val="005B6467"/>
    <w:rsid w:val="005D09BE"/>
    <w:rsid w:val="005D76EC"/>
    <w:rsid w:val="005E0386"/>
    <w:rsid w:val="005E2C6E"/>
    <w:rsid w:val="00606C18"/>
    <w:rsid w:val="00617DC4"/>
    <w:rsid w:val="00617E5F"/>
    <w:rsid w:val="00623185"/>
    <w:rsid w:val="006612A3"/>
    <w:rsid w:val="0068090C"/>
    <w:rsid w:val="00684E00"/>
    <w:rsid w:val="0068654B"/>
    <w:rsid w:val="00693C54"/>
    <w:rsid w:val="006A3503"/>
    <w:rsid w:val="006C06E5"/>
    <w:rsid w:val="006C4821"/>
    <w:rsid w:val="006D1B39"/>
    <w:rsid w:val="006E26EE"/>
    <w:rsid w:val="00710A26"/>
    <w:rsid w:val="00715ECA"/>
    <w:rsid w:val="007247F0"/>
    <w:rsid w:val="00730DCE"/>
    <w:rsid w:val="007369D3"/>
    <w:rsid w:val="007427F4"/>
    <w:rsid w:val="0074534C"/>
    <w:rsid w:val="00752B86"/>
    <w:rsid w:val="00766F8A"/>
    <w:rsid w:val="007823A7"/>
    <w:rsid w:val="00782952"/>
    <w:rsid w:val="007A66DE"/>
    <w:rsid w:val="007B2B7E"/>
    <w:rsid w:val="007C79DC"/>
    <w:rsid w:val="007D6F5D"/>
    <w:rsid w:val="007E3045"/>
    <w:rsid w:val="007E45F8"/>
    <w:rsid w:val="007F22A9"/>
    <w:rsid w:val="007F504F"/>
    <w:rsid w:val="007F6702"/>
    <w:rsid w:val="00800D42"/>
    <w:rsid w:val="0080184B"/>
    <w:rsid w:val="00804820"/>
    <w:rsid w:val="00811843"/>
    <w:rsid w:val="00831F06"/>
    <w:rsid w:val="00833044"/>
    <w:rsid w:val="00833827"/>
    <w:rsid w:val="008418C4"/>
    <w:rsid w:val="00853EE0"/>
    <w:rsid w:val="008610BC"/>
    <w:rsid w:val="00870F25"/>
    <w:rsid w:val="0087119E"/>
    <w:rsid w:val="00875AFB"/>
    <w:rsid w:val="008B24AC"/>
    <w:rsid w:val="008B456C"/>
    <w:rsid w:val="008B6C71"/>
    <w:rsid w:val="008C1B09"/>
    <w:rsid w:val="008C2638"/>
    <w:rsid w:val="008C3607"/>
    <w:rsid w:val="008D4681"/>
    <w:rsid w:val="008E0994"/>
    <w:rsid w:val="008E5214"/>
    <w:rsid w:val="008F5583"/>
    <w:rsid w:val="0091091B"/>
    <w:rsid w:val="00920616"/>
    <w:rsid w:val="009208E5"/>
    <w:rsid w:val="00920E01"/>
    <w:rsid w:val="00930077"/>
    <w:rsid w:val="00932C7B"/>
    <w:rsid w:val="0094273F"/>
    <w:rsid w:val="009550B3"/>
    <w:rsid w:val="00972319"/>
    <w:rsid w:val="009756C6"/>
    <w:rsid w:val="00984C98"/>
    <w:rsid w:val="0099440F"/>
    <w:rsid w:val="00996AE1"/>
    <w:rsid w:val="009F2916"/>
    <w:rsid w:val="009F7E30"/>
    <w:rsid w:val="00A04A9A"/>
    <w:rsid w:val="00A15EF0"/>
    <w:rsid w:val="00A35328"/>
    <w:rsid w:val="00A4083D"/>
    <w:rsid w:val="00A4409E"/>
    <w:rsid w:val="00A51E7D"/>
    <w:rsid w:val="00A55359"/>
    <w:rsid w:val="00A56270"/>
    <w:rsid w:val="00A74FF5"/>
    <w:rsid w:val="00A81C9C"/>
    <w:rsid w:val="00A82ED9"/>
    <w:rsid w:val="00AA16B4"/>
    <w:rsid w:val="00AD6509"/>
    <w:rsid w:val="00AF25D9"/>
    <w:rsid w:val="00AF5299"/>
    <w:rsid w:val="00AF5832"/>
    <w:rsid w:val="00B22297"/>
    <w:rsid w:val="00B264FD"/>
    <w:rsid w:val="00B364AB"/>
    <w:rsid w:val="00B668A4"/>
    <w:rsid w:val="00B705BE"/>
    <w:rsid w:val="00B7083A"/>
    <w:rsid w:val="00BA3E65"/>
    <w:rsid w:val="00BC04AF"/>
    <w:rsid w:val="00BC345B"/>
    <w:rsid w:val="00BC5493"/>
    <w:rsid w:val="00BC67CB"/>
    <w:rsid w:val="00BD08B8"/>
    <w:rsid w:val="00BD29CE"/>
    <w:rsid w:val="00BD4EEA"/>
    <w:rsid w:val="00BD722F"/>
    <w:rsid w:val="00C024A9"/>
    <w:rsid w:val="00C04510"/>
    <w:rsid w:val="00C048DD"/>
    <w:rsid w:val="00C10F1E"/>
    <w:rsid w:val="00C15C0B"/>
    <w:rsid w:val="00C37BC3"/>
    <w:rsid w:val="00C53A71"/>
    <w:rsid w:val="00C54C1C"/>
    <w:rsid w:val="00C56B6D"/>
    <w:rsid w:val="00C6377C"/>
    <w:rsid w:val="00C63924"/>
    <w:rsid w:val="00C679AE"/>
    <w:rsid w:val="00C753B6"/>
    <w:rsid w:val="00C8650B"/>
    <w:rsid w:val="00C94B07"/>
    <w:rsid w:val="00C95531"/>
    <w:rsid w:val="00C968BB"/>
    <w:rsid w:val="00CA375B"/>
    <w:rsid w:val="00CB4FBA"/>
    <w:rsid w:val="00CB5E3B"/>
    <w:rsid w:val="00CB76C4"/>
    <w:rsid w:val="00CC12DE"/>
    <w:rsid w:val="00CC6E10"/>
    <w:rsid w:val="00CD216E"/>
    <w:rsid w:val="00CE1035"/>
    <w:rsid w:val="00CE1F54"/>
    <w:rsid w:val="00CE2643"/>
    <w:rsid w:val="00CF2AF4"/>
    <w:rsid w:val="00D00C64"/>
    <w:rsid w:val="00D00F15"/>
    <w:rsid w:val="00D02A23"/>
    <w:rsid w:val="00D03AA5"/>
    <w:rsid w:val="00D06D62"/>
    <w:rsid w:val="00D16D92"/>
    <w:rsid w:val="00D21C61"/>
    <w:rsid w:val="00D2246B"/>
    <w:rsid w:val="00D3213F"/>
    <w:rsid w:val="00D40D7A"/>
    <w:rsid w:val="00D507DC"/>
    <w:rsid w:val="00D64256"/>
    <w:rsid w:val="00D80244"/>
    <w:rsid w:val="00DB4DD8"/>
    <w:rsid w:val="00DB5404"/>
    <w:rsid w:val="00DD28F5"/>
    <w:rsid w:val="00DD2AD9"/>
    <w:rsid w:val="00DE0C3E"/>
    <w:rsid w:val="00E0562E"/>
    <w:rsid w:val="00E12C38"/>
    <w:rsid w:val="00E12E0E"/>
    <w:rsid w:val="00E25B2B"/>
    <w:rsid w:val="00E25C37"/>
    <w:rsid w:val="00E25E5E"/>
    <w:rsid w:val="00E37D15"/>
    <w:rsid w:val="00E42509"/>
    <w:rsid w:val="00E57EF5"/>
    <w:rsid w:val="00E62733"/>
    <w:rsid w:val="00E62DDF"/>
    <w:rsid w:val="00E65D86"/>
    <w:rsid w:val="00E6762A"/>
    <w:rsid w:val="00E72FF5"/>
    <w:rsid w:val="00EA6D2B"/>
    <w:rsid w:val="00ED1616"/>
    <w:rsid w:val="00ED213C"/>
    <w:rsid w:val="00ED2A3B"/>
    <w:rsid w:val="00ED31B9"/>
    <w:rsid w:val="00F1306D"/>
    <w:rsid w:val="00F5278B"/>
    <w:rsid w:val="00F63FE9"/>
    <w:rsid w:val="00F67D88"/>
    <w:rsid w:val="00F92683"/>
    <w:rsid w:val="00F932FF"/>
    <w:rsid w:val="00F939B0"/>
    <w:rsid w:val="00F973A7"/>
    <w:rsid w:val="00FA0733"/>
    <w:rsid w:val="00FA7BB8"/>
    <w:rsid w:val="00FB2E19"/>
    <w:rsid w:val="00FC0200"/>
    <w:rsid w:val="00FD039F"/>
    <w:rsid w:val="00FD2BF8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198E3"/>
  <w15:chartTrackingRefBased/>
  <w15:docId w15:val="{04B4E21E-6CCE-9745-89A0-11CF6D72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qFormat/>
    <w:rsid w:val="00CE1F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5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5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2E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15C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15C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3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515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237">
                          <w:marLeft w:val="0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72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082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mediashift/2010/03/turkish-reporters-unite-to-protest-youtube-ban068.html" TargetMode="External"/><Relationship Id="rId5" Type="http://schemas.openxmlformats.org/officeDocument/2006/relationships/hyperlink" Target="http://news.bbc.co.uk/2/hi/6427355.stm" TargetMode="External"/><Relationship Id="rId4" Type="http://schemas.openxmlformats.org/officeDocument/2006/relationships/hyperlink" Target="http://www.timesonline.co.uk/tol/news/world/europe/article1483840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page, and should list the author's name, address, university affiliations, telephone, fax, and e-mail, followed by the pap</vt:lpstr>
    </vt:vector>
  </TitlesOfParts>
  <Company> </Company>
  <LinksUpToDate>false</LinksUpToDate>
  <CharactersWithSpaces>28306</CharactersWithSpaces>
  <SharedDoc>false</SharedDoc>
  <HLinks>
    <vt:vector size="18" baseType="variant"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http://www.pbs.org/mediashift/2010/03/turkish-reporters-unite-to-protest-youtube-ban068.html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http://news.bbc.co.uk/2/hi/6427355.stm</vt:lpwstr>
      </vt:variant>
      <vt:variant>
        <vt:lpwstr/>
      </vt:variant>
      <vt:variant>
        <vt:i4>1376326</vt:i4>
      </vt:variant>
      <vt:variant>
        <vt:i4>0</vt:i4>
      </vt:variant>
      <vt:variant>
        <vt:i4>0</vt:i4>
      </vt:variant>
      <vt:variant>
        <vt:i4>5</vt:i4>
      </vt:variant>
      <vt:variant>
        <vt:lpwstr>http://www.timesonline.co.uk/tol/news/world/europe/article1483840.ece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page, and should list the author's name, address, university affiliations, telephone, fax, and e-mail, followed by the pap</dc:title>
  <dc:subject/>
  <dc:creator> </dc:creator>
  <cp:keywords/>
  <dc:description/>
  <cp:lastModifiedBy>Akser, Murat</cp:lastModifiedBy>
  <cp:revision>6</cp:revision>
  <dcterms:created xsi:type="dcterms:W3CDTF">2019-01-20T16:25:00Z</dcterms:created>
  <dcterms:modified xsi:type="dcterms:W3CDTF">2019-01-20T16:31:00Z</dcterms:modified>
</cp:coreProperties>
</file>