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0E497F" w14:textId="4B758C5A" w:rsidR="00DC177E" w:rsidRDefault="00DC177E" w:rsidP="00FE112E">
      <w:pPr>
        <w:pStyle w:val="Articletitle"/>
        <w:rPr>
          <w:i/>
        </w:rPr>
      </w:pPr>
      <w:bookmarkStart w:id="0" w:name="_GoBack"/>
      <w:bookmarkEnd w:id="0"/>
      <w:r>
        <w:t xml:space="preserve">A Nucleation Progenitor Function approach </w:t>
      </w:r>
      <w:r w:rsidR="0091027E">
        <w:t>to</w:t>
      </w:r>
      <w:r>
        <w:t xml:space="preserve"> polycrystalline equiaxed solidification</w:t>
      </w:r>
      <w:r w:rsidR="0091027E">
        <w:t xml:space="preserve"> modelling</w:t>
      </w:r>
      <w:r>
        <w:t xml:space="preserve"> with application to a microgravity </w:t>
      </w:r>
      <w:r w:rsidR="00D1612E">
        <w:t xml:space="preserve">transparent alloy </w:t>
      </w:r>
      <w:r>
        <w:t xml:space="preserve">experiment </w:t>
      </w:r>
      <w:r w:rsidR="0091027E">
        <w:t xml:space="preserve">observed </w:t>
      </w:r>
      <w:r w:rsidR="0091027E" w:rsidRPr="0091027E">
        <w:rPr>
          <w:i/>
        </w:rPr>
        <w:t>in-situ</w:t>
      </w:r>
    </w:p>
    <w:p w14:paraId="593D2B51" w14:textId="0385BDA6" w:rsidR="0019025C" w:rsidRPr="00DE07BF" w:rsidRDefault="0019025C" w:rsidP="0019025C">
      <w:pPr>
        <w:pStyle w:val="Authornames"/>
        <w:rPr>
          <w:lang w:val="de-DE"/>
        </w:rPr>
      </w:pPr>
      <w:r w:rsidRPr="00DE07BF">
        <w:rPr>
          <w:lang w:val="de-DE"/>
        </w:rPr>
        <w:t>Shaun McFadden</w:t>
      </w:r>
      <w:r w:rsidRPr="00DE07BF">
        <w:rPr>
          <w:vertAlign w:val="superscript"/>
          <w:lang w:val="de-DE"/>
        </w:rPr>
        <w:t>1,</w:t>
      </w:r>
      <w:r>
        <w:rPr>
          <w:vertAlign w:val="superscript"/>
          <w:lang w:val="de-DE"/>
        </w:rPr>
        <w:t>2</w:t>
      </w:r>
      <w:r w:rsidRPr="0019025C">
        <w:rPr>
          <w:lang w:val="de-DE"/>
        </w:rPr>
        <w:t>,</w:t>
      </w:r>
      <w:r>
        <w:rPr>
          <w:lang w:val="de-DE"/>
        </w:rPr>
        <w:t xml:space="preserve"> </w:t>
      </w:r>
      <w:r w:rsidRPr="00DE07BF">
        <w:rPr>
          <w:lang w:val="de-DE"/>
        </w:rPr>
        <w:t>Robin P. Mooney</w:t>
      </w:r>
      <w:r>
        <w:rPr>
          <w:vertAlign w:val="superscript"/>
          <w:lang w:val="de-DE"/>
        </w:rPr>
        <w:t>2</w:t>
      </w:r>
      <w:r w:rsidRPr="00DE07BF">
        <w:rPr>
          <w:lang w:val="de-DE"/>
        </w:rPr>
        <w:t>, Laszlo Sturz</w:t>
      </w:r>
      <w:r>
        <w:rPr>
          <w:vertAlign w:val="superscript"/>
          <w:lang w:val="de-DE"/>
        </w:rPr>
        <w:t>3</w:t>
      </w:r>
      <w:r w:rsidRPr="00DE07BF">
        <w:rPr>
          <w:lang w:val="de-DE"/>
        </w:rPr>
        <w:t>, Gerhard Zimmermann</w:t>
      </w:r>
      <w:r>
        <w:rPr>
          <w:vertAlign w:val="superscript"/>
          <w:lang w:val="de-DE"/>
        </w:rPr>
        <w:t>3</w:t>
      </w:r>
      <w:r w:rsidRPr="00DE07BF">
        <w:rPr>
          <w:lang w:val="de-DE"/>
        </w:rPr>
        <w:t xml:space="preserve"> </w:t>
      </w:r>
    </w:p>
    <w:p w14:paraId="27D6C30E" w14:textId="79A4E1CD" w:rsidR="0019025C" w:rsidRPr="0088095A" w:rsidRDefault="0019025C" w:rsidP="0019025C">
      <w:pPr>
        <w:pStyle w:val="Affiliation"/>
        <w:spacing w:before="0" w:line="288" w:lineRule="auto"/>
        <w:contextualSpacing/>
      </w:pPr>
      <w:r w:rsidRPr="0019025C">
        <w:rPr>
          <w:vertAlign w:val="superscript"/>
        </w:rPr>
        <w:t>1</w:t>
      </w:r>
      <w:r>
        <w:t xml:space="preserve">School </w:t>
      </w:r>
      <w:r w:rsidRPr="00834F91">
        <w:t>of Computing</w:t>
      </w:r>
      <w:r>
        <w:t>,</w:t>
      </w:r>
      <w:r w:rsidRPr="00834F91">
        <w:t xml:space="preserve"> Engineering</w:t>
      </w:r>
      <w:r>
        <w:t xml:space="preserve"> and Intelligent Systems</w:t>
      </w:r>
      <w:r w:rsidRPr="00834F91">
        <w:t>, Ulster University, BT48 7JL Northern Ireland, United Kingdom</w:t>
      </w:r>
      <w:r>
        <w:t>.</w:t>
      </w:r>
    </w:p>
    <w:p w14:paraId="1AB3B704" w14:textId="161DD5AB" w:rsidR="0019025C" w:rsidRDefault="0019025C" w:rsidP="0019025C">
      <w:pPr>
        <w:pStyle w:val="Affiliation"/>
        <w:spacing w:before="0" w:line="288" w:lineRule="auto"/>
        <w:contextualSpacing/>
      </w:pPr>
      <w:r w:rsidRPr="0019025C">
        <w:rPr>
          <w:vertAlign w:val="superscript"/>
        </w:rPr>
        <w:t>2</w:t>
      </w:r>
      <w:r>
        <w:t>Dept. of Mechanical &amp; Manufacturing</w:t>
      </w:r>
      <w:r w:rsidRPr="001E554E">
        <w:t xml:space="preserve"> Engineering, Trinity Colle</w:t>
      </w:r>
      <w:r>
        <w:t>ge Dublin, D2</w:t>
      </w:r>
      <w:r w:rsidRPr="001E554E">
        <w:t>, Ireland</w:t>
      </w:r>
      <w:r>
        <w:t xml:space="preserve">. </w:t>
      </w:r>
    </w:p>
    <w:p w14:paraId="5D0D49BA" w14:textId="77777777" w:rsidR="0019025C" w:rsidRDefault="0019025C" w:rsidP="0019025C">
      <w:pPr>
        <w:pStyle w:val="Affiliation"/>
        <w:spacing w:before="0" w:line="288" w:lineRule="auto"/>
        <w:contextualSpacing/>
      </w:pPr>
      <w:r>
        <w:rPr>
          <w:vertAlign w:val="superscript"/>
        </w:rPr>
        <w:t>3</w:t>
      </w:r>
      <w:r>
        <w:t>ACCESS e.V., Intzestrasse</w:t>
      </w:r>
      <w:r w:rsidRPr="00834F91">
        <w:t xml:space="preserve"> 5, 52072 Aachen, Germany</w:t>
      </w:r>
      <w:r>
        <w:t>.</w:t>
      </w:r>
    </w:p>
    <w:p w14:paraId="7B80E034" w14:textId="778366DA" w:rsidR="0019025C" w:rsidRDefault="0019025C" w:rsidP="0019025C">
      <w:pPr>
        <w:pStyle w:val="Affiliation"/>
        <w:spacing w:before="0" w:line="288" w:lineRule="auto"/>
        <w:contextualSpacing/>
      </w:pPr>
      <w:r>
        <w:t xml:space="preserve">Corresponding author:  </w:t>
      </w:r>
      <w:hyperlink r:id="rId8" w:history="1">
        <w:r w:rsidRPr="008B7DB0">
          <w:rPr>
            <w:rStyle w:val="Hyperlink"/>
          </w:rPr>
          <w:t>s.mcfadden2@ulster.ac.uk</w:t>
        </w:r>
      </w:hyperlink>
      <w:r>
        <w:t xml:space="preserve"> </w:t>
      </w:r>
    </w:p>
    <w:p w14:paraId="092664BB" w14:textId="77777777" w:rsidR="00DC177E" w:rsidRPr="00CA20A3" w:rsidRDefault="00DC177E" w:rsidP="0091027E">
      <w:pPr>
        <w:pStyle w:val="Abstract"/>
        <w:jc w:val="both"/>
        <w:rPr>
          <w:b/>
        </w:rPr>
      </w:pPr>
      <w:r w:rsidRPr="00CA20A3">
        <w:rPr>
          <w:b/>
        </w:rPr>
        <w:t>Abstract</w:t>
      </w:r>
    </w:p>
    <w:p w14:paraId="20F31A60" w14:textId="5111E524" w:rsidR="00DC177E" w:rsidRDefault="00DC177E" w:rsidP="00913356">
      <w:pPr>
        <w:pStyle w:val="Abstract"/>
      </w:pPr>
      <w:r>
        <w:t xml:space="preserve">A Nucleation Progenitor Function (NPF) approach </w:t>
      </w:r>
      <w:r w:rsidR="00210B60">
        <w:t>that</w:t>
      </w:r>
      <w:r>
        <w:t xml:space="preserve"> account</w:t>
      </w:r>
      <w:r w:rsidR="002F401C">
        <w:t>s</w:t>
      </w:r>
      <w:r>
        <w:t xml:space="preserve"> </w:t>
      </w:r>
      <w:r w:rsidR="002F401C">
        <w:t>for</w:t>
      </w:r>
      <w:r>
        <w:t xml:space="preserve"> </w:t>
      </w:r>
      <w:r w:rsidR="00210B60">
        <w:t xml:space="preserve">the interdependence </w:t>
      </w:r>
      <w:r>
        <w:t xml:space="preserve">between nucleation and growth </w:t>
      </w:r>
      <w:r w:rsidR="00210B60">
        <w:t>during</w:t>
      </w:r>
      <w:r>
        <w:t xml:space="preserve"> equiaxed solidification is </w:t>
      </w:r>
      <w:r w:rsidR="002F401C">
        <w:t>proposed</w:t>
      </w:r>
      <w:r>
        <w:t>. An athermal nucleation density distribution</w:t>
      </w:r>
      <w:r w:rsidR="00F01DB6">
        <w:t>,</w:t>
      </w:r>
      <w:r>
        <w:t xml:space="preserve"> based on undercooling</w:t>
      </w:r>
      <w:r w:rsidR="00F01DB6">
        <w:t>,</w:t>
      </w:r>
      <w:r>
        <w:t xml:space="preserve"> is </w:t>
      </w:r>
      <w:r w:rsidR="002F401C">
        <w:t xml:space="preserve">identified </w:t>
      </w:r>
      <w:r>
        <w:t xml:space="preserve">as a progenitor function. A Kolmogorov statistical approach is applied assuming continuous nucleation and growth conditions. </w:t>
      </w:r>
      <w:r w:rsidR="00D70A1F">
        <w:t xml:space="preserve">The derived </w:t>
      </w:r>
      <w:r>
        <w:t xml:space="preserve">progeny functions describe the (supressed) distribution of actual nucleation events. </w:t>
      </w:r>
      <w:r w:rsidR="00D70A1F">
        <w:t xml:space="preserve">The approach offers the significant advantage of generating progeny functions for volumetric (3D) data and projected image (2D) data. The main difference between 3D and 2D data </w:t>
      </w:r>
      <w:r w:rsidR="00962010">
        <w:t xml:space="preserve">in transparent alloy experiments </w:t>
      </w:r>
      <w:r w:rsidR="00D70A1F">
        <w:t xml:space="preserve">is due to a stereological correction for over-projection. </w:t>
      </w:r>
      <w:r w:rsidR="00F00BB8">
        <w:t>P</w:t>
      </w:r>
      <w:r>
        <w:t>rogeny function</w:t>
      </w:r>
      <w:r w:rsidR="00F00BB8">
        <w:t>s</w:t>
      </w:r>
      <w:r>
        <w:t xml:space="preserve"> can be analysed to obtain statistical output information, </w:t>
      </w:r>
      <w:r w:rsidR="00FC4561">
        <w:t>e.g.</w:t>
      </w:r>
      <w:r>
        <w:t>, nucleation count</w:t>
      </w:r>
      <w:r w:rsidR="00F00BB8">
        <w:t>s</w:t>
      </w:r>
      <w:r>
        <w:t xml:space="preserve">, average nucleation undercooling </w:t>
      </w:r>
      <w:r w:rsidR="00962010">
        <w:t xml:space="preserve">and </w:t>
      </w:r>
      <w:r>
        <w:t xml:space="preserve">standard deviation. </w:t>
      </w:r>
      <w:r w:rsidR="00962010">
        <w:t>T</w:t>
      </w:r>
      <w:r>
        <w:t>h</w:t>
      </w:r>
      <w:r w:rsidR="00D1612E">
        <w:t>e</w:t>
      </w:r>
      <w:r>
        <w:t xml:space="preserve"> statistical </w:t>
      </w:r>
      <w:r w:rsidR="00D1612E">
        <w:t xml:space="preserve">output </w:t>
      </w:r>
      <w:r>
        <w:t xml:space="preserve">data may be calculated in </w:t>
      </w:r>
      <w:r w:rsidR="00866A7A">
        <w:t xml:space="preserve">a formative (running) </w:t>
      </w:r>
      <w:r>
        <w:t>or</w:t>
      </w:r>
      <w:r w:rsidR="00D70A1F">
        <w:t xml:space="preserve"> </w:t>
      </w:r>
      <w:r w:rsidR="00210B60">
        <w:t>a summative (</w:t>
      </w:r>
      <w:r>
        <w:t>final</w:t>
      </w:r>
      <w:r w:rsidR="00210B60">
        <w:t>)</w:t>
      </w:r>
      <w:r>
        <w:t xml:space="preserve"> </w:t>
      </w:r>
      <w:r w:rsidR="00210B60">
        <w:t>mode</w:t>
      </w:r>
      <w:r>
        <w:t xml:space="preserve">. </w:t>
      </w:r>
      <w:r w:rsidR="00D70A1F">
        <w:t>T</w:t>
      </w:r>
      <w:r>
        <w:t xml:space="preserve">he NPF </w:t>
      </w:r>
      <w:r w:rsidR="00F00BB8">
        <w:t>kinetics</w:t>
      </w:r>
      <w:r>
        <w:t xml:space="preserve"> </w:t>
      </w:r>
      <w:r w:rsidR="00962010">
        <w:t>h</w:t>
      </w:r>
      <w:r w:rsidR="00D70A1F">
        <w:t>a</w:t>
      </w:r>
      <w:r w:rsidR="00F00BB8">
        <w:t>ve</w:t>
      </w:r>
      <w:r w:rsidR="00D70A1F">
        <w:t xml:space="preserve"> </w:t>
      </w:r>
      <w:r w:rsidR="00962010">
        <w:t xml:space="preserve">been </w:t>
      </w:r>
      <w:r w:rsidR="00D70A1F">
        <w:t xml:space="preserve">incorporated into </w:t>
      </w:r>
      <w:r>
        <w:t xml:space="preserve">a </w:t>
      </w:r>
      <w:r w:rsidR="00D1612E">
        <w:t xml:space="preserve">transient </w:t>
      </w:r>
      <w:r>
        <w:t>thermal m</w:t>
      </w:r>
      <w:r w:rsidR="00962010">
        <w:t xml:space="preserve">odel of equiaxed solidification. The model has been </w:t>
      </w:r>
      <w:r>
        <w:t xml:space="preserve">applied to characterise a microgravity solidification experiment </w:t>
      </w:r>
      <w:r w:rsidR="00962010">
        <w:t xml:space="preserve">with </w:t>
      </w:r>
      <w:r>
        <w:t>the transparent alloy system Neopentylgycol-30wt.%(d)Camphor. The model predicted therma</w:t>
      </w:r>
      <w:r w:rsidR="004177A8">
        <w:t>l</w:t>
      </w:r>
      <w:r w:rsidR="00962010">
        <w:t xml:space="preserve"> and observed </w:t>
      </w:r>
      <w:r w:rsidR="004177A8">
        <w:t xml:space="preserve">nucleation and growth data </w:t>
      </w:r>
      <w:r>
        <w:t xml:space="preserve">with a good level of agreement. </w:t>
      </w:r>
    </w:p>
    <w:p w14:paraId="29479072" w14:textId="77777777" w:rsidR="00DC177E" w:rsidRPr="0020415E" w:rsidRDefault="00DC177E" w:rsidP="0091027E">
      <w:pPr>
        <w:pStyle w:val="Keywords"/>
        <w:jc w:val="both"/>
      </w:pPr>
      <w:r>
        <w:t>Keywords: nucleation; equiaxed growth; solidification; microgravity.</w:t>
      </w:r>
    </w:p>
    <w:p w14:paraId="397D2867" w14:textId="77777777" w:rsidR="00DC177E" w:rsidRDefault="00DC177E" w:rsidP="0091027E">
      <w:pPr>
        <w:pStyle w:val="Heading1"/>
        <w:ind w:right="850"/>
        <w:jc w:val="both"/>
      </w:pPr>
      <w:bookmarkStart w:id="1" w:name="_Ref483226280"/>
      <w:r w:rsidRPr="00292467">
        <w:t>Introduction</w:t>
      </w:r>
      <w:bookmarkEnd w:id="1"/>
    </w:p>
    <w:p w14:paraId="1183B9BC" w14:textId="698375E8" w:rsidR="00DC177E" w:rsidRDefault="00DC177E" w:rsidP="00913356">
      <w:pPr>
        <w:pStyle w:val="Paragraph"/>
      </w:pPr>
      <w:r>
        <w:t xml:space="preserve">Polycrystalline equiaxed solidification, leading to grain refinement in microstructure, is a significant topic for the metal processing industry. The advantages of fine-grained equiaxed structures in casting processes are well-known and include a reduction in defects and improvements in component strength. In wrought alloy processing, initial fine grain structures can improve recrystallization </w:t>
      </w:r>
      <w:r>
        <w:lastRenderedPageBreak/>
        <w:t xml:space="preserve">kinetics. A relevant industry standard </w:t>
      </w:r>
      <w:r>
        <w:fldChar w:fldCharType="begin" w:fldLock="1"/>
      </w:r>
      <w:r w:rsidR="00342B98">
        <w:instrText>ADDIN CSL_CITATION { "citationItems" : [ { "id" : "ITEM-1", "itemData" : { "author" : [ { "dropping-particle" : "", "family" : "The Aluminum Association", "given" : "", "non-dropping-particle" : "", "parse-names" : false, "suffix" : "" } ], "id" : "ITEM-1", "issued" : { "date-parts" : [ [ "2012" ] ] }, "publisher-place" : "Arlington, VA", "title" : "Standard test procedure for aluminum alloy grain refiners, TP-1", "type" : "article" }, "uris" : [ "http://www.mendeley.com/documents/?uuid=3d589aa4-a387-4d77-b5d2-0f38fd756bc8", "http://www.mendeley.com/documents/?uuid=e0908411-741f-4df4-a7f7-421d99e70ca3" ] } ], "mendeley" : { "formattedCitation" : "[1]", "plainTextFormattedCitation" : "[1]", "previouslyFormattedCitation" : "[1]" }, "properties" : {  }, "schema" : "https://github.com/citation-style-language/schema/raw/master/csl-citation.json" }</w:instrText>
      </w:r>
      <w:r>
        <w:fldChar w:fldCharType="separate"/>
      </w:r>
      <w:r w:rsidRPr="001A27B2">
        <w:rPr>
          <w:noProof/>
        </w:rPr>
        <w:t>[1]</w:t>
      </w:r>
      <w:r>
        <w:fldChar w:fldCharType="end"/>
      </w:r>
      <w:r>
        <w:t>, which outlines test procedures for grain-refined microstructure characterisation,</w:t>
      </w:r>
      <w:r w:rsidRPr="00652D86">
        <w:t xml:space="preserve"> </w:t>
      </w:r>
      <w:r>
        <w:t>exists. However, the standard does not attempt to predict cause-and-effect relationships</w:t>
      </w:r>
      <w:r w:rsidR="007665E6">
        <w:t xml:space="preserve"> in a detailed way</w:t>
      </w:r>
      <w:r>
        <w:t>. Nevertheless, much is known about the heterogeneous nucleation mechanisms that promote polycrystalline equiaxed grain structures. Such methods include inoculation of aluminium castings with TiB</w:t>
      </w:r>
      <w:r>
        <w:rPr>
          <w:vertAlign w:val="subscript"/>
        </w:rPr>
        <w:t>2</w:t>
      </w:r>
      <w:r>
        <w:t xml:space="preserve"> particles. </w:t>
      </w:r>
    </w:p>
    <w:p w14:paraId="05790B43" w14:textId="77777777" w:rsidR="00DC177E" w:rsidRDefault="00DC177E" w:rsidP="0091027E">
      <w:pPr>
        <w:pStyle w:val="Heading2"/>
        <w:jc w:val="both"/>
      </w:pPr>
      <w:r>
        <w:t xml:space="preserve">Athermal nucleation distribution based on undercooling </w:t>
      </w:r>
    </w:p>
    <w:p w14:paraId="0FB1B207" w14:textId="2F685FA8" w:rsidR="00DC177E" w:rsidRDefault="00DC177E" w:rsidP="00913356">
      <w:pPr>
        <w:pStyle w:val="Paragraph"/>
      </w:pPr>
      <w:r>
        <w:t xml:space="preserve">Recently, Greer </w:t>
      </w:r>
      <w:r>
        <w:fldChar w:fldCharType="begin" w:fldLock="1"/>
      </w:r>
      <w:r w:rsidR="00342B98">
        <w:instrText>ADDIN CSL_CITATION { "citationItems" : [ { "id" : "ITEM-1", "itemData" : { "DOI" : "10.1063/1.4968846", "author" : [ { "dropping-particle" : "", "family" : "Greer", "given" : "A L", "non-dropping-particle" : "", "parse-names" : false, "suffix" : "" } ], "container-title" : "The Journal of Chemical Physics", "id" : "ITEM-1", "issue" : "211704", "issued" : { "date-parts" : [ [ "2016" ] ] }, "page" : "1-14", "title" : "Overview : Application of heterogeneous nucleation in grain-refining of metals Overview : Application of heterogeneous nucleation in grain-refining of metals", "type" : "article-journal", "volume" : "145" }, "uris" : [ "http://www.mendeley.com/documents/?uuid=a6fbef1e-fb4d-4121-b815-fb03a4a5985c", "http://www.mendeley.com/documents/?uuid=3f12eef7-d05c-4dc7-8036-4250011a657b" ] } ], "mendeley" : { "formattedCitation" : "[2]", "plainTextFormattedCitation" : "[2]", "previouslyFormattedCitation" : "[2]" }, "properties" : {  }, "schema" : "https://github.com/citation-style-language/schema/raw/master/csl-citation.json" }</w:instrText>
      </w:r>
      <w:r>
        <w:fldChar w:fldCharType="separate"/>
      </w:r>
      <w:r w:rsidRPr="00652D86">
        <w:rPr>
          <w:noProof/>
        </w:rPr>
        <w:t>[2]</w:t>
      </w:r>
      <w:r>
        <w:fldChar w:fldCharType="end"/>
      </w:r>
      <w:r>
        <w:t xml:space="preserve"> and Easton et al. </w:t>
      </w:r>
      <w:r>
        <w:fldChar w:fldCharType="begin" w:fldLock="1"/>
      </w:r>
      <w:r w:rsidR="00342B98">
        <w:instrText>ADDIN CSL_CITATION { "citationItems" : [ { "id" : "ITEM-1", "itemData" : { "DOI" : "10.1016/j.cossms.2015.10.001", "ISSN" : "1359-0286", "author" : [ { "dropping-particle" : "", "family" : "Easton", "given" : "M A", "non-dropping-particle" : "", "parse-names" : false, "suffix" : "" }, { "dropping-particle" : "", "family" : "Qian", "given" : "M", "non-dropping-particle" : "", "parse-names" : false, "suffix" : "" }, { "dropping-particle" : "", "family" : "Prasad", "given" : "A", "non-dropping-particle" : "", "parse-names" : false, "suffix" : "" }, { "dropping-particle" : "", "family" : "Stjohn", "given" : "D H", "non-dropping-particle" : "", "parse-names" : false, "suffix" : "" } ], "container-title" : "Current Opinion in Solid State &amp; Materials Science", "id" : "ITEM-1", "issue" : "1", "issued" : { "date-parts" : [ [ "2016" ] ] }, "page" : "13-24", "publisher" : "Elsevier Ltd", "title" : "Recent advances in grain refinement of light metals and alloys", "type" : "article-journal", "volume" : "20" }, "uris" : [ "http://www.mendeley.com/documents/?uuid=3400a41d-1f51-498b-a30f-9907bebe0458", "http://www.mendeley.com/documents/?uuid=cfc6fc8b-d1dc-4b79-b859-3d4e4182e65c" ] } ], "mendeley" : { "formattedCitation" : "[3]", "plainTextFormattedCitation" : "[3]", "previouslyFormattedCitation" : "[3]" }, "properties" : {  }, "schema" : "https://github.com/citation-style-language/schema/raw/master/csl-citation.json" }</w:instrText>
      </w:r>
      <w:r>
        <w:fldChar w:fldCharType="separate"/>
      </w:r>
      <w:r w:rsidRPr="00652D86">
        <w:rPr>
          <w:noProof/>
        </w:rPr>
        <w:t>[3]</w:t>
      </w:r>
      <w:r>
        <w:fldChar w:fldCharType="end"/>
      </w:r>
      <w:r>
        <w:t xml:space="preserve"> reviewed grain refinement in castings. Indeed, Greer and co-workers </w:t>
      </w:r>
      <w:r>
        <w:fldChar w:fldCharType="begin" w:fldLock="1"/>
      </w:r>
      <w:r w:rsidR="0013413C">
        <w:instrText>ADDIN CSL_CITATION { "citationItems" : [ { "id" : "ITEM-1", "itemData" : { "DOI" : "10.1016/S1359-6454(00)00094-X", "ISSN" : "13596454", "abstract" : "A numerical model is presented for the prediction of grain size in inoculated castings and is tested against measured grain sizes obtained in standard grain-refiner tests on aluminium alloys. It is shown that for potent nucleants, such as commercial grain refiners for aluminium, the nucleation stage itself is not the controlling factor. The number of grains is determined by a free-growth condition in which a grain grows from a refiner particle at an undercooling inversely proportional to the particle diameter. With measured particle size distributions as input, the model makes quantitatively correct predictions for grain size and its variation with refiner addition level, cooling rate and melt composition. The model can assist in optimizing the use of existing refiners and in developing improved refiners.", "author" : [ { "dropping-particle" : "", "family" : "Greer", "given" : "AL", "non-dropping-particle" : "", "parse-names" : false, "suffix" : "" }, { "dropping-particle" : "", "family" : "Bunn", "given" : "AM", "non-dropping-particle" : "", "parse-names" : false, "suffix" : "" }, { "dropping-particle" : "", "family" : "Tronche", "given" : "A", "non-dropping-particle" : "", "parse-names" : false, "suffix" : "" }, { "dropping-particle" : "", "family" : "Evans", "given" : "PV", "non-dropping-particle" : "", "parse-names" : false, "suffix" : "" }, { "dropping-particle" : "", "family" : "Bristow", "given" : "DJ", "non-dropping-particle" : "", "parse-names" : false, "suffix" : "" } ], "container-title" : "Acta Materialia", "id" : "ITEM-1", "issue" : "11", "issued" : { "date-parts" : [ [ "2000", "6" ] ] }, "page" : "2823-2835", "title" : "Modelling of inoculation of metallic melts: application to grain refinement of aluminium by Al\u2013Ti\u2013B", "type" : "article-journal", "volume" : "48" }, "uris" : [ "http://www.mendeley.com/documents/?uuid=3007ed13-2023-44d4-a44c-f3c530d47438" ] } ], "mendeley" : { "formattedCitation" : "[4]", "plainTextFormattedCitation" : "[4]", "previouslyFormattedCitation" : "[4]" }, "properties" : {  }, "schema" : "https://github.com/citation-style-language/schema/raw/master/csl-citation.json" }</w:instrText>
      </w:r>
      <w:r>
        <w:fldChar w:fldCharType="separate"/>
      </w:r>
      <w:r w:rsidRPr="00AB0B22">
        <w:rPr>
          <w:noProof/>
        </w:rPr>
        <w:t>[4]</w:t>
      </w:r>
      <w:r>
        <w:fldChar w:fldCharType="end"/>
      </w:r>
      <w:r>
        <w:t xml:space="preserve"> provided the much-needed physical explanation of how free-growth conditions are established on the inoculating grain refiner particles. The attainment of free-growth conditions on the particles was identified as the controlling factor in the grain refinement processes. The undercooling for free-growth</w:t>
      </w:r>
      <w:r w:rsidRPr="004771DF">
        <w:t xml:space="preserve"> </w:t>
      </w:r>
      <w:r>
        <w:t xml:space="preserve">conditions, </w:t>
      </w:r>
      <m:oMath>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fg</m:t>
            </m:r>
          </m:sub>
        </m:sSub>
      </m:oMath>
      <w:r>
        <w:t xml:space="preserve">, on any particle is related to the particle dimension, </w:t>
      </w:r>
      <m:oMath>
        <m:r>
          <w:rPr>
            <w:rFonts w:ascii="Cambria Math" w:hAnsi="Cambria Math"/>
          </w:rPr>
          <m:t>d</m:t>
        </m:r>
      </m:oMath>
      <w:r w:rsidR="00FE112E">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05"/>
        <w:gridCol w:w="1216"/>
      </w:tblGrid>
      <w:tr w:rsidR="00DC177E" w14:paraId="117F167D" w14:textId="77777777" w:rsidTr="00A11E2A">
        <w:trPr>
          <w:jc w:val="center"/>
        </w:trPr>
        <w:tc>
          <w:tcPr>
            <w:tcW w:w="7905" w:type="dxa"/>
            <w:vAlign w:val="center"/>
          </w:tcPr>
          <w:p w14:paraId="2F078239" w14:textId="06CDBE2B" w:rsidR="00DC177E" w:rsidRDefault="008F6ACD" w:rsidP="00A11E2A">
            <w:pPr>
              <w:pStyle w:val="Newparagraph"/>
              <w:jc w:val="center"/>
            </w:pPr>
            <m:oMathPara>
              <m:oMath>
                <m:m>
                  <m:mPr>
                    <m:mcs>
                      <m:mc>
                        <m:mcPr>
                          <m:count m:val="2"/>
                          <m:mcJc m:val="center"/>
                        </m:mcPr>
                      </m:mc>
                    </m:mcs>
                    <m:ctrlPr>
                      <w:rPr>
                        <w:rFonts w:ascii="Cambria Math" w:hAnsi="Cambria Math"/>
                      </w:rPr>
                    </m:ctrlPr>
                  </m:mPr>
                  <m:mr>
                    <m:e>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fg</m:t>
                          </m:r>
                        </m:sub>
                      </m:sSub>
                      <m:r>
                        <m:rPr>
                          <m:sty m:val="p"/>
                        </m:rPr>
                        <w:rPr>
                          <w:rFonts w:ascii="Cambria Math" w:hAnsi="Cambria Math"/>
                        </w:rPr>
                        <m:t>=</m:t>
                      </m:r>
                      <m:f>
                        <m:fPr>
                          <m:ctrlPr>
                            <w:rPr>
                              <w:rFonts w:ascii="Cambria Math" w:hAnsi="Cambria Math"/>
                            </w:rPr>
                          </m:ctrlPr>
                        </m:fPr>
                        <m:num>
                          <m:r>
                            <m:rPr>
                              <m:sty m:val="p"/>
                            </m:rPr>
                            <w:rPr>
                              <w:rFonts w:ascii="Cambria Math" w:hAnsi="Cambria Math"/>
                            </w:rPr>
                            <m:t>4</m:t>
                          </m:r>
                          <m:r>
                            <w:rPr>
                              <w:rFonts w:ascii="Cambria Math" w:hAnsi="Cambria Math"/>
                            </w:rPr>
                            <m:t>γ</m:t>
                          </m:r>
                        </m:num>
                        <m:den>
                          <m:sSub>
                            <m:sSubPr>
                              <m:ctrlPr>
                                <w:rPr>
                                  <w:rFonts w:ascii="Cambria Math" w:hAnsi="Cambria Math"/>
                                </w:rPr>
                              </m:ctrlPr>
                            </m:sSubPr>
                            <m:e>
                              <m:r>
                                <m:rPr>
                                  <m:sty m:val="p"/>
                                </m:rPr>
                                <w:rPr>
                                  <w:rFonts w:ascii="Cambria Math" w:hAnsi="Cambria Math"/>
                                </w:rPr>
                                <m:t>∆</m:t>
                              </m:r>
                              <m:r>
                                <w:rPr>
                                  <w:rFonts w:ascii="Cambria Math" w:hAnsi="Cambria Math"/>
                                </w:rPr>
                                <m:t>S</m:t>
                              </m:r>
                            </m:e>
                            <m:sub>
                              <m:r>
                                <w:rPr>
                                  <w:rFonts w:ascii="Cambria Math" w:hAnsi="Cambria Math"/>
                                </w:rPr>
                                <m:t>V</m:t>
                              </m:r>
                            </m:sub>
                          </m:sSub>
                          <m:r>
                            <w:rPr>
                              <w:rFonts w:ascii="Cambria Math" w:hAnsi="Cambria Math"/>
                            </w:rPr>
                            <m:t>d</m:t>
                          </m:r>
                        </m:den>
                      </m:f>
                    </m:e>
                    <m:e>
                      <m:r>
                        <m:rPr>
                          <m:sty m:val="p"/>
                        </m:rPr>
                        <w:rPr>
                          <w:rFonts w:ascii="Cambria Math" w:hAnsi="Cambria Math"/>
                        </w:rPr>
                        <m:t>,</m:t>
                      </m:r>
                    </m:e>
                  </m:mr>
                </m:m>
              </m:oMath>
            </m:oMathPara>
          </w:p>
        </w:tc>
        <w:tc>
          <w:tcPr>
            <w:tcW w:w="810" w:type="dxa"/>
            <w:vAlign w:val="center"/>
          </w:tcPr>
          <w:p w14:paraId="4E1B89B7" w14:textId="77777777" w:rsidR="00DC177E" w:rsidRDefault="00DC177E" w:rsidP="00A11E2A">
            <w:pPr>
              <w:pStyle w:val="Newparagraph"/>
              <w:jc w:val="center"/>
            </w:pPr>
            <w:r>
              <w:t>(</w:t>
            </w:r>
            <w:fldSimple w:instr=" SEQ Eqn \* MERGEFORMAT ">
              <w:r w:rsidR="002637FB">
                <w:rPr>
                  <w:noProof/>
                </w:rPr>
                <w:t>1</w:t>
              </w:r>
            </w:fldSimple>
            <w:r>
              <w:t>)</w:t>
            </w:r>
          </w:p>
        </w:tc>
      </w:tr>
    </w:tbl>
    <w:p w14:paraId="19199BF8" w14:textId="72C73339" w:rsidR="00DC177E" w:rsidRDefault="007665E6" w:rsidP="00FE112E">
      <w:pPr>
        <w:pStyle w:val="Newparagraph"/>
        <w:ind w:firstLine="0"/>
      </w:pPr>
      <w:r>
        <w:t>Where</w:t>
      </w:r>
      <w:r w:rsidR="00DC177E">
        <w:t xml:space="preserve"> </w:t>
      </w:r>
      <m:oMath>
        <m:r>
          <w:rPr>
            <w:rFonts w:ascii="Cambria Math" w:hAnsi="Cambria Math"/>
          </w:rPr>
          <m:t>γ</m:t>
        </m:r>
      </m:oMath>
      <w:r w:rsidR="00DC177E">
        <w:t xml:space="preserve"> is the solid-liquid interfacial energy and </w:t>
      </w:r>
      <m:oMath>
        <m:sSub>
          <m:sSubPr>
            <m:ctrlPr>
              <w:rPr>
                <w:rFonts w:ascii="Cambria Math" w:hAnsi="Cambria Math"/>
                <w:i/>
              </w:rPr>
            </m:ctrlPr>
          </m:sSubPr>
          <m:e>
            <m:r>
              <w:rPr>
                <w:rFonts w:ascii="Cambria Math" w:hAnsi="Cambria Math"/>
              </w:rPr>
              <m:t>∆S</m:t>
            </m:r>
          </m:e>
          <m:sub>
            <m:r>
              <w:rPr>
                <w:rFonts w:ascii="Cambria Math" w:hAnsi="Cambria Math"/>
              </w:rPr>
              <m:t>V</m:t>
            </m:r>
          </m:sub>
        </m:sSub>
      </m:oMath>
      <w:r w:rsidR="00DC177E">
        <w:t xml:space="preserve"> is the volumetric entropy of fusion.</w:t>
      </w:r>
      <w:r w:rsidR="00DC177E" w:rsidRPr="006914BF">
        <w:t xml:space="preserve"> </w:t>
      </w:r>
      <w:r w:rsidR="00DC177E">
        <w:t xml:space="preserve">Applications of athermal nucleation distributions based on undercooling, originally proposed by Oldfield </w:t>
      </w:r>
      <w:r w:rsidR="00DC177E">
        <w:fldChar w:fldCharType="begin" w:fldLock="1"/>
      </w:r>
      <w:r w:rsidR="0013413C">
        <w:instrText>ADDIN CSL_CITATION { "citationItems" : [ { "id" : "ITEM-1", "itemData" : { "author" : [ { "dropping-particle" : "", "family" : "Oldfield", "given" : "W.", "non-dropping-particle" : "", "parse-names" : false, "suffix" : "" } ], "container-title" : "Transactions of the ASME", "id" : "ITEM-1", "issued" : { "date-parts" : [ [ "1966" ] ] }, "page" : "945\u2013961", "title" : "A quantitative approach to casting solidification: freezing of cast iron", "type" : "article-journal", "volume" : "59" }, "uris" : [ "http://www.mendeley.com/documents/?uuid=d5ecbb17-6144-493b-a1fa-4507114e8586" ] } ], "mendeley" : { "formattedCitation" : "[5]", "plainTextFormattedCitation" : "[5]", "previouslyFormattedCitation" : "[5]" }, "properties" : {  }, "schema" : "https://github.com/citation-style-language/schema/raw/master/csl-citation.json" }</w:instrText>
      </w:r>
      <w:r w:rsidR="00DC177E">
        <w:fldChar w:fldCharType="separate"/>
      </w:r>
      <w:r w:rsidR="00DC177E" w:rsidRPr="006914BF">
        <w:rPr>
          <w:noProof/>
        </w:rPr>
        <w:t>[5]</w:t>
      </w:r>
      <w:r w:rsidR="00DC177E">
        <w:fldChar w:fldCharType="end"/>
      </w:r>
      <w:r w:rsidR="00DC177E">
        <w:t xml:space="preserve">, have been commonplace in microstructure modelling. As reviewed in Rappaz </w:t>
      </w:r>
      <w:r w:rsidR="00DC177E">
        <w:fldChar w:fldCharType="begin" w:fldLock="1"/>
      </w:r>
      <w:r w:rsidR="0013413C">
        <w:instrText>ADDIN CSL_CITATION { "citationItems" : [ { "id" : "ITEM-1", "itemData" : { "DOI" : "10.1179/imr.1989.34.1.93", "abstract" : "AbstractModelling of heat flow has become a standard practice in many solidification processes. Effort is currently being made to couple heat flow calculations to related macroscopic phenomena such as mould filling, fluid flow, macrosegregation, or thermal stresses. If these macroscopic aspects are important in predicting formation of macroscopic defects or optimising process conditions, then microstructural features such as phase appearance, morphology, grain size, spacings, or microdefects are certainly no less important in determining the ultimate mechanical properties of the solidified product. The aim of the present paper is to introduce the basic concepts of macroscopic and microscopic phenomena which enter normally into any solidification process. At the macroscopic level, i.e. at the scale of the whole process (casting, weldment, \u2026 ), the latest developments in numerical techniques which are used to solve the continuity equations are briefly presented together with the advantages and inconvenience...", "author" : [ { "dropping-particle" : "", "family" : "Rappaz", "given" : "M.", "non-dropping-particle" : "", "parse-names" : false, "suffix" : "" } ], "container-title" : "International Materials Reviews", "id" : "ITEM-1", "issued" : { "date-parts" : [ [ "1989", "7" ] ] }, "language" : "EN", "publisher" : "Taylor &amp; Francis", "title" : "Modelling of microstructure formation in solidification processes", "type" : "article-journal" }, "uris" : [ "http://www.mendeley.com/documents/?uuid=f2e26edb-201f-4b7c-828f-df5a715e9751" ] } ], "mendeley" : { "formattedCitation" : "[6]", "plainTextFormattedCitation" : "[6]", "previouslyFormattedCitation" : "[6]" }, "properties" : {  }, "schema" : "https://github.com/citation-style-language/schema/raw/master/csl-citation.json" }</w:instrText>
      </w:r>
      <w:r w:rsidR="00DC177E">
        <w:fldChar w:fldCharType="separate"/>
      </w:r>
      <w:r w:rsidR="00DC177E" w:rsidRPr="006914BF">
        <w:rPr>
          <w:noProof/>
        </w:rPr>
        <w:t>[6]</w:t>
      </w:r>
      <w:r w:rsidR="00DC177E">
        <w:fldChar w:fldCharType="end"/>
      </w:r>
      <w:r w:rsidR="00DC177E">
        <w:t xml:space="preserve"> and more recently in Rappaz and Dantzig </w:t>
      </w:r>
      <w:r w:rsidR="00DC177E">
        <w:fldChar w:fldCharType="begin" w:fldLock="1"/>
      </w:r>
      <w:r w:rsidR="0013413C">
        <w:instrText>ADDIN CSL_CITATION { "citationItems" : [ { "id" : "ITEM-1", "itemData" : { "author" : [ { "dropping-particle" : "", "family" : "Dantzig", "given" : "J. A.", "non-dropping-particle" : "", "parse-names" : false, "suffix" : "" }, { "dropping-particle" : "", "family" : "Rappaz", "given" : "M.", "non-dropping-particle" : "", "parse-names" : false, "suffix" : "" } ], "edition" : "1st", "id" : "ITEM-1", "issued" : { "date-parts" : [ [ "2009" ] ] }, "publisher" : "EPFL Press", "publisher-place" : "Lausanne", "title" : "Solidification", "type" : "book" }, "uris" : [ "http://www.mendeley.com/documents/?uuid=fa09578c-3b61-46a0-8893-6c9e5961dca5" ] } ], "mendeley" : { "formattedCitation" : "[7]", "plainTextFormattedCitation" : "[7]", "previouslyFormattedCitation" : "[7]" }, "properties" : {  }, "schema" : "https://github.com/citation-style-language/schema/raw/master/csl-citation.json" }</w:instrText>
      </w:r>
      <w:r w:rsidR="00DC177E">
        <w:fldChar w:fldCharType="separate"/>
      </w:r>
      <w:r w:rsidR="00DC177E" w:rsidRPr="006914BF">
        <w:rPr>
          <w:noProof/>
        </w:rPr>
        <w:t>[7]</w:t>
      </w:r>
      <w:r w:rsidR="00DC177E">
        <w:fldChar w:fldCharType="end"/>
      </w:r>
      <w:r w:rsidR="00DC177E">
        <w:t xml:space="preserve">, nucleation distributions are often assumed to follow standard statistical probability density functions, such as Gaussian or log-normal. Quested and Greer </w:t>
      </w:r>
      <w:r w:rsidR="00DC177E">
        <w:fldChar w:fldCharType="begin" w:fldLock="1"/>
      </w:r>
      <w:r w:rsidR="0013413C">
        <w:instrText>ADDIN CSL_CITATION { "citationItems" : [ { "id" : "ITEM-1", "itemData" : { "DOI" : "10.1016/j.actamat.2004.04.035", "ISBN" : "13596454", "ISSN" : "13596454", "abstract" : "A model based on free-growth control of grain initiation can quantitatively predict the grain size in aluminium alloys inoculated with commercial refiner as a function of refiner addition level, solute content in the melt and cooling rate. This model is applied to predict the performance of refiners with hypothetical size distributions of nucleant particles. The distributions are log-normal, like those in commercial refiners, but the mean particle diameter and the relative spread of the distribution are varied to map the performance of the refiner in giving minimum grain size, maximum efficiency, or minimum sensitivity of grain size to cooling rate. The optimal nucleant particle size distribution is a compromise between these aims and depends on the alloy and processing conditions. This mapping can assist in choosing between available refiners or in developing improved refiners. Existing commercial refiners are highly effective, but their nucleant particle size distribution leaves room for improvement. ?? 2004 Acta Materialia Inc. Published by Elsevier Ltd. All rights reserved.", "author" : [ { "dropping-particle" : "", "family" : "Quested", "given" : "T. E.", "non-dropping-particle" : "", "parse-names" : false, "suffix" : "" }, { "dropping-particle" : "", "family" : "Greer", "given" : "A. L.", "non-dropping-particle" : "", "parse-names" : false, "suffix" : "" } ], "container-title" : "Acta Materialia", "id" : "ITEM-1", "issue" : "13", "issued" : { "date-parts" : [ [ "2004" ] ] }, "page" : "3859-3868", "title" : "The effect of the size distribution of inoculant particles on as-cast grain size in aluminium alloys", "type" : "article-journal", "volume" : "52" }, "uris" : [ "http://www.mendeley.com/documents/?uuid=8ac4abbf-e628-4561-b929-0aa875dafb95" ] } ], "mendeley" : { "formattedCitation" : "[8]", "plainTextFormattedCitation" : "[8]", "previouslyFormattedCitation" : "[8]" }, "properties" : {  }, "schema" : "https://github.com/citation-style-language/schema/raw/master/csl-citation.json" }</w:instrText>
      </w:r>
      <w:r w:rsidR="00DC177E">
        <w:fldChar w:fldCharType="separate"/>
      </w:r>
      <w:r w:rsidR="00DC177E" w:rsidRPr="006914BF">
        <w:rPr>
          <w:noProof/>
        </w:rPr>
        <w:t>[8]</w:t>
      </w:r>
      <w:r w:rsidR="00DC177E">
        <w:fldChar w:fldCharType="end"/>
      </w:r>
      <w:r w:rsidR="00DC177E">
        <w:t xml:space="preserve"> showed that the particle size distributions could be described using </w:t>
      </w:r>
      <w:r w:rsidR="00B91FA6">
        <w:t xml:space="preserve">a </w:t>
      </w:r>
      <w:r w:rsidR="00DC177E">
        <w:t>standard statistical distribution</w:t>
      </w:r>
      <w:r w:rsidR="00B91FA6">
        <w:t xml:space="preserve"> (</w:t>
      </w:r>
      <w:r w:rsidR="00F00BB8">
        <w:t xml:space="preserve">e.g., </w:t>
      </w:r>
      <w:r w:rsidR="00B91FA6">
        <w:t xml:space="preserve">log-normal); </w:t>
      </w:r>
      <w:r w:rsidR="00DC177E">
        <w:t xml:space="preserve"> therefore</w:t>
      </w:r>
      <w:r w:rsidR="00B91FA6">
        <w:t xml:space="preserve">, </w:t>
      </w:r>
      <w:r w:rsidR="00DC177E">
        <w:t>after application of eq. (1)</w:t>
      </w:r>
      <w:r w:rsidR="00B91FA6">
        <w:t>,</w:t>
      </w:r>
      <w:r w:rsidR="00FC4561">
        <w:t xml:space="preserve"> the suitability of </w:t>
      </w:r>
      <w:r w:rsidR="00DC177E">
        <w:t xml:space="preserve">athermal nucleation distributions based on undercooling </w:t>
      </w:r>
      <w:r w:rsidR="00F01DB6">
        <w:t>h</w:t>
      </w:r>
      <w:r w:rsidR="00DC177E">
        <w:t xml:space="preserve">as </w:t>
      </w:r>
      <w:r w:rsidR="00F01DB6">
        <w:t xml:space="preserve">been </w:t>
      </w:r>
      <w:r w:rsidR="00DC177E">
        <w:t>clarified</w:t>
      </w:r>
      <w:r w:rsidR="00F00BB8">
        <w:t xml:space="preserve"> within the litrature</w:t>
      </w:r>
      <w:r w:rsidR="00DC177E">
        <w:t xml:space="preserve">.  </w:t>
      </w:r>
    </w:p>
    <w:p w14:paraId="0681326B" w14:textId="77777777" w:rsidR="00DC177E" w:rsidRDefault="00DC177E" w:rsidP="0091027E">
      <w:pPr>
        <w:pStyle w:val="Heading2"/>
        <w:jc w:val="both"/>
      </w:pPr>
      <w:r>
        <w:t>Predictive modelling of equiaxed solidification</w:t>
      </w:r>
    </w:p>
    <w:p w14:paraId="2577E4A0" w14:textId="77D7ACCD" w:rsidR="00DC177E" w:rsidRDefault="007665E6" w:rsidP="00FE112E">
      <w:pPr>
        <w:pStyle w:val="Paragraph"/>
      </w:pPr>
      <w:r>
        <w:t>A</w:t>
      </w:r>
      <w:r w:rsidR="00DC177E">
        <w:t xml:space="preserve"> significant number of equiaxed solidification models have been developed </w:t>
      </w:r>
      <w:r>
        <w:t>to</w:t>
      </w:r>
      <w:r w:rsidR="00DC177E">
        <w:t xml:space="preserve"> predict microstructure information at the macro scale </w:t>
      </w:r>
      <w:r>
        <w:t xml:space="preserve">subject </w:t>
      </w:r>
      <w:r w:rsidR="00DC177E">
        <w:t xml:space="preserve">to definitive processing conditions. Maxwell and Hellawell </w:t>
      </w:r>
      <w:r w:rsidR="00DC177E">
        <w:fldChar w:fldCharType="begin" w:fldLock="1"/>
      </w:r>
      <w:r w:rsidR="0013413C">
        <w:instrText>ADDIN CSL_CITATION { "citationItems" : [ { "id" : "ITEM-1", "itemData" : { "DOI" : "10.1016/0001-6160(75)90188-1", "ISBN" : "0001-6160", "ISSN" : "00016160", "abstract" : "Assuming 1. (i) a spatially isothermal melt 2. (ii) a heterogeneous nucleation rate according to the classical theory 3. (iii) spherical diffusion controlled growth, the number of heterogeneous nucleation events that occurs during the initial stage of a liquid ??? solid reaction has been computed as a function of nucleant particle density using Al-Ti as the model system. The influence of cooling rate, substrate activity, and alloy constitution has been investigated, the last by comparison with the refinement obtainable in the systems Al-Zr and Al-Cr. The predictions of the model are in acceptable accord with observed behaviour considering the necessary assumptions of the model. ?? 1975.", "author" : [ { "dropping-particle" : "", "family" : "Maxwell", "given" : "I.", "non-dropping-particle" : "", "parse-names" : false, "suffix" : "" }, { "dropping-particle" : "", "family" : "Hellawell", "given" : "A.", "non-dropping-particle" : "", "parse-names" : false, "suffix" : "" } ], "container-title" : "Acta Metallurgica", "id" : "ITEM-1", "issue" : "2", "issued" : { "date-parts" : [ [ "1975" ] ] }, "page" : "229-237", "title" : "A simple model for grain refinement during solidification", "type" : "article-journal", "volume" : "23" }, "uris" : [ "http://www.mendeley.com/documents/?uuid=3d97490b-13ee-4abf-a974-3d7f39fb2fe3" ] } ], "mendeley" : { "formattedCitation" : "[9]", "plainTextFormattedCitation" : "[9]", "previouslyFormattedCitation" : "[9]" }, "properties" : {  }, "schema" : "https://github.com/citation-style-language/schema/raw/master/csl-citation.json" }</w:instrText>
      </w:r>
      <w:r w:rsidR="00DC177E">
        <w:fldChar w:fldCharType="separate"/>
      </w:r>
      <w:r w:rsidR="00DC177E" w:rsidRPr="006914BF">
        <w:rPr>
          <w:noProof/>
        </w:rPr>
        <w:t>[9]</w:t>
      </w:r>
      <w:r w:rsidR="00DC177E">
        <w:fldChar w:fldCharType="end"/>
      </w:r>
      <w:r w:rsidR="00DC177E">
        <w:t xml:space="preserve"> were the first to provide a simplified model. They used Arrhenius-type nucleation kinetics and globular-to-dendritic growth kinetics to predict the suppression of nucleation rate due to latent heat release. They ignored any correction for impingement, which they justified because of low solid fraction. </w:t>
      </w:r>
    </w:p>
    <w:p w14:paraId="038A98FB" w14:textId="1AD4186E" w:rsidR="00DC177E" w:rsidRDefault="007665E6" w:rsidP="00FE112E">
      <w:pPr>
        <w:pStyle w:val="Newparagraph"/>
      </w:pPr>
      <w:r>
        <w:t>S</w:t>
      </w:r>
      <w:r w:rsidR="00DC177E">
        <w:t xml:space="preserve">everal modelling approaches have assumed free-growth nucleation conditions and athermal nucleation distributions </w:t>
      </w:r>
      <w:r w:rsidR="00DC177E">
        <w:fldChar w:fldCharType="begin" w:fldLock="1"/>
      </w:r>
      <w:r w:rsidR="0013413C">
        <w:instrText>ADDIN CSL_CITATION { "citationItems" : [ { "id" : "ITEM-1", "itemData" : { "DOI" : "10.1016/j.actamat.2005.06.018", "abstract" : "Control of as-cast grain size is important for aluminium alloys and is achieved by inoculation. The usual analysis of grain refining (based on recalescence in small test samples) is not applicable for larger melts showing directional solidification. For the latter case, the factors controlling grain-refining efficiency (the fraction of inoculant particles initiating grains) are explored. It is suggested that the major factor limiting the efficiency is impingement of growing grains on inoculant particles. Predictions are made for the variation of grain size with refiner addition level, solute content in the melt and cooling rate. The grain size is predicted to be independent of solidification velocity or thermal gradient at a given cooling rate. The analysis is also applied to the columnar-to-equiaxed transition; there is no characteristic equiaxed grain size associated with this transition. \u00a9 2005 Acta Materialia Inc. Published by Elsevier Ltd. All rights reserved.", "author" : [ { "dropping-particle" : "", "family" : "Quested", "given" : "T.E.", "non-dropping-particle" : "", "parse-names" : false, "suffix" : "" }, { "dropping-particle" : "", "family" : "Greer", "given" : "A.L.", "non-dropping-particle" : "", "parse-names" : false, "suffix" : "" } ], "container-title" : "Acta Materialia", "id" : "ITEM-1", "issue" : "17", "issued" : { "date-parts" : [ [ "2005" ] ] }, "title" : "Grain refinement of Al alloys: Mechanisms determining as-cast grain size in directional solidification", "type" : "article-journal", "volume" : "53" }, "uris" : [ "http://www.mendeley.com/documents/?uuid=13915fcd-19ad-38cb-92e6-db23e450fd94" ] }, { "id" : "ITEM-2", "itemData" : { "DOI" : "10.1016/j.actamat.2010.12.014", "author" : [ { "dropping-particle" : "", "family" : "Shu", "given" : "Da", "non-dropping-particle" : "", "parse-names" : false, "suffix" : "" }, { "dropping-particle" : "", "family" : "Sun", "given" : "Baode", "non-dropping-particle" : "", "parse-names" : false, "suffix" : "" }, { "dropping-particle" : "", "family" : "Mi", "given" : "J", "non-dropping-particle" : "", "parse-names" : false, "suffix" : "" }, { "dropping-particle" : "", "family" : "Grant", "given" : "P S", "non-dropping-particle" : "", "parse-names" : false, "suffix" : "" } ], "id" : "ITEM-2", "issued" : { "date-parts" : [ [ "2011" ] ] }, "page" : "2135-2144", "title" : "A quantitative study of solute diffusion field effects on heterogeneous nucleation and the grain size of alloys", "type" : "article-journal", "volume" : "59" }, "uris" : [ "http://www.mendeley.com/documents/?uuid=3ad3ffe0-de1d-43ba-b039-0cb705ff9f0c", "http://www.mendeley.com/documents/?uuid=23f7688d-78b5-408e-987d-bb5b2e418483" ] }, { "id" : "ITEM-3", "itemData" : { "DOI" : "10.1016/j.actamat.2011.04.035", "ISSN" : "1359-6454", "author" : [ { "dropping-particle" : "", "family" : "Stjohn", "given" : "D H", "non-dropping-particle" : "", "parse-names" : false, "suffix" : "" }, { "dropping-particle" : "", "family" : "Qian", "given" : "M", "non-dropping-particle" : "", "parse-names" : false, "suffix" : "" }, { "dropping-particle" : "", "family" : "Easton", "given" : "M A", "non-dropping-particle" : "", "parse-names" : false, "suffix" : "" }, { "dropping-particle" : "", "family" : "Cao", "given" : "P", "non-dropping-particle" : "", "parse-names" : false, "suffix" : "" } ], "container-title" : "Acta Materialia", "id" : "ITEM-3", "issue" : "12", "issued" : { "date-parts" : [ [ "2011" ] ] }, "page" : "4907-4921", "publisher" : "Acta Materialia Inc.", "title" : "The Interdependence Theory : The relationship between grain formation and nucleant selection", "type" : "article-journal", "volume" : "59" }, "uris" : [ "http://www.mendeley.com/documents/?uuid=713a391c-8d44-41d6-8a66-3c36bafc1203", "http://www.mendeley.com/documents/?uuid=b05680a6-db99-4610-bc68-81e4eae0824c" ] } ], "mendeley" : { "formattedCitation" : "[10\u201312]", "plainTextFormattedCitation" : "[10\u201312]", "previouslyFormattedCitation" : "[10\u201312]" }, "properties" : {  }, "schema" : "https://github.com/citation-style-language/schema/raw/master/csl-citation.json" }</w:instrText>
      </w:r>
      <w:r w:rsidR="00DC177E">
        <w:fldChar w:fldCharType="separate"/>
      </w:r>
      <w:r w:rsidR="00D22DD6" w:rsidRPr="00D22DD6">
        <w:rPr>
          <w:noProof/>
        </w:rPr>
        <w:t>[10–12]</w:t>
      </w:r>
      <w:r w:rsidR="00DC177E">
        <w:fldChar w:fldCharType="end"/>
      </w:r>
      <w:r w:rsidR="00DC177E">
        <w:t xml:space="preserve">. Quested and Greer </w:t>
      </w:r>
      <w:r w:rsidR="00DC177E">
        <w:fldChar w:fldCharType="begin" w:fldLock="1"/>
      </w:r>
      <w:r w:rsidR="0013413C">
        <w:instrText>ADDIN CSL_CITATION { "citationItems" : [ { "id" : "ITEM-1", "itemData" : { "DOI" : "10.1016/j.actamat.2005.06.018", "abstract" : "Control of as-cast grain size is important for aluminium alloys and is achieved by inoculation. The usual analysis of grain refining (based on recalescence in small test samples) is not applicable for larger melts showing directional solidification. For the latter case, the factors controlling grain-refining efficiency (the fraction of inoculant particles initiating grains) are explored. It is suggested that the major factor limiting the efficiency is impingement of growing grains on inoculant particles. Predictions are made for the variation of grain size with refiner addition level, solute content in the melt and cooling rate. The grain size is predicted to be independent of solidification velocity or thermal gradient at a given cooling rate. The analysis is also applied to the columnar-to-equiaxed transition; there is no characteristic equiaxed grain size associated with this transition. \u00a9 2005 Acta Materialia Inc. Published by Elsevier Ltd. All rights reserved.", "author" : [ { "dropping-particle" : "", "family" : "Quested", "given" : "T.E.", "non-dropping-particle" : "", "parse-names" : false, "suffix" : "" }, { "dropping-particle" : "", "family" : "Greer", "given" : "A.L.", "non-dropping-particle" : "", "parse-names" : false, "suffix" : "" } ], "container-title" : "Acta Materialia", "id" : "ITEM-1", "issue" : "17", "issued" : { "date-parts" : [ [ "2005" ] ] }, "title" : "Grain refinement of Al alloys: Mechanisms determining as-cast grain size in directional solidification", "type" : "article-journal", "volume" : "53" }, "uris" : [ "http://www.mendeley.com/documents/?uuid=13915fcd-19ad-38cb-92e6-db23e450fd94" ] } ], "mendeley" : { "formattedCitation" : "[10]", "plainTextFormattedCitation" : "[10]", "previouslyFormattedCitation" : "[10]" }, "properties" : {  }, "schema" : "https://github.com/citation-style-language/schema/raw/master/csl-citation.json" }</w:instrText>
      </w:r>
      <w:r w:rsidR="00DC177E">
        <w:fldChar w:fldCharType="separate"/>
      </w:r>
      <w:r w:rsidR="00DC177E" w:rsidRPr="00F13B76">
        <w:rPr>
          <w:noProof/>
        </w:rPr>
        <w:t>[10]</w:t>
      </w:r>
      <w:r w:rsidR="00DC177E">
        <w:fldChar w:fldCharType="end"/>
      </w:r>
      <w:r w:rsidR="00DC177E">
        <w:t xml:space="preserve"> developed an equiaxed solidification model based on an athermal nucleation distribution with both spherical and dendritic morphologies included in the analysis for comparison purposes. They used a standard Johnson-Mehl-Avrami-Kolmogorov </w:t>
      </w:r>
      <w:r w:rsidR="00DC177E">
        <w:lastRenderedPageBreak/>
        <w:t xml:space="preserve">correction for the impingement of grains, which caused the deactivation of seed particles in the latter stages of solidification due to the process of engulfment by previously nucleated grains. </w:t>
      </w:r>
    </w:p>
    <w:p w14:paraId="771B9A44" w14:textId="5F98C1CD" w:rsidR="00DC177E" w:rsidRDefault="00DC177E" w:rsidP="00FE112E">
      <w:pPr>
        <w:pStyle w:val="Newparagraph"/>
      </w:pPr>
      <w:r>
        <w:t xml:space="preserve">Shu et al. </w:t>
      </w:r>
      <w:r>
        <w:fldChar w:fldCharType="begin" w:fldLock="1"/>
      </w:r>
      <w:r w:rsidR="00342B98">
        <w:instrText>ADDIN CSL_CITATION { "citationItems" : [ { "id" : "ITEM-1", "itemData" : { "DOI" : "10.1016/j.actamat.2010.12.014", "author" : [ { "dropping-particle" : "", "family" : "Shu", "given" : "Da", "non-dropping-particle" : "", "parse-names" : false, "suffix" : "" }, { "dropping-particle" : "", "family" : "Sun", "given" : "Baode", "non-dropping-particle" : "", "parse-names" : false, "suffix" : "" }, { "dropping-particle" : "", "family" : "Mi", "given" : "J", "non-dropping-particle" : "", "parse-names" : false, "suffix" : "" }, { "dropping-particle" : "", "family" : "Grant", "given" : "P S", "non-dropping-particle" : "", "parse-names" : false, "suffix" : "" } ], "id" : "ITEM-1", "issued" : { "date-parts" : [ [ "2011" ] ] }, "page" : "2135-2144", "title" : "A quantitative study of solute diffusion field effects on heterogeneous nucleation and the grain size of alloys", "type" : "article-journal", "volume" : "59" }, "uris" : [ "http://www.mendeley.com/documents/?uuid=23f7688d-78b5-408e-987d-bb5b2e418483", "http://www.mendeley.com/documents/?uuid=3ad3ffe0-de1d-43ba-b039-0cb705ff9f0c" ] } ], "mendeley" : { "formattedCitation" : "[11]", "plainTextFormattedCitation" : "[11]", "previouslyFormattedCitation" : "[11]" }, "properties" : {  }, "schema" : "https://github.com/citation-style-language/schema/raw/master/csl-citation.json" }</w:instrText>
      </w:r>
      <w:r>
        <w:fldChar w:fldCharType="separate"/>
      </w:r>
      <w:r w:rsidRPr="00A76214">
        <w:rPr>
          <w:noProof/>
        </w:rPr>
        <w:t>[11]</w:t>
      </w:r>
      <w:r>
        <w:fldChar w:fldCharType="end"/>
      </w:r>
      <w:r>
        <w:t xml:space="preserve"> developed an equiaxed model that included the nucleation-supressing effects of solute rejection into the untransformed liquid phase. This model introduced a Solute Suppressed Nucleation (SSN) zone around each spherical envelope </w:t>
      </w:r>
      <w:r w:rsidR="00F01DB6">
        <w:t xml:space="preserve">of </w:t>
      </w:r>
      <w:r>
        <w:t xml:space="preserve">dendritic mush. The effect of </w:t>
      </w:r>
      <w:r w:rsidR="007665E6">
        <w:t xml:space="preserve">including </w:t>
      </w:r>
      <w:r>
        <w:t xml:space="preserve">the SSN zone was analysed and comparisons were made to experimental case studies. Plots of average grain size versus growth restriction factor were provided. </w:t>
      </w:r>
    </w:p>
    <w:p w14:paraId="78FA0EAC" w14:textId="61D64C8A" w:rsidR="00DC177E" w:rsidRDefault="00DC177E" w:rsidP="00FE112E">
      <w:pPr>
        <w:pStyle w:val="Newparagraph"/>
      </w:pPr>
      <w:r>
        <w:t xml:space="preserve">StJohn et al. </w:t>
      </w:r>
      <w:r>
        <w:fldChar w:fldCharType="begin" w:fldLock="1"/>
      </w:r>
      <w:r w:rsidR="00342B98">
        <w:instrText>ADDIN CSL_CITATION { "citationItems" : [ { "id" : "ITEM-1", "itemData" : { "DOI" : "10.1016/j.actamat.2011.04.035", "ISSN" : "1359-6454", "author" : [ { "dropping-particle" : "", "family" : "Stjohn", "given" : "D H", "non-dropping-particle" : "", "parse-names" : false, "suffix" : "" }, { "dropping-particle" : "", "family" : "Qian", "given" : "M", "non-dropping-particle" : "", "parse-names" : false, "suffix" : "" }, { "dropping-particle" : "", "family" : "Easton", "given" : "M A", "non-dropping-particle" : "", "parse-names" : false, "suffix" : "" }, { "dropping-particle" : "", "family" : "Cao", "given" : "P", "non-dropping-particle" : "", "parse-names" : false, "suffix" : "" } ], "container-title" : "Acta Materialia", "id" : "ITEM-1", "issue" : "12", "issued" : { "date-parts" : [ [ "2011" ] ] }, "page" : "4907-4921", "publisher" : "Acta Materialia Inc.", "title" : "The Interdependence Theory : The relationship between grain formation and nucleant selection", "type" : "article-journal", "volume" : "59" }, "uris" : [ "http://www.mendeley.com/documents/?uuid=b05680a6-db99-4610-bc68-81e4eae0824c", "http://www.mendeley.com/documents/?uuid=713a391c-8d44-41d6-8a66-3c36bafc1203" ] } ], "mendeley" : { "formattedCitation" : "[12]", "plainTextFormattedCitation" : "[12]", "previouslyFormattedCitation" : "[12]" }, "properties" : {  }, "schema" : "https://github.com/citation-style-language/schema/raw/master/csl-citation.json" }</w:instrText>
      </w:r>
      <w:r>
        <w:fldChar w:fldCharType="separate"/>
      </w:r>
      <w:r w:rsidRPr="006E602F">
        <w:rPr>
          <w:noProof/>
        </w:rPr>
        <w:t>[12]</w:t>
      </w:r>
      <w:r>
        <w:fldChar w:fldCharType="end"/>
      </w:r>
      <w:r>
        <w:t xml:space="preserve"> described the interdependence theory in which they examined the relationship between nucleation and growth. Their model included a nucleation free zone where nucleation </w:t>
      </w:r>
      <w:r w:rsidR="007665E6">
        <w:t>is</w:t>
      </w:r>
      <w:r>
        <w:t xml:space="preserve"> prohibited. The </w:t>
      </w:r>
      <w:r w:rsidR="007665E6">
        <w:t>average radii of the spherical mushy envelopes plus the length of the solute affected zone around each envelope defines the nucleation free zone</w:t>
      </w:r>
      <w:r>
        <w:t xml:space="preserve">. The interdependence theory </w:t>
      </w:r>
      <w:r w:rsidR="007665E6">
        <w:t xml:space="preserve">was used to </w:t>
      </w:r>
      <w:r>
        <w:t>predict average grain size and plot</w:t>
      </w:r>
      <w:r w:rsidR="007665E6">
        <w:t>s showed</w:t>
      </w:r>
      <w:r>
        <w:t xml:space="preserve"> grain size as a function of the reciprocal of growth restriction factor.   </w:t>
      </w:r>
    </w:p>
    <w:p w14:paraId="2C11D2F3" w14:textId="6FA06B5C" w:rsidR="00DC177E" w:rsidRDefault="00DC177E" w:rsidP="00FE112E">
      <w:pPr>
        <w:pStyle w:val="Newparagraph"/>
      </w:pPr>
      <w:r w:rsidRPr="00C7332A">
        <w:rPr>
          <w:lang w:val="de-DE"/>
        </w:rPr>
        <w:t xml:space="preserve">Du and Li </w:t>
      </w:r>
      <w:r>
        <w:fldChar w:fldCharType="begin" w:fldLock="1"/>
      </w:r>
      <w:r w:rsidR="00342B98" w:rsidRPr="00C7332A">
        <w:rPr>
          <w:lang w:val="de-DE"/>
        </w:rPr>
        <w:instrText>ADDIN CSL_CITATION { "citationItems" : [ { "id" : "ITEM-1", "itemData" : { "DOI" : "10.1016/j.actamat.2014.03.028", "ISBN" : "1359-6454", "ISSN" : "13596454", "abstract" : "The Kampmann-Wagner numerical (KWN) model, which has been widely adopted as a precipitation modeling framework accounting for concurrent nucleation, growth and coarsening kinetics, was extended to predict the as-cast grain size of inoculated multicomponent aluminum alloys. In the model, the heterogeneous nucleation of grains on inoculant particles was modeled based on the free growth criterion, while the influence of the solute on the nucleation behavior, in terms of the solute suppressed nucleation (SSN) effect, was rigorously defined and integrated. In order to fully address the solidification behavior of multicomponent alloys, a coupling of the KWN model to CALPHAD was carried out. These extensions allow the treatment of two different nucleation-ceasing mechanisms induced by grain growth: recalescence stifling and solute segregation stifling. Given melt composition, inoculation and heat extraction rate, the model is able to predict maximum nucleation undercooling, cooling curve and the final as-cast grain size of multicomponent alloys without invoking the binary equivalence assumption used in the existing models. The proposed model was tested with a variety of binary and multicomponent aluminum alloys, and the predictions were compared with the experimental measurement results and previous grain size prediction models. The simulation results show that the SSN effect has a negligible influence on the nucleation behavior and the final grain size during isothermal melt solidification, but a strong influence on the ceasing of grain nucleation during directional solidification. Reasonable agreement was obtained between the model prediction and measurement results on a direct chill casting experiment of an AA5182 alloy. Our work proves that the application of the precipitation modeling framework for the solidification problem is successful. ?? 2014 Acta Materialia Inc. Published by Elsevier Ltd. All rights reserved.", "author" : [ { "dropping-particle" : "", "family" : "Du", "given" : "Qiang", "non-dropping-particle" : "", "parse-names" : false, "suffix" : "" }, { "dropping-particle" : "", "family" : "Li", "given" : "Yanjun", "non-dropping-particle" : "", "parse-names" : false, "suffix" : "" } ], "container-title" : "Acta Materialia", "id" : "ITEM-1", "issued" : { "date-parts" : [ [ "2014" ] ] }, "page" : "380-389", "publisher" : "Acta Materialia Inc.", "title" : "An extension of the Kampmann-Wagner numerical model towards as-cast grain size prediction of multicomponent aluminum alloys", "type" : "article-journal", "volume" : "71" }, "uris" : [ "http://www.mendeley.com/documents/?uuid=2331a21c-28af-4a17-88f6-404af47dbb33", "http://www.mendeley.com/documents/?uuid=bd2cc6dd-9cd5-4ae2-bd14-a5db5302ccab" ] } ], "mendeley" : { "formattedCitation" : "[13]", "plainTextFormattedCitation" : "[13]", "previouslyFormattedCitation" : "[13]" }, "properties" : {  }, "schema" : "https://github.com/citation-style-language/schema/raw/master/csl-citation.json" }</w:instrText>
      </w:r>
      <w:r>
        <w:fldChar w:fldCharType="separate"/>
      </w:r>
      <w:r w:rsidRPr="00C7332A">
        <w:rPr>
          <w:noProof/>
          <w:lang w:val="de-DE"/>
        </w:rPr>
        <w:t>[13]</w:t>
      </w:r>
      <w:r>
        <w:fldChar w:fldCharType="end"/>
      </w:r>
      <w:r w:rsidRPr="00C7332A">
        <w:rPr>
          <w:lang w:val="de-DE"/>
        </w:rPr>
        <w:t xml:space="preserve"> extended an established precipitation model, the Kampmann-Wagner model, to include an SSN zone and multi-component growth kinetics by incorporating a CALPHAD approach. </w:t>
      </w:r>
      <w:r>
        <w:t xml:space="preserve">The model was applied to </w:t>
      </w:r>
      <w:r w:rsidR="007665E6">
        <w:t xml:space="preserve">both </w:t>
      </w:r>
      <w:r>
        <w:t>uniform temperature</w:t>
      </w:r>
      <w:r w:rsidR="007665E6">
        <w:t>-</w:t>
      </w:r>
      <w:r>
        <w:t>fixed cooling and direct casting scenarios.</w:t>
      </w:r>
    </w:p>
    <w:p w14:paraId="42D66E7F" w14:textId="77777777" w:rsidR="00DC177E" w:rsidRDefault="00DC177E" w:rsidP="0091027E">
      <w:pPr>
        <w:pStyle w:val="Heading2"/>
        <w:jc w:val="both"/>
      </w:pPr>
      <w:r>
        <w:t>In-situ experimental monitoring of equiaxed nucleation and growth</w:t>
      </w:r>
    </w:p>
    <w:p w14:paraId="3759DD26" w14:textId="0C1A94FB" w:rsidR="00DC177E" w:rsidRPr="009176D6" w:rsidRDefault="00DC177E" w:rsidP="00913356">
      <w:pPr>
        <w:pStyle w:val="Paragraph"/>
      </w:pPr>
      <w:r>
        <w:t xml:space="preserve">Traditionally, in the case of metal alloys, experimental characterisation is performed </w:t>
      </w:r>
      <w:r w:rsidRPr="009176D6">
        <w:rPr>
          <w:i/>
        </w:rPr>
        <w:t>ex-situ</w:t>
      </w:r>
      <w:r>
        <w:t xml:space="preserve">, also known as post-mortem analysis. In </w:t>
      </w:r>
      <w:r w:rsidRPr="00EB17B7">
        <w:rPr>
          <w:i/>
        </w:rPr>
        <w:t>ex-situ</w:t>
      </w:r>
      <w:r>
        <w:t xml:space="preserve"> analysis, metal samples are prepared by cutting, polishing, and etching along recommended guidelines so that grain structures are revealed. </w:t>
      </w:r>
    </w:p>
    <w:p w14:paraId="0D85BA92" w14:textId="7CA66760" w:rsidR="00DC177E" w:rsidRDefault="00DC177E" w:rsidP="00135FB0">
      <w:pPr>
        <w:pStyle w:val="Newparagraph"/>
      </w:pPr>
      <w:r>
        <w:t xml:space="preserve">Alternatively, </w:t>
      </w:r>
      <w:r w:rsidRPr="00FD5C13">
        <w:rPr>
          <w:i/>
        </w:rPr>
        <w:t>in-situ</w:t>
      </w:r>
      <w:r w:rsidRPr="004E2D84">
        <w:t xml:space="preserve"> </w:t>
      </w:r>
      <w:r>
        <w:t xml:space="preserve">experimental </w:t>
      </w:r>
      <w:r w:rsidRPr="004E2D84">
        <w:t xml:space="preserve">observation provides information </w:t>
      </w:r>
      <w:r>
        <w:t>on</w:t>
      </w:r>
      <w:r w:rsidRPr="004E2D84">
        <w:t xml:space="preserve"> solidification processes</w:t>
      </w:r>
      <w:r>
        <w:t xml:space="preserve"> in real time. Metals are opaque at visible wavelengths, hence </w:t>
      </w:r>
      <w:r w:rsidRPr="00EB17B7">
        <w:rPr>
          <w:i/>
        </w:rPr>
        <w:t>in-situ</w:t>
      </w:r>
      <w:r>
        <w:t xml:space="preserve"> analysis of metals has relied on the application of real-time x-ray radiography techniques. Several dedicated </w:t>
      </w:r>
      <w:r w:rsidRPr="00EB17B7">
        <w:rPr>
          <w:i/>
        </w:rPr>
        <w:t>in-situ</w:t>
      </w:r>
      <w:r>
        <w:t xml:space="preserve"> experimental apparatuses have been developed to investigate equiaxed solidification </w:t>
      </w:r>
      <w:r>
        <w:fldChar w:fldCharType="begin" w:fldLock="1"/>
      </w:r>
      <w:r w:rsidR="009C00E1">
        <w:instrText>ADDIN CSL_CITATION { "citationItems" : [ { "id" : "ITEM-1", "itemData" : { "DOI" : "10.1016/j.jcrysgro.2013.03.032", "ISBN" : "0022-0248", "ISSN" : "00220248", "abstract" : "As most of the phenomena involved during the growth of metallic alloys from the melt are dynamic, in situ and time-resolved X-ray imaging should be retained as the method of choice for investigating the solidification front evolution. On Earth, the gravity force is the major source of various disturbing effects (natural convection, buoyancy/sedimentation, and hydrostatic pressure) which can significantly modify or mask certain physical mechanisms. Therefore solidification under microgravity is an efficient way to eliminate such perturbations to provide unique benchmark data for the validation of models and numerical simulations. Up to now, in situ observation during microgravity solidification experiments were limited to the investigations on transparent organic alloys, using optical methods. On the other hand, in situ observation on metallic alloys generally required synchrotron facilities. This paper reports on a novel facility we have designed and developed to investigate directional solidification on metallic alloys in microgravity conditions with in situ X-ray radiography observation. The facility consists of a Bridgman furnace and an X-ray radiography device specifically devoted to the study of Al-based alloys. An unprecedented experiment was recently performed on board a sounding rocket, with a 6 min period of microgravity. Radiographs were successfully recorded during the entire experiment including the melting and solidification phases of the sample, with a Field-of-View of about 5 mm\u00d75 mm, a spatial resolution of about 4 \u03bcm and a frequency of 2 frames per second. Some preliminary results are presented on the solidification of the Al-20 wt% Cu sample, which validate the apparatus and confirm the potential of in situ X-ray characterization for the investigation of dynamical phenomena in materials processing, and particularly for the studying of metallic alloys solidification. \u00a9 2013 Elsevier B.V.", "author" : [ { "dropping-particle" : "", "family" : "Nguyen-Thi", "given" : "H.", "non-dropping-particle" : "", "parse-names" : false, "suffix" : "" }, { "dropping-particle" : "", "family" : "Reinhart", "given" : "G.", "non-dropping-particle" : "", "parse-names" : false, "suffix" : "" }, { "dropping-particle" : "", "family" : "Salloum Abou Jaoude", "given" : "G.", "non-dropping-particle" : "", "parse-names" : false, "suffix" : "" }, { "dropping-particle" : "", "family" : "Mathiesen", "given" : "R. H.", "non-dropping-particle" : "", "parse-names" : false, "suffix" : "" }, { "dropping-particle" : "", "family" : "Zimmermann", "given" : "G.", "non-dropping-particle" : "", "parse-names" : false, "suffix" : "" }, { "dropping-particle" : "", "family" : "Houltz", "given" : "Y.", "non-dropping-particle" : "", "parse-names" : false, "suffix" : "" }, { "dropping-particle" : "", "family" : "Voss", "given" : "D.", "non-dropping-particle" : "", "parse-names" : false, "suffix" : "" }, { "dropping-particle" : "", "family" : "Verga", "given" : "a.", "non-dropping-particle" : "", "parse-names" : false, "suffix" : "" }, { "dropping-particle" : "", "family" : "Browne", "given" : "D. J.", "non-dropping-particle" : "", "parse-names" : false, "suffix" : "" }, { "dropping-particle" : "", "family" : "Murphy", "given" : "a. G.", "non-dropping-particle" : "", "parse-names" : false, "suffix" : "" } ], "container-title" : "Journal of Crystal Growth", "id" : "ITEM-1", "issued" : { "date-parts" : [ [ "2013" ] ] }, "page" : "23-30", "publisher" : "Elsevier", "title" : "XRMON-GF: A novel facility for solidification of metallic alloys with in situ and time-resolved X-ray radiographic characterization in microgravity conditions", "type" : "article-journal", "volume" : "374" }, "uris" : [ "http://www.mendeley.com/documents/?uuid=d941008d-d9a4-47f6-a351-b343af0ee949" ] }, { "id" : "ITEM-2", "itemData" : { "DOI" : "10.1016/j.actamat.2015.04.060", "ISSN" : "13596454", "abstract" : "Results of near-isothermal equiaxed solidification experiments on the Al\u2013Cu system performed in situ with laboratory-based radiography are presented. The ability to align the X-ray beam axis both perpendicular and parallel to the gravity vector provides limited control over buoyant grain motion normally associated with terrestrial solidification. The latter alignment case provides solidification conditions where the impact of gravity during solidification is strongly reduced. Exploiting this experimental configuration, direct observations of the effect of buoyancy on grain motion, nucleation density, and average grain size are presented. Detailed measurements of solid area fraction evolution were extracted from image sequences, demonstrating alloy-characteristic temperature dependence, allowing for comparison with theoretical predictions. Finally, measurements of nucleation density and dendrite growth velocities, as a function of applied cooling rates and alloy composition, were made and are discussed here with reference to relevant theoretical models. This work represents the first such study where solidification conditions without significant effects from gravity were achieved, for both solid and liquid phases, in ground-based experiments.", "author" : [ { "dropping-particle" : "", "family" : "Murphy", "given" : "A.G.", "non-dropping-particle" : "", "parse-names" : false, "suffix" : "" }, { "dropping-particle" : "", "family" : "Mirihanage", "given" : "W.U.", "non-dropping-particle" : "", "parse-names" : false, "suffix" : "" }, { "dropping-particle" : "", "family" : "Browne", "given" : "D.J.", "non-dropping-particle" : "", "parse-names" : false, "suffix" : "" }, { "dropping-particle" : "", "family" : "Mathiesen", "given" : "R.H.", "non-dropping-particle" : "", "parse-names" : false, "suffix" : "" } ], "container-title" : "Acta Materialia", "id" : "ITEM-2", "issued" : { "date-parts" : [ [ "2015", "8" ] ] }, "page" : "83-89", "title" : "Equiaxed dendritic solidification and grain refiner potency characterised through in situ X-radiography", "type" : "article-journal", "volume" : "95" }, "uris" : [ "http://www.mendeley.com/documents/?uuid=2f2ea876-018f-406d-8b66-c4344d91d9b3", "http://www.mendeley.com/documents/?uuid=4a7f2665-6060-4cc4-a669-fe150067328c" ] }, { "id" : "ITEM-3", "itemData" : { "DOI" : "10.1063/1.4922359", "ISSN" : "10897623", "abstract" : "In this paper, we present a newly developed near-isothermal X-ray transparent furnace for in situ imaging of solidification processes in thin metallic samples. We show that the furnace is ideally suited to study equiaxed microstructure evolution and grain interaction. To observe the growth dynamics of equiaxed dendritic structures, a minimal temperature gradient across the sample is required. A uniform thermal profile inside a circular sample is achieved by positioning the sample in the center of a cylindrical furnace body surrounded by a circular heater arrangement. Performance tests with the hypo-eutectic Al-15wt.%Cu and the near-eutectic Al-33wt.%Cu alloys validate the near-isothermal character of the sample environment. Controlled cooling rates of less than 0.5 K min\u22121 up to 10 K min\u22121 can be achieved in a temperature range of 720 K\u20131220 K. Integrated in our rotatable laboratory X-ray facility, X-RISE, the furnace provides a large field of view of 10.5 mm in diameter and a high spatial resolution of \u223c4 \u03bcm. With the here presented furnace, equiaxed dendrite growth models can be rigorously tested against experiments on metal alloys by, e.g., enabling dendrite growth velocities to be determined as a function of undercooling or solutal fields in front of the growing dendrite to be measured.", "author" : [ { "dropping-particle" : "", "family" : "Becker", "given" : "M", "non-dropping-particle" : "", "parse-names" : false, "suffix" : "" }, { "dropping-particle" : "", "family" : "Drei\u00dfigacker", "given" : "C", "non-dropping-particle" : "", "parse-names" : false, "suffix" : "" }, { "dropping-particle" : "", "family" : "Klein", "given" : "S", "non-dropping-particle" : "", "parse-names" : false, "suffix" : "" }, { "dropping-particle" : "", "family" : "Kargl", "given" : "F", "non-dropping-particle" : "", "parse-names" : false, "suffix" : "" } ], "container-title" : "Review of Scientific Instruments", "id" : "ITEM-3", "issue" : "6", "issued" : { "date-parts" : [ [ "2015" ] ] }, "title" : "Near-isothermal furnace for in situ and real time X-ray radiography solidification experiments", "type" : "article-journal", "volume" : "86" }, "uris" : [ "http://www.mendeley.com/documents/?uuid=fc111662-2d50-449d-adf9-9776b916c961", "http://www.mendeley.com/documents/?uuid=956314c5-c468-48c3-9a57-fab4fd072209" ] }, { "id" : "ITEM-4", "itemData" : { "DOI" : "10.1016/j.actamat.2012.11.008", "ISSN" : "13596454", "abstract" : "This paper addresses dendritic equiaxed growth during grain structure formation in alloy solidification, and focuses on the growth and interaction of primary dendrite arms, which drive and limit grain development, respectively. Dedicated solidification experiments on Al\u201310wt.% Cu alloy were carried out at the European Synchrotron Radiation Facility, enabling live observation by in situ and real-time synchrotron X-ray radiography. Equiaxed solidification was achieved by cooling nearly isothermal samples, and the growth of the grains was continuously monitored from the very early stages of solidification up to a state where changes in grain structure were no longer visible to the observer\u2019s naked eye. The time evolution of individual equiaxed grains is analysed through measurements of the lengths and tip velocities of the primary dendrite arms driving grain growth. It is found that equiaxed dendrite propagation is characterized by two growth regimes. The first regime, in which a gradual increase in the tip growth rate is observed, corresponds to free dendritic growth, when the relative distance between grains is large enough to consider a grain as isolated. During this regime, the far-field liquid concentration ahead of the advancing dendrite tip remains constant, equal to the initial alloy composition, and the driving force for growth is the undercooling applied by cooling of the sample, in agreement with three-dimensional models of free dendritic growth. The second regime shows a decrease in the tip velocity towards zero and is attributed to grain interaction when the solute diffusion field in front of the advancing dendrite tip under consideration overlaps with the solute field associated with the growth of the grain(s) facing it. Solute concentration profiles are measured in the extra dendritic liquid ahead of dendrite tips interacting with neighbour grains, from which the far-field solute concentration and neighbour\u2013interaction distance are deduced. These measurements confirm that impingement of the solute boundary layers is the main cause of dendrite growth being slowed down and stopped.", "author" : [ { "dropping-particle" : "", "family" : "Bogno", "given" : "A.", "non-dropping-particle" : "", "parse-names" : false, "suffix" : "" }, { "dropping-particle" : "", "family" : "Nguyen-Thi", "given" : "H.", "non-dropping-particle" : "", "parse-names" : false, "suffix" : "" }, { "dropping-particle" : "", "family" : "Reinhart", "given" : "G.", "non-dropping-particle" : "", "parse-names" : false, "suffix" : "" }, { "dropping-particle" : "", "family" : "Billia", "given" : "B.", "non-dropping-particle" : "", "parse-names" : false, "suffix" : "" }, { "dropping-particle" : "", "family" : "Baruchel", "given" : "J.", "non-dropping-particle" : "", "parse-names" : false, "suffix" : "" } ], "container-title" : "Acta Materialia", "id" : "ITEM-4", "issue" : "4", "issued" : { "date-parts" : [ [ "2013" ] ] }, "page" : "1303-1315", "title" : "Growth and interaction of dendritic equiaxed grains: In situ characterization by synchrotron X-ray radiography", "type" : "article-journal", "volume" : "61" }, "uris" : [ "http://www.mendeley.com/documents/?uuid=7acfd00b-cd7a-3cab-ad55-1a3d5927bc1e", "http://www.mendeley.com/documents/?uuid=215873d4-40e9-4a2d-99ab-bd9299c6f370" ] } ], "mendeley" : { "formattedCitation" : "[14\u201317]", "plainTextFormattedCitation" : "[14\u201317]", "previouslyFormattedCitation" : "[14\u201317]" }, "properties" : {  }, "schema" : "https://github.com/citation-style-language/schema/raw/master/csl-citation.json" }</w:instrText>
      </w:r>
      <w:r>
        <w:fldChar w:fldCharType="separate"/>
      </w:r>
      <w:r w:rsidR="00D22DD6" w:rsidRPr="00D22DD6">
        <w:rPr>
          <w:noProof/>
        </w:rPr>
        <w:t>[14–17]</w:t>
      </w:r>
      <w:r>
        <w:fldChar w:fldCharType="end"/>
      </w:r>
    </w:p>
    <w:p w14:paraId="5E533C9E" w14:textId="779CC4A1" w:rsidR="00DC177E" w:rsidRPr="007023DF" w:rsidRDefault="00B91FA6" w:rsidP="00A11E2A">
      <w:pPr>
        <w:pStyle w:val="Newparagraph"/>
      </w:pPr>
      <w:r>
        <w:t xml:space="preserve">Recently, </w:t>
      </w:r>
      <w:r w:rsidR="00DC177E">
        <w:t xml:space="preserve">Xu </w:t>
      </w:r>
      <w:r w:rsidR="00DC177E" w:rsidRPr="00EB17B7">
        <w:rPr>
          <w:i/>
        </w:rPr>
        <w:t>et al.</w:t>
      </w:r>
      <w:r w:rsidR="00DC177E">
        <w:t xml:space="preserve"> </w:t>
      </w:r>
      <w:r w:rsidR="00DC177E">
        <w:fldChar w:fldCharType="begin" w:fldLock="1"/>
      </w:r>
      <w:r w:rsidR="00342B98">
        <w:instrText>ADDIN CSL_CITATION { "citationItems" : [ { "id" : "ITEM-1", "itemData" : { "DOI" : "10.1016/j.actamat.2017.08.053", "ISSN" : "13596454", "author" : [ { "dropping-particle" : "", "family" : "Xu", "given" : "Yijiang", "non-dropping-particle" : "", "parse-names" : false, "suffix" : "" }, { "dropping-particle" : "", "family" : "Casari", "given" : "Daniele", "non-dropping-particle" : "", "parse-names" : false, "suffix" : "" }, { "dropping-particle" : "", "family" : "Du", "given" : "Qiang", "non-dropping-particle" : "", "parse-names" : false, "suffix" : "" }, { "dropping-particle" : "", "family" : "Mathiesen", "given" : "Ragnvald H.", "non-dropping-particle" : "", "parse-names" : false, "suffix" : "" }, { "dropping-particle" : "", "family" : "Arnberg", "given" : "Lars", "non-dropping-particle" : "", "parse-names" : false, "suffix" : "" }, { "dropping-particle" : "", "family" : "Li", "given" : "Yanjun", "non-dropping-particle" : "", "parse-names" : false, "suffix" : "" } ], "container-title" : "Acta Materialia", "id" : "ITEM-1", "issued" : { "date-parts" : [ [ "2017" ] ] }, "publisher" : "Acta Materialia Inc.", "title" : "Heterogeneous nucleation and grain growth of inoculated aluminium alloys: An integrated study by in-situ X-radiography and numerical modelling", "type" : "article-journal" }, "uris" : [ "http://www.mendeley.com/documents/?uuid=25fe3b1e-270e-4767-926c-f7f9c082a8a3", "http://www.mendeley.com/documents/?uuid=7609502f-0dbf-40e3-8776-12522c43b9d1" ] } ], "mendeley" : { "formattedCitation" : "[18]", "plainTextFormattedCitation" : "[18]", "previouslyFormattedCitation" : "[18]" }, "properties" : {  }, "schema" : "https://github.com/citation-style-language/schema/raw/master/csl-citation.json" }</w:instrText>
      </w:r>
      <w:r w:rsidR="00DC177E">
        <w:fldChar w:fldCharType="separate"/>
      </w:r>
      <w:r w:rsidR="00DC177E" w:rsidRPr="007F6F18">
        <w:rPr>
          <w:noProof/>
        </w:rPr>
        <w:t>[18]</w:t>
      </w:r>
      <w:r w:rsidR="00DC177E">
        <w:fldChar w:fldCharType="end"/>
      </w:r>
      <w:r w:rsidR="00DC177E">
        <w:t xml:space="preserve"> applied their model of equiaxed solidification from </w:t>
      </w:r>
      <w:r w:rsidR="007166AD">
        <w:t>reference</w:t>
      </w:r>
      <w:r w:rsidR="003C1D23">
        <w:t xml:space="preserve"> </w:t>
      </w:r>
      <w:r w:rsidR="00DC177E">
        <w:fldChar w:fldCharType="begin" w:fldLock="1"/>
      </w:r>
      <w:r w:rsidR="00342B98">
        <w:instrText>ADDIN CSL_CITATION { "citationItems" : [ { "id" : "ITEM-1", "itemData" : { "DOI" : "10.1016/j.actamat.2014.03.028", "ISBN" : "1359-6454", "ISSN" : "13596454", "abstract" : "The Kampmann-Wagner numerical (KWN) model, which has been widely adopted as a precipitation modeling framework accounting for concurrent nucleation, growth and coarsening kinetics, was extended to predict the as-cast grain size of inoculated multicomponent aluminum alloys. In the model, the heterogeneous nucleation of grains on inoculant particles was modeled based on the free growth criterion, while the influence of the solute on the nucleation behavior, in terms of the solute suppressed nucleation (SSN) effect, was rigorously defined and integrated. In order to fully address the solidification behavior of multicomponent alloys, a coupling of the KWN model to CALPHAD was carried out. These extensions allow the treatment of two different nucleation-ceasing mechanisms induced by grain growth: recalescence stifling and solute segregation stifling. Given melt composition, inoculation and heat extraction rate, the model is able to predict maximum nucleation undercooling, cooling curve and the final as-cast grain size of multicomponent alloys without invoking the binary equivalence assumption used in the existing models. The proposed model was tested with a variety of binary and multicomponent aluminum alloys, and the predictions were compared with the experimental measurement results and previous grain size prediction models. The simulation results show that the SSN effect has a negligible influence on the nucleation behavior and the final grain size during isothermal melt solidification, but a strong influence on the ceasing of grain nucleation during directional solidification. Reasonable agreement was obtained between the model prediction and measurement results on a direct chill casting experiment of an AA5182 alloy. Our work proves that the application of the precipitation modeling framework for the solidification problem is successful. ?? 2014 Acta Materialia Inc. Published by Elsevier Ltd. All rights reserved.", "author" : [ { "dropping-particle" : "", "family" : "Du", "given" : "Qiang", "non-dropping-particle" : "", "parse-names" : false, "suffix" : "" }, { "dropping-particle" : "", "family" : "Li", "given" : "Yanjun", "non-dropping-particle" : "", "parse-names" : false, "suffix" : "" } ], "container-title" : "Acta Materialia", "id" : "ITEM-1", "issued" : { "date-parts" : [ [ "2014" ] ] }, "page" : "380-389", "publisher" : "Acta Materialia Inc.", "title" : "An extension of the Kampmann-Wagner numerical model towards as-cast grain size prediction of multicomponent aluminum alloys", "type" : "article-journal", "volume" : "71" }, "uris" : [ "http://www.mendeley.com/documents/?uuid=bd2cc6dd-9cd5-4ae2-bd14-a5db5302ccab", "http://www.mendeley.com/documents/?uuid=2331a21c-28af-4a17-88f6-404af47dbb33" ] } ], "mendeley" : { "formattedCitation" : "[13]", "plainTextFormattedCitation" : "[13]", "previouslyFormattedCitation" : "[13]" }, "properties" : {  }, "schema" : "https://github.com/citation-style-language/schema/raw/master/csl-citation.json" }</w:instrText>
      </w:r>
      <w:r w:rsidR="00DC177E">
        <w:fldChar w:fldCharType="separate"/>
      </w:r>
      <w:r w:rsidR="00DC177E" w:rsidRPr="00582365">
        <w:rPr>
          <w:noProof/>
        </w:rPr>
        <w:t>[13]</w:t>
      </w:r>
      <w:r w:rsidR="00DC177E">
        <w:fldChar w:fldCharType="end"/>
      </w:r>
      <w:r w:rsidR="00DC177E">
        <w:t xml:space="preserve"> to an </w:t>
      </w:r>
      <w:r w:rsidR="00DC177E" w:rsidRPr="007023DF">
        <w:rPr>
          <w:i/>
        </w:rPr>
        <w:t>in-situ</w:t>
      </w:r>
      <w:r w:rsidR="00DC177E">
        <w:t xml:space="preserve"> x-ray experiment involving Al-10wt.%Cu alloy inoculated with Al-5wt.%Ti-1wt.%B grain refiner master alloy. They investigated nucleation and growth conditions at different cooling rates. They showed predictions of final grain size versus cooling rate. Their results compared favourably with experimental observations in the case of well-refined alloy systems. </w:t>
      </w:r>
    </w:p>
    <w:p w14:paraId="3A496179" w14:textId="6372F4A0" w:rsidR="00DC177E" w:rsidRPr="004E2D84" w:rsidRDefault="00DC177E" w:rsidP="00A11E2A">
      <w:pPr>
        <w:pStyle w:val="Newparagraph"/>
      </w:pPr>
      <w:r>
        <w:t xml:space="preserve">The analysis of transparent alloy systems using optical methods pre-dates real-time x-ray radiography by several decades. Jackson and Hunt </w:t>
      </w:r>
      <w:r>
        <w:fldChar w:fldCharType="begin" w:fldLock="1"/>
      </w:r>
      <w:r w:rsidR="0013413C">
        <w:instrText>ADDIN CSL_CITATION { "citationItems" : [ { "id" : "ITEM-1", "itemData" : { "author" : [ { "dropping-particle" : "", "family" : "Jackson", "given" : "K.A.", "non-dropping-particle" : "", "parse-names" : false, "suffix" : "" }, { "dropping-particle" : "", "family" : "Hunt", "given" : "J.D.", "non-dropping-particle" : "", "parse-names" : false, "suffix" : "" } ], "container-title" : "Acta Metallurgica", "id" : "ITEM-1", "issue" : "11", "issued" : { "date-parts" : [ [ "1965" ] ] }, "title" : "Transparent compounds that freeze like metals", "type" : "article-journal", "volume" : "13" }, "uris" : [ "http://www.mendeley.com/documents/?uuid=531466f3-d3d0-38a4-bbfd-ee59b61464da" ] } ], "mendeley" : { "formattedCitation" : "[19]", "plainTextFormattedCitation" : "[19]", "previouslyFormattedCitation" : "[19]" }, "properties" : {  }, "schema" : "https://github.com/citation-style-language/schema/raw/master/csl-citation.json" }</w:instrText>
      </w:r>
      <w:r>
        <w:fldChar w:fldCharType="separate"/>
      </w:r>
      <w:r w:rsidRPr="007F6F18">
        <w:rPr>
          <w:noProof/>
        </w:rPr>
        <w:t>[19]</w:t>
      </w:r>
      <w:r>
        <w:fldChar w:fldCharType="end"/>
      </w:r>
      <w:r>
        <w:t xml:space="preserve"> were the first to propose transparent alloy </w:t>
      </w:r>
      <w:r>
        <w:lastRenderedPageBreak/>
        <w:t xml:space="preserve">systems as being analogous model systems of metallic solidification.  Indeed, </w:t>
      </w:r>
      <w:r w:rsidRPr="00EB17B7">
        <w:rPr>
          <w:i/>
        </w:rPr>
        <w:t>in-situ</w:t>
      </w:r>
      <w:r>
        <w:t xml:space="preserve"> optical analysis of </w:t>
      </w:r>
      <w:r w:rsidRPr="004E2D84">
        <w:t xml:space="preserve">transparent alloys </w:t>
      </w:r>
      <w:r>
        <w:t xml:space="preserve">has been </w:t>
      </w:r>
      <w:r w:rsidRPr="004E2D84">
        <w:t xml:space="preserve">used </w:t>
      </w:r>
      <w:r>
        <w:t xml:space="preserve">extensively </w:t>
      </w:r>
      <w:r w:rsidRPr="004E2D84">
        <w:t>to investigate time-dependent solidification behaviour</w:t>
      </w:r>
      <w:r>
        <w:t xml:space="preserve"> in</w:t>
      </w:r>
      <w:r w:rsidRPr="004E2D84">
        <w:t xml:space="preserve"> cellular </w:t>
      </w:r>
      <w:r w:rsidRPr="004E2D84">
        <w:fldChar w:fldCharType="begin" w:fldLock="1"/>
      </w:r>
      <w:r w:rsidR="0013413C">
        <w:instrText>ADDIN CSL_CITATION { "citationItems" : [ { "id" : "ITEM-1", "itemData" : { "DOI" : "10.1016/S0022-0248(00)01006-X", "ISSN" : "00220248", "author" : [ { "dropping-particle" : "", "family" : "Kauerauf", "given" : "Bernd", "non-dropping-particle" : "", "parse-names" : false, "suffix" : "" }, { "dropping-particle" : "", "family" : "Zimmermann", "given" : "Gerhard", "non-dropping-particle" : "", "parse-names" : false, "suffix" : "" }, { "dropping-particle" : "", "family" : "Rex", "given" : "Stephan", "non-dropping-particle" : "", "parse-names" : false, "suffix" : "" }, { "dropping-particle" : "", "family" : "Mathes", "given" : "Michael", "non-dropping-particle" : "", "parse-names" : false, "suffix" : "" }, { "dropping-particle" : "", "family" : "Grote", "given" : "Frank", "non-dropping-particle" : "", "parse-names" : false, "suffix" : "" } ], "container-title" : "Journal of Crystal Growth", "id" : "ITEM-1", "issue" : "1-2", "issued" : { "date-parts" : [ [ "2001", "2" ] ] }, "page" : "265-276", "title" : "Directional cellular growth of succinonitrile\u20130.075wt% acetone bulk samples", "type" : "article-journal", "volume" : "223" }, "uris" : [ "http://www.mendeley.com/documents/?uuid=d7087396-810f-42ce-bdc7-d883a93a63aa" ] } ], "mendeley" : { "formattedCitation" : "[20]", "plainTextFormattedCitation" : "[20]", "previouslyFormattedCitation" : "[20]" }, "properties" : {  }, "schema" : "https://github.com/citation-style-language/schema/raw/master/csl-citation.json" }</w:instrText>
      </w:r>
      <w:r w:rsidRPr="004E2D84">
        <w:fldChar w:fldCharType="separate"/>
      </w:r>
      <w:r w:rsidRPr="007F6F18">
        <w:rPr>
          <w:noProof/>
        </w:rPr>
        <w:t>[20]</w:t>
      </w:r>
      <w:r w:rsidRPr="004E2D84">
        <w:fldChar w:fldCharType="end"/>
      </w:r>
      <w:r w:rsidRPr="004E2D84">
        <w:t xml:space="preserve">, dendritic </w:t>
      </w:r>
      <w:r w:rsidRPr="004E2D84">
        <w:fldChar w:fldCharType="begin" w:fldLock="1"/>
      </w:r>
      <w:r w:rsidR="00342B98">
        <w:instrText>ADDIN CSL_CITATION { "citationItems" : [ { "id" : "ITEM-1", "itemData" : { "author" : [ { "dropping-particle" : "", "family" : "Jackson", "given" : "K.A.", "non-dropping-particle" : "", "parse-names" : false, "suffix" : "" }, { "dropping-particle" : "", "family" : "Hunt", "given" : "J.D.", "non-dropping-particle" : "", "parse-names" : false, "suffix" : "" }, { "dropping-particle" : "", "family" : "Uhlmann", "given" : "D.R.", "non-dropping-particle" : "", "parse-names" : false, "suffix" : "" }, { "dropping-particle" : "", "family" : "Seward", "given" : "T.P.", "non-dropping-particle" : "", "parse-names" : false, "suffix" : "" } ], "container-title" : "Transactions of the Metallurgical Society of AIME", "id" : "ITEM-1", "issued" : { "date-parts" : [ [ "1966" ] ] }, "page" : "149-158", "title" : "No Title", "type" : "article-journal", "volume" : "236" }, "uris" : [ "http://www.mendeley.com/documents/?uuid=899d33ab-0b39-49a4-b563-f1c64fb267e2", "http://www.mendeley.com/documents/?uuid=afa59161-af2e-4ae8-85c6-3130010fcedc" ] } ], "mendeley" : { "formattedCitation" : "[21]", "plainTextFormattedCitation" : "[21]", "previouslyFormattedCitation" : "[21]" }, "properties" : {  }, "schema" : "https://github.com/citation-style-language/schema/raw/master/csl-citation.json" }</w:instrText>
      </w:r>
      <w:r w:rsidRPr="004E2D84">
        <w:fldChar w:fldCharType="separate"/>
      </w:r>
      <w:r w:rsidRPr="007F6F18">
        <w:rPr>
          <w:noProof/>
        </w:rPr>
        <w:t>[21]</w:t>
      </w:r>
      <w:r w:rsidRPr="004E2D84">
        <w:fldChar w:fldCharType="end"/>
      </w:r>
      <w:r>
        <w:t>,</w:t>
      </w:r>
      <w:r w:rsidRPr="004E2D84">
        <w:t xml:space="preserve"> </w:t>
      </w:r>
      <w:r>
        <w:t>and</w:t>
      </w:r>
      <w:r w:rsidRPr="004E2D84">
        <w:t xml:space="preserve"> eutectic </w:t>
      </w:r>
      <w:r w:rsidRPr="004E2D84">
        <w:fldChar w:fldCharType="begin" w:fldLock="1"/>
      </w:r>
      <w:r w:rsidR="0013413C">
        <w:instrText>ADDIN CSL_CITATION { "citationItems" : [ { "id" : "ITEM-1", "itemData" : { "DOI" : "10.1016/j.actamat.2016.01.024", "ISSN" : "13596454", "abstract" : "We present a review of recent in situ experimentation studies of solidification front patterns and microstructures in alloys. Front-tracking diagnostics and real-time observation methods using high-resolution optical or X-ray imaging devices currently apply to model transparent systems as well as metallic alloys in thin and bulk samples. On a theoretical basis that spans the physics of nonequilibrium pattern formation and materials science, in combination with time-resolved numerical simulations, conclusive results of both fundamental- and applied-science interest have been obtained on major problems relative to multiscale microstructure selection, morphological transitions, and crystallographic effects during single- and multi-phase solidification. We will mainly focus on the dynamics of cellular, dendritic, and eutectic growth patterns in diffusive-growth conditions, that is, in the absence of convection in the liquid. This can be achieved in (semi-)thin samples, or, for bulk solidification, in the reduced-gravity environment of orbiting facilities. A selection of emerging work on, e.g., faceted growth and adaptive control of solidification patterns will furthermore be reported. We conclude by pointing out open questions and new perspectives for future research.", "author" : [ { "dropping-particle" : "", "family" : "Akamatsu", "given" : "Silv\u00e8re", "non-dropping-particle" : "", "parse-names" : false, "suffix" : "" }, { "dropping-particle" : "", "family" : "Nguyen-Thi", "given" : "Henri", "non-dropping-particle" : "", "parse-names" : false, "suffix" : "" } ], "container-title" : "Acta Materialia", "id" : "ITEM-1", "issued" : { "date-parts" : [ [ "2016" ] ] }, "page" : "325-346", "title" : "In situ observation of solidification patterns in diffusive conditions", "type" : "article-journal", "volume" : "108" }, "uris" : [ "http://www.mendeley.com/documents/?uuid=c29c0f1d-69fb-30cb-a169-7e33120f93a5" ] } ], "mendeley" : { "formattedCitation" : "[22]", "plainTextFormattedCitation" : "[22]", "previouslyFormattedCitation" : "[22]" }, "properties" : {  }, "schema" : "https://github.com/citation-style-language/schema/raw/master/csl-citation.json" }</w:instrText>
      </w:r>
      <w:r w:rsidRPr="004E2D84">
        <w:fldChar w:fldCharType="separate"/>
      </w:r>
      <w:r w:rsidRPr="007F6F18">
        <w:rPr>
          <w:noProof/>
        </w:rPr>
        <w:t>[22]</w:t>
      </w:r>
      <w:r w:rsidRPr="004E2D84">
        <w:fldChar w:fldCharType="end"/>
      </w:r>
      <w:r>
        <w:t xml:space="preserve"> systems. Transparent alloy </w:t>
      </w:r>
      <w:r w:rsidRPr="00EB17B7">
        <w:rPr>
          <w:i/>
        </w:rPr>
        <w:t>in-situ</w:t>
      </w:r>
      <w:r>
        <w:t xml:space="preserve"> observation has provided insights previously unobtainable through </w:t>
      </w:r>
      <w:r w:rsidRPr="00EB17B7">
        <w:rPr>
          <w:i/>
        </w:rPr>
        <w:t>ex-situ</w:t>
      </w:r>
      <w:r>
        <w:t xml:space="preserve"> characterisation. For example, dendrite arm fragmentation was first observed in a transparent alloy system </w:t>
      </w:r>
      <w:r>
        <w:fldChar w:fldCharType="begin" w:fldLock="1"/>
      </w:r>
      <w:r w:rsidR="0013413C">
        <w:instrText>ADDIN CSL_CITATION { "citationItems" : [ { "id" : "ITEM-1", "itemData" : { "author" : [ { "dropping-particle" : "", "family" : "Jackson", "given" : "K.A.", "non-dropping-particle" : "", "parse-names" : false, "suffix" : "" }, { "dropping-particle" : "", "family" : "Hunt", "given" : "J.D.", "non-dropping-particle" : "", "parse-names" : false, "suffix" : "" }, { "dropping-particle" : "", "family" : "Uhlmann", "given" : "D.R.", "non-dropping-particle" : "", "parse-names" : false, "suffix" : "" }, { "dropping-particle" : "", "family" : "Seward III", "given" : "T.P.", "non-dropping-particle" : "", "parse-names" : false, "suffix" : "" } ], "container-title" : "Transactions of the Metallurgical Society of AIME", "id" : "ITEM-1", "issued" : { "date-parts" : [ [ "1966" ] ] }, "page" : "151-158", "title" : "On the origin of the equiaxed zone in castings", "type" : "article-journal", "volume" : "236" }, "uris" : [ "http://www.mendeley.com/documents/?uuid=41e25bdf-0934-4fbe-a8fd-6d0581b74f49" ] } ], "mendeley" : { "formattedCitation" : "[23]", "plainTextFormattedCitation" : "[23]", "previouslyFormattedCitation" : "[23]" }, "properties" : {  }, "schema" : "https://github.com/citation-style-language/schema/raw/master/csl-citation.json" }</w:instrText>
      </w:r>
      <w:r>
        <w:fldChar w:fldCharType="separate"/>
      </w:r>
      <w:r w:rsidRPr="007F6F18">
        <w:rPr>
          <w:noProof/>
        </w:rPr>
        <w:t>[23]</w:t>
      </w:r>
      <w:r>
        <w:fldChar w:fldCharType="end"/>
      </w:r>
      <w:r>
        <w:t xml:space="preserve"> and later confirmed in metallic alloys by application of </w:t>
      </w:r>
      <w:r w:rsidRPr="00EB17B7">
        <w:rPr>
          <w:i/>
        </w:rPr>
        <w:t>in-situ</w:t>
      </w:r>
      <w:r>
        <w:t xml:space="preserve"> x-ray radiography </w:t>
      </w:r>
      <w:r>
        <w:fldChar w:fldCharType="begin" w:fldLock="1"/>
      </w:r>
      <w:r w:rsidR="0013413C">
        <w:instrText>ADDIN CSL_CITATION { "citationItems" : [ { "id" : "ITEM-1", "itemData" : { "DOI" : "10.1007/BF02586224", "abstract" : "Recent improvements in detectors combined with the eminent brightness and collimation offered with modern synchrotron sources open the way for in situ X-radiographic investigations of solidification fundamentals and phenomena in real alloys at resolutions approaching regular video microscopy. Here, the authors present observations on dendrite fragmentation from columnar fronts in Al-Cu and subsequent transport phenomena. From directional solidification experiments it has been found that the tendency for crystal fragments to detach by remelting of branch roots in the mush dendrite network strongly depends upon the relative buoyant and settling motions of crystal fragments and mush liquid, respectively. At the copper concentrations studied (20 to 30 wt pct), primary aluminum dendrites are lighter than the melt and solidification experiments parallel and anti-parallel to gravity show significant differences in detachment tendency. The experimental results compare well with three different models proposed for fragmentation at different mush locations; however, the results also demonstrate that these models differ substantially both with respect to detachment frequency and the ability for detached fragments to cause eventual columnar to equiaxed transitions. Under particular conditions it has been found that crystal fragmentation could lead to an alternating mesoscale segregation.", "author" : [ { "dropping-particle" : "", "family" : "Mathiesen", "given" : "R.H.", "non-dropping-particle" : "", "parse-names" : false, "suffix" : "" }, { "dropping-particle" : "", "family" : "Arnberg", "given" : "L.", "non-dropping-particle" : "", "parse-names" : false, "suffix" : "" }, { "dropping-particle" : "", "family" : "Bleuet", "given" : "P.", "non-dropping-particle" : "", "parse-names" : false, "suffix" : "" }, { "dropping-particle" : "", "family" : "Somogyi", "given" : "A.", "non-dropping-particle" : "", "parse-names" : false, "suffix" : "" } ], "container-title" : "Metallurgical and Materials Transactions A: Physical Metallurgy and Materials Science", "id" : "ITEM-1", "issue" : "8", "issued" : { "date-parts" : [ [ "2006" ] ] }, "title" : "Crystal fragmentation and columnar-to-equiaxed transitions in Al-Cu studied by Synchrotron x-ray video microscopy", "type" : "article-journal", "volume" : "37" }, "uris" : [ "http://www.mendeley.com/documents/?uuid=a2f488a6-a6d9-3f10-a050-4c74d40fe460" ] } ], "mendeley" : { "formattedCitation" : "[24]", "plainTextFormattedCitation" : "[24]", "previouslyFormattedCitation" : "[24]" }, "properties" : {  }, "schema" : "https://github.com/citation-style-language/schema/raw/master/csl-citation.json" }</w:instrText>
      </w:r>
      <w:r>
        <w:fldChar w:fldCharType="separate"/>
      </w:r>
      <w:r w:rsidRPr="007F6F18">
        <w:rPr>
          <w:noProof/>
        </w:rPr>
        <w:t>[24]</w:t>
      </w:r>
      <w:r>
        <w:fldChar w:fldCharType="end"/>
      </w:r>
      <w:r>
        <w:t xml:space="preserve">. However, there are several distinctions between transparent alloy and metal alloy </w:t>
      </w:r>
      <w:r w:rsidRPr="00EB17B7">
        <w:rPr>
          <w:i/>
        </w:rPr>
        <w:t>in-situ</w:t>
      </w:r>
      <w:r>
        <w:t xml:space="preserve"> processing worth pointing out. Firstly, transparent alloy systems typically have much lower melting temperatures than most metal alloys</w:t>
      </w:r>
      <w:r w:rsidR="00A11E2A">
        <w:t xml:space="preserve">. </w:t>
      </w:r>
      <w:r>
        <w:t>Secondly, suitable metal alloy systems for x-ray observation require sufficient density difference between solute and solvent to provide improved x-ray absorption</w:t>
      </w:r>
      <w:r w:rsidRPr="009269AD">
        <w:t xml:space="preserve"> </w:t>
      </w:r>
      <w:r>
        <w:t>and image contrast between the phases</w:t>
      </w:r>
      <w:r w:rsidR="00B07383">
        <w:t>.</w:t>
      </w:r>
      <w:r>
        <w:t xml:space="preserve"> Thirdly, </w:t>
      </w:r>
      <w:r w:rsidRPr="00EB17B7">
        <w:rPr>
          <w:i/>
        </w:rPr>
        <w:t>in-situ</w:t>
      </w:r>
      <w:r>
        <w:t xml:space="preserve"> metal samples are prepared in thin foil format</w:t>
      </w:r>
      <w:r w:rsidR="00C7332A">
        <w:t xml:space="preserve"> (typically some 100 µm in thickness)</w:t>
      </w:r>
      <w:r>
        <w:t>, whereas, transparent alloy samples are typically thick samples</w:t>
      </w:r>
      <w:r w:rsidR="00C7332A">
        <w:t xml:space="preserve"> to avoid boundary effects</w:t>
      </w:r>
      <w:r>
        <w:t xml:space="preserve">. This final point raises the issue of stereology effects on the image data from bulky samples. These stereology effects will be </w:t>
      </w:r>
      <w:r w:rsidR="00B07383">
        <w:t>investigated</w:t>
      </w:r>
      <w:r>
        <w:t xml:space="preserve"> in this manuscript.</w:t>
      </w:r>
    </w:p>
    <w:p w14:paraId="2C2D4443" w14:textId="77777777" w:rsidR="00DC177E" w:rsidRDefault="00DC177E" w:rsidP="0091027E">
      <w:pPr>
        <w:pStyle w:val="Heading2"/>
        <w:jc w:val="both"/>
      </w:pPr>
      <w:r>
        <w:t>The Multiple Equiaxed Dendrite Interaction (MEDI) experiment.</w:t>
      </w:r>
    </w:p>
    <w:p w14:paraId="5FA087FE" w14:textId="622285A0" w:rsidR="00DC177E" w:rsidRPr="00247BA9" w:rsidRDefault="00DC177E" w:rsidP="00061200">
      <w:pPr>
        <w:pStyle w:val="Paragraph"/>
      </w:pPr>
      <w:r>
        <w:t xml:space="preserve">In 2015, an </w:t>
      </w:r>
      <w:r w:rsidRPr="00EB17B7">
        <w:rPr>
          <w:i/>
        </w:rPr>
        <w:t>in-situ</w:t>
      </w:r>
      <w:r>
        <w:t xml:space="preserve"> transparent alloy experiment into polycrystalline equiaxed solidification was conducted under microgravity conditions </w:t>
      </w:r>
      <w:r w:rsidR="00B07383">
        <w:t>(</w:t>
      </w:r>
      <w:r>
        <w:t xml:space="preserve">reported in </w:t>
      </w:r>
      <w:r w:rsidR="007166AD">
        <w:t>reference</w:t>
      </w:r>
      <w:r w:rsidR="00C7332A">
        <w:t xml:space="preserve"> </w:t>
      </w:r>
      <w:r>
        <w:fldChar w:fldCharType="begin" w:fldLock="1"/>
      </w:r>
      <w:r w:rsidR="0013413C">
        <w:instrText>ADDIN CSL_CITATION { "citationItems" : [ { "id" : "ITEM-1", "itemData" : { "author" : [ { "dropping-particle" : "", "family" : "Sturz", "given" : "Laszlo", "non-dropping-particle" : "", "parse-names" : false, "suffix" : "" }, { "dropping-particle" : "", "family" : "Hamacher", "given" : "Martin", "non-dropping-particle" : "", "parse-names" : false, "suffix" : "" }, { "dropping-particle" : "", "family" : "Zimmermann", "given" : "Gerhard", "non-dropping-particle" : "", "parse-names" : false, "suffix" : "" } ], "container-title" : "6th Decennial International Conference on Solidification Processing", "editor" : [ { "dropping-particle" : "", "family" : "Fan", "given" : "Z.", "non-dropping-particle" : "", "parse-names" : false, "suffix" : "" } ], "id" : "ITEM-1", "issued" : { "date-parts" : [ [ "2017" ] ] }, "page" : "300-303", "title" : "In-situ observation of equiaxed dendritic growth and interaction in microgravity", "type" : "paper-conference" }, "uris" : [ "http://www.mendeley.com/documents/?uuid=10dfd52c-c54b-47fe-8d21-23f33109a4c4" ] } ], "mendeley" : { "formattedCitation" : "[25]", "plainTextFormattedCitation" : "[25]", "previouslyFormattedCitation" : "[25]" }, "properties" : {  }, "schema" : "https://github.com/citation-style-language/schema/raw/master/csl-citation.json" }</w:instrText>
      </w:r>
      <w:r>
        <w:fldChar w:fldCharType="separate"/>
      </w:r>
      <w:r w:rsidRPr="007F6F18">
        <w:rPr>
          <w:noProof/>
        </w:rPr>
        <w:t>[25]</w:t>
      </w:r>
      <w:r>
        <w:fldChar w:fldCharType="end"/>
      </w:r>
      <w:r w:rsidR="00B07383">
        <w:t>)</w:t>
      </w:r>
      <w:r>
        <w:t xml:space="preserve">. </w:t>
      </w:r>
      <w:r w:rsidR="00B07383">
        <w:t>T</w:t>
      </w:r>
      <w:r>
        <w:t xml:space="preserve">he MEDI experiment </w:t>
      </w:r>
      <w:r w:rsidRPr="00FE4887">
        <w:t xml:space="preserve">was launched </w:t>
      </w:r>
      <w:r>
        <w:t xml:space="preserve">on-board </w:t>
      </w:r>
      <w:r w:rsidRPr="00FE4887">
        <w:t>the MASER-13 sounding rocket</w:t>
      </w:r>
      <w:r>
        <w:t>. The sample contained the transparent</w:t>
      </w:r>
      <w:r w:rsidRPr="00FE4887">
        <w:t xml:space="preserve"> material</w:t>
      </w:r>
      <w:r>
        <w:t>,</w:t>
      </w:r>
      <w:r w:rsidRPr="00FE4887">
        <w:t xml:space="preserve"> Neopentylgycol-30wt.%(d)Camphor</w:t>
      </w:r>
      <w:r>
        <w:t xml:space="preserve">, which is a </w:t>
      </w:r>
      <w:r w:rsidRPr="00FE4887">
        <w:t>hypoeutectic alloy wi</w:t>
      </w:r>
      <w:r>
        <w:t>th face-centred cubic lattice structure</w:t>
      </w:r>
      <w:r w:rsidR="00A716D1">
        <w:t xml:space="preserve"> in the primary dendritic phase</w:t>
      </w:r>
      <w:r>
        <w:t xml:space="preserve">. The sequence of events during the launch led to in-situ observation of polycrystalline equiaxed nucleation and growth under high-quality microgravity conditions. A controller allowed </w:t>
      </w:r>
      <w:r w:rsidR="00B07383">
        <w:t xml:space="preserve">fixed </w:t>
      </w:r>
      <w:r>
        <w:t>cooling conditions to be set</w:t>
      </w:r>
      <w:r w:rsidR="001412E1">
        <w:t xml:space="preserve"> under a low temperature gradient</w:t>
      </w:r>
      <w:r>
        <w:t xml:space="preserve">. Three thermocouples recorded temperatures within the sample. </w:t>
      </w:r>
      <w:r w:rsidRPr="00FE4887">
        <w:t xml:space="preserve">Observations of equiaxed dendritic solidification </w:t>
      </w:r>
      <w:r>
        <w:t>(</w:t>
      </w:r>
      <w:r w:rsidRPr="00FE4887">
        <w:t xml:space="preserve">nucleation, growth, </w:t>
      </w:r>
      <w:r>
        <w:t xml:space="preserve">and </w:t>
      </w:r>
      <w:r w:rsidRPr="00FE4887">
        <w:t>interaction</w:t>
      </w:r>
      <w:r>
        <w:t>)</w:t>
      </w:r>
      <w:r w:rsidRPr="00FE4887">
        <w:t xml:space="preserve"> were made </w:t>
      </w:r>
      <w:r w:rsidRPr="00F32BFA">
        <w:rPr>
          <w:i/>
        </w:rPr>
        <w:t>in-situ</w:t>
      </w:r>
      <w:r w:rsidRPr="00FE4887">
        <w:t xml:space="preserve"> and in real-time using optical </w:t>
      </w:r>
      <w:r>
        <w:t xml:space="preserve">magnification </w:t>
      </w:r>
      <w:r w:rsidRPr="00FE4887">
        <w:t xml:space="preserve">methods </w:t>
      </w:r>
      <w:r>
        <w:t>at both the macro and micro length scales. This MEDI campaign was conducted as part of the European space agency CETSOL (</w:t>
      </w:r>
      <w:r w:rsidRPr="00383321">
        <w:t>Columnar-to-Equiaxed Transition in SOLidification Processing</w:t>
      </w:r>
      <w:r>
        <w:t xml:space="preserve">) programme </w:t>
      </w:r>
      <w:r>
        <w:fldChar w:fldCharType="begin" w:fldLock="1"/>
      </w:r>
      <w:r w:rsidR="0013413C">
        <w:instrText>ADDIN CSL_CITATION { "citationItems" : [ { "id" : "ITEM-1", "itemData" : { "author" : [ { "dropping-particle" : "", "family" : "Sturz", "given" : "Laszlo", "non-dropping-particle" : "", "parse-names" : false, "suffix" : "" }, { "dropping-particle" : "", "family" : "Hamacher", "given" : "Martin", "non-dropping-particle" : "", "parse-names" : false, "suffix" : "" }, { "dropping-particle" : "", "family" : "Zimmermann", "given" : "Gerhard", "non-dropping-particle" : "", "parse-names" : false, "suffix" : "" } ], "container-title" : "6th Decennial International Conference on Solidification Processing", "editor" : [ { "dropping-particle" : "", "family" : "Fan", "given" : "Z.", "non-dropping-particle" : "", "parse-names" : false, "suffix" : "" } ], "id" : "ITEM-1", "issued" : { "date-parts" : [ [ "2017" ] ] }, "page" : "300-303", "title" : "In-situ observation of equiaxed dendritic growth and interaction in microgravity", "type" : "paper-conference" }, "uris" : [ "http://www.mendeley.com/documents/?uuid=10dfd52c-c54b-47fe-8d21-23f33109a4c4" ] } ], "mendeley" : { "formattedCitation" : "[25]", "plainTextFormattedCitation" : "[25]", "previouslyFormattedCitation" : "[25]" }, "properties" : {  }, "schema" : "https://github.com/citation-style-language/schema/raw/master/csl-citation.json" }</w:instrText>
      </w:r>
      <w:r>
        <w:fldChar w:fldCharType="separate"/>
      </w:r>
      <w:r w:rsidRPr="007F6F18">
        <w:rPr>
          <w:noProof/>
        </w:rPr>
        <w:t>[25]</w:t>
      </w:r>
      <w:r>
        <w:fldChar w:fldCharType="end"/>
      </w:r>
      <w:r w:rsidRPr="00FE4887">
        <w:t>.</w:t>
      </w:r>
    </w:p>
    <w:p w14:paraId="2C8E0A52" w14:textId="77777777" w:rsidR="00DC177E" w:rsidRPr="004E7F55" w:rsidRDefault="00DC177E" w:rsidP="0091027E">
      <w:pPr>
        <w:pStyle w:val="Heading2"/>
        <w:jc w:val="both"/>
      </w:pPr>
      <w:r>
        <w:t>Aims and objectives</w:t>
      </w:r>
    </w:p>
    <w:p w14:paraId="602EA69B" w14:textId="0336DBCD" w:rsidR="00DC177E" w:rsidRDefault="00DC177E" w:rsidP="00061200">
      <w:pPr>
        <w:pStyle w:val="Paragraph"/>
      </w:pPr>
      <w:r>
        <w:t xml:space="preserve">This manuscript proposes a Nucleation Progenitor Function (NPF) modelling approach for polycrystalline equiaxed solidification. The starting position for this approach is to </w:t>
      </w:r>
      <w:r w:rsidR="00095D2C">
        <w:t>define</w:t>
      </w:r>
      <w:r>
        <w:t xml:space="preserve"> an athermal nucleation distribution as a progenitor function. Through application of the approach, </w:t>
      </w:r>
      <w:r>
        <w:lastRenderedPageBreak/>
        <w:t xml:space="preserve">different instances of continuous nucleation outputs (progeny functions) arise. </w:t>
      </w:r>
      <w:r w:rsidR="00095D2C">
        <w:t xml:space="preserve">Hence, </w:t>
      </w:r>
      <w:r w:rsidR="004F49EF">
        <w:t xml:space="preserve">an aim of this study is to define </w:t>
      </w:r>
      <w:r w:rsidR="00095D2C">
        <w:t xml:space="preserve">progenitor-progeny relationships. </w:t>
      </w:r>
      <w:r>
        <w:t xml:space="preserve">These progeny functions </w:t>
      </w:r>
      <w:r w:rsidR="001412E1">
        <w:t xml:space="preserve">are then </w:t>
      </w:r>
      <w:r>
        <w:t xml:space="preserve">processed to give detailed information, e.g., average nucleation undercooling, standard deviation of nucleation undercooling, etc. Uniquely, by </w:t>
      </w:r>
      <w:r w:rsidR="001412E1">
        <w:t>deriving alternative</w:t>
      </w:r>
      <w:r>
        <w:t xml:space="preserve"> progeny functions, the NPF method can account for output data in 3D and 2D (taking into account 2D stereology effects in the data). </w:t>
      </w:r>
    </w:p>
    <w:p w14:paraId="78BA78B3" w14:textId="52FE0EE2" w:rsidR="00DC177E" w:rsidRDefault="00E90706" w:rsidP="0091027E">
      <w:pPr>
        <w:pStyle w:val="Paragraph"/>
        <w:jc w:val="both"/>
      </w:pPr>
      <w:r>
        <w:t>Specific</w:t>
      </w:r>
      <w:r w:rsidR="00DC177E">
        <w:t xml:space="preserve"> aims and objectives of this work are:</w:t>
      </w:r>
    </w:p>
    <w:p w14:paraId="24B5568D" w14:textId="2EEE3ED1" w:rsidR="00DC177E" w:rsidRDefault="00E90706" w:rsidP="0091027E">
      <w:pPr>
        <w:pStyle w:val="Newparagraph"/>
        <w:numPr>
          <w:ilvl w:val="0"/>
          <w:numId w:val="33"/>
        </w:numPr>
        <w:ind w:left="851" w:hanging="284"/>
        <w:jc w:val="both"/>
      </w:pPr>
      <w:r>
        <w:t>Introduce</w:t>
      </w:r>
      <w:r w:rsidR="00DC177E">
        <w:t xml:space="preserve"> the NPF approach for polycrystalline equiaxed solidification.</w:t>
      </w:r>
    </w:p>
    <w:p w14:paraId="5BC62BDF" w14:textId="77777777" w:rsidR="00DC177E" w:rsidRDefault="00DC177E" w:rsidP="0091027E">
      <w:pPr>
        <w:pStyle w:val="Newparagraph"/>
        <w:numPr>
          <w:ilvl w:val="0"/>
          <w:numId w:val="33"/>
        </w:numPr>
        <w:ind w:left="851" w:hanging="284"/>
        <w:jc w:val="both"/>
      </w:pPr>
      <w:r>
        <w:t>Develop a transient thermal model of solidification by incorporating the NPF method into the energy equation.</w:t>
      </w:r>
    </w:p>
    <w:p w14:paraId="5C8E033F" w14:textId="77777777" w:rsidR="00DC177E" w:rsidRDefault="00DC177E" w:rsidP="0091027E">
      <w:pPr>
        <w:pStyle w:val="Newparagraph"/>
        <w:numPr>
          <w:ilvl w:val="0"/>
          <w:numId w:val="33"/>
        </w:numPr>
        <w:ind w:left="851" w:hanging="284"/>
        <w:jc w:val="both"/>
      </w:pPr>
      <w:r>
        <w:t>Summarise the experimental details of the MEDI experimental campaign and report on details of experimental data related to the nucleation and growth phenomenon.</w:t>
      </w:r>
    </w:p>
    <w:p w14:paraId="4F1F5DAE" w14:textId="77777777" w:rsidR="00DC177E" w:rsidRDefault="00DC177E" w:rsidP="0091027E">
      <w:pPr>
        <w:pStyle w:val="Newparagraph"/>
        <w:numPr>
          <w:ilvl w:val="0"/>
          <w:numId w:val="33"/>
        </w:numPr>
        <w:ind w:left="851" w:hanging="284"/>
        <w:jc w:val="both"/>
      </w:pPr>
      <w:r>
        <w:t>Apply the thermal model and relate experimental observations of solidification from MEDI to the model predictions.</w:t>
      </w:r>
    </w:p>
    <w:p w14:paraId="0159B53B" w14:textId="419CA569" w:rsidR="00DC177E" w:rsidRPr="00553000" w:rsidRDefault="00DC177E" w:rsidP="0097592C">
      <w:pPr>
        <w:pStyle w:val="Paragraph"/>
      </w:pPr>
      <w:r>
        <w:t xml:space="preserve">The manuscript introduces the NPF approach for a simplified case of constant cooling and uniform temperature (where temperature is initially assumed </w:t>
      </w:r>
      <w:r>
        <w:rPr>
          <w:i/>
        </w:rPr>
        <w:t>a priori</w:t>
      </w:r>
      <w:r>
        <w:t xml:space="preserve">); but, then </w:t>
      </w:r>
      <w:r w:rsidR="004F49EF">
        <w:t xml:space="preserve">develops to </w:t>
      </w:r>
      <w:r>
        <w:t xml:space="preserve">provide details of </w:t>
      </w:r>
      <w:r w:rsidR="004F49EF">
        <w:t xml:space="preserve">the full </w:t>
      </w:r>
      <w:r>
        <w:t>transient thermal model</w:t>
      </w:r>
      <w:r w:rsidR="001412E1">
        <w:t xml:space="preserve">, where the </w:t>
      </w:r>
      <w:r w:rsidR="00A716D1">
        <w:t xml:space="preserve">presence </w:t>
      </w:r>
      <w:r w:rsidR="001412E1">
        <w:t xml:space="preserve">of a temperature gradient </w:t>
      </w:r>
      <w:r w:rsidR="00A716D1">
        <w:t>can</w:t>
      </w:r>
      <w:r w:rsidR="001412E1">
        <w:t xml:space="preserve"> be accounted for</w:t>
      </w:r>
      <w:r>
        <w:t xml:space="preserve">. The MEDI experiment is summarised and </w:t>
      </w:r>
      <w:r w:rsidR="004F49EF">
        <w:t xml:space="preserve">observed output </w:t>
      </w:r>
      <w:r>
        <w:t xml:space="preserve">solidification data is provided. The NPF-adapted thermal model </w:t>
      </w:r>
      <w:r w:rsidR="004F49EF">
        <w:t xml:space="preserve">has been </w:t>
      </w:r>
      <w:r>
        <w:t>applied to the MEDI experiment. Detailed analyses and discussion are provided</w:t>
      </w:r>
      <w:r w:rsidR="004F49EF">
        <w:t xml:space="preserve"> herein</w:t>
      </w:r>
      <w:r>
        <w:t>.</w:t>
      </w:r>
    </w:p>
    <w:p w14:paraId="698A43D1" w14:textId="77777777" w:rsidR="00DC177E" w:rsidRDefault="00DC177E" w:rsidP="0091027E">
      <w:pPr>
        <w:pStyle w:val="Heading1"/>
        <w:jc w:val="both"/>
      </w:pPr>
      <w:r>
        <w:t>Modelling</w:t>
      </w:r>
    </w:p>
    <w:p w14:paraId="78588948" w14:textId="77777777" w:rsidR="00DC177E" w:rsidRDefault="00DC177E" w:rsidP="0091027E">
      <w:pPr>
        <w:pStyle w:val="Heading2"/>
        <w:jc w:val="both"/>
      </w:pPr>
      <w:bookmarkStart w:id="2" w:name="_Ref496276980"/>
      <w:r>
        <w:t xml:space="preserve">The </w:t>
      </w:r>
      <w:r w:rsidR="00EE4861">
        <w:t>Nucleation Progenitor Function (</w:t>
      </w:r>
      <w:r>
        <w:t>NPF</w:t>
      </w:r>
      <w:r w:rsidR="00EE4861">
        <w:t>)</w:t>
      </w:r>
      <w:r>
        <w:t xml:space="preserve"> approach</w:t>
      </w:r>
      <w:bookmarkEnd w:id="2"/>
    </w:p>
    <w:p w14:paraId="77978B16" w14:textId="2619929E" w:rsidR="00DC177E" w:rsidRDefault="00DC177E" w:rsidP="0091027E">
      <w:pPr>
        <w:pStyle w:val="Paragraph"/>
        <w:jc w:val="both"/>
      </w:pPr>
      <w:r>
        <w:t xml:space="preserve">To demonstrate the framework for the NPF approach, we </w:t>
      </w:r>
      <w:r w:rsidR="00FA1D4C">
        <w:t xml:space="preserve">initially </w:t>
      </w:r>
      <w:r>
        <w:t xml:space="preserve">assume uniform temperature and </w:t>
      </w:r>
      <w:r w:rsidR="00FA1D4C">
        <w:t xml:space="preserve">a </w:t>
      </w:r>
      <w:r>
        <w:t>fixed cooling rate</w:t>
      </w:r>
      <w:r w:rsidR="004F49EF">
        <w:t xml:space="preserve"> </w:t>
      </w:r>
      <w:r w:rsidR="004F49EF">
        <w:rPr>
          <w:i/>
        </w:rPr>
        <w:t>a priori</w:t>
      </w:r>
      <w:r w:rsidR="004F49EF">
        <w:t>; however, a transient thermal model is developed later (section 2.2)</w:t>
      </w:r>
      <w:r>
        <w:t xml:space="preserve">. </w:t>
      </w:r>
    </w:p>
    <w:p w14:paraId="0BBFB59E" w14:textId="799CC7A8" w:rsidR="00DC177E" w:rsidRDefault="00DC177E" w:rsidP="0091027E">
      <w:pPr>
        <w:pStyle w:val="Heading3"/>
        <w:jc w:val="both"/>
      </w:pPr>
      <w:r>
        <w:t>Progenitor function definition</w:t>
      </w:r>
    </w:p>
    <w:p w14:paraId="54A73428" w14:textId="77777777" w:rsidR="00DC177E" w:rsidRDefault="00DC177E" w:rsidP="0091027E">
      <w:pPr>
        <w:pStyle w:val="Paragraph"/>
        <w:jc w:val="both"/>
      </w:pPr>
      <w:r>
        <w:t>The starting point for the NPF is to define a progenitor function that describes the collective nucleation potency of all inoculant particles. A general description of the progenitor distribution is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05"/>
        <w:gridCol w:w="810"/>
      </w:tblGrid>
      <w:tr w:rsidR="00DC177E" w14:paraId="20445674" w14:textId="77777777" w:rsidTr="0097592C">
        <w:trPr>
          <w:jc w:val="center"/>
        </w:trPr>
        <w:tc>
          <w:tcPr>
            <w:tcW w:w="7905" w:type="dxa"/>
            <w:vAlign w:val="center"/>
          </w:tcPr>
          <w:p w14:paraId="2D88C07E" w14:textId="733CC78B" w:rsidR="00DC177E" w:rsidRDefault="008F6ACD" w:rsidP="0097592C">
            <w:pPr>
              <w:pStyle w:val="Newparagraph"/>
              <w:ind w:firstLine="0"/>
              <w:contextualSpacing/>
              <w:jc w:val="center"/>
            </w:pPr>
            <m:oMathPara>
              <m:oMath>
                <m:m>
                  <m:mPr>
                    <m:mcs>
                      <m:mc>
                        <m:mcPr>
                          <m:count m:val="2"/>
                          <m:mcJc m:val="center"/>
                        </m:mcPr>
                      </m:mc>
                    </m:mcs>
                    <m:ctrlPr>
                      <w:rPr>
                        <w:rFonts w:ascii="Cambria Math" w:hAnsi="Cambria Math"/>
                        <w:i/>
                      </w:rPr>
                    </m:ctrlPr>
                  </m:mPr>
                  <m:mr>
                    <m:e>
                      <m:f>
                        <m:fPr>
                          <m:ctrlPr>
                            <w:rPr>
                              <w:rFonts w:ascii="Cambria Math" w:hAnsi="Cambria Math"/>
                            </w:rPr>
                          </m:ctrlPr>
                        </m:fPr>
                        <m:num>
                          <m:r>
                            <w:rPr>
                              <w:rFonts w:ascii="Cambria Math" w:hAnsi="Cambria Math"/>
                            </w:rPr>
                            <m:t>dN</m:t>
                          </m:r>
                        </m:num>
                        <m:den>
                          <m:r>
                            <w:rPr>
                              <w:rFonts w:ascii="Cambria Math" w:hAnsi="Cambria Math"/>
                            </w:rPr>
                            <m:t>d</m:t>
                          </m:r>
                          <m:d>
                            <m:dPr>
                              <m:ctrlPr>
                                <w:rPr>
                                  <w:rFonts w:ascii="Cambria Math" w:hAnsi="Cambria Math"/>
                                </w:rPr>
                              </m:ctrlPr>
                            </m:dPr>
                            <m:e>
                              <m:r>
                                <m:rPr>
                                  <m:sty m:val="p"/>
                                </m:rPr>
                                <w:rPr>
                                  <w:rFonts w:ascii="Cambria Math" w:hAnsi="Cambria Math"/>
                                </w:rPr>
                                <m:t>∆</m:t>
                              </m:r>
                              <m:r>
                                <w:rPr>
                                  <w:rFonts w:ascii="Cambria Math" w:hAnsi="Cambria Math"/>
                                </w:rPr>
                                <m:t>T</m:t>
                              </m:r>
                            </m:e>
                          </m:d>
                        </m:den>
                      </m:f>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o</m:t>
                          </m:r>
                        </m:sub>
                      </m:sSub>
                      <m:r>
                        <w:rPr>
                          <w:rFonts w:ascii="Cambria Math" w:hAnsi="Cambria Math"/>
                        </w:rPr>
                        <m:t>p</m:t>
                      </m:r>
                      <m:d>
                        <m:dPr>
                          <m:ctrlPr>
                            <w:rPr>
                              <w:rFonts w:ascii="Cambria Math" w:hAnsi="Cambria Math"/>
                              <w:i/>
                            </w:rPr>
                          </m:ctrlPr>
                        </m:dPr>
                        <m:e>
                          <m:r>
                            <w:rPr>
                              <w:rFonts w:ascii="Cambria Math" w:hAnsi="Cambria Math"/>
                            </w:rPr>
                            <m:t>∆T</m:t>
                          </m:r>
                        </m:e>
                      </m:d>
                    </m:e>
                    <m:e>
                      <m:r>
                        <w:rPr>
                          <w:rFonts w:ascii="Cambria Math" w:hAnsi="Cambria Math"/>
                        </w:rPr>
                        <m:t>,</m:t>
                      </m:r>
                    </m:e>
                  </m:mr>
                </m:m>
              </m:oMath>
            </m:oMathPara>
          </w:p>
        </w:tc>
        <w:tc>
          <w:tcPr>
            <w:tcW w:w="810" w:type="dxa"/>
            <w:vAlign w:val="center"/>
          </w:tcPr>
          <w:p w14:paraId="724D7311" w14:textId="77777777" w:rsidR="00DC177E" w:rsidRDefault="00DC177E" w:rsidP="0097592C">
            <w:pPr>
              <w:pStyle w:val="Newparagraph"/>
              <w:ind w:firstLine="0"/>
              <w:contextualSpacing/>
              <w:jc w:val="center"/>
            </w:pPr>
            <w:bookmarkStart w:id="3" w:name="NPF"/>
            <w:r>
              <w:t>(</w:t>
            </w:r>
            <w:fldSimple w:instr=" SEQ Eqn \* MERGEFORMAT ">
              <w:r w:rsidR="002637FB">
                <w:rPr>
                  <w:noProof/>
                </w:rPr>
                <w:t>2</w:t>
              </w:r>
            </w:fldSimple>
            <w:r>
              <w:t>)</w:t>
            </w:r>
            <w:bookmarkEnd w:id="3"/>
          </w:p>
        </w:tc>
      </w:tr>
    </w:tbl>
    <w:p w14:paraId="78B55C9B" w14:textId="59FEC39A" w:rsidR="00DC177E" w:rsidRPr="004F49EF" w:rsidRDefault="00E90706" w:rsidP="00913356">
      <w:pPr>
        <w:pStyle w:val="Newparagraph"/>
        <w:ind w:firstLine="0"/>
      </w:pPr>
      <w:r>
        <w:t>w</w:t>
      </w:r>
      <w:r w:rsidR="00DC177E">
        <w:t xml:space="preserve">here </w:t>
      </w:r>
      <m:oMath>
        <m:f>
          <m:fPr>
            <m:ctrlPr>
              <w:rPr>
                <w:rFonts w:ascii="Cambria Math" w:hAnsi="Cambria Math"/>
              </w:rPr>
            </m:ctrlPr>
          </m:fPr>
          <m:num>
            <m:r>
              <w:rPr>
                <w:rFonts w:ascii="Cambria Math" w:hAnsi="Cambria Math"/>
              </w:rPr>
              <m:t>dN</m:t>
            </m:r>
          </m:num>
          <m:den>
            <m:r>
              <w:rPr>
                <w:rFonts w:ascii="Cambria Math" w:hAnsi="Cambria Math"/>
              </w:rPr>
              <m:t>d</m:t>
            </m:r>
            <m:d>
              <m:dPr>
                <m:ctrlPr>
                  <w:rPr>
                    <w:rFonts w:ascii="Cambria Math" w:hAnsi="Cambria Math"/>
                  </w:rPr>
                </m:ctrlPr>
              </m:dPr>
              <m:e>
                <m:r>
                  <m:rPr>
                    <m:sty m:val="p"/>
                  </m:rPr>
                  <w:rPr>
                    <w:rFonts w:ascii="Cambria Math" w:hAnsi="Cambria Math"/>
                  </w:rPr>
                  <m:t>∆</m:t>
                </m:r>
                <m:r>
                  <w:rPr>
                    <w:rFonts w:ascii="Cambria Math" w:hAnsi="Cambria Math"/>
                  </w:rPr>
                  <m:t>T</m:t>
                </m:r>
              </m:e>
            </m:d>
          </m:den>
        </m:f>
      </m:oMath>
      <w:r w:rsidR="00DC177E">
        <w:t xml:space="preserve"> is an athermal nucleation density distribution based on undercooling,</w:t>
      </w:r>
      <w:r w:rsidR="00DC177E" w:rsidRPr="00CF396D">
        <w:t xml:space="preserve"> </w:t>
      </w:r>
      <w:r w:rsidR="00DC177E" w:rsidRPr="009913A4">
        <w:sym w:font="Symbol" w:char="F044"/>
      </w:r>
      <w:r w:rsidR="00DC177E" w:rsidRPr="007B258B">
        <w:rPr>
          <w:i/>
        </w:rPr>
        <w:t>T</w:t>
      </w:r>
      <w:r w:rsidR="00DC177E">
        <w:t xml:space="preserve">; </w:t>
      </w:r>
      <m:oMath>
        <m:sSub>
          <m:sSubPr>
            <m:ctrlPr>
              <w:rPr>
                <w:rFonts w:ascii="Cambria Math" w:hAnsi="Cambria Math"/>
              </w:rPr>
            </m:ctrlPr>
          </m:sSubPr>
          <m:e>
            <m:r>
              <w:rPr>
                <w:rFonts w:ascii="Cambria Math" w:hAnsi="Cambria Math"/>
              </w:rPr>
              <m:t>N</m:t>
            </m:r>
          </m:e>
          <m:sub>
            <m:r>
              <w:rPr>
                <w:rFonts w:ascii="Cambria Math" w:hAnsi="Cambria Math"/>
              </w:rPr>
              <m:t>o</m:t>
            </m:r>
          </m:sub>
        </m:sSub>
      </m:oMath>
      <w:r w:rsidR="00DC177E">
        <w:t xml:space="preserve"> is the volumetric nucleation density of all possible nucleation sites; and </w:t>
      </w:r>
      <m:oMath>
        <m:r>
          <w:rPr>
            <w:rFonts w:ascii="Cambria Math" w:hAnsi="Cambria Math"/>
          </w:rPr>
          <m:t>p</m:t>
        </m:r>
        <m:d>
          <m:dPr>
            <m:ctrlPr>
              <w:rPr>
                <w:rFonts w:ascii="Cambria Math" w:hAnsi="Cambria Math"/>
                <w:i/>
              </w:rPr>
            </m:ctrlPr>
          </m:dPr>
          <m:e>
            <m:r>
              <w:rPr>
                <w:rFonts w:ascii="Cambria Math" w:hAnsi="Cambria Math"/>
              </w:rPr>
              <m:t>∆T</m:t>
            </m:r>
          </m:e>
        </m:d>
      </m:oMath>
      <w:r w:rsidR="00DC177E">
        <w:t xml:space="preserve"> is a Probabili</w:t>
      </w:r>
      <w:r>
        <w:t xml:space="preserve">ty Density </w:t>
      </w:r>
      <w:r>
        <w:lastRenderedPageBreak/>
        <w:t>Function (PDF). The u</w:t>
      </w:r>
      <w:r w:rsidR="00DC177E">
        <w:t xml:space="preserve">ndercooling is defined as </w:t>
      </w:r>
      <w:r w:rsidR="00DC177E" w:rsidRPr="000D4C71">
        <w:sym w:font="Symbol" w:char="F044"/>
      </w:r>
      <w:r w:rsidR="00DC177E" w:rsidRPr="000D4C71">
        <w:rPr>
          <w:i/>
        </w:rPr>
        <w:t>T</w:t>
      </w:r>
      <w:r w:rsidR="00DC177E" w:rsidRPr="00201938">
        <w:rPr>
          <w:i/>
        </w:rPr>
        <w:t>=</w:t>
      </w:r>
      <w:r w:rsidR="00DC177E" w:rsidRPr="000D4C71">
        <w:rPr>
          <w:i/>
        </w:rPr>
        <w:t>T</w:t>
      </w:r>
      <w:r w:rsidR="00DC177E" w:rsidRPr="000D4C71">
        <w:rPr>
          <w:i/>
          <w:vertAlign w:val="subscript"/>
        </w:rPr>
        <w:t>L</w:t>
      </w:r>
      <w:r w:rsidR="00DC177E" w:rsidRPr="000D4C71">
        <w:rPr>
          <w:i/>
          <w:vertAlign w:val="subscript"/>
        </w:rPr>
        <w:softHyphen/>
      </w:r>
      <w:r w:rsidR="00DC177E" w:rsidRPr="00201938">
        <w:rPr>
          <w:i/>
        </w:rPr>
        <w:t>–</w:t>
      </w:r>
      <w:r w:rsidR="00DC177E" w:rsidRPr="000D4C71">
        <w:rPr>
          <w:i/>
        </w:rPr>
        <w:t>T</w:t>
      </w:r>
      <w:r w:rsidR="00DC177E">
        <w:t xml:space="preserve"> where </w:t>
      </w:r>
      <w:r w:rsidR="00DC177E">
        <w:rPr>
          <w:i/>
        </w:rPr>
        <w:t>T</w:t>
      </w:r>
      <w:r w:rsidR="00DC177E">
        <w:rPr>
          <w:i/>
          <w:vertAlign w:val="subscript"/>
        </w:rPr>
        <w:t>L</w:t>
      </w:r>
      <w:r w:rsidR="00DC177E">
        <w:t xml:space="preserve"> is the equilibrium liquidus temperature</w:t>
      </w:r>
      <w:r w:rsidR="00024A8E">
        <w:t xml:space="preserve"> for the alloy composition</w:t>
      </w:r>
      <w:r w:rsidR="00DC177E">
        <w:rPr>
          <w:i/>
        </w:rPr>
        <w:t>.</w:t>
      </w:r>
      <w:r w:rsidR="004F49EF">
        <w:t xml:space="preserve"> The progenitor function is be</w:t>
      </w:r>
      <w:r w:rsidR="001412E1">
        <w:t>st</w:t>
      </w:r>
      <w:r w:rsidR="004F49EF">
        <w:t xml:space="preserve"> described as a seed activation function – all seeds activate but not all active seeds will </w:t>
      </w:r>
      <w:r w:rsidR="00DE24D1">
        <w:t xml:space="preserve">form real </w:t>
      </w:r>
      <w:r w:rsidR="00157872">
        <w:t>crystals</w:t>
      </w:r>
      <w:r w:rsidR="00DE24D1">
        <w:t>. This feature will become apparent later in the manuscript</w:t>
      </w:r>
      <w:r w:rsidR="001412E1">
        <w:t xml:space="preserve"> when the concept of phantom nucleation is described</w:t>
      </w:r>
      <w:r w:rsidR="00DE24D1">
        <w:t>.</w:t>
      </w:r>
    </w:p>
    <w:p w14:paraId="60AE968D" w14:textId="188F1676" w:rsidR="00DC177E" w:rsidRDefault="00DC177E" w:rsidP="00591E3D">
      <w:pPr>
        <w:pStyle w:val="Newparagraph"/>
      </w:pPr>
      <w:r>
        <w:t xml:space="preserve">Application of various PDFs are cited in literature, typically </w:t>
      </w:r>
      <w:r w:rsidR="00591E3D">
        <w:t xml:space="preserve">either </w:t>
      </w:r>
      <w:r>
        <w:t xml:space="preserve">Gaussian or log-normal </w:t>
      </w:r>
      <w:r>
        <w:fldChar w:fldCharType="begin" w:fldLock="1"/>
      </w:r>
      <w:r w:rsidR="0013413C">
        <w:instrText>ADDIN CSL_CITATION { "citationItems" : [ { "id" : "ITEM-1", "itemData" : { "author" : [ { "dropping-particle" : "", "family" : "Dantzig", "given" : "J. A.", "non-dropping-particle" : "", "parse-names" : false, "suffix" : "" }, { "dropping-particle" : "", "family" : "Rappaz", "given" : "M.", "non-dropping-particle" : "", "parse-names" : false, "suffix" : "" } ], "edition" : "1st", "id" : "ITEM-1", "issued" : { "date-parts" : [ [ "2009" ] ] }, "publisher" : "EPFL Press", "publisher-place" : "Lausanne", "title" : "Solidification", "type" : "book" }, "uris" : [ "http://www.mendeley.com/documents/?uuid=fa09578c-3b61-46a0-8893-6c9e5961dca5" ] } ], "mendeley" : { "formattedCitation" : "[7]", "plainTextFormattedCitation" : "[7]", "previouslyFormattedCitation" : "[7]" }, "properties" : {  }, "schema" : "https://github.com/citation-style-language/schema/raw/master/csl-citation.json" }</w:instrText>
      </w:r>
      <w:r>
        <w:fldChar w:fldCharType="separate"/>
      </w:r>
      <w:r w:rsidR="00255CDA" w:rsidRPr="00255CDA">
        <w:rPr>
          <w:noProof/>
        </w:rPr>
        <w:t>[7]</w:t>
      </w:r>
      <w:r>
        <w:fldChar w:fldCharType="end"/>
      </w:r>
      <w:r w:rsidR="006E7A55">
        <w:t xml:space="preserve">. </w:t>
      </w:r>
      <w:r w:rsidR="00DE24D1">
        <w:t>P</w:t>
      </w:r>
      <w:r w:rsidR="006E7A55">
        <w:t xml:space="preserve">roviding </w:t>
      </w:r>
      <w:r>
        <w:t xml:space="preserve">an improved physical explanation, Greer assumed a log-normal distribution for particle size and showed that a PDF may be developed after application of eq. (1) (see </w:t>
      </w:r>
      <w:r w:rsidR="007166AD">
        <w:t>reference</w:t>
      </w:r>
      <w:r w:rsidR="002F5A1F">
        <w:t xml:space="preserve"> </w:t>
      </w:r>
      <w:r>
        <w:fldChar w:fldCharType="begin" w:fldLock="1"/>
      </w:r>
      <w:r w:rsidR="0013413C">
        <w:instrText>ADDIN CSL_CITATION { "citationItems" : [ { "id" : "ITEM-1", "itemData" : { "DOI" : "10.1016/j.actamat.2005.06.018", "abstract" : "Control of as-cast grain size is important for aluminium alloys and is achieved by inoculation. The usual analysis of grain refining (based on recalescence in small test samples) is not applicable for larger melts showing directional solidification. For the latter case, the factors controlling grain-refining efficiency (the fraction of inoculant particles initiating grains) are explored. It is suggested that the major factor limiting the efficiency is impingement of growing grains on inoculant particles. Predictions are made for the variation of grain size with refiner addition level, solute content in the melt and cooling rate. The grain size is predicted to be independent of solidification velocity or thermal gradient at a given cooling rate. The analysis is also applied to the columnar-to-equiaxed transition; there is no characteristic equiaxed grain size associated with this transition. \u00a9 2005 Acta Materialia Inc. Published by Elsevier Ltd. All rights reserved.", "author" : [ { "dropping-particle" : "", "family" : "Quested", "given" : "T.E.", "non-dropping-particle" : "", "parse-names" : false, "suffix" : "" }, { "dropping-particle" : "", "family" : "Greer", "given" : "A.L.", "non-dropping-particle" : "", "parse-names" : false, "suffix" : "" } ], "container-title" : "Acta Materialia", "id" : "ITEM-1", "issue" : "17", "issued" : { "date-parts" : [ [ "2005" ] ] }, "title" : "Grain refinement of Al alloys: Mechanisms determining as-cast grain size in directional solidification", "type" : "article-journal", "volume" : "53" }, "uris" : [ "http://www.mendeley.com/documents/?uuid=13915fcd-19ad-38cb-92e6-db23e450fd94" ] } ], "mendeley" : { "formattedCitation" : "[10]", "plainTextFormattedCitation" : "[10]", "previouslyFormattedCitation" : "[10]" }, "properties" : {  }, "schema" : "https://github.com/citation-style-language/schema/raw/master/csl-citation.json" }</w:instrText>
      </w:r>
      <w:r>
        <w:fldChar w:fldCharType="separate"/>
      </w:r>
      <w:r w:rsidRPr="00125AFB">
        <w:rPr>
          <w:noProof/>
        </w:rPr>
        <w:t>[10]</w:t>
      </w:r>
      <w:r>
        <w:fldChar w:fldCharType="end"/>
      </w:r>
      <w:r>
        <w:t xml:space="preserve">). For the purposes of demonstration, we assume a Gaussian distribution, </w:t>
      </w:r>
      <m:oMath>
        <m:sSub>
          <m:sSubPr>
            <m:ctrlPr>
              <w:rPr>
                <w:rFonts w:ascii="Cambria Math" w:hAnsi="Cambria Math"/>
                <w:i/>
              </w:rPr>
            </m:ctrlPr>
          </m:sSubPr>
          <m:e>
            <m:r>
              <w:rPr>
                <w:rFonts w:ascii="Cambria Math" w:hAnsi="Cambria Math"/>
              </w:rPr>
              <m:t>p</m:t>
            </m:r>
          </m:e>
          <m:sub>
            <m:r>
              <w:rPr>
                <w:rFonts w:ascii="Cambria Math" w:hAnsi="Cambria Math"/>
              </w:rPr>
              <m:t>Gauss.</m:t>
            </m:r>
          </m:sub>
        </m:sSub>
        <m:d>
          <m:dPr>
            <m:ctrlPr>
              <w:rPr>
                <w:rFonts w:ascii="Cambria Math" w:hAnsi="Cambria Math"/>
                <w:i/>
              </w:rPr>
            </m:ctrlPr>
          </m:dPr>
          <m:e>
            <m:r>
              <w:rPr>
                <w:rFonts w:ascii="Cambria Math" w:hAnsi="Cambria Math"/>
              </w:rPr>
              <m:t>∆T</m:t>
            </m:r>
          </m:e>
        </m:d>
      </m:oMath>
      <w:r>
        <w:t>, where the progenitor function is given as</w:t>
      </w:r>
      <w:r w:rsidR="006E7A55">
        <w:t>,</w:t>
      </w:r>
      <w:r>
        <w:t xml:space="preserve"> </w:t>
      </w:r>
    </w:p>
    <w:tbl>
      <w:tblPr>
        <w:tblStyle w:val="TableGrid"/>
        <w:tblW w:w="0" w:type="auto"/>
        <w:jc w:val="center"/>
        <w:tblLook w:val="04A0" w:firstRow="1" w:lastRow="0" w:firstColumn="1" w:lastColumn="0" w:noHBand="0" w:noVBand="1"/>
      </w:tblPr>
      <w:tblGrid>
        <w:gridCol w:w="7905"/>
        <w:gridCol w:w="810"/>
      </w:tblGrid>
      <w:tr w:rsidR="00DC177E" w14:paraId="2BB3ECC1" w14:textId="77777777" w:rsidTr="0097592C">
        <w:trPr>
          <w:jc w:val="center"/>
        </w:trPr>
        <w:tc>
          <w:tcPr>
            <w:tcW w:w="7905" w:type="dxa"/>
            <w:tcBorders>
              <w:top w:val="nil"/>
              <w:left w:val="nil"/>
              <w:bottom w:val="nil"/>
              <w:right w:val="nil"/>
            </w:tcBorders>
            <w:vAlign w:val="center"/>
          </w:tcPr>
          <w:p w14:paraId="24D27CF6" w14:textId="102BAD8A" w:rsidR="00DC177E" w:rsidRDefault="008F6ACD" w:rsidP="0097592C">
            <w:pPr>
              <w:pStyle w:val="Newparagraph"/>
              <w:ind w:firstLine="0"/>
              <w:contextualSpacing/>
              <w:jc w:val="center"/>
            </w:pPr>
            <m:oMathPara>
              <m:oMath>
                <m:m>
                  <m:mPr>
                    <m:mcs>
                      <m:mc>
                        <m:mcPr>
                          <m:count m:val="2"/>
                          <m:mcJc m:val="center"/>
                        </m:mcPr>
                      </m:mc>
                    </m:mcs>
                    <m:ctrlPr>
                      <w:rPr>
                        <w:rFonts w:ascii="Cambria Math" w:hAnsi="Cambria Math"/>
                        <w:i/>
                      </w:rPr>
                    </m:ctrlPr>
                  </m:mPr>
                  <m:mr>
                    <m:e>
                      <m:f>
                        <m:fPr>
                          <m:ctrlPr>
                            <w:rPr>
                              <w:rFonts w:ascii="Cambria Math" w:hAnsi="Cambria Math"/>
                            </w:rPr>
                          </m:ctrlPr>
                        </m:fPr>
                        <m:num>
                          <m:r>
                            <w:rPr>
                              <w:rFonts w:ascii="Cambria Math" w:hAnsi="Cambria Math"/>
                            </w:rPr>
                            <m:t>dN</m:t>
                          </m:r>
                        </m:num>
                        <m:den>
                          <m:r>
                            <w:rPr>
                              <w:rFonts w:ascii="Cambria Math" w:hAnsi="Cambria Math"/>
                            </w:rPr>
                            <m:t>d</m:t>
                          </m:r>
                          <m:d>
                            <m:dPr>
                              <m:ctrlPr>
                                <w:rPr>
                                  <w:rFonts w:ascii="Cambria Math" w:hAnsi="Cambria Math"/>
                                </w:rPr>
                              </m:ctrlPr>
                            </m:dPr>
                            <m:e>
                              <m:r>
                                <m:rPr>
                                  <m:sty m:val="p"/>
                                </m:rPr>
                                <w:rPr>
                                  <w:rFonts w:ascii="Cambria Math" w:hAnsi="Cambria Math"/>
                                </w:rPr>
                                <m:t>∆</m:t>
                              </m:r>
                              <m:r>
                                <w:rPr>
                                  <w:rFonts w:ascii="Cambria Math" w:hAnsi="Cambria Math"/>
                                </w:rPr>
                                <m:t>T</m:t>
                              </m:r>
                            </m:e>
                          </m:d>
                        </m:den>
                      </m:f>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o</m:t>
                          </m:r>
                        </m:sub>
                      </m:sSub>
                      <m:sSub>
                        <m:sSubPr>
                          <m:ctrlPr>
                            <w:rPr>
                              <w:rFonts w:ascii="Cambria Math" w:hAnsi="Cambria Math"/>
                              <w:i/>
                            </w:rPr>
                          </m:ctrlPr>
                        </m:sSubPr>
                        <m:e>
                          <m:r>
                            <w:rPr>
                              <w:rFonts w:ascii="Cambria Math" w:hAnsi="Cambria Math"/>
                            </w:rPr>
                            <m:t>p</m:t>
                          </m:r>
                        </m:e>
                        <m:sub>
                          <m:r>
                            <w:rPr>
                              <w:rFonts w:ascii="Cambria Math" w:hAnsi="Cambria Math"/>
                            </w:rPr>
                            <m:t>Gauss.</m:t>
                          </m:r>
                        </m:sub>
                      </m:sSub>
                      <m:d>
                        <m:dPr>
                          <m:ctrlPr>
                            <w:rPr>
                              <w:rFonts w:ascii="Cambria Math" w:hAnsi="Cambria Math"/>
                              <w:i/>
                            </w:rPr>
                          </m:ctrlPr>
                        </m:dPr>
                        <m:e>
                          <m:r>
                            <w:rPr>
                              <w:rFonts w:ascii="Cambria Math" w:hAnsi="Cambria Math"/>
                            </w:rPr>
                            <m:t>∆T</m:t>
                          </m:r>
                        </m:e>
                      </m:d>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N</m:t>
                              </m:r>
                            </m:e>
                            <m:sub>
                              <m:r>
                                <w:rPr>
                                  <w:rFonts w:ascii="Cambria Math" w:hAnsi="Cambria Math"/>
                                </w:rPr>
                                <m:t>o</m:t>
                              </m:r>
                            </m:sub>
                          </m:sSub>
                        </m:num>
                        <m:den>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σ</m:t>
                              </m:r>
                            </m:sub>
                          </m:sSub>
                          <m:rad>
                            <m:radPr>
                              <m:degHide m:val="1"/>
                              <m:ctrlPr>
                                <w:rPr>
                                  <w:rFonts w:ascii="Cambria Math" w:hAnsi="Cambria Math"/>
                                </w:rPr>
                              </m:ctrlPr>
                            </m:radPr>
                            <m:deg/>
                            <m:e>
                              <m:r>
                                <m:rPr>
                                  <m:sty m:val="p"/>
                                </m:rPr>
                                <w:rPr>
                                  <w:rFonts w:ascii="Cambria Math" w:hAnsi="Cambria Math"/>
                                </w:rPr>
                                <m:t>2</m:t>
                              </m:r>
                              <m:r>
                                <w:rPr>
                                  <w:rFonts w:ascii="Cambria Math" w:hAnsi="Cambria Math"/>
                                </w:rPr>
                                <m:t>π</m:t>
                              </m:r>
                            </m:e>
                          </m:rad>
                        </m:den>
                      </m:f>
                      <m:r>
                        <w:rPr>
                          <w:rFonts w:ascii="Cambria Math" w:hAnsi="Cambria Math"/>
                        </w:rPr>
                        <m:t>exp</m:t>
                      </m:r>
                      <m:d>
                        <m:dPr>
                          <m:begChr m:val="["/>
                          <m:endChr m:val="]"/>
                          <m:ctrlPr>
                            <w:rPr>
                              <w:rFonts w:ascii="Cambria Math" w:hAnsi="Cambria Math"/>
                            </w:rPr>
                          </m:ctrlPr>
                        </m:dPr>
                        <m:e>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sSup>
                            <m:sSupPr>
                              <m:ctrlPr>
                                <w:rPr>
                                  <w:rFonts w:ascii="Cambria Math" w:hAnsi="Cambria Math"/>
                                </w:rPr>
                              </m:ctrlPr>
                            </m:sSupPr>
                            <m:e>
                              <m:d>
                                <m:dPr>
                                  <m:ctrlPr>
                                    <w:rPr>
                                      <w:rFonts w:ascii="Cambria Math" w:hAnsi="Cambria Math"/>
                                    </w:rPr>
                                  </m:ctrlPr>
                                </m:dPr>
                                <m:e>
                                  <m:f>
                                    <m:fPr>
                                      <m:ctrlPr>
                                        <w:rPr>
                                          <w:rFonts w:ascii="Cambria Math" w:hAnsi="Cambria Math"/>
                                        </w:rPr>
                                      </m:ctrlPr>
                                    </m:fPr>
                                    <m:num>
                                      <m:r>
                                        <m:rPr>
                                          <m:sty m:val="p"/>
                                        </m:rPr>
                                        <w:rPr>
                                          <w:rFonts w:ascii="Cambria Math" w:hAnsi="Cambria Math"/>
                                        </w:rPr>
                                        <m:t>∆</m:t>
                                      </m:r>
                                      <m:r>
                                        <w:rPr>
                                          <w:rFonts w:ascii="Cambria Math" w:hAnsi="Cambria Math"/>
                                        </w:rPr>
                                        <m:t>T</m:t>
                                      </m:r>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o</m:t>
                                          </m:r>
                                        </m:sub>
                                      </m:sSub>
                                    </m:num>
                                    <m:den>
                                      <m:sSub>
                                        <m:sSubPr>
                                          <m:ctrlPr>
                                            <w:rPr>
                                              <w:rFonts w:ascii="Cambria Math" w:hAnsi="Cambria Math"/>
                                            </w:rPr>
                                          </m:ctrlPr>
                                        </m:sSubPr>
                                        <m:e>
                                          <m:r>
                                            <m:rPr>
                                              <m:sty m:val="p"/>
                                            </m:rPr>
                                            <w:rPr>
                                              <w:rFonts w:ascii="Cambria Math" w:hAnsi="Cambria Math"/>
                                            </w:rPr>
                                            <m:t>∆</m:t>
                                          </m:r>
                                          <m:r>
                                            <w:rPr>
                                              <w:rFonts w:ascii="Cambria Math" w:hAnsi="Cambria Math"/>
                                            </w:rPr>
                                            <m:t>T</m:t>
                                          </m:r>
                                        </m:e>
                                        <m:sub>
                                          <m:r>
                                            <w:rPr>
                                              <w:rFonts w:ascii="Cambria Math" w:hAnsi="Cambria Math"/>
                                            </w:rPr>
                                            <m:t>σ</m:t>
                                          </m:r>
                                        </m:sub>
                                      </m:sSub>
                                    </m:den>
                                  </m:f>
                                </m:e>
                              </m:d>
                            </m:e>
                            <m:sup>
                              <m:r>
                                <m:rPr>
                                  <m:sty m:val="p"/>
                                </m:rPr>
                                <w:rPr>
                                  <w:rFonts w:ascii="Cambria Math" w:hAnsi="Cambria Math"/>
                                </w:rPr>
                                <m:t>2</m:t>
                              </m:r>
                            </m:sup>
                          </m:sSup>
                        </m:e>
                      </m:d>
                    </m:e>
                    <m:e>
                      <m:r>
                        <w:rPr>
                          <w:rFonts w:ascii="Cambria Math" w:hAnsi="Cambria Math"/>
                        </w:rPr>
                        <m:t>,</m:t>
                      </m:r>
                    </m:e>
                  </m:mr>
                </m:m>
              </m:oMath>
            </m:oMathPara>
          </w:p>
        </w:tc>
        <w:tc>
          <w:tcPr>
            <w:tcW w:w="810" w:type="dxa"/>
            <w:tcBorders>
              <w:top w:val="nil"/>
              <w:left w:val="nil"/>
              <w:bottom w:val="nil"/>
              <w:right w:val="nil"/>
            </w:tcBorders>
            <w:vAlign w:val="center"/>
          </w:tcPr>
          <w:p w14:paraId="3A10A5C3" w14:textId="77777777" w:rsidR="00DC177E" w:rsidRDefault="00DC177E" w:rsidP="0097592C">
            <w:pPr>
              <w:pStyle w:val="Newparagraph"/>
              <w:ind w:firstLine="0"/>
              <w:contextualSpacing/>
              <w:jc w:val="center"/>
            </w:pPr>
            <w:bookmarkStart w:id="4" w:name="dNdDeltaT"/>
            <w:r>
              <w:t>(</w:t>
            </w:r>
            <w:fldSimple w:instr=" SEQ Eqn \* MERGEFORMAT ">
              <w:r w:rsidR="002637FB">
                <w:rPr>
                  <w:noProof/>
                </w:rPr>
                <w:t>3</w:t>
              </w:r>
            </w:fldSimple>
            <w:r>
              <w:t>)</w:t>
            </w:r>
            <w:bookmarkEnd w:id="4"/>
          </w:p>
        </w:tc>
      </w:tr>
    </w:tbl>
    <w:p w14:paraId="618A53F2" w14:textId="231C942C" w:rsidR="00DC177E" w:rsidRDefault="006E7A55" w:rsidP="006E7A55">
      <w:pPr>
        <w:pStyle w:val="Newparagraph"/>
        <w:ind w:firstLine="0"/>
      </w:pPr>
      <w:r>
        <w:t>wh</w:t>
      </w:r>
      <w:r w:rsidR="00DC177E">
        <w:t xml:space="preserve">ere </w:t>
      </w:r>
      <w:r w:rsidR="00DC177E" w:rsidRPr="009913A4">
        <w:sym w:font="Symbol" w:char="F044"/>
      </w:r>
      <w:r w:rsidR="00DC177E" w:rsidRPr="007B258B">
        <w:rPr>
          <w:i/>
        </w:rPr>
        <w:t>T</w:t>
      </w:r>
      <w:r w:rsidR="00DC177E">
        <w:rPr>
          <w:i/>
          <w:vertAlign w:val="subscript"/>
        </w:rPr>
        <w:t>o</w:t>
      </w:r>
      <w:r w:rsidR="00DC177E">
        <w:t xml:space="preserve"> is the overall average nucleation undercooling for all potential seeds and </w:t>
      </w:r>
      <w:r w:rsidR="00DC177E" w:rsidRPr="009913A4">
        <w:sym w:font="Symbol" w:char="F044"/>
      </w:r>
      <w:r w:rsidR="00DC177E" w:rsidRPr="007B258B">
        <w:rPr>
          <w:i/>
        </w:rPr>
        <w:t>T</w:t>
      </w:r>
      <w:r w:rsidR="00DC177E">
        <w:rPr>
          <w:i/>
          <w:vertAlign w:val="subscript"/>
        </w:rPr>
        <w:sym w:font="Symbol" w:char="F073"/>
      </w:r>
      <w:r w:rsidR="00DC177E">
        <w:t xml:space="preserve"> is the standard deviation. Hence, assuming a normal distribution, the overall condition of the inoculant particles is described b</w:t>
      </w:r>
      <w:r>
        <w:t xml:space="preserve">y three statistical parameters, </w:t>
      </w:r>
      <m:oMath>
        <m:sSub>
          <m:sSubPr>
            <m:ctrlPr>
              <w:rPr>
                <w:rFonts w:ascii="Cambria Math" w:hAnsi="Cambria Math"/>
              </w:rPr>
            </m:ctrlPr>
          </m:sSubPr>
          <m:e>
            <m:r>
              <w:rPr>
                <w:rFonts w:ascii="Cambria Math" w:hAnsi="Cambria Math"/>
              </w:rPr>
              <m:t>N</m:t>
            </m:r>
          </m:e>
          <m:sub>
            <m:r>
              <w:rPr>
                <w:rFonts w:ascii="Cambria Math" w:hAnsi="Cambria Math"/>
              </w:rPr>
              <m:t>o</m:t>
            </m:r>
          </m:sub>
        </m:sSub>
      </m:oMath>
      <w:r w:rsidR="00DC177E">
        <w:t xml:space="preserve">, </w:t>
      </w:r>
      <w:r w:rsidR="00DC177E" w:rsidRPr="009913A4">
        <w:sym w:font="Symbol" w:char="F044"/>
      </w:r>
      <w:r w:rsidR="00DC177E" w:rsidRPr="007B258B">
        <w:rPr>
          <w:i/>
        </w:rPr>
        <w:t>T</w:t>
      </w:r>
      <w:r w:rsidR="00DC177E">
        <w:rPr>
          <w:i/>
          <w:vertAlign w:val="subscript"/>
        </w:rPr>
        <w:t>o</w:t>
      </w:r>
      <w:r w:rsidR="00DC177E" w:rsidRPr="00764010">
        <w:t xml:space="preserve">, and </w:t>
      </w:r>
      <w:r w:rsidR="00DC177E" w:rsidRPr="009913A4">
        <w:sym w:font="Symbol" w:char="F044"/>
      </w:r>
      <w:r w:rsidR="00DC177E" w:rsidRPr="007B258B">
        <w:rPr>
          <w:i/>
        </w:rPr>
        <w:t>T</w:t>
      </w:r>
      <w:r w:rsidR="00DC177E">
        <w:rPr>
          <w:i/>
          <w:vertAlign w:val="subscript"/>
        </w:rPr>
        <w:sym w:font="Symbol" w:char="F073"/>
      </w:r>
      <w:r w:rsidR="00DC177E">
        <w:t xml:space="preserve">. </w:t>
      </w:r>
      <w:r w:rsidRPr="006E7A55">
        <w:fldChar w:fldCharType="begin"/>
      </w:r>
      <w:r w:rsidRPr="006E7A55">
        <w:instrText xml:space="preserve"> REF _Ref496181559 \h </w:instrText>
      </w:r>
      <w:r>
        <w:instrText xml:space="preserve"> \* MERGEFORMAT </w:instrText>
      </w:r>
      <w:r w:rsidRPr="006E7A55">
        <w:fldChar w:fldCharType="separate"/>
      </w:r>
      <w:r w:rsidR="002637FB" w:rsidRPr="002637FB">
        <w:t>Figure 1</w:t>
      </w:r>
      <w:r w:rsidRPr="006E7A55">
        <w:fldChar w:fldCharType="end"/>
      </w:r>
      <w:r w:rsidRPr="006E7A55">
        <w:t xml:space="preserve"> </w:t>
      </w:r>
      <w:r w:rsidR="00DC177E" w:rsidRPr="006E7A55">
        <w:t xml:space="preserve">shows </w:t>
      </w:r>
      <w:r w:rsidR="00DC177E">
        <w:t>a typical progenit</w:t>
      </w:r>
      <w:r w:rsidR="00142FFF">
        <w:t xml:space="preserve">or </w:t>
      </w:r>
      <w:r w:rsidR="00024A8E">
        <w:t xml:space="preserve">function </w:t>
      </w:r>
      <w:r w:rsidR="00142FFF">
        <w:t xml:space="preserve">plotted against undercooling (where </w:t>
      </w:r>
      <w:r w:rsidR="00142FFF" w:rsidRPr="00142FFF">
        <w:rPr>
          <w:i/>
        </w:rPr>
        <w:t>N</w:t>
      </w:r>
      <w:r w:rsidR="00142FFF">
        <w:rPr>
          <w:i/>
          <w:vertAlign w:val="subscript"/>
        </w:rPr>
        <w:t>o</w:t>
      </w:r>
      <w:r w:rsidR="00142FFF" w:rsidRPr="00142FFF">
        <w:rPr>
          <w:i/>
        </w:rPr>
        <w:t>=</w:t>
      </w:r>
      <w:r w:rsidR="00142FFF">
        <w:t>1×10</w:t>
      </w:r>
      <w:r w:rsidR="00142FFF" w:rsidRPr="00142FFF">
        <w:rPr>
          <w:vertAlign w:val="superscript"/>
        </w:rPr>
        <w:t>10</w:t>
      </w:r>
      <w:r w:rsidR="00142FFF">
        <w:rPr>
          <w:vertAlign w:val="superscript"/>
        </w:rPr>
        <w:t xml:space="preserve"> </w:t>
      </w:r>
      <w:r w:rsidR="00142FFF">
        <w:t>m</w:t>
      </w:r>
      <w:r w:rsidR="00142FFF" w:rsidRPr="00142FFF">
        <w:rPr>
          <w:vertAlign w:val="superscript"/>
        </w:rPr>
        <w:t>˗3</w:t>
      </w:r>
      <w:r w:rsidR="00142FFF">
        <w:t xml:space="preserve">, </w:t>
      </w:r>
      <w:r w:rsidR="00142FFF" w:rsidRPr="009913A4">
        <w:sym w:font="Symbol" w:char="F044"/>
      </w:r>
      <w:r w:rsidR="00142FFF" w:rsidRPr="007B258B">
        <w:rPr>
          <w:i/>
        </w:rPr>
        <w:t>T</w:t>
      </w:r>
      <w:r w:rsidR="00142FFF">
        <w:rPr>
          <w:i/>
          <w:vertAlign w:val="subscript"/>
        </w:rPr>
        <w:t>o</w:t>
      </w:r>
      <w:r w:rsidR="00142FFF">
        <w:t xml:space="preserve">=8 K </w:t>
      </w:r>
      <w:r w:rsidR="00142FFF" w:rsidRPr="00764010">
        <w:t xml:space="preserve">and </w:t>
      </w:r>
      <w:r w:rsidR="00142FFF" w:rsidRPr="009913A4">
        <w:sym w:font="Symbol" w:char="F044"/>
      </w:r>
      <w:r w:rsidR="00142FFF" w:rsidRPr="007B258B">
        <w:rPr>
          <w:i/>
        </w:rPr>
        <w:t>T</w:t>
      </w:r>
      <w:r w:rsidR="00142FFF">
        <w:rPr>
          <w:i/>
          <w:vertAlign w:val="subscript"/>
        </w:rPr>
        <w:sym w:font="Symbol" w:char="F073"/>
      </w:r>
      <w:r w:rsidR="00DE24D1">
        <w:rPr>
          <w:i/>
          <w:vertAlign w:val="subscript"/>
        </w:rPr>
        <w:t xml:space="preserve"> </w:t>
      </w:r>
      <w:r w:rsidR="00142FFF">
        <w:t>=1 K).</w:t>
      </w:r>
    </w:p>
    <w:p w14:paraId="1A8470D8" w14:textId="1A6D1263" w:rsidR="00B6744F" w:rsidRDefault="00B6744F" w:rsidP="00B6744F">
      <w:pPr>
        <w:pStyle w:val="Newparagraph"/>
      </w:pPr>
      <w:r>
        <w:t xml:space="preserve">A co-ordinate transformation is applied to change the progenitor </w:t>
      </w:r>
      <w:r w:rsidR="00024A8E">
        <w:t xml:space="preserve">function </w:t>
      </w:r>
      <w:r>
        <w:t xml:space="preserve">from the undercooling domain, </w:t>
      </w:r>
      <w:r w:rsidRPr="009913A4">
        <w:sym w:font="Symbol" w:char="F044"/>
      </w:r>
      <w:r w:rsidRPr="007B258B">
        <w:rPr>
          <w:i/>
        </w:rPr>
        <w:t>T</w:t>
      </w:r>
      <w:r>
        <w:t xml:space="preserve">, to the time domain, </w:t>
      </w:r>
      <w:r>
        <w:rPr>
          <w:i/>
        </w:rPr>
        <w:t>t</w:t>
      </w:r>
      <w:r>
        <w:t xml:space="preserve">. This transformation is achieved by multiplying equation </w:t>
      </w:r>
      <w:r>
        <w:fldChar w:fldCharType="begin"/>
      </w:r>
      <w:r>
        <w:instrText xml:space="preserve"> REF dNdDeltaT \h </w:instrText>
      </w:r>
      <w:r>
        <w:fldChar w:fldCharType="separate"/>
      </w:r>
      <w:r w:rsidR="002637FB">
        <w:t>(</w:t>
      </w:r>
      <w:r w:rsidR="002637FB">
        <w:rPr>
          <w:noProof/>
        </w:rPr>
        <w:t>3</w:t>
      </w:r>
      <w:r w:rsidR="002637FB">
        <w:t>)</w:t>
      </w:r>
      <w:r>
        <w:fldChar w:fldCharType="end"/>
      </w:r>
      <w:r>
        <w:t xml:space="preserve"> by the instantaneous time rate of change of temperature </w:t>
      </w:r>
      <m:oMath>
        <m:acc>
          <m:accPr>
            <m:chr m:val="̇"/>
            <m:ctrlPr>
              <w:rPr>
                <w:rFonts w:ascii="Cambria Math" w:hAnsi="Cambria Math"/>
              </w:rPr>
            </m:ctrlPr>
          </m:accPr>
          <m:e>
            <m:r>
              <w:rPr>
                <w:rFonts w:ascii="Cambria Math" w:hAnsi="Cambria Math"/>
              </w:rPr>
              <m:t>T</m:t>
            </m:r>
          </m:e>
        </m:acc>
      </m:oMath>
      <w:r>
        <w:t xml:space="preserve"> or,</w:t>
      </w:r>
    </w:p>
    <w:tbl>
      <w:tblPr>
        <w:tblStyle w:val="TableGrid"/>
        <w:tblW w:w="0" w:type="auto"/>
        <w:jc w:val="center"/>
        <w:tblLook w:val="04A0" w:firstRow="1" w:lastRow="0" w:firstColumn="1" w:lastColumn="0" w:noHBand="0" w:noVBand="1"/>
      </w:tblPr>
      <w:tblGrid>
        <w:gridCol w:w="7905"/>
        <w:gridCol w:w="810"/>
      </w:tblGrid>
      <w:tr w:rsidR="00B6744F" w14:paraId="2CA367BF" w14:textId="77777777" w:rsidTr="00B61CE4">
        <w:trPr>
          <w:jc w:val="center"/>
        </w:trPr>
        <w:tc>
          <w:tcPr>
            <w:tcW w:w="7905" w:type="dxa"/>
            <w:tcBorders>
              <w:top w:val="nil"/>
              <w:left w:val="nil"/>
              <w:bottom w:val="nil"/>
              <w:right w:val="nil"/>
            </w:tcBorders>
            <w:vAlign w:val="center"/>
          </w:tcPr>
          <w:p w14:paraId="65E9CA42" w14:textId="1C2FC118" w:rsidR="00B6744F" w:rsidRDefault="008F6ACD" w:rsidP="004F2109">
            <w:pPr>
              <w:pStyle w:val="Newparagraph"/>
              <w:ind w:firstLine="0"/>
              <w:contextualSpacing/>
              <w:jc w:val="center"/>
            </w:pPr>
            <m:oMathPara>
              <m:oMath>
                <m:acc>
                  <m:accPr>
                    <m:chr m:val="̇"/>
                    <m:ctrlPr>
                      <w:rPr>
                        <w:rFonts w:ascii="Cambria Math" w:hAnsi="Cambria Math"/>
                      </w:rPr>
                    </m:ctrlPr>
                  </m:accPr>
                  <m:e>
                    <m:r>
                      <w:rPr>
                        <w:rFonts w:ascii="Cambria Math" w:hAnsi="Cambria Math"/>
                      </w:rPr>
                      <m:t>N</m:t>
                    </m:r>
                  </m:e>
                </m:acc>
                <m:d>
                  <m:dPr>
                    <m:ctrlPr>
                      <w:rPr>
                        <w:rFonts w:ascii="Cambria Math" w:hAnsi="Cambria Math"/>
                      </w:rPr>
                    </m:ctrlPr>
                  </m:dPr>
                  <m:e>
                    <m:r>
                      <w:rPr>
                        <w:rFonts w:ascii="Cambria Math" w:hAnsi="Cambria Math"/>
                      </w:rPr>
                      <m:t>t</m:t>
                    </m:r>
                  </m:e>
                </m:d>
                <m:r>
                  <w:rPr>
                    <w:rFonts w:ascii="Cambria Math" w:hAnsi="Cambria Math"/>
                  </w:rPr>
                  <m:t>=</m:t>
                </m:r>
                <m:m>
                  <m:mPr>
                    <m:mcs>
                      <m:mc>
                        <m:mcPr>
                          <m:count m:val="2"/>
                          <m:mcJc m:val="center"/>
                        </m:mcPr>
                      </m:mc>
                    </m:mcs>
                    <m:ctrlPr>
                      <w:rPr>
                        <w:rFonts w:ascii="Cambria Math" w:hAnsi="Cambria Math"/>
                        <w:i/>
                      </w:rPr>
                    </m:ctrlPr>
                  </m:mPr>
                  <m:mr>
                    <m:e>
                      <m:f>
                        <m:fPr>
                          <m:ctrlPr>
                            <w:rPr>
                              <w:rFonts w:ascii="Cambria Math" w:hAnsi="Cambria Math"/>
                              <w:i/>
                            </w:rPr>
                          </m:ctrlPr>
                        </m:fPr>
                        <m:num>
                          <m:r>
                            <w:rPr>
                              <w:rFonts w:ascii="Cambria Math" w:hAnsi="Cambria Math"/>
                            </w:rPr>
                            <m:t>dN</m:t>
                          </m:r>
                          <m:d>
                            <m:dPr>
                              <m:ctrlPr>
                                <w:rPr>
                                  <w:rFonts w:ascii="Cambria Math" w:hAnsi="Cambria Math"/>
                                </w:rPr>
                              </m:ctrlPr>
                            </m:dPr>
                            <m:e>
                              <m:r>
                                <w:rPr>
                                  <w:rFonts w:ascii="Cambria Math" w:hAnsi="Cambria Math"/>
                                </w:rPr>
                                <m:t>t</m:t>
                              </m:r>
                            </m:e>
                          </m:d>
                        </m:num>
                        <m:den>
                          <m:r>
                            <w:rPr>
                              <w:rFonts w:ascii="Cambria Math" w:hAnsi="Cambria Math"/>
                            </w:rPr>
                            <m:t>dt</m:t>
                          </m:r>
                        </m:den>
                      </m:f>
                      <m:r>
                        <m:rPr>
                          <m:sty m:val="p"/>
                        </m:rPr>
                        <w:rPr>
                          <w:rFonts w:ascii="Cambria Math" w:hAnsi="Cambria Math"/>
                        </w:rPr>
                        <m:t>=</m:t>
                      </m:r>
                      <m:f>
                        <m:fPr>
                          <m:ctrlPr>
                            <w:rPr>
                              <w:rFonts w:ascii="Cambria Math" w:hAnsi="Cambria Math"/>
                            </w:rPr>
                          </m:ctrlPr>
                        </m:fPr>
                        <m:num>
                          <m:r>
                            <w:rPr>
                              <w:rFonts w:ascii="Cambria Math" w:hAnsi="Cambria Math"/>
                            </w:rPr>
                            <m:t>dN</m:t>
                          </m:r>
                        </m:num>
                        <m:den>
                          <m:r>
                            <w:rPr>
                              <w:rFonts w:ascii="Cambria Math" w:hAnsi="Cambria Math"/>
                            </w:rPr>
                            <m:t>d</m:t>
                          </m:r>
                          <m:r>
                            <m:rPr>
                              <m:sty m:val="p"/>
                            </m:rPr>
                            <w:rPr>
                              <w:rFonts w:ascii="Cambria Math" w:hAnsi="Cambria Math"/>
                            </w:rPr>
                            <m:t>(∆</m:t>
                          </m:r>
                          <m:r>
                            <w:rPr>
                              <w:rFonts w:ascii="Cambria Math" w:hAnsi="Cambria Math"/>
                            </w:rPr>
                            <m:t>T</m:t>
                          </m:r>
                          <m:r>
                            <m:rPr>
                              <m:sty m:val="p"/>
                            </m:rPr>
                            <w:rPr>
                              <w:rFonts w:ascii="Cambria Math" w:hAnsi="Cambria Math"/>
                            </w:rPr>
                            <m:t>)</m:t>
                          </m:r>
                        </m:den>
                      </m:f>
                      <m:r>
                        <m:rPr>
                          <m:sty m:val="p"/>
                        </m:rPr>
                        <w:rPr>
                          <w:rFonts w:ascii="Cambria Math" w:hAnsi="Cambria Math"/>
                        </w:rPr>
                        <m:t xml:space="preserve"> </m:t>
                      </m:r>
                      <m:f>
                        <m:fPr>
                          <m:ctrlPr>
                            <w:rPr>
                              <w:rFonts w:ascii="Cambria Math" w:hAnsi="Cambria Math"/>
                            </w:rPr>
                          </m:ctrlPr>
                        </m:fPr>
                        <m:num>
                          <m:r>
                            <w:rPr>
                              <w:rFonts w:ascii="Cambria Math" w:hAnsi="Cambria Math"/>
                            </w:rPr>
                            <m:t>d(</m:t>
                          </m:r>
                          <m:r>
                            <m:rPr>
                              <m:sty m:val="p"/>
                            </m:rPr>
                            <w:rPr>
                              <w:rFonts w:ascii="Cambria Math" w:hAnsi="Cambria Math"/>
                            </w:rPr>
                            <m:t>∆</m:t>
                          </m:r>
                          <m:r>
                            <w:rPr>
                              <w:rFonts w:ascii="Cambria Math" w:hAnsi="Cambria Math"/>
                            </w:rPr>
                            <m:t>T</m:t>
                          </m:r>
                          <m:r>
                            <m:rPr>
                              <m:sty m:val="p"/>
                            </m:rPr>
                            <w:rPr>
                              <w:rFonts w:ascii="Cambria Math" w:hAnsi="Cambria Math"/>
                            </w:rPr>
                            <m:t>)</m:t>
                          </m:r>
                        </m:num>
                        <m:den>
                          <m:r>
                            <w:rPr>
                              <w:rFonts w:ascii="Cambria Math" w:hAnsi="Cambria Math"/>
                            </w:rPr>
                            <m:t>dt</m:t>
                          </m:r>
                        </m:den>
                      </m:f>
                      <m:r>
                        <m:rPr>
                          <m:sty m:val="p"/>
                        </m:rPr>
                        <w:rPr>
                          <w:rFonts w:ascii="Cambria Math" w:hAnsi="Cambria Math"/>
                        </w:rPr>
                        <m:t>=-</m:t>
                      </m:r>
                      <m:acc>
                        <m:accPr>
                          <m:chr m:val="̇"/>
                          <m:ctrlPr>
                            <w:rPr>
                              <w:rFonts w:ascii="Cambria Math" w:hAnsi="Cambria Math"/>
                            </w:rPr>
                          </m:ctrlPr>
                        </m:accPr>
                        <m:e>
                          <m:r>
                            <w:rPr>
                              <w:rFonts w:ascii="Cambria Math" w:hAnsi="Cambria Math"/>
                            </w:rPr>
                            <m:t>T</m:t>
                          </m:r>
                        </m:e>
                      </m:acc>
                      <m:f>
                        <m:fPr>
                          <m:ctrlPr>
                            <w:rPr>
                              <w:rFonts w:ascii="Cambria Math" w:hAnsi="Cambria Math"/>
                            </w:rPr>
                          </m:ctrlPr>
                        </m:fPr>
                        <m:num>
                          <m:r>
                            <w:rPr>
                              <w:rFonts w:ascii="Cambria Math" w:hAnsi="Cambria Math"/>
                            </w:rPr>
                            <m:t>dN</m:t>
                          </m:r>
                        </m:num>
                        <m:den>
                          <m:r>
                            <w:rPr>
                              <w:rFonts w:ascii="Cambria Math" w:hAnsi="Cambria Math"/>
                            </w:rPr>
                            <m:t>d</m:t>
                          </m:r>
                          <m:r>
                            <m:rPr>
                              <m:sty m:val="p"/>
                            </m:rPr>
                            <w:rPr>
                              <w:rFonts w:ascii="Cambria Math" w:hAnsi="Cambria Math"/>
                            </w:rPr>
                            <m:t>(∆</m:t>
                          </m:r>
                          <m:r>
                            <w:rPr>
                              <w:rFonts w:ascii="Cambria Math" w:hAnsi="Cambria Math"/>
                            </w:rPr>
                            <m:t>T</m:t>
                          </m:r>
                          <m:r>
                            <m:rPr>
                              <m:sty m:val="p"/>
                            </m:rPr>
                            <w:rPr>
                              <w:rFonts w:ascii="Cambria Math" w:hAnsi="Cambria Math"/>
                            </w:rPr>
                            <m:t>)</m:t>
                          </m:r>
                        </m:den>
                      </m:f>
                    </m:e>
                    <m:e>
                      <m:r>
                        <w:rPr>
                          <w:rFonts w:ascii="Cambria Math" w:hAnsi="Cambria Math"/>
                        </w:rPr>
                        <m:t>.</m:t>
                      </m:r>
                    </m:e>
                  </m:mr>
                </m:m>
              </m:oMath>
            </m:oMathPara>
          </w:p>
        </w:tc>
        <w:tc>
          <w:tcPr>
            <w:tcW w:w="810" w:type="dxa"/>
            <w:tcBorders>
              <w:top w:val="nil"/>
              <w:left w:val="nil"/>
              <w:bottom w:val="nil"/>
              <w:right w:val="nil"/>
            </w:tcBorders>
            <w:vAlign w:val="center"/>
          </w:tcPr>
          <w:p w14:paraId="5501443B" w14:textId="77777777" w:rsidR="00B6744F" w:rsidRDefault="00B6744F" w:rsidP="00B61CE4">
            <w:pPr>
              <w:pStyle w:val="Newparagraph"/>
              <w:ind w:firstLine="0"/>
              <w:contextualSpacing/>
              <w:jc w:val="center"/>
            </w:pPr>
            <w:bookmarkStart w:id="5" w:name="Ndot_gaussian"/>
            <w:bookmarkStart w:id="6" w:name="Ndot"/>
            <w:r>
              <w:t>(</w:t>
            </w:r>
            <w:fldSimple w:instr=" SEQ Eqn \* MERGEFORMAT ">
              <w:r w:rsidR="002637FB">
                <w:rPr>
                  <w:noProof/>
                </w:rPr>
                <w:t>4</w:t>
              </w:r>
            </w:fldSimple>
            <w:r>
              <w:t>)</w:t>
            </w:r>
            <w:bookmarkEnd w:id="5"/>
            <w:bookmarkEnd w:id="6"/>
          </w:p>
        </w:tc>
      </w:tr>
    </w:tbl>
    <w:p w14:paraId="29D99060" w14:textId="2831653A" w:rsidR="00B6744F" w:rsidRDefault="00B6744F" w:rsidP="006E7A55">
      <w:pPr>
        <w:pStyle w:val="Newparagraph"/>
        <w:ind w:firstLine="0"/>
      </w:pPr>
      <w:r>
        <w:t>(</w:t>
      </w:r>
      <w:r w:rsidRPr="00061200">
        <w:t>The</w:t>
      </w:r>
      <w:r>
        <w:t xml:space="preserve"> negative sign is required for mathematical consistency.) Equation </w:t>
      </w:r>
      <w:r>
        <w:fldChar w:fldCharType="begin"/>
      </w:r>
      <w:r>
        <w:instrText xml:space="preserve"> REF Ndot \h </w:instrText>
      </w:r>
      <w:r>
        <w:fldChar w:fldCharType="separate"/>
      </w:r>
      <w:r w:rsidR="002637FB">
        <w:t>(</w:t>
      </w:r>
      <w:r w:rsidR="002637FB">
        <w:rPr>
          <w:noProof/>
        </w:rPr>
        <w:t>4</w:t>
      </w:r>
      <w:r w:rsidR="002637FB">
        <w:t>)</w:t>
      </w:r>
      <w:r>
        <w:fldChar w:fldCharType="end"/>
      </w:r>
      <w:r>
        <w:t xml:space="preserve"> provides an instance of the progenitor function in the time domain that is now dependent on the original progenitor function and the process cooling conditions.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13"/>
      </w:tblGrid>
      <w:tr w:rsidR="00DC177E" w14:paraId="29BF2BB9" w14:textId="77777777" w:rsidTr="00142FFF">
        <w:trPr>
          <w:trHeight w:val="2935"/>
          <w:jc w:val="center"/>
        </w:trPr>
        <w:tc>
          <w:tcPr>
            <w:tcW w:w="8613" w:type="dxa"/>
          </w:tcPr>
          <w:p w14:paraId="12C35FF5" w14:textId="0AAC9B8D" w:rsidR="00DC177E" w:rsidRDefault="00142FFF" w:rsidP="00142FFF">
            <w:pPr>
              <w:jc w:val="center"/>
            </w:pPr>
            <w:r>
              <w:rPr>
                <w:noProof/>
              </w:rPr>
              <w:drawing>
                <wp:inline distT="0" distB="0" distL="0" distR="0" wp14:anchorId="1AD83409" wp14:editId="57CF1260">
                  <wp:extent cx="3240024" cy="216103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1_Figure10ActaMat-01.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40024" cy="2161032"/>
                          </a:xfrm>
                          <a:prstGeom prst="rect">
                            <a:avLst/>
                          </a:prstGeom>
                        </pic:spPr>
                      </pic:pic>
                    </a:graphicData>
                  </a:graphic>
                </wp:inline>
              </w:drawing>
            </w:r>
          </w:p>
          <w:p w14:paraId="6C44E2D6" w14:textId="38365620" w:rsidR="00DC177E" w:rsidRPr="00FA1D4C" w:rsidRDefault="00DC177E" w:rsidP="00B6744F">
            <w:pPr>
              <w:pStyle w:val="Figurecaption"/>
              <w:spacing w:line="360" w:lineRule="auto"/>
              <w:rPr>
                <w:i/>
                <w:sz w:val="20"/>
                <w:szCs w:val="20"/>
              </w:rPr>
            </w:pPr>
            <w:bookmarkStart w:id="7" w:name="_Ref496181559"/>
            <w:r w:rsidRPr="00FA1D4C">
              <w:rPr>
                <w:i/>
                <w:sz w:val="20"/>
                <w:szCs w:val="20"/>
              </w:rPr>
              <w:t xml:space="preserve">Figure </w:t>
            </w:r>
            <w:r w:rsidRPr="00FA1D4C">
              <w:rPr>
                <w:i/>
                <w:sz w:val="20"/>
                <w:szCs w:val="20"/>
              </w:rPr>
              <w:fldChar w:fldCharType="begin"/>
            </w:r>
            <w:r w:rsidRPr="00FA1D4C">
              <w:rPr>
                <w:i/>
                <w:sz w:val="20"/>
                <w:szCs w:val="20"/>
              </w:rPr>
              <w:instrText xml:space="preserve"> SEQ Figure \* ARABIC </w:instrText>
            </w:r>
            <w:r w:rsidRPr="00FA1D4C">
              <w:rPr>
                <w:i/>
                <w:sz w:val="20"/>
                <w:szCs w:val="20"/>
              </w:rPr>
              <w:fldChar w:fldCharType="separate"/>
            </w:r>
            <w:r w:rsidR="002637FB">
              <w:rPr>
                <w:i/>
                <w:noProof/>
                <w:sz w:val="20"/>
                <w:szCs w:val="20"/>
              </w:rPr>
              <w:t>1</w:t>
            </w:r>
            <w:r w:rsidRPr="00FA1D4C">
              <w:rPr>
                <w:i/>
                <w:noProof/>
                <w:sz w:val="20"/>
                <w:szCs w:val="20"/>
              </w:rPr>
              <w:fldChar w:fldCharType="end"/>
            </w:r>
            <w:bookmarkEnd w:id="7"/>
            <w:r w:rsidRPr="00FA1D4C">
              <w:rPr>
                <w:i/>
                <w:sz w:val="20"/>
                <w:szCs w:val="20"/>
              </w:rPr>
              <w:t xml:space="preserve"> The progenitor function – an athermal nucleation distribution based on undercooling</w:t>
            </w:r>
            <w:r w:rsidR="00DB0126">
              <w:rPr>
                <w:i/>
                <w:sz w:val="20"/>
                <w:szCs w:val="20"/>
              </w:rPr>
              <w:t>.</w:t>
            </w:r>
          </w:p>
        </w:tc>
      </w:tr>
    </w:tbl>
    <w:p w14:paraId="4F05BD98" w14:textId="77777777" w:rsidR="00DC177E" w:rsidRDefault="00DC177E" w:rsidP="0091027E">
      <w:pPr>
        <w:pStyle w:val="Heading3"/>
        <w:jc w:val="both"/>
      </w:pPr>
      <w:r>
        <w:lastRenderedPageBreak/>
        <w:t xml:space="preserve">Kolmogorov statistical approach </w:t>
      </w:r>
    </w:p>
    <w:p w14:paraId="2A475752" w14:textId="7A4F5443" w:rsidR="00DC177E" w:rsidRDefault="00DC177E" w:rsidP="00913356">
      <w:pPr>
        <w:pStyle w:val="Newparagraph"/>
        <w:ind w:firstLine="0"/>
      </w:pPr>
      <w:r>
        <w:t xml:space="preserve">Initially, all potential inoculating particles </w:t>
      </w:r>
      <w:r w:rsidR="00DE24D1">
        <w:t>in a superheated liquid are</w:t>
      </w:r>
      <w:r>
        <w:t xml:space="preserve"> described as </w:t>
      </w:r>
      <w:r w:rsidRPr="008B21AD">
        <w:rPr>
          <w:i/>
        </w:rPr>
        <w:t>passive</w:t>
      </w:r>
      <w:r>
        <w:rPr>
          <w:i/>
        </w:rPr>
        <w:t>.</w:t>
      </w:r>
      <w:r>
        <w:t xml:space="preserve"> However, </w:t>
      </w:r>
      <w:r w:rsidR="00DE24D1">
        <w:t xml:space="preserve">upon cooling, </w:t>
      </w:r>
      <w:r>
        <w:t>once the free-growth und</w:t>
      </w:r>
      <w:r w:rsidR="00542499">
        <w:t>ercooling for any seed particles</w:t>
      </w:r>
      <w:r>
        <w:t xml:space="preserve"> is reached, those particles start growing and are labelled as </w:t>
      </w:r>
      <w:r>
        <w:rPr>
          <w:i/>
        </w:rPr>
        <w:t>active.</w:t>
      </w:r>
      <w:r>
        <w:t xml:space="preserve"> The density of active particles </w:t>
      </w:r>
      <m:oMath>
        <m:sSub>
          <m:sSubPr>
            <m:ctrlPr>
              <w:rPr>
                <w:rFonts w:ascii="Cambria Math" w:hAnsi="Cambria Math"/>
              </w:rPr>
            </m:ctrlPr>
          </m:sSubPr>
          <m:e>
            <m:r>
              <w:rPr>
                <w:rFonts w:ascii="Cambria Math" w:hAnsi="Cambria Math"/>
              </w:rPr>
              <m:t>N</m:t>
            </m:r>
          </m:e>
          <m:sub>
            <m:r>
              <w:rPr>
                <w:rFonts w:ascii="Cambria Math" w:hAnsi="Cambria Math"/>
              </w:rPr>
              <m:t>ACTIVE</m:t>
            </m:r>
          </m:sub>
        </m:sSub>
        <m:d>
          <m:dPr>
            <m:ctrlPr>
              <w:rPr>
                <w:rFonts w:ascii="Cambria Math" w:hAnsi="Cambria Math"/>
              </w:rPr>
            </m:ctrlPr>
          </m:dPr>
          <m:e>
            <m:r>
              <w:rPr>
                <w:rFonts w:ascii="Cambria Math" w:hAnsi="Cambria Math"/>
              </w:rPr>
              <m:t>t</m:t>
            </m:r>
          </m:e>
        </m:d>
      </m:oMath>
      <w:r>
        <w:t xml:space="preserve"> at any given time, </w:t>
      </w:r>
      <w:r>
        <w:rPr>
          <w:i/>
        </w:rPr>
        <w:t>t</w:t>
      </w:r>
      <w:r w:rsidR="004B7998">
        <w:t>, is obtained by integrating equation</w:t>
      </w:r>
      <w:r>
        <w:t xml:space="preserve"> </w:t>
      </w:r>
      <w:r w:rsidR="004B7998">
        <w:fldChar w:fldCharType="begin"/>
      </w:r>
      <w:r w:rsidR="004B7998">
        <w:instrText xml:space="preserve"> REF Ndot \h </w:instrText>
      </w:r>
      <w:r w:rsidR="004B7998">
        <w:fldChar w:fldCharType="separate"/>
      </w:r>
      <w:r w:rsidR="002637FB">
        <w:t>(</w:t>
      </w:r>
      <w:r w:rsidR="002637FB">
        <w:rPr>
          <w:noProof/>
        </w:rPr>
        <w:t>4</w:t>
      </w:r>
      <w:r w:rsidR="002637FB">
        <w:t>)</w:t>
      </w:r>
      <w:r w:rsidR="004B7998">
        <w:fldChar w:fldCharType="end"/>
      </w:r>
      <w:r w:rsidR="004B7998">
        <w:t xml:space="preserve"> </w:t>
      </w:r>
      <w:r>
        <w:t xml:space="preserve">with respect to independent nucleation time, </w:t>
      </w:r>
      <w:r>
        <w:rPr>
          <w:i/>
        </w:rPr>
        <w:t>t</w:t>
      </w:r>
      <w:r>
        <w:rPr>
          <w:i/>
          <w:vertAlign w:val="subscript"/>
        </w:rPr>
        <w:t>n</w:t>
      </w:r>
      <w:r>
        <w:t>.</w:t>
      </w:r>
    </w:p>
    <w:tbl>
      <w:tblPr>
        <w:tblStyle w:val="TableGrid"/>
        <w:tblW w:w="0" w:type="auto"/>
        <w:jc w:val="center"/>
        <w:tblLook w:val="04A0" w:firstRow="1" w:lastRow="0" w:firstColumn="1" w:lastColumn="0" w:noHBand="0" w:noVBand="1"/>
      </w:tblPr>
      <w:tblGrid>
        <w:gridCol w:w="7905"/>
        <w:gridCol w:w="810"/>
      </w:tblGrid>
      <w:tr w:rsidR="00DC177E" w14:paraId="618DD9C8" w14:textId="77777777" w:rsidTr="00C9779B">
        <w:trPr>
          <w:jc w:val="center"/>
        </w:trPr>
        <w:tc>
          <w:tcPr>
            <w:tcW w:w="7905" w:type="dxa"/>
            <w:tcBorders>
              <w:top w:val="nil"/>
              <w:left w:val="nil"/>
              <w:bottom w:val="nil"/>
              <w:right w:val="nil"/>
            </w:tcBorders>
            <w:vAlign w:val="center"/>
          </w:tcPr>
          <w:p w14:paraId="0DEDBC3C" w14:textId="77777777" w:rsidR="00DC177E" w:rsidRDefault="008F6ACD" w:rsidP="00C9779B">
            <w:pPr>
              <w:pStyle w:val="Newparagraph"/>
              <w:ind w:firstLine="0"/>
              <w:contextualSpacing/>
              <w:jc w:val="center"/>
            </w:pPr>
            <m:oMathPara>
              <m:oMath>
                <m:m>
                  <m:mPr>
                    <m:mcs>
                      <m:mc>
                        <m:mcPr>
                          <m:count m:val="2"/>
                          <m:mcJc m:val="center"/>
                        </m:mcPr>
                      </m:mc>
                    </m:mcs>
                    <m:ctrlPr>
                      <w:rPr>
                        <w:rFonts w:ascii="Cambria Math" w:hAnsi="Cambria Math"/>
                        <w:i/>
                      </w:rPr>
                    </m:ctrlPr>
                  </m:mPr>
                  <m:mr>
                    <m:e>
                      <m:sSub>
                        <m:sSubPr>
                          <m:ctrlPr>
                            <w:rPr>
                              <w:rFonts w:ascii="Cambria Math" w:hAnsi="Cambria Math"/>
                            </w:rPr>
                          </m:ctrlPr>
                        </m:sSubPr>
                        <m:e>
                          <m:r>
                            <w:rPr>
                              <w:rFonts w:ascii="Cambria Math" w:hAnsi="Cambria Math"/>
                            </w:rPr>
                            <m:t>N</m:t>
                          </m:r>
                        </m:e>
                        <m:sub>
                          <m:r>
                            <w:rPr>
                              <w:rFonts w:ascii="Cambria Math" w:hAnsi="Cambria Math"/>
                            </w:rPr>
                            <m:t>ACTIVE</m:t>
                          </m:r>
                        </m:sub>
                      </m:sSub>
                      <m:d>
                        <m:dPr>
                          <m:ctrlPr>
                            <w:rPr>
                              <w:rFonts w:ascii="Cambria Math" w:hAnsi="Cambria Math"/>
                            </w:rPr>
                          </m:ctrlPr>
                        </m:dPr>
                        <m:e>
                          <m:r>
                            <w:rPr>
                              <w:rFonts w:ascii="Cambria Math" w:hAnsi="Cambria Math"/>
                            </w:rPr>
                            <m:t>t</m:t>
                          </m:r>
                        </m:e>
                      </m:d>
                      <m:r>
                        <m:rPr>
                          <m:sty m:val="p"/>
                        </m:rPr>
                        <w:rPr>
                          <w:rFonts w:ascii="Cambria Math" w:hAnsi="Cambria Math"/>
                        </w:rPr>
                        <m:t>=</m:t>
                      </m:r>
                      <m:nary>
                        <m:naryPr>
                          <m:limLoc m:val="subSup"/>
                          <m:ctrlPr>
                            <w:rPr>
                              <w:rFonts w:ascii="Cambria Math" w:hAnsi="Cambria Math"/>
                            </w:rPr>
                          </m:ctrlPr>
                        </m:naryPr>
                        <m:sub>
                          <m:r>
                            <m:rPr>
                              <m:sty m:val="p"/>
                            </m:rPr>
                            <w:rPr>
                              <w:rFonts w:ascii="Cambria Math" w:hAnsi="Cambria Math"/>
                            </w:rPr>
                            <m:t>0</m:t>
                          </m:r>
                        </m:sub>
                        <m:sup>
                          <m:r>
                            <w:rPr>
                              <w:rFonts w:ascii="Cambria Math" w:hAnsi="Cambria Math"/>
                            </w:rPr>
                            <m:t>t</m:t>
                          </m:r>
                        </m:sup>
                        <m:e>
                          <m:acc>
                            <m:accPr>
                              <m:chr m:val="̇"/>
                              <m:ctrlPr>
                                <w:rPr>
                                  <w:rFonts w:ascii="Cambria Math" w:hAnsi="Cambria Math"/>
                                </w:rPr>
                              </m:ctrlPr>
                            </m:accPr>
                            <m:e>
                              <m:r>
                                <w:rPr>
                                  <w:rFonts w:ascii="Cambria Math" w:hAnsi="Cambria Math"/>
                                </w:rPr>
                                <m:t>N</m:t>
                              </m:r>
                            </m:e>
                          </m:acc>
                          <m:d>
                            <m:dPr>
                              <m:ctrlPr>
                                <w:rPr>
                                  <w:rFonts w:ascii="Cambria Math" w:hAnsi="Cambria Math"/>
                                </w:rPr>
                              </m:ctrlPr>
                            </m:dPr>
                            <m:e>
                              <m:sSub>
                                <m:sSubPr>
                                  <m:ctrlPr>
                                    <w:rPr>
                                      <w:rFonts w:ascii="Cambria Math" w:hAnsi="Cambria Math"/>
                                      <w:i/>
                                    </w:rPr>
                                  </m:ctrlPr>
                                </m:sSubPr>
                                <m:e>
                                  <m:r>
                                    <w:rPr>
                                      <w:rFonts w:ascii="Cambria Math" w:hAnsi="Cambria Math"/>
                                    </w:rPr>
                                    <m:t>t</m:t>
                                  </m:r>
                                </m:e>
                                <m:sub>
                                  <m:r>
                                    <w:rPr>
                                      <w:rFonts w:ascii="Cambria Math" w:hAnsi="Cambria Math"/>
                                    </w:rPr>
                                    <m:t>n</m:t>
                                  </m:r>
                                </m:sub>
                              </m:sSub>
                            </m:e>
                          </m:d>
                        </m:e>
                      </m:nary>
                      <m:r>
                        <w:rPr>
                          <w:rFonts w:ascii="Cambria Math" w:hAnsi="Cambria Math"/>
                        </w:rPr>
                        <m:t>d</m:t>
                      </m:r>
                      <m:sSub>
                        <m:sSubPr>
                          <m:ctrlPr>
                            <w:rPr>
                              <w:rFonts w:ascii="Cambria Math" w:hAnsi="Cambria Math"/>
                            </w:rPr>
                          </m:ctrlPr>
                        </m:sSubPr>
                        <m:e>
                          <m:r>
                            <w:rPr>
                              <w:rFonts w:ascii="Cambria Math" w:hAnsi="Cambria Math"/>
                            </w:rPr>
                            <m:t>t</m:t>
                          </m:r>
                        </m:e>
                        <m:sub>
                          <m:r>
                            <w:rPr>
                              <w:rFonts w:ascii="Cambria Math" w:hAnsi="Cambria Math"/>
                            </w:rPr>
                            <m:t>n</m:t>
                          </m:r>
                        </m:sub>
                      </m:sSub>
                    </m:e>
                    <m:e>
                      <m:r>
                        <w:rPr>
                          <w:rFonts w:ascii="Cambria Math" w:hAnsi="Cambria Math"/>
                        </w:rPr>
                        <m:t>.</m:t>
                      </m:r>
                    </m:e>
                  </m:mr>
                </m:m>
              </m:oMath>
            </m:oMathPara>
          </w:p>
        </w:tc>
        <w:tc>
          <w:tcPr>
            <w:tcW w:w="810" w:type="dxa"/>
            <w:tcBorders>
              <w:top w:val="nil"/>
              <w:left w:val="nil"/>
              <w:bottom w:val="nil"/>
              <w:right w:val="nil"/>
            </w:tcBorders>
            <w:vAlign w:val="center"/>
          </w:tcPr>
          <w:p w14:paraId="745AFC4C" w14:textId="77777777" w:rsidR="00DC177E" w:rsidRDefault="00DC177E" w:rsidP="00C9779B">
            <w:pPr>
              <w:pStyle w:val="Newparagraph"/>
              <w:ind w:firstLine="0"/>
              <w:contextualSpacing/>
              <w:jc w:val="center"/>
            </w:pPr>
            <w:bookmarkStart w:id="8" w:name="N_active"/>
            <w:r>
              <w:t>(</w:t>
            </w:r>
            <w:fldSimple w:instr=" SEQ Eqn \* MERGEFORMAT ">
              <w:r w:rsidR="002637FB">
                <w:rPr>
                  <w:noProof/>
                </w:rPr>
                <w:t>5</w:t>
              </w:r>
            </w:fldSimple>
            <w:r>
              <w:t>)</w:t>
            </w:r>
            <w:bookmarkEnd w:id="8"/>
          </w:p>
        </w:tc>
      </w:tr>
    </w:tbl>
    <w:p w14:paraId="19E8B655" w14:textId="5DCC5963" w:rsidR="00DC177E" w:rsidRDefault="00DC177E" w:rsidP="00DB0126">
      <w:pPr>
        <w:pStyle w:val="Newparagraph"/>
        <w:ind w:firstLine="0"/>
      </w:pPr>
      <w:r>
        <w:t xml:space="preserve">The number of active nuclei at any time, </w:t>
      </w:r>
      <w:r w:rsidRPr="00EB19F6">
        <w:rPr>
          <w:i/>
        </w:rPr>
        <w:t>t</w:t>
      </w:r>
      <w:r>
        <w:t>, is given by</w:t>
      </w:r>
      <w:r w:rsidR="004B7998">
        <w:t>,</w:t>
      </w:r>
    </w:p>
    <w:tbl>
      <w:tblPr>
        <w:tblStyle w:val="TableGrid"/>
        <w:tblW w:w="0" w:type="auto"/>
        <w:jc w:val="center"/>
        <w:tblLook w:val="04A0" w:firstRow="1" w:lastRow="0" w:firstColumn="1" w:lastColumn="0" w:noHBand="0" w:noVBand="1"/>
      </w:tblPr>
      <w:tblGrid>
        <w:gridCol w:w="7905"/>
        <w:gridCol w:w="810"/>
      </w:tblGrid>
      <w:tr w:rsidR="00DC177E" w14:paraId="2946C13B" w14:textId="77777777" w:rsidTr="00C9779B">
        <w:trPr>
          <w:jc w:val="center"/>
        </w:trPr>
        <w:tc>
          <w:tcPr>
            <w:tcW w:w="7905" w:type="dxa"/>
            <w:tcBorders>
              <w:top w:val="nil"/>
              <w:left w:val="nil"/>
              <w:bottom w:val="nil"/>
              <w:right w:val="nil"/>
            </w:tcBorders>
            <w:vAlign w:val="center"/>
          </w:tcPr>
          <w:p w14:paraId="0FA7AB35" w14:textId="47AF1F68" w:rsidR="00DC177E" w:rsidRDefault="008F6ACD" w:rsidP="00C9779B">
            <w:pPr>
              <w:pStyle w:val="Newparagraph"/>
              <w:ind w:firstLine="0"/>
              <w:contextualSpacing/>
              <w:jc w:val="center"/>
            </w:pPr>
            <m:oMathPara>
              <m:oMath>
                <m:m>
                  <m:mPr>
                    <m:mcs>
                      <m:mc>
                        <m:mcPr>
                          <m:count m:val="2"/>
                          <m:mcJc m:val="center"/>
                        </m:mcPr>
                      </m:mc>
                    </m:mcs>
                    <m:ctrlPr>
                      <w:rPr>
                        <w:rFonts w:ascii="Cambria Math" w:hAnsi="Cambria Math"/>
                        <w:i/>
                      </w:rPr>
                    </m:ctrlPr>
                  </m:mPr>
                  <m:mr>
                    <m:e>
                      <m:sSub>
                        <m:sSubPr>
                          <m:ctrlPr>
                            <w:rPr>
                              <w:rFonts w:ascii="Cambria Math" w:hAnsi="Cambria Math"/>
                            </w:rPr>
                          </m:ctrlPr>
                        </m:sSubPr>
                        <m:e>
                          <m:r>
                            <w:rPr>
                              <w:rFonts w:ascii="Cambria Math" w:hAnsi="Cambria Math"/>
                            </w:rPr>
                            <m:t>n</m:t>
                          </m:r>
                        </m:e>
                        <m:sub>
                          <m:r>
                            <w:rPr>
                              <w:rFonts w:ascii="Cambria Math" w:hAnsi="Cambria Math"/>
                            </w:rPr>
                            <m:t>ACTIVE</m:t>
                          </m:r>
                        </m:sub>
                      </m:sSub>
                      <m:d>
                        <m:dPr>
                          <m:ctrlPr>
                            <w:rPr>
                              <w:rFonts w:ascii="Cambria Math" w:hAnsi="Cambria Math"/>
                            </w:rPr>
                          </m:ctrlPr>
                        </m:dPr>
                        <m:e>
                          <m:r>
                            <w:rPr>
                              <w:rFonts w:ascii="Cambria Math" w:hAnsi="Cambria Math"/>
                            </w:rPr>
                            <m:t>t</m:t>
                          </m:r>
                        </m:e>
                      </m:d>
                      <m:r>
                        <m:rPr>
                          <m:sty m:val="p"/>
                        </m:rPr>
                        <w:rPr>
                          <w:rFonts w:ascii="Cambria Math" w:hAnsi="Cambria Math"/>
                        </w:rPr>
                        <m:t>=</m:t>
                      </m:r>
                      <m:nary>
                        <m:naryPr>
                          <m:limLoc m:val="subSup"/>
                          <m:ctrlPr>
                            <w:rPr>
                              <w:rFonts w:ascii="Cambria Math" w:hAnsi="Cambria Math"/>
                            </w:rPr>
                          </m:ctrlPr>
                        </m:naryPr>
                        <m:sub>
                          <m:r>
                            <w:rPr>
                              <w:rFonts w:ascii="Cambria Math" w:hAnsi="Cambria Math"/>
                            </w:rPr>
                            <m:t>V</m:t>
                          </m:r>
                        </m:sub>
                        <m:sup>
                          <m:r>
                            <w:rPr>
                              <w:rFonts w:ascii="Cambria Math" w:hAnsi="Cambria Math"/>
                            </w:rPr>
                            <m:t xml:space="preserve"> </m:t>
                          </m:r>
                        </m:sup>
                        <m:e>
                          <m:sSub>
                            <m:sSubPr>
                              <m:ctrlPr>
                                <w:rPr>
                                  <w:rFonts w:ascii="Cambria Math" w:hAnsi="Cambria Math"/>
                                </w:rPr>
                              </m:ctrlPr>
                            </m:sSubPr>
                            <m:e>
                              <m:r>
                                <w:rPr>
                                  <w:rFonts w:ascii="Cambria Math" w:hAnsi="Cambria Math"/>
                                </w:rPr>
                                <m:t>N</m:t>
                              </m:r>
                            </m:e>
                            <m:sub>
                              <m:r>
                                <w:rPr>
                                  <w:rFonts w:ascii="Cambria Math" w:hAnsi="Cambria Math"/>
                                </w:rPr>
                                <m:t>ACTIVE</m:t>
                              </m:r>
                            </m:sub>
                          </m:sSub>
                          <m:d>
                            <m:dPr>
                              <m:ctrlPr>
                                <w:rPr>
                                  <w:rFonts w:ascii="Cambria Math" w:hAnsi="Cambria Math"/>
                                </w:rPr>
                              </m:ctrlPr>
                            </m:dPr>
                            <m:e>
                              <m:r>
                                <w:rPr>
                                  <w:rFonts w:ascii="Cambria Math" w:hAnsi="Cambria Math"/>
                                </w:rPr>
                                <m:t>t</m:t>
                              </m:r>
                            </m:e>
                          </m:d>
                        </m:e>
                      </m:nary>
                      <m:r>
                        <w:rPr>
                          <w:rFonts w:ascii="Cambria Math" w:hAnsi="Cambria Math"/>
                        </w:rPr>
                        <m:t>dV</m:t>
                      </m:r>
                    </m:e>
                    <m:e>
                      <m:r>
                        <w:rPr>
                          <w:rFonts w:ascii="Cambria Math" w:hAnsi="Cambria Math"/>
                        </w:rPr>
                        <m:t>;</m:t>
                      </m:r>
                    </m:e>
                  </m:mr>
                </m:m>
              </m:oMath>
            </m:oMathPara>
          </w:p>
        </w:tc>
        <w:tc>
          <w:tcPr>
            <w:tcW w:w="810" w:type="dxa"/>
            <w:tcBorders>
              <w:top w:val="nil"/>
              <w:left w:val="nil"/>
              <w:bottom w:val="nil"/>
              <w:right w:val="nil"/>
            </w:tcBorders>
            <w:vAlign w:val="center"/>
          </w:tcPr>
          <w:p w14:paraId="2E5FB8F1" w14:textId="77777777" w:rsidR="00DC177E" w:rsidRDefault="00DC177E" w:rsidP="00C9779B">
            <w:pPr>
              <w:pStyle w:val="Newparagraph"/>
              <w:ind w:firstLine="0"/>
              <w:contextualSpacing/>
              <w:jc w:val="center"/>
            </w:pPr>
            <w:r>
              <w:t>(</w:t>
            </w:r>
            <w:fldSimple w:instr=" SEQ Eqn \* MERGEFORMAT ">
              <w:r w:rsidR="002637FB">
                <w:rPr>
                  <w:noProof/>
                </w:rPr>
                <w:t>6</w:t>
              </w:r>
            </w:fldSimple>
            <w:r>
              <w:t>)</w:t>
            </w:r>
          </w:p>
        </w:tc>
      </w:tr>
    </w:tbl>
    <w:p w14:paraId="1A6FB972" w14:textId="2C2EF275" w:rsidR="00DC177E" w:rsidRDefault="004B7998" w:rsidP="00EF5D54">
      <w:pPr>
        <w:pStyle w:val="Newparagraph"/>
        <w:ind w:firstLine="0"/>
      </w:pPr>
      <w:r>
        <w:t xml:space="preserve">and, </w:t>
      </w:r>
      <w:r w:rsidR="00DB0126">
        <w:t>if</w:t>
      </w:r>
      <w:r>
        <w:t xml:space="preserve"> conditions are uniform, </w:t>
      </w:r>
      <m:oMath>
        <m:sSub>
          <m:sSubPr>
            <m:ctrlPr>
              <w:rPr>
                <w:rFonts w:ascii="Cambria Math" w:hAnsi="Cambria Math"/>
              </w:rPr>
            </m:ctrlPr>
          </m:sSubPr>
          <m:e>
            <m:r>
              <w:rPr>
                <w:rFonts w:ascii="Cambria Math" w:hAnsi="Cambria Math"/>
              </w:rPr>
              <m:t>n</m:t>
            </m:r>
          </m:e>
          <m:sub>
            <m:r>
              <w:rPr>
                <w:rFonts w:ascii="Cambria Math" w:hAnsi="Cambria Math"/>
              </w:rPr>
              <m:t>ACTIVE</m:t>
            </m:r>
          </m:sub>
        </m:sSub>
        <m:r>
          <m:rPr>
            <m:sty m:val="p"/>
          </m:rPr>
          <w:rPr>
            <w:rFonts w:ascii="Cambria Math" w:hAnsi="Cambria Math"/>
          </w:rPr>
          <m:t>=</m:t>
        </m:r>
        <m:sSub>
          <m:sSubPr>
            <m:ctrlPr>
              <w:rPr>
                <w:rFonts w:ascii="Cambria Math" w:hAnsi="Cambria Math"/>
              </w:rPr>
            </m:ctrlPr>
          </m:sSubPr>
          <m:e>
            <m:r>
              <w:rPr>
                <w:rFonts w:ascii="Cambria Math" w:hAnsi="Cambria Math"/>
              </w:rPr>
              <m:t>VN</m:t>
            </m:r>
          </m:e>
          <m:sub>
            <m:r>
              <w:rPr>
                <w:rFonts w:ascii="Cambria Math" w:hAnsi="Cambria Math"/>
              </w:rPr>
              <m:t>ACTIVE</m:t>
            </m:r>
          </m:sub>
        </m:sSub>
      </m:oMath>
      <w:r w:rsidR="00DC177E">
        <w:t xml:space="preserve">. The remaining passive seeds at any time will have a density given by </w:t>
      </w:r>
    </w:p>
    <w:tbl>
      <w:tblPr>
        <w:tblStyle w:val="TableGrid"/>
        <w:tblW w:w="0" w:type="auto"/>
        <w:jc w:val="center"/>
        <w:tblLook w:val="04A0" w:firstRow="1" w:lastRow="0" w:firstColumn="1" w:lastColumn="0" w:noHBand="0" w:noVBand="1"/>
      </w:tblPr>
      <w:tblGrid>
        <w:gridCol w:w="7905"/>
        <w:gridCol w:w="810"/>
      </w:tblGrid>
      <w:tr w:rsidR="00DC177E" w14:paraId="6A55DA99" w14:textId="77777777" w:rsidTr="00C9779B">
        <w:trPr>
          <w:jc w:val="center"/>
        </w:trPr>
        <w:tc>
          <w:tcPr>
            <w:tcW w:w="7905" w:type="dxa"/>
            <w:tcBorders>
              <w:top w:val="nil"/>
              <w:left w:val="nil"/>
              <w:bottom w:val="nil"/>
              <w:right w:val="nil"/>
            </w:tcBorders>
            <w:vAlign w:val="center"/>
          </w:tcPr>
          <w:p w14:paraId="4B2A090E" w14:textId="77777777" w:rsidR="00DC177E" w:rsidRDefault="008F6ACD" w:rsidP="00C9779B">
            <w:pPr>
              <w:pStyle w:val="Newparagraph"/>
              <w:ind w:firstLine="0"/>
              <w:contextualSpacing/>
              <w:jc w:val="center"/>
            </w:pPr>
            <m:oMathPara>
              <m:oMath>
                <m:m>
                  <m:mPr>
                    <m:mcs>
                      <m:mc>
                        <m:mcPr>
                          <m:count m:val="2"/>
                          <m:mcJc m:val="center"/>
                        </m:mcPr>
                      </m:mc>
                    </m:mcs>
                    <m:ctrlPr>
                      <w:rPr>
                        <w:rFonts w:ascii="Cambria Math" w:hAnsi="Cambria Math"/>
                        <w:i/>
                      </w:rPr>
                    </m:ctrlPr>
                  </m:mPr>
                  <m:mr>
                    <m:e>
                      <m:sSub>
                        <m:sSubPr>
                          <m:ctrlPr>
                            <w:rPr>
                              <w:rFonts w:ascii="Cambria Math" w:hAnsi="Cambria Math"/>
                            </w:rPr>
                          </m:ctrlPr>
                        </m:sSubPr>
                        <m:e>
                          <m:r>
                            <w:rPr>
                              <w:rFonts w:ascii="Cambria Math" w:hAnsi="Cambria Math"/>
                            </w:rPr>
                            <m:t>N</m:t>
                          </m:r>
                        </m:e>
                        <m:sub>
                          <m:r>
                            <w:rPr>
                              <w:rFonts w:ascii="Cambria Math" w:hAnsi="Cambria Math"/>
                            </w:rPr>
                            <m:t>PASSIVE</m:t>
                          </m:r>
                        </m:sub>
                      </m:sSub>
                      <m:d>
                        <m:dPr>
                          <m:ctrlPr>
                            <w:rPr>
                              <w:rFonts w:ascii="Cambria Math" w:hAnsi="Cambria Math"/>
                            </w:rPr>
                          </m:ctrlPr>
                        </m:dPr>
                        <m:e>
                          <m:r>
                            <w:rPr>
                              <w:rFonts w:ascii="Cambria Math" w:hAnsi="Cambria Math"/>
                            </w:rPr>
                            <m:t>t</m:t>
                          </m:r>
                        </m:e>
                      </m:d>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o</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ACTIVE</m:t>
                          </m:r>
                        </m:sub>
                      </m:sSub>
                      <m:d>
                        <m:dPr>
                          <m:ctrlPr>
                            <w:rPr>
                              <w:rFonts w:ascii="Cambria Math" w:hAnsi="Cambria Math"/>
                              <w:i/>
                            </w:rPr>
                          </m:ctrlPr>
                        </m:dPr>
                        <m:e>
                          <m:r>
                            <w:rPr>
                              <w:rFonts w:ascii="Cambria Math" w:hAnsi="Cambria Math"/>
                            </w:rPr>
                            <m:t>t</m:t>
                          </m:r>
                        </m:e>
                      </m:d>
                    </m:e>
                    <m:e>
                      <m:r>
                        <w:rPr>
                          <w:rFonts w:ascii="Cambria Math" w:hAnsi="Cambria Math"/>
                        </w:rPr>
                        <m:t>.</m:t>
                      </m:r>
                    </m:e>
                  </m:mr>
                </m:m>
              </m:oMath>
            </m:oMathPara>
          </w:p>
        </w:tc>
        <w:tc>
          <w:tcPr>
            <w:tcW w:w="810" w:type="dxa"/>
            <w:tcBorders>
              <w:top w:val="nil"/>
              <w:left w:val="nil"/>
              <w:bottom w:val="nil"/>
              <w:right w:val="nil"/>
            </w:tcBorders>
            <w:vAlign w:val="center"/>
          </w:tcPr>
          <w:p w14:paraId="26AA323B" w14:textId="77777777" w:rsidR="00DC177E" w:rsidRDefault="00DC177E" w:rsidP="00C9779B">
            <w:pPr>
              <w:pStyle w:val="Newparagraph"/>
              <w:ind w:firstLine="0"/>
              <w:contextualSpacing/>
              <w:jc w:val="center"/>
            </w:pPr>
            <w:r>
              <w:t>(</w:t>
            </w:r>
            <w:fldSimple w:instr=" SEQ Eqn \* MERGEFORMAT ">
              <w:r w:rsidR="002637FB">
                <w:rPr>
                  <w:noProof/>
                </w:rPr>
                <w:t>7</w:t>
              </w:r>
            </w:fldSimple>
            <w:r>
              <w:t>)</w:t>
            </w:r>
          </w:p>
        </w:tc>
      </w:tr>
    </w:tbl>
    <w:p w14:paraId="4CE0ABD1" w14:textId="2F5CE1A7" w:rsidR="00DC177E" w:rsidRDefault="00DB0126" w:rsidP="00EF5D54">
      <w:pPr>
        <w:pStyle w:val="Newparagraph"/>
        <w:ind w:firstLine="0"/>
      </w:pPr>
      <w:r>
        <w:t xml:space="preserve">Equation </w:t>
      </w:r>
      <w:r>
        <w:fldChar w:fldCharType="begin"/>
      </w:r>
      <w:r>
        <w:instrText xml:space="preserve"> REF N_active \h </w:instrText>
      </w:r>
      <w:r>
        <w:fldChar w:fldCharType="separate"/>
      </w:r>
      <w:r w:rsidR="002637FB">
        <w:t>(</w:t>
      </w:r>
      <w:r w:rsidR="002637FB">
        <w:rPr>
          <w:noProof/>
        </w:rPr>
        <w:t>5</w:t>
      </w:r>
      <w:r w:rsidR="002637FB">
        <w:t>)</w:t>
      </w:r>
      <w:r>
        <w:fldChar w:fldCharType="end"/>
      </w:r>
      <w:r>
        <w:t xml:space="preserve"> </w:t>
      </w:r>
      <w:r w:rsidR="00DC177E">
        <w:t xml:space="preserve">describes the cumulative distribution function of all </w:t>
      </w:r>
      <w:r w:rsidR="00DC177E" w:rsidRPr="009F033D">
        <w:rPr>
          <w:i/>
        </w:rPr>
        <w:t>active</w:t>
      </w:r>
      <w:r w:rsidR="00DC177E">
        <w:t xml:space="preserve"> seeds as a function of time. Over time, with cooling, all seeds transition from </w:t>
      </w:r>
      <w:r w:rsidR="00DC177E" w:rsidRPr="00596193">
        <w:rPr>
          <w:i/>
        </w:rPr>
        <w:t>passive</w:t>
      </w:r>
      <w:r w:rsidR="00DC177E">
        <w:t xml:space="preserve"> to </w:t>
      </w:r>
      <w:r w:rsidR="00DC177E" w:rsidRPr="00596193">
        <w:rPr>
          <w:i/>
        </w:rPr>
        <w:t>active</w:t>
      </w:r>
      <w:r w:rsidR="00DC177E">
        <w:t xml:space="preserve"> regardless of whether they nucleate or not. Only a subset of the </w:t>
      </w:r>
      <w:r w:rsidR="00DC177E" w:rsidRPr="00596193">
        <w:rPr>
          <w:i/>
        </w:rPr>
        <w:t>active</w:t>
      </w:r>
      <w:r w:rsidR="00DC177E">
        <w:t xml:space="preserve"> nuclei will go on to form actual nucleation events. To establish the proportion of </w:t>
      </w:r>
      <w:r w:rsidR="00DC177E">
        <w:rPr>
          <w:i/>
        </w:rPr>
        <w:t>active</w:t>
      </w:r>
      <w:r w:rsidR="00DC177E">
        <w:t xml:space="preserve"> nuclei that actually nucleate, we use a Kolmogorov approach </w:t>
      </w:r>
      <w:r w:rsidR="00DC177E">
        <w:fldChar w:fldCharType="begin" w:fldLock="1"/>
      </w:r>
      <w:r w:rsidR="00342B98">
        <w:instrText>ADDIN CSL_CITATION { "citationItems" : [ { "id" : "ITEM-1", "itemData" : { "abstract" : "Isz. Akad. Nauk SSR. Ser. Fiz., 3 (1937), p. 355", "author" : [ { "dropping-particle" : "", "family" : "Kolmogorov", "given" : "A.N.", "non-dropping-particle" : "", "parse-names" : false, "suffix" : "" } ], "container-title" : "Bull. Acad. Sci. URSS (Sci. Math. Nat.)", "id" : "ITEM-1", "issued" : { "date-parts" : [ [ "1937" ] ] }, "page" : "355", "title" : "No Title", "type" : "article-journal", "volume" : "3" }, "uris" : [ "http://www.mendeley.com/documents/?uuid=94e8e9c1-034e-4c98-ad82-c2f4daf9555b", "http://www.mendeley.com/documents/?uuid=3ff129ee-06f6-42bd-951b-c251a3731cdb" ] } ], "mendeley" : { "formattedCitation" : "[26]", "plainTextFormattedCitation" : "[26]", "previouslyFormattedCitation" : "[26]" }, "properties" : {  }, "schema" : "https://github.com/citation-style-language/schema/raw/master/csl-citation.json" }</w:instrText>
      </w:r>
      <w:r w:rsidR="00DC177E">
        <w:fldChar w:fldCharType="separate"/>
      </w:r>
      <w:r w:rsidR="00255CDA" w:rsidRPr="00255CDA">
        <w:rPr>
          <w:noProof/>
        </w:rPr>
        <w:t>[26]</w:t>
      </w:r>
      <w:r w:rsidR="00DC177E">
        <w:fldChar w:fldCharType="end"/>
      </w:r>
      <w:r w:rsidR="00DC177E">
        <w:t xml:space="preserve"> (as presented in </w:t>
      </w:r>
      <w:r w:rsidR="00DC177E">
        <w:fldChar w:fldCharType="begin" w:fldLock="1"/>
      </w:r>
      <w:r w:rsidR="0013413C">
        <w:instrText>ADDIN CSL_CITATION { "citationItems" : [ { "id" : "ITEM-1", "itemData" : { "DOI" : "10.1007/BF03185527", "ISSN" : "0392-6737", "abstract" : "Summary. - The kinetics of isothermal phase transformations have been described by the Johnson - Mehl - Avrami -Kolmogorov (JMAK) phenomenological model since the 40&amp;apos;s, Although many theoretical investigators have given a fundamental contribu- tion to extend the ...", "author" : [ { "dropping-particle" : "", "family" : "Fanfoni", "given" : "M.", "non-dropping-particle" : "", "parse-names" : false, "suffix" : "" }, { "dropping-particle" : "", "family" : "Tomellini", "given" : "M.", "non-dropping-particle" : "", "parse-names" : false, "suffix" : "" } ], "container-title" : "Il Nuovo Cimento D", "id" : "ITEM-1", "issue" : "7-8", "issued" : { "date-parts" : [ [ "1998" ] ] }, "page" : "1171-1182", "title" : "The Johnson-Mehl- Avrami-Kohnogorov model: A brief review", "type" : "article-journal", "volume" : "20" }, "uris" : [ "http://www.mendeley.com/documents/?uuid=db7206ca-6bac-4b35-bf0d-d565a55220d6", "http://www.mendeley.com/documents/?uuid=677a4d43-5848-4ad3-962f-8de48af2df13" ] }, { "id" : "ITEM-2", "itemData" : { "DOI" : "10.1103/PhysRevB.55.14071", "ISBN" : "0163-1829", "ISSN" : "0163-1829", "abstract" : "In the Johnson-Mehl-Avrami-Kolmogoroff theory, the concepts of phantom nuclei and extended space, which caused not a little confusion among investigators, is an unavoidable accident of the theory. A straight-forward mathematical derivation of that is presented. Besides, some interesting and important physical consequences related to phantom nuclei have been investigated.", "author" : [ { "dropping-particle" : "", "family" : "Tomellini", "given" : "M.", "non-dropping-particle" : "", "parse-names" : false, "suffix" : "" }, { "dropping-particle" : "", "family" : "Fanfoni", "given" : "M.", "non-dropping-particle" : "", "parse-names" : false, "suffix" : "" } ], "container-title" : "Physical Review B", "id" : "ITEM-2", "issue" : "21", "issued" : { "date-parts" : [ [ "1997" ] ] }, "page" : "14071-14073", "title" : "Why phantom nuclei must be considered in the Johnson-Mehl-Avrami-Kolmogoroff kinetics", "type" : "article-journal", "volume" : "55" }, "uris" : [ "http://www.mendeley.com/documents/?uuid=17b33a19-fde8-412d-a2bd-a0c763019b98" ] } ], "mendeley" : { "formattedCitation" : "[27,28]", "plainTextFormattedCitation" : "[27,28]", "previouslyFormattedCitation" : "[27,28]" }, "properties" : {  }, "schema" : "https://github.com/citation-style-language/schema/raw/master/csl-citation.json" }</w:instrText>
      </w:r>
      <w:r w:rsidR="00DC177E">
        <w:fldChar w:fldCharType="separate"/>
      </w:r>
      <w:r w:rsidR="00D22DD6" w:rsidRPr="00D22DD6">
        <w:rPr>
          <w:noProof/>
        </w:rPr>
        <w:t>[27,28]</w:t>
      </w:r>
      <w:r w:rsidR="00DC177E">
        <w:fldChar w:fldCharType="end"/>
      </w:r>
      <w:r w:rsidR="00DC177E">
        <w:t xml:space="preserve">) which applies Poisson statistics to distinguish between real and phantom nucleation events. Real events are those nucleation events that occur in untransformed regions. Phantom events are those that occur within </w:t>
      </w:r>
      <w:r w:rsidR="001412E1">
        <w:t>(</w:t>
      </w:r>
      <w:r w:rsidR="00DC177E">
        <w:t>consumed by</w:t>
      </w:r>
      <w:r w:rsidR="001412E1">
        <w:t>)</w:t>
      </w:r>
      <w:r w:rsidR="00DC177E">
        <w:t xml:space="preserve"> the transformed volume.</w:t>
      </w:r>
    </w:p>
    <w:p w14:paraId="622C6224" w14:textId="15DA373E" w:rsidR="00DC177E" w:rsidRDefault="00DC177E" w:rsidP="000F6A56">
      <w:pPr>
        <w:pStyle w:val="Newparagraph"/>
      </w:pPr>
      <w:r>
        <w:t xml:space="preserve">Each active nuclei is assumed to grow with spherical geometry, hence the volume of any given </w:t>
      </w:r>
      <w:r w:rsidR="00913356">
        <w:t>grain</w:t>
      </w:r>
      <w:r>
        <w:t>,</w:t>
      </w:r>
      <m:oMath>
        <m:r>
          <w:rPr>
            <w:rFonts w:ascii="Cambria Math" w:hAnsi="Cambria Math"/>
          </w:rPr>
          <m:t xml:space="preserve"> </m:t>
        </m:r>
        <m:sSub>
          <m:sSubPr>
            <m:ctrlPr>
              <w:rPr>
                <w:rFonts w:ascii="Cambria Math" w:hAnsi="Cambria Math"/>
                <w:i/>
              </w:rPr>
            </m:ctrlPr>
          </m:sSubPr>
          <m:e>
            <m:r>
              <w:rPr>
                <w:rFonts w:ascii="Cambria Math" w:hAnsi="Cambria Math"/>
              </w:rPr>
              <m:t>V</m:t>
            </m:r>
          </m:e>
          <m:sub>
            <m:r>
              <w:rPr>
                <w:rFonts w:ascii="Cambria Math" w:hAnsi="Cambria Math"/>
              </w:rPr>
              <m:t>i</m:t>
            </m:r>
          </m:sub>
        </m:sSub>
        <m:d>
          <m:dPr>
            <m:ctrlPr>
              <w:rPr>
                <w:rFonts w:ascii="Cambria Math" w:hAnsi="Cambria Math"/>
                <w:i/>
              </w:rPr>
            </m:ctrlPr>
          </m:dPr>
          <m:e>
            <m:r>
              <w:rPr>
                <w:rFonts w:ascii="Cambria Math" w:hAnsi="Cambria Math"/>
              </w:rPr>
              <m:t>t</m:t>
            </m:r>
          </m:e>
        </m:d>
      </m:oMath>
      <w:r w:rsidR="00FB2562">
        <w:t>,</w:t>
      </w:r>
      <w:r>
        <w:t xml:space="preserve"> at a given time (neglecting its initial size at the moment of initiation) is given by</w:t>
      </w:r>
    </w:p>
    <w:tbl>
      <w:tblPr>
        <w:tblStyle w:val="TableGrid"/>
        <w:tblW w:w="0" w:type="auto"/>
        <w:jc w:val="center"/>
        <w:tblLook w:val="04A0" w:firstRow="1" w:lastRow="0" w:firstColumn="1" w:lastColumn="0" w:noHBand="0" w:noVBand="1"/>
      </w:tblPr>
      <w:tblGrid>
        <w:gridCol w:w="7905"/>
        <w:gridCol w:w="810"/>
      </w:tblGrid>
      <w:tr w:rsidR="00DC177E" w14:paraId="300190B1" w14:textId="77777777" w:rsidTr="00C9779B">
        <w:trPr>
          <w:jc w:val="center"/>
        </w:trPr>
        <w:tc>
          <w:tcPr>
            <w:tcW w:w="7905" w:type="dxa"/>
            <w:tcBorders>
              <w:top w:val="nil"/>
              <w:left w:val="nil"/>
              <w:bottom w:val="nil"/>
              <w:right w:val="nil"/>
            </w:tcBorders>
            <w:vAlign w:val="center"/>
          </w:tcPr>
          <w:p w14:paraId="5BBDEA86" w14:textId="1167FDEA" w:rsidR="00DC177E" w:rsidRDefault="008F6ACD" w:rsidP="00C9779B">
            <w:pPr>
              <w:pStyle w:val="Newparagraph"/>
              <w:ind w:firstLine="0"/>
              <w:contextualSpacing/>
              <w:jc w:val="center"/>
            </w:pPr>
            <m:oMathPara>
              <m:oMath>
                <m:m>
                  <m:mPr>
                    <m:mcs>
                      <m:mc>
                        <m:mcPr>
                          <m:count m:val="2"/>
                          <m:mcJc m:val="center"/>
                        </m:mcPr>
                      </m:mc>
                    </m:mcs>
                    <m:ctrlPr>
                      <w:rPr>
                        <w:rFonts w:ascii="Cambria Math" w:hAnsi="Cambria Math"/>
                        <w:i/>
                      </w:rPr>
                    </m:ctrlPr>
                  </m:mPr>
                  <m:mr>
                    <m:e>
                      <m:sSub>
                        <m:sSubPr>
                          <m:ctrlPr>
                            <w:rPr>
                              <w:rFonts w:ascii="Cambria Math" w:hAnsi="Cambria Math"/>
                            </w:rPr>
                          </m:ctrlPr>
                        </m:sSubPr>
                        <m:e>
                          <m:r>
                            <w:rPr>
                              <w:rFonts w:ascii="Cambria Math" w:hAnsi="Cambria Math"/>
                            </w:rPr>
                            <m:t>V</m:t>
                          </m:r>
                        </m:e>
                        <m:sub>
                          <m:r>
                            <w:rPr>
                              <w:rFonts w:ascii="Cambria Math" w:hAnsi="Cambria Math"/>
                            </w:rPr>
                            <m:t>i</m:t>
                          </m:r>
                        </m:sub>
                      </m:sSub>
                      <m:d>
                        <m:dPr>
                          <m:ctrlPr>
                            <w:rPr>
                              <w:rFonts w:ascii="Cambria Math" w:hAnsi="Cambria Math"/>
                            </w:rPr>
                          </m:ctrlPr>
                        </m:dPr>
                        <m:e>
                          <m:r>
                            <w:rPr>
                              <w:rFonts w:ascii="Cambria Math" w:hAnsi="Cambria Math"/>
                            </w:rPr>
                            <m:t>t</m:t>
                          </m:r>
                        </m:e>
                      </m:d>
                      <m:r>
                        <m:rPr>
                          <m:sty m:val="p"/>
                        </m:rPr>
                        <w:rPr>
                          <w:rFonts w:ascii="Cambria Math" w:hAnsi="Cambria Math"/>
                        </w:rPr>
                        <m:t>=</m:t>
                      </m:r>
                      <m:f>
                        <m:fPr>
                          <m:ctrlPr>
                            <w:rPr>
                              <w:rFonts w:ascii="Cambria Math" w:hAnsi="Cambria Math"/>
                            </w:rPr>
                          </m:ctrlPr>
                        </m:fPr>
                        <m:num>
                          <m:r>
                            <w:rPr>
                              <w:rFonts w:ascii="Cambria Math" w:hAnsi="Cambria Math"/>
                            </w:rPr>
                            <m:t>4π</m:t>
                          </m:r>
                        </m:num>
                        <m:den>
                          <m:r>
                            <w:rPr>
                              <w:rFonts w:ascii="Cambria Math" w:hAnsi="Cambria Math"/>
                            </w:rPr>
                            <m:t>3</m:t>
                          </m:r>
                        </m:den>
                      </m:f>
                      <m:sSub>
                        <m:sSubPr>
                          <m:ctrlPr>
                            <w:rPr>
                              <w:rFonts w:ascii="Cambria Math" w:hAnsi="Cambria Math"/>
                              <w:i/>
                            </w:rPr>
                          </m:ctrlPr>
                        </m:sSubPr>
                        <m:e>
                          <m:r>
                            <w:rPr>
                              <w:rFonts w:ascii="Cambria Math" w:hAnsi="Cambria Math"/>
                            </w:rPr>
                            <m:t>R</m:t>
                          </m:r>
                        </m:e>
                        <m:sub>
                          <m:r>
                            <w:rPr>
                              <w:rFonts w:ascii="Cambria Math" w:hAnsi="Cambria Math"/>
                            </w:rPr>
                            <m:t>i</m:t>
                          </m:r>
                        </m:sub>
                      </m:sSub>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n</m:t>
                                  </m:r>
                                </m:sub>
                              </m:sSub>
                              <m:r>
                                <w:rPr>
                                  <w:rFonts w:ascii="Cambria Math" w:hAnsi="Cambria Math"/>
                                </w:rPr>
                                <m:t>,t</m:t>
                              </m:r>
                            </m:e>
                          </m:d>
                        </m:e>
                        <m:sup>
                          <m:r>
                            <w:rPr>
                              <w:rFonts w:ascii="Cambria Math" w:hAnsi="Cambria Math"/>
                            </w:rPr>
                            <m:t>3</m:t>
                          </m:r>
                        </m:sup>
                      </m:sSup>
                    </m:e>
                    <m:e>
                      <m:r>
                        <w:rPr>
                          <w:rFonts w:ascii="Cambria Math" w:hAnsi="Cambria Math"/>
                        </w:rPr>
                        <m:t>,</m:t>
                      </m:r>
                    </m:e>
                  </m:mr>
                </m:m>
              </m:oMath>
            </m:oMathPara>
          </w:p>
        </w:tc>
        <w:tc>
          <w:tcPr>
            <w:tcW w:w="810" w:type="dxa"/>
            <w:tcBorders>
              <w:top w:val="nil"/>
              <w:left w:val="nil"/>
              <w:bottom w:val="nil"/>
              <w:right w:val="nil"/>
            </w:tcBorders>
            <w:vAlign w:val="center"/>
          </w:tcPr>
          <w:p w14:paraId="1FDB02A7" w14:textId="77777777" w:rsidR="00DC177E" w:rsidRDefault="00DC177E" w:rsidP="00C9779B">
            <w:pPr>
              <w:pStyle w:val="Newparagraph"/>
              <w:ind w:firstLine="0"/>
              <w:contextualSpacing/>
              <w:jc w:val="center"/>
            </w:pPr>
            <w:r>
              <w:t>(</w:t>
            </w:r>
            <w:fldSimple w:instr=" SEQ Eqn \* MERGEFORMAT ">
              <w:r w:rsidR="002637FB">
                <w:rPr>
                  <w:noProof/>
                </w:rPr>
                <w:t>8</w:t>
              </w:r>
            </w:fldSimple>
            <w:r>
              <w:t>)</w:t>
            </w:r>
          </w:p>
        </w:tc>
      </w:tr>
    </w:tbl>
    <w:p w14:paraId="4718AFD7" w14:textId="2910A1A5" w:rsidR="00DC177E" w:rsidRDefault="00DC177E" w:rsidP="00913356">
      <w:pPr>
        <w:pStyle w:val="Newparagraph"/>
        <w:ind w:firstLine="0"/>
      </w:pPr>
      <w:r>
        <w:t xml:space="preserve">where the </w:t>
      </w:r>
      <m:oMath>
        <m:sSub>
          <m:sSubPr>
            <m:ctrlPr>
              <w:rPr>
                <w:rFonts w:ascii="Cambria Math" w:hAnsi="Cambria Math"/>
                <w:i/>
              </w:rPr>
            </m:ctrlPr>
          </m:sSubPr>
          <m:e>
            <m:r>
              <w:rPr>
                <w:rFonts w:ascii="Cambria Math" w:hAnsi="Cambria Math"/>
              </w:rPr>
              <m:t>R</m:t>
            </m:r>
          </m:e>
          <m:sub>
            <m:r>
              <w:rPr>
                <w:rFonts w:ascii="Cambria Math" w:hAnsi="Cambria Math"/>
              </w:rPr>
              <m:t>i</m:t>
            </m:r>
          </m:sub>
        </m:sSub>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n</m:t>
                </m:r>
              </m:sub>
            </m:sSub>
            <m:r>
              <w:rPr>
                <w:rFonts w:ascii="Cambria Math" w:hAnsi="Cambria Math"/>
              </w:rPr>
              <m:t>,t</m:t>
            </m:r>
          </m:e>
        </m:d>
      </m:oMath>
      <w:r>
        <w:t xml:space="preserve"> is the radius of that grain at time </w:t>
      </w:r>
      <w:r>
        <w:rPr>
          <w:i/>
        </w:rPr>
        <w:t>t</w:t>
      </w:r>
      <w:r>
        <w:t xml:space="preserve"> where it nucleated at time </w:t>
      </w:r>
      <w:r>
        <w:rPr>
          <w:i/>
        </w:rPr>
        <w:t>t</w:t>
      </w:r>
      <w:r>
        <w:rPr>
          <w:i/>
          <w:vertAlign w:val="subscript"/>
        </w:rPr>
        <w:t>n</w:t>
      </w:r>
      <w:r>
        <w:t>. The radius of any grain is calculated by integrating the growth rate</w:t>
      </w:r>
    </w:p>
    <w:tbl>
      <w:tblPr>
        <w:tblStyle w:val="TableGrid"/>
        <w:tblW w:w="0" w:type="auto"/>
        <w:jc w:val="center"/>
        <w:tblLook w:val="04A0" w:firstRow="1" w:lastRow="0" w:firstColumn="1" w:lastColumn="0" w:noHBand="0" w:noVBand="1"/>
      </w:tblPr>
      <w:tblGrid>
        <w:gridCol w:w="7905"/>
        <w:gridCol w:w="810"/>
      </w:tblGrid>
      <w:tr w:rsidR="00DC177E" w14:paraId="53BF8B7E" w14:textId="77777777" w:rsidTr="00C9779B">
        <w:trPr>
          <w:jc w:val="center"/>
        </w:trPr>
        <w:tc>
          <w:tcPr>
            <w:tcW w:w="7905" w:type="dxa"/>
            <w:tcBorders>
              <w:top w:val="nil"/>
              <w:left w:val="nil"/>
              <w:bottom w:val="nil"/>
              <w:right w:val="nil"/>
            </w:tcBorders>
            <w:vAlign w:val="center"/>
          </w:tcPr>
          <w:p w14:paraId="191EA745" w14:textId="76162E11" w:rsidR="00DC177E" w:rsidRDefault="008F6ACD" w:rsidP="00C9779B">
            <w:pPr>
              <w:pStyle w:val="Newparagraph"/>
              <w:ind w:firstLine="0"/>
              <w:contextualSpacing/>
              <w:jc w:val="center"/>
            </w:pPr>
            <m:oMathPara>
              <m:oMath>
                <m:m>
                  <m:mPr>
                    <m:mcs>
                      <m:mc>
                        <m:mcPr>
                          <m:count m:val="2"/>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R</m:t>
                          </m:r>
                        </m:e>
                        <m:sub>
                          <m:r>
                            <w:rPr>
                              <w:rFonts w:ascii="Cambria Math" w:hAnsi="Cambria Math"/>
                            </w:rPr>
                            <m:t>i</m:t>
                          </m:r>
                        </m:sub>
                      </m:sSub>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n</m:t>
                              </m:r>
                            </m:sub>
                          </m:sSub>
                          <m:r>
                            <w:rPr>
                              <w:rFonts w:ascii="Cambria Math" w:hAnsi="Cambria Math"/>
                            </w:rPr>
                            <m:t>,t</m:t>
                          </m:r>
                        </m:e>
                      </m:d>
                      <m:r>
                        <w:rPr>
                          <w:rFonts w:ascii="Cambria Math" w:hAnsi="Cambria Math"/>
                        </w:rPr>
                        <m:t>=</m:t>
                      </m:r>
                      <m:nary>
                        <m:naryPr>
                          <m:limLoc m:val="subSup"/>
                          <m:ctrlPr>
                            <w:rPr>
                              <w:rFonts w:ascii="Cambria Math" w:hAnsi="Cambria Math"/>
                              <w:i/>
                            </w:rPr>
                          </m:ctrlPr>
                        </m:naryPr>
                        <m:sub>
                          <m:sSub>
                            <m:sSubPr>
                              <m:ctrlPr>
                                <w:rPr>
                                  <w:rFonts w:ascii="Cambria Math" w:hAnsi="Cambria Math"/>
                                  <w:i/>
                                </w:rPr>
                              </m:ctrlPr>
                            </m:sSubPr>
                            <m:e>
                              <m:r>
                                <w:rPr>
                                  <w:rFonts w:ascii="Cambria Math" w:hAnsi="Cambria Math"/>
                                </w:rPr>
                                <m:t>t</m:t>
                              </m:r>
                            </m:e>
                            <m:sub>
                              <m:r>
                                <w:rPr>
                                  <w:rFonts w:ascii="Cambria Math" w:hAnsi="Cambria Math"/>
                                </w:rPr>
                                <m:t>n</m:t>
                              </m:r>
                            </m:sub>
                          </m:sSub>
                        </m:sub>
                        <m:sup>
                          <m:r>
                            <w:rPr>
                              <w:rFonts w:ascii="Cambria Math" w:hAnsi="Cambria Math"/>
                            </w:rPr>
                            <m:t>t</m:t>
                          </m:r>
                        </m:sup>
                        <m:e>
                          <m:sSub>
                            <m:sSubPr>
                              <m:ctrlPr>
                                <w:rPr>
                                  <w:rFonts w:ascii="Cambria Math" w:hAnsi="Cambria Math"/>
                                  <w:i/>
                                </w:rPr>
                              </m:ctrlPr>
                            </m:sSubPr>
                            <m:e>
                              <m:r>
                                <w:rPr>
                                  <w:rFonts w:ascii="Cambria Math" w:hAnsi="Cambria Math"/>
                                </w:rPr>
                                <m:t>v</m:t>
                              </m:r>
                            </m:e>
                            <m:sub>
                              <m:r>
                                <w:rPr>
                                  <w:rFonts w:ascii="Cambria Math" w:hAnsi="Cambria Math"/>
                                </w:rPr>
                                <m:t>t</m:t>
                              </m:r>
                            </m:sub>
                          </m:sSub>
                          <m:d>
                            <m:dPr>
                              <m:ctrlPr>
                                <w:rPr>
                                  <w:rFonts w:ascii="Cambria Math" w:hAnsi="Cambria Math"/>
                                  <w:i/>
                                </w:rPr>
                              </m:ctrlPr>
                            </m:dPr>
                            <m:e>
                              <m:sSup>
                                <m:sSupPr>
                                  <m:ctrlPr>
                                    <w:rPr>
                                      <w:rFonts w:ascii="Cambria Math" w:hAnsi="Cambria Math"/>
                                      <w:i/>
                                    </w:rPr>
                                  </m:ctrlPr>
                                </m:sSupPr>
                                <m:e>
                                  <m:r>
                                    <w:rPr>
                                      <w:rFonts w:ascii="Cambria Math" w:hAnsi="Cambria Math"/>
                                    </w:rPr>
                                    <m:t>t</m:t>
                                  </m:r>
                                </m:e>
                                <m:sup>
                                  <m:r>
                                    <w:rPr>
                                      <w:rFonts w:ascii="Cambria Math" w:hAnsi="Cambria Math"/>
                                    </w:rPr>
                                    <m:t>'</m:t>
                                  </m:r>
                                </m:sup>
                              </m:sSup>
                            </m:e>
                          </m:d>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m:t>
                              </m:r>
                            </m:sup>
                          </m:sSup>
                        </m:e>
                      </m:nary>
                    </m:e>
                    <m:e>
                      <m:r>
                        <w:rPr>
                          <w:rFonts w:ascii="Cambria Math" w:hAnsi="Cambria Math"/>
                        </w:rPr>
                        <m:t>,</m:t>
                      </m:r>
                    </m:e>
                  </m:mr>
                </m:m>
              </m:oMath>
            </m:oMathPara>
          </w:p>
        </w:tc>
        <w:tc>
          <w:tcPr>
            <w:tcW w:w="810" w:type="dxa"/>
            <w:tcBorders>
              <w:top w:val="nil"/>
              <w:left w:val="nil"/>
              <w:bottom w:val="nil"/>
              <w:right w:val="nil"/>
            </w:tcBorders>
            <w:vAlign w:val="center"/>
          </w:tcPr>
          <w:p w14:paraId="4803C594" w14:textId="77777777" w:rsidR="00DC177E" w:rsidRDefault="00DC177E" w:rsidP="00C9779B">
            <w:pPr>
              <w:pStyle w:val="Newparagraph"/>
              <w:ind w:firstLine="0"/>
              <w:contextualSpacing/>
              <w:jc w:val="center"/>
            </w:pPr>
            <w:r>
              <w:t>(</w:t>
            </w:r>
            <w:fldSimple w:instr=" SEQ Eqn \* MERGEFORMAT ">
              <w:r w:rsidR="002637FB">
                <w:rPr>
                  <w:noProof/>
                </w:rPr>
                <w:t>9</w:t>
              </w:r>
            </w:fldSimple>
            <w:r>
              <w:t>)</w:t>
            </w:r>
          </w:p>
        </w:tc>
      </w:tr>
    </w:tbl>
    <w:p w14:paraId="76573A9C" w14:textId="3204CF86" w:rsidR="00DC177E" w:rsidRDefault="00DC177E" w:rsidP="00913356">
      <w:pPr>
        <w:pStyle w:val="Newparagraph"/>
        <w:ind w:firstLine="0"/>
      </w:pPr>
      <w:r>
        <w:t xml:space="preserve">where </w:t>
      </w:r>
      <m:oMath>
        <m:sSub>
          <m:sSubPr>
            <m:ctrlPr>
              <w:rPr>
                <w:rFonts w:ascii="Cambria Math" w:hAnsi="Cambria Math"/>
                <w:i/>
              </w:rPr>
            </m:ctrlPr>
          </m:sSubPr>
          <m:e>
            <m:r>
              <w:rPr>
                <w:rFonts w:ascii="Cambria Math" w:hAnsi="Cambria Math"/>
              </w:rPr>
              <m:t>v</m:t>
            </m:r>
          </m:e>
          <m:sub>
            <m:r>
              <w:rPr>
                <w:rFonts w:ascii="Cambria Math" w:hAnsi="Cambria Math"/>
              </w:rPr>
              <m:t>t</m:t>
            </m:r>
          </m:sub>
        </m:sSub>
        <m:d>
          <m:dPr>
            <m:ctrlPr>
              <w:rPr>
                <w:rFonts w:ascii="Cambria Math" w:hAnsi="Cambria Math"/>
                <w:i/>
              </w:rPr>
            </m:ctrlPr>
          </m:dPr>
          <m:e>
            <m:sSup>
              <m:sSupPr>
                <m:ctrlPr>
                  <w:rPr>
                    <w:rFonts w:ascii="Cambria Math" w:hAnsi="Cambria Math"/>
                    <w:i/>
                  </w:rPr>
                </m:ctrlPr>
              </m:sSupPr>
              <m:e>
                <m:r>
                  <w:rPr>
                    <w:rFonts w:ascii="Cambria Math" w:hAnsi="Cambria Math"/>
                  </w:rPr>
                  <m:t>t</m:t>
                </m:r>
              </m:e>
              <m:sup>
                <m:r>
                  <w:rPr>
                    <w:rFonts w:ascii="Cambria Math" w:hAnsi="Cambria Math"/>
                  </w:rPr>
                  <m:t>'</m:t>
                </m:r>
              </m:sup>
            </m:sSup>
          </m:e>
        </m:d>
      </m:oMath>
      <w:r>
        <w:t xml:space="preserve"> is growth rate and </w:t>
      </w:r>
      <m:oMath>
        <m:sSup>
          <m:sSupPr>
            <m:ctrlPr>
              <w:rPr>
                <w:rFonts w:ascii="Cambria Math" w:hAnsi="Cambria Math"/>
                <w:i/>
              </w:rPr>
            </m:ctrlPr>
          </m:sSupPr>
          <m:e>
            <m:r>
              <w:rPr>
                <w:rFonts w:ascii="Cambria Math" w:hAnsi="Cambria Math"/>
              </w:rPr>
              <m:t>t</m:t>
            </m:r>
          </m:e>
          <m:sup>
            <m:r>
              <w:rPr>
                <w:rFonts w:ascii="Cambria Math" w:hAnsi="Cambria Math"/>
              </w:rPr>
              <m:t>'</m:t>
            </m:r>
          </m:sup>
        </m:sSup>
      </m:oMath>
      <w:r>
        <w:t xml:space="preserve"> is an intermediate time variable required for integration. If the seeds are </w:t>
      </w:r>
      <w:r w:rsidR="00913356">
        <w:t xml:space="preserve">spatially </w:t>
      </w:r>
      <w:r>
        <w:t xml:space="preserve">distributed without bias then the Possion statistical process holds. The probability that any remaining passive seed is excluded from the transformed volume (i.e., within untransformed regions) is </w:t>
      </w:r>
    </w:p>
    <w:tbl>
      <w:tblPr>
        <w:tblStyle w:val="TableGrid"/>
        <w:tblW w:w="0" w:type="auto"/>
        <w:jc w:val="center"/>
        <w:tblLook w:val="04A0" w:firstRow="1" w:lastRow="0" w:firstColumn="1" w:lastColumn="0" w:noHBand="0" w:noVBand="1"/>
      </w:tblPr>
      <w:tblGrid>
        <w:gridCol w:w="7905"/>
        <w:gridCol w:w="810"/>
      </w:tblGrid>
      <w:tr w:rsidR="00DC177E" w14:paraId="7718C868" w14:textId="77777777" w:rsidTr="00C9779B">
        <w:trPr>
          <w:jc w:val="center"/>
        </w:trPr>
        <w:tc>
          <w:tcPr>
            <w:tcW w:w="7905" w:type="dxa"/>
            <w:tcBorders>
              <w:top w:val="nil"/>
              <w:left w:val="nil"/>
              <w:bottom w:val="nil"/>
              <w:right w:val="nil"/>
            </w:tcBorders>
            <w:vAlign w:val="center"/>
          </w:tcPr>
          <w:p w14:paraId="0B706AB6" w14:textId="4CD8EF08" w:rsidR="00DC177E" w:rsidRDefault="008F6ACD" w:rsidP="00913356">
            <w:pPr>
              <w:pStyle w:val="Newparagraph"/>
              <w:ind w:firstLine="0"/>
              <w:contextualSpacing/>
              <w:jc w:val="center"/>
            </w:pPr>
            <m:oMathPara>
              <m:oMath>
                <m:m>
                  <m:mPr>
                    <m:mcs>
                      <m:mc>
                        <m:mcPr>
                          <m:count m:val="2"/>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P</m:t>
                          </m:r>
                        </m:e>
                        <m:sub>
                          <m:r>
                            <w:rPr>
                              <w:rFonts w:ascii="Cambria Math" w:hAnsi="Cambria Math"/>
                            </w:rPr>
                            <m:t>i</m:t>
                          </m:r>
                        </m:sub>
                      </m:sSub>
                      <m:r>
                        <w:rPr>
                          <w:rFonts w:ascii="Cambria Math" w:hAnsi="Cambria Math"/>
                        </w:rPr>
                        <m:t>=exp</m:t>
                      </m:r>
                      <m:d>
                        <m:dPr>
                          <m:ctrlPr>
                            <w:rPr>
                              <w:rFonts w:ascii="Cambria Math" w:hAnsi="Cambria Math"/>
                              <w:i/>
                            </w:rPr>
                          </m:ctrlPr>
                        </m:dPr>
                        <m:e>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i</m:t>
                              </m:r>
                            </m:sub>
                          </m:sSub>
                          <m:f>
                            <m:fPr>
                              <m:ctrlPr>
                                <w:rPr>
                                  <w:rFonts w:ascii="Cambria Math" w:hAnsi="Cambria Math"/>
                                  <w:i/>
                                </w:rPr>
                              </m:ctrlPr>
                            </m:fPr>
                            <m:num>
                              <m:r>
                                <w:rPr>
                                  <w:rFonts w:ascii="Cambria Math" w:hAnsi="Cambria Math"/>
                                </w:rPr>
                                <m:t>4π</m:t>
                              </m:r>
                            </m:num>
                            <m:den>
                              <m:r>
                                <w:rPr>
                                  <w:rFonts w:ascii="Cambria Math" w:hAnsi="Cambria Math"/>
                                </w:rPr>
                                <m:t>3</m:t>
                              </m:r>
                            </m:den>
                          </m:f>
                          <m:sSubSup>
                            <m:sSubSupPr>
                              <m:ctrlPr>
                                <w:rPr>
                                  <w:rFonts w:ascii="Cambria Math" w:hAnsi="Cambria Math"/>
                                  <w:i/>
                                </w:rPr>
                              </m:ctrlPr>
                            </m:sSubSupPr>
                            <m:e>
                              <m:r>
                                <w:rPr>
                                  <w:rFonts w:ascii="Cambria Math" w:hAnsi="Cambria Math"/>
                                </w:rPr>
                                <m:t>R</m:t>
                              </m:r>
                            </m:e>
                            <m:sub>
                              <m:r>
                                <w:rPr>
                                  <w:rFonts w:ascii="Cambria Math" w:hAnsi="Cambria Math"/>
                                </w:rPr>
                                <m:t>i</m:t>
                              </m:r>
                            </m:sub>
                            <m:sup>
                              <m:r>
                                <w:rPr>
                                  <w:rFonts w:ascii="Cambria Math" w:hAnsi="Cambria Math"/>
                                </w:rPr>
                                <m:t>3</m:t>
                              </m:r>
                            </m:sup>
                          </m:sSubSup>
                        </m:e>
                      </m:d>
                    </m:e>
                    <m:e>
                      <m:r>
                        <w:rPr>
                          <w:rFonts w:ascii="Cambria Math" w:hAnsi="Cambria Math"/>
                        </w:rPr>
                        <m:t>,</m:t>
                      </m:r>
                    </m:e>
                  </m:mr>
                </m:m>
              </m:oMath>
            </m:oMathPara>
          </w:p>
        </w:tc>
        <w:tc>
          <w:tcPr>
            <w:tcW w:w="810" w:type="dxa"/>
            <w:tcBorders>
              <w:top w:val="nil"/>
              <w:left w:val="nil"/>
              <w:bottom w:val="nil"/>
              <w:right w:val="nil"/>
            </w:tcBorders>
            <w:vAlign w:val="center"/>
          </w:tcPr>
          <w:p w14:paraId="72BA7B4A" w14:textId="77777777" w:rsidR="00DC177E" w:rsidRDefault="00DC177E" w:rsidP="00C9779B">
            <w:pPr>
              <w:pStyle w:val="Newparagraph"/>
              <w:ind w:firstLine="0"/>
              <w:contextualSpacing/>
              <w:jc w:val="center"/>
            </w:pPr>
            <w:r>
              <w:t>(</w:t>
            </w:r>
            <w:fldSimple w:instr=" SEQ Eqn \* MERGEFORMAT ">
              <w:r w:rsidR="002637FB">
                <w:rPr>
                  <w:noProof/>
                </w:rPr>
                <w:t>10</w:t>
              </w:r>
            </w:fldSimple>
            <w:r>
              <w:t>)</w:t>
            </w:r>
          </w:p>
        </w:tc>
      </w:tr>
    </w:tbl>
    <w:p w14:paraId="357CE493" w14:textId="0405C216" w:rsidR="00DC177E" w:rsidRDefault="00913356" w:rsidP="00135FB0">
      <w:pPr>
        <w:pStyle w:val="Newparagraph"/>
        <w:ind w:firstLine="0"/>
      </w:pPr>
      <w:r>
        <w:lastRenderedPageBreak/>
        <w:t>w</w:t>
      </w:r>
      <w:r w:rsidR="00DC177E">
        <w:t xml:space="preserve">here </w:t>
      </w:r>
      <m:oMath>
        <m:sSub>
          <m:sSubPr>
            <m:ctrlPr>
              <w:rPr>
                <w:rFonts w:ascii="Cambria Math" w:hAnsi="Cambria Math"/>
                <w:i/>
              </w:rPr>
            </m:ctrlPr>
          </m:sSubPr>
          <m:e>
            <m:r>
              <w:rPr>
                <w:rFonts w:ascii="Cambria Math" w:hAnsi="Cambria Math"/>
              </w:rPr>
              <m:t>N</m:t>
            </m:r>
          </m:e>
          <m:sub>
            <m:r>
              <w:rPr>
                <w:rFonts w:ascii="Cambria Math" w:hAnsi="Cambria Math"/>
              </w:rPr>
              <m:t>i</m:t>
            </m:r>
          </m:sub>
        </m:sSub>
      </m:oMath>
      <w:r w:rsidR="00DC177E">
        <w:t xml:space="preserve"> is the nucleation density of active seeds at the time of nucleation of that seed </w:t>
      </w:r>
      <w:r w:rsidR="00DC177E">
        <w:rPr>
          <w:i/>
        </w:rPr>
        <w:t>i</w:t>
      </w:r>
      <w:r w:rsidR="00DC177E">
        <w:t>. The probability that any passive seed do</w:t>
      </w:r>
      <w:r w:rsidR="00AD124A">
        <w:t>es not belong to any previously grown,</w:t>
      </w:r>
      <w:r w:rsidR="00DC177E">
        <w:t xml:space="preserve"> transformed volume is </w:t>
      </w:r>
    </w:p>
    <w:tbl>
      <w:tblPr>
        <w:tblStyle w:val="TableGrid"/>
        <w:tblW w:w="0" w:type="auto"/>
        <w:jc w:val="center"/>
        <w:tblLook w:val="04A0" w:firstRow="1" w:lastRow="0" w:firstColumn="1" w:lastColumn="0" w:noHBand="0" w:noVBand="1"/>
      </w:tblPr>
      <w:tblGrid>
        <w:gridCol w:w="7905"/>
        <w:gridCol w:w="810"/>
      </w:tblGrid>
      <w:tr w:rsidR="00DC177E" w14:paraId="5EA79869" w14:textId="77777777" w:rsidTr="00C9779B">
        <w:trPr>
          <w:jc w:val="center"/>
        </w:trPr>
        <w:tc>
          <w:tcPr>
            <w:tcW w:w="7905" w:type="dxa"/>
            <w:tcBorders>
              <w:top w:val="nil"/>
              <w:left w:val="nil"/>
              <w:bottom w:val="nil"/>
              <w:right w:val="nil"/>
            </w:tcBorders>
            <w:vAlign w:val="center"/>
          </w:tcPr>
          <w:p w14:paraId="1359B3F8" w14:textId="77777777" w:rsidR="00DC177E" w:rsidRDefault="008F6ACD" w:rsidP="00C9779B">
            <w:pPr>
              <w:pStyle w:val="Newparagraph"/>
              <w:ind w:firstLine="0"/>
              <w:contextualSpacing/>
              <w:jc w:val="center"/>
            </w:pPr>
            <m:oMathPara>
              <m:oMath>
                <m:m>
                  <m:mPr>
                    <m:mcs>
                      <m:mc>
                        <m:mcPr>
                          <m:count m:val="2"/>
                          <m:mcJc m:val="center"/>
                        </m:mcPr>
                      </m:mc>
                    </m:mcs>
                    <m:ctrlPr>
                      <w:rPr>
                        <w:rFonts w:ascii="Cambria Math" w:hAnsi="Cambria Math"/>
                        <w:i/>
                      </w:rPr>
                    </m:ctrlPr>
                  </m:mPr>
                  <m:mr>
                    <m:e>
                      <m:r>
                        <w:rPr>
                          <w:rFonts w:ascii="Cambria Math" w:hAnsi="Cambria Math"/>
                        </w:rPr>
                        <m:t>P=</m:t>
                      </m:r>
                      <m:nary>
                        <m:naryPr>
                          <m:chr m:val="∏"/>
                          <m:limLoc m:val="undOvr"/>
                          <m:supHide m:val="1"/>
                          <m:ctrlPr>
                            <w:rPr>
                              <w:rFonts w:ascii="Cambria Math" w:hAnsi="Cambria Math"/>
                              <w:i/>
                            </w:rPr>
                          </m:ctrlPr>
                        </m:naryPr>
                        <m:sub>
                          <m:r>
                            <w:rPr>
                              <w:rFonts w:ascii="Cambria Math" w:hAnsi="Cambria Math"/>
                            </w:rPr>
                            <m:t>i</m:t>
                          </m:r>
                        </m:sub>
                        <m:sup/>
                        <m:e>
                          <m:sSub>
                            <m:sSubPr>
                              <m:ctrlPr>
                                <w:rPr>
                                  <w:rFonts w:ascii="Cambria Math" w:hAnsi="Cambria Math"/>
                                  <w:i/>
                                </w:rPr>
                              </m:ctrlPr>
                            </m:sSubPr>
                            <m:e>
                              <m:r>
                                <w:rPr>
                                  <w:rFonts w:ascii="Cambria Math" w:hAnsi="Cambria Math"/>
                                </w:rPr>
                                <m:t>P</m:t>
                              </m:r>
                            </m:e>
                            <m:sub>
                              <m:r>
                                <w:rPr>
                                  <w:rFonts w:ascii="Cambria Math" w:hAnsi="Cambria Math"/>
                                </w:rPr>
                                <m:t>i</m:t>
                              </m:r>
                            </m:sub>
                          </m:sSub>
                        </m:e>
                      </m:nary>
                      <m:r>
                        <w:rPr>
                          <w:rFonts w:ascii="Cambria Math" w:hAnsi="Cambria Math"/>
                        </w:rPr>
                        <m:t xml:space="preserve"> =exp</m:t>
                      </m:r>
                      <m:d>
                        <m:dPr>
                          <m:ctrlPr>
                            <w:rPr>
                              <w:rFonts w:ascii="Cambria Math" w:hAnsi="Cambria Math"/>
                              <w:i/>
                            </w:rPr>
                          </m:ctrlPr>
                        </m:dPr>
                        <m:e>
                          <m:r>
                            <w:rPr>
                              <w:rFonts w:ascii="Cambria Math" w:hAnsi="Cambria Math"/>
                            </w:rPr>
                            <m:t>-</m:t>
                          </m:r>
                          <m:nary>
                            <m:naryPr>
                              <m:chr m:val="∑"/>
                              <m:limLoc m:val="undOvr"/>
                              <m:supHide m:val="1"/>
                              <m:ctrlPr>
                                <w:rPr>
                                  <w:rFonts w:ascii="Cambria Math" w:hAnsi="Cambria Math"/>
                                  <w:i/>
                                </w:rPr>
                              </m:ctrlPr>
                            </m:naryPr>
                            <m:sub>
                              <m:r>
                                <w:rPr>
                                  <w:rFonts w:ascii="Cambria Math" w:hAnsi="Cambria Math"/>
                                </w:rPr>
                                <m:t>i</m:t>
                              </m:r>
                            </m:sub>
                            <m:sup/>
                            <m:e>
                              <m:sSub>
                                <m:sSubPr>
                                  <m:ctrlPr>
                                    <w:rPr>
                                      <w:rFonts w:ascii="Cambria Math" w:hAnsi="Cambria Math"/>
                                      <w:i/>
                                    </w:rPr>
                                  </m:ctrlPr>
                                </m:sSubPr>
                                <m:e>
                                  <m:r>
                                    <w:rPr>
                                      <w:rFonts w:ascii="Cambria Math" w:hAnsi="Cambria Math"/>
                                    </w:rPr>
                                    <m:t>N</m:t>
                                  </m:r>
                                </m:e>
                                <m:sub>
                                  <m:r>
                                    <w:rPr>
                                      <w:rFonts w:ascii="Cambria Math" w:hAnsi="Cambria Math"/>
                                    </w:rPr>
                                    <m:t>i</m:t>
                                  </m:r>
                                </m:sub>
                              </m:sSub>
                              <m:f>
                                <m:fPr>
                                  <m:ctrlPr>
                                    <w:rPr>
                                      <w:rFonts w:ascii="Cambria Math" w:hAnsi="Cambria Math"/>
                                      <w:i/>
                                    </w:rPr>
                                  </m:ctrlPr>
                                </m:fPr>
                                <m:num>
                                  <m:r>
                                    <w:rPr>
                                      <w:rFonts w:ascii="Cambria Math" w:hAnsi="Cambria Math"/>
                                    </w:rPr>
                                    <m:t>4π</m:t>
                                  </m:r>
                                </m:num>
                                <m:den>
                                  <m:r>
                                    <w:rPr>
                                      <w:rFonts w:ascii="Cambria Math" w:hAnsi="Cambria Math"/>
                                    </w:rPr>
                                    <m:t>3</m:t>
                                  </m:r>
                                </m:den>
                              </m:f>
                              <m:sSubSup>
                                <m:sSubSupPr>
                                  <m:ctrlPr>
                                    <w:rPr>
                                      <w:rFonts w:ascii="Cambria Math" w:hAnsi="Cambria Math"/>
                                      <w:i/>
                                    </w:rPr>
                                  </m:ctrlPr>
                                </m:sSubSupPr>
                                <m:e>
                                  <m:r>
                                    <w:rPr>
                                      <w:rFonts w:ascii="Cambria Math" w:hAnsi="Cambria Math"/>
                                    </w:rPr>
                                    <m:t>R</m:t>
                                  </m:r>
                                </m:e>
                                <m:sub>
                                  <m:r>
                                    <w:rPr>
                                      <w:rFonts w:ascii="Cambria Math" w:hAnsi="Cambria Math"/>
                                    </w:rPr>
                                    <m:t>i</m:t>
                                  </m:r>
                                </m:sub>
                                <m:sup>
                                  <m:r>
                                    <w:rPr>
                                      <w:rFonts w:ascii="Cambria Math" w:hAnsi="Cambria Math"/>
                                    </w:rPr>
                                    <m:t>3</m:t>
                                  </m:r>
                                </m:sup>
                              </m:sSubSup>
                            </m:e>
                          </m:nary>
                        </m:e>
                      </m:d>
                    </m:e>
                    <m:e>
                      <m:r>
                        <w:rPr>
                          <w:rFonts w:ascii="Cambria Math" w:hAnsi="Cambria Math"/>
                        </w:rPr>
                        <m:t>.</m:t>
                      </m:r>
                    </m:e>
                  </m:mr>
                </m:m>
              </m:oMath>
            </m:oMathPara>
          </w:p>
        </w:tc>
        <w:tc>
          <w:tcPr>
            <w:tcW w:w="810" w:type="dxa"/>
            <w:tcBorders>
              <w:top w:val="nil"/>
              <w:left w:val="nil"/>
              <w:bottom w:val="nil"/>
              <w:right w:val="nil"/>
            </w:tcBorders>
            <w:vAlign w:val="center"/>
          </w:tcPr>
          <w:p w14:paraId="7359FF64" w14:textId="77777777" w:rsidR="00DC177E" w:rsidRDefault="00DC177E" w:rsidP="00C9779B">
            <w:pPr>
              <w:pStyle w:val="Newparagraph"/>
              <w:ind w:firstLine="0"/>
              <w:contextualSpacing/>
              <w:jc w:val="center"/>
            </w:pPr>
            <w:r>
              <w:t>(</w:t>
            </w:r>
            <w:fldSimple w:instr=" SEQ Eqn \* MERGEFORMAT ">
              <w:r w:rsidR="002637FB">
                <w:rPr>
                  <w:noProof/>
                </w:rPr>
                <w:t>11</w:t>
              </w:r>
            </w:fldSimple>
            <w:r>
              <w:t>)</w:t>
            </w:r>
          </w:p>
        </w:tc>
      </w:tr>
    </w:tbl>
    <w:p w14:paraId="5E8EE25D" w14:textId="7F8280C7" w:rsidR="00DC177E" w:rsidRDefault="00DC177E" w:rsidP="0091027E">
      <w:pPr>
        <w:pStyle w:val="Newparagraph"/>
        <w:ind w:firstLine="0"/>
        <w:jc w:val="both"/>
      </w:pPr>
      <w:r>
        <w:t xml:space="preserve">This probability </w:t>
      </w:r>
      <w:r>
        <w:rPr>
          <w:i/>
        </w:rPr>
        <w:t>P</w:t>
      </w:r>
      <w:r>
        <w:t xml:space="preserve"> is also the volume fraction of untransformed region; hence, the volume fraction of transformed regions is given as </w:t>
      </w:r>
    </w:p>
    <w:tbl>
      <w:tblPr>
        <w:tblStyle w:val="TableGrid"/>
        <w:tblW w:w="0" w:type="auto"/>
        <w:jc w:val="center"/>
        <w:tblLook w:val="04A0" w:firstRow="1" w:lastRow="0" w:firstColumn="1" w:lastColumn="0" w:noHBand="0" w:noVBand="1"/>
      </w:tblPr>
      <w:tblGrid>
        <w:gridCol w:w="7905"/>
        <w:gridCol w:w="810"/>
      </w:tblGrid>
      <w:tr w:rsidR="00DC177E" w14:paraId="57AD58AC" w14:textId="77777777" w:rsidTr="00C9779B">
        <w:trPr>
          <w:jc w:val="center"/>
        </w:trPr>
        <w:tc>
          <w:tcPr>
            <w:tcW w:w="7905" w:type="dxa"/>
            <w:tcBorders>
              <w:top w:val="nil"/>
              <w:left w:val="nil"/>
              <w:bottom w:val="nil"/>
              <w:right w:val="nil"/>
            </w:tcBorders>
            <w:vAlign w:val="center"/>
          </w:tcPr>
          <w:p w14:paraId="2A8EEB0B" w14:textId="77777777" w:rsidR="00DC177E" w:rsidRDefault="008F6ACD" w:rsidP="00C9779B">
            <w:pPr>
              <w:pStyle w:val="Newparagraph"/>
              <w:ind w:firstLine="0"/>
              <w:contextualSpacing/>
              <w:jc w:val="center"/>
            </w:pPr>
            <m:oMathPara>
              <m:oMath>
                <m:m>
                  <m:mPr>
                    <m:mcs>
                      <m:mc>
                        <m:mcPr>
                          <m:count m:val="2"/>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P</m:t>
                          </m:r>
                        </m:e>
                        <m:sub>
                          <m:r>
                            <w:rPr>
                              <w:rFonts w:ascii="Cambria Math" w:hAnsi="Cambria Math"/>
                            </w:rPr>
                            <m:t>o</m:t>
                          </m:r>
                        </m:sub>
                      </m:sSub>
                      <m:r>
                        <w:rPr>
                          <w:rFonts w:ascii="Cambria Math" w:hAnsi="Cambria Math"/>
                        </w:rPr>
                        <m:t>=1-P=1-exp</m:t>
                      </m:r>
                      <m:d>
                        <m:dPr>
                          <m:ctrlPr>
                            <w:rPr>
                              <w:rFonts w:ascii="Cambria Math" w:hAnsi="Cambria Math"/>
                              <w:i/>
                            </w:rPr>
                          </m:ctrlPr>
                        </m:dPr>
                        <m:e>
                          <m:r>
                            <w:rPr>
                              <w:rFonts w:ascii="Cambria Math" w:hAnsi="Cambria Math"/>
                            </w:rPr>
                            <m:t>-</m:t>
                          </m:r>
                          <m:nary>
                            <m:naryPr>
                              <m:chr m:val="∑"/>
                              <m:limLoc m:val="undOvr"/>
                              <m:supHide m:val="1"/>
                              <m:ctrlPr>
                                <w:rPr>
                                  <w:rFonts w:ascii="Cambria Math" w:hAnsi="Cambria Math"/>
                                  <w:i/>
                                </w:rPr>
                              </m:ctrlPr>
                            </m:naryPr>
                            <m:sub>
                              <m:r>
                                <w:rPr>
                                  <w:rFonts w:ascii="Cambria Math" w:hAnsi="Cambria Math"/>
                                </w:rPr>
                                <m:t>i</m:t>
                              </m:r>
                            </m:sub>
                            <m:sup/>
                            <m:e>
                              <m:sSub>
                                <m:sSubPr>
                                  <m:ctrlPr>
                                    <w:rPr>
                                      <w:rFonts w:ascii="Cambria Math" w:hAnsi="Cambria Math"/>
                                      <w:i/>
                                    </w:rPr>
                                  </m:ctrlPr>
                                </m:sSubPr>
                                <m:e>
                                  <m:r>
                                    <w:rPr>
                                      <w:rFonts w:ascii="Cambria Math" w:hAnsi="Cambria Math"/>
                                    </w:rPr>
                                    <m:t>N</m:t>
                                  </m:r>
                                </m:e>
                                <m:sub>
                                  <m:r>
                                    <w:rPr>
                                      <w:rFonts w:ascii="Cambria Math" w:hAnsi="Cambria Math"/>
                                    </w:rPr>
                                    <m:t>i</m:t>
                                  </m:r>
                                </m:sub>
                              </m:sSub>
                              <m:f>
                                <m:fPr>
                                  <m:ctrlPr>
                                    <w:rPr>
                                      <w:rFonts w:ascii="Cambria Math" w:hAnsi="Cambria Math"/>
                                      <w:i/>
                                    </w:rPr>
                                  </m:ctrlPr>
                                </m:fPr>
                                <m:num>
                                  <m:r>
                                    <w:rPr>
                                      <w:rFonts w:ascii="Cambria Math" w:hAnsi="Cambria Math"/>
                                    </w:rPr>
                                    <m:t>4π</m:t>
                                  </m:r>
                                </m:num>
                                <m:den>
                                  <m:r>
                                    <w:rPr>
                                      <w:rFonts w:ascii="Cambria Math" w:hAnsi="Cambria Math"/>
                                    </w:rPr>
                                    <m:t>3</m:t>
                                  </m:r>
                                </m:den>
                              </m:f>
                              <m:sSubSup>
                                <m:sSubSupPr>
                                  <m:ctrlPr>
                                    <w:rPr>
                                      <w:rFonts w:ascii="Cambria Math" w:hAnsi="Cambria Math"/>
                                      <w:i/>
                                    </w:rPr>
                                  </m:ctrlPr>
                                </m:sSubSupPr>
                                <m:e>
                                  <m:r>
                                    <w:rPr>
                                      <w:rFonts w:ascii="Cambria Math" w:hAnsi="Cambria Math"/>
                                    </w:rPr>
                                    <m:t>R</m:t>
                                  </m:r>
                                </m:e>
                                <m:sub>
                                  <m:r>
                                    <w:rPr>
                                      <w:rFonts w:ascii="Cambria Math" w:hAnsi="Cambria Math"/>
                                    </w:rPr>
                                    <m:t>i</m:t>
                                  </m:r>
                                </m:sub>
                                <m:sup>
                                  <m:r>
                                    <w:rPr>
                                      <w:rFonts w:ascii="Cambria Math" w:hAnsi="Cambria Math"/>
                                    </w:rPr>
                                    <m:t>3</m:t>
                                  </m:r>
                                </m:sup>
                              </m:sSubSup>
                            </m:e>
                          </m:nary>
                        </m:e>
                      </m:d>
                    </m:e>
                    <m:e>
                      <m:r>
                        <w:rPr>
                          <w:rFonts w:ascii="Cambria Math" w:hAnsi="Cambria Math"/>
                        </w:rPr>
                        <m:t>.</m:t>
                      </m:r>
                    </m:e>
                  </m:mr>
                </m:m>
              </m:oMath>
            </m:oMathPara>
          </w:p>
        </w:tc>
        <w:tc>
          <w:tcPr>
            <w:tcW w:w="810" w:type="dxa"/>
            <w:tcBorders>
              <w:top w:val="nil"/>
              <w:left w:val="nil"/>
              <w:bottom w:val="nil"/>
              <w:right w:val="nil"/>
            </w:tcBorders>
            <w:vAlign w:val="center"/>
          </w:tcPr>
          <w:p w14:paraId="47DBD5FE" w14:textId="77777777" w:rsidR="00DC177E" w:rsidRDefault="00DC177E" w:rsidP="00C9779B">
            <w:pPr>
              <w:pStyle w:val="Newparagraph"/>
              <w:ind w:firstLine="0"/>
              <w:contextualSpacing/>
              <w:jc w:val="center"/>
            </w:pPr>
            <w:r>
              <w:t>(</w:t>
            </w:r>
            <w:fldSimple w:instr=" SEQ Eqn \* MERGEFORMAT ">
              <w:r w:rsidR="002637FB">
                <w:rPr>
                  <w:noProof/>
                </w:rPr>
                <w:t>12</w:t>
              </w:r>
            </w:fldSimple>
            <w:r>
              <w:t>)</w:t>
            </w:r>
          </w:p>
        </w:tc>
      </w:tr>
    </w:tbl>
    <w:p w14:paraId="302FB1CD" w14:textId="1DACF93F" w:rsidR="00DC177E" w:rsidRDefault="00DC177E" w:rsidP="0091027E">
      <w:pPr>
        <w:pStyle w:val="Newparagraph"/>
        <w:ind w:firstLine="0"/>
        <w:jc w:val="both"/>
      </w:pPr>
      <w:r>
        <w:t xml:space="preserve">The probability </w:t>
      </w:r>
      <w:r>
        <w:rPr>
          <w:i/>
        </w:rPr>
        <w:t>P</w:t>
      </w:r>
      <w:r>
        <w:rPr>
          <w:i/>
          <w:vertAlign w:val="subscript"/>
        </w:rPr>
        <w:t>o</w:t>
      </w:r>
      <w:r>
        <w:t xml:space="preserve"> is recognised as the transformed volume fraction, </w:t>
      </w:r>
      <m:oMath>
        <m:sSub>
          <m:sSubPr>
            <m:ctrlPr>
              <w:rPr>
                <w:rFonts w:ascii="Cambria Math" w:hAnsi="Cambria Math"/>
                <w:i/>
              </w:rPr>
            </m:ctrlPr>
          </m:sSubPr>
          <m:e>
            <m:r>
              <w:rPr>
                <w:rFonts w:ascii="Cambria Math" w:hAnsi="Cambria Math"/>
              </w:rPr>
              <m:t>ζ</m:t>
            </m:r>
          </m:e>
          <m:sub>
            <m:r>
              <w:rPr>
                <w:rFonts w:ascii="Cambria Math" w:hAnsi="Cambria Math"/>
              </w:rPr>
              <m:t>V</m:t>
            </m:r>
          </m:sub>
        </m:sSub>
      </m:oMath>
      <w:r>
        <w:t xml:space="preserve">, and the summation term in equation (11) is known as the extended volume fraction, </w:t>
      </w:r>
      <m:oMath>
        <m:sSub>
          <m:sSubPr>
            <m:ctrlPr>
              <w:rPr>
                <w:rFonts w:ascii="Cambria Math" w:hAnsi="Cambria Math"/>
              </w:rPr>
            </m:ctrlPr>
          </m:sSubPr>
          <m:e>
            <m:r>
              <w:rPr>
                <w:rFonts w:ascii="Cambria Math" w:hAnsi="Cambria Math"/>
              </w:rPr>
              <m:t>ζ</m:t>
            </m:r>
          </m:e>
          <m:sub>
            <m:r>
              <w:rPr>
                <w:rFonts w:ascii="Cambria Math" w:hAnsi="Cambria Math"/>
              </w:rPr>
              <m:t>V</m:t>
            </m:r>
            <m:r>
              <m:rPr>
                <m:sty m:val="p"/>
              </m:rPr>
              <w:rPr>
                <w:rFonts w:ascii="Cambria Math" w:hAnsi="Cambria Math"/>
              </w:rPr>
              <m:t>,</m:t>
            </m:r>
            <m:r>
              <w:rPr>
                <w:rFonts w:ascii="Cambria Math" w:hAnsi="Cambria Math"/>
              </w:rPr>
              <m:t>EX</m:t>
            </m:r>
          </m:sub>
        </m:sSub>
      </m:oMath>
      <w:r>
        <w:t>. The equation is presented eloquently as the John-Mehl-Avrami-Kologorov (JMAK) equation</w:t>
      </w:r>
      <w:r w:rsidR="00135FB0">
        <w:t>,</w:t>
      </w:r>
    </w:p>
    <w:tbl>
      <w:tblPr>
        <w:tblStyle w:val="TableGrid"/>
        <w:tblW w:w="0" w:type="auto"/>
        <w:jc w:val="center"/>
        <w:tblLook w:val="04A0" w:firstRow="1" w:lastRow="0" w:firstColumn="1" w:lastColumn="0" w:noHBand="0" w:noVBand="1"/>
      </w:tblPr>
      <w:tblGrid>
        <w:gridCol w:w="7905"/>
        <w:gridCol w:w="810"/>
      </w:tblGrid>
      <w:tr w:rsidR="00DC177E" w14:paraId="47DF9229" w14:textId="77777777" w:rsidTr="00C9779B">
        <w:trPr>
          <w:jc w:val="center"/>
        </w:trPr>
        <w:tc>
          <w:tcPr>
            <w:tcW w:w="7905" w:type="dxa"/>
            <w:tcBorders>
              <w:top w:val="nil"/>
              <w:left w:val="nil"/>
              <w:bottom w:val="nil"/>
              <w:right w:val="nil"/>
            </w:tcBorders>
            <w:vAlign w:val="center"/>
          </w:tcPr>
          <w:p w14:paraId="30C4CDDB" w14:textId="77777777" w:rsidR="00DC177E" w:rsidRDefault="008F6ACD" w:rsidP="00C9779B">
            <w:pPr>
              <w:pStyle w:val="Newparagraph"/>
              <w:ind w:firstLine="0"/>
              <w:contextualSpacing/>
              <w:jc w:val="center"/>
            </w:pPr>
            <m:oMathPara>
              <m:oMath>
                <m:m>
                  <m:mPr>
                    <m:mcs>
                      <m:mc>
                        <m:mcPr>
                          <m:count m:val="2"/>
                          <m:mcJc m:val="center"/>
                        </m:mcPr>
                      </m:mc>
                    </m:mcs>
                    <m:ctrlPr>
                      <w:rPr>
                        <w:rFonts w:ascii="Cambria Math" w:hAnsi="Cambria Math"/>
                        <w:i/>
                      </w:rPr>
                    </m:ctrlPr>
                  </m:mPr>
                  <m:mr>
                    <m:e>
                      <m:sSub>
                        <m:sSubPr>
                          <m:ctrlPr>
                            <w:rPr>
                              <w:rFonts w:ascii="Cambria Math" w:hAnsi="Cambria Math"/>
                            </w:rPr>
                          </m:ctrlPr>
                        </m:sSubPr>
                        <m:e>
                          <m:r>
                            <w:rPr>
                              <w:rFonts w:ascii="Cambria Math" w:hAnsi="Cambria Math"/>
                            </w:rPr>
                            <m:t>ζ</m:t>
                          </m:r>
                        </m:e>
                        <m:sub>
                          <m:r>
                            <w:rPr>
                              <w:rFonts w:ascii="Cambria Math" w:hAnsi="Cambria Math"/>
                            </w:rPr>
                            <m:t>V</m:t>
                          </m:r>
                        </m:sub>
                      </m:sSub>
                      <m:r>
                        <m:rPr>
                          <m:sty m:val="p"/>
                        </m:rPr>
                        <w:rPr>
                          <w:rFonts w:ascii="Cambria Math" w:hAnsi="Cambria Math"/>
                        </w:rPr>
                        <m:t>=1-</m:t>
                      </m:r>
                      <m:r>
                        <w:rPr>
                          <w:rFonts w:ascii="Cambria Math" w:hAnsi="Cambria Math"/>
                        </w:rPr>
                        <m:t>exp</m:t>
                      </m:r>
                      <m:d>
                        <m:dPr>
                          <m:ctrlPr>
                            <w:rPr>
                              <w:rFonts w:ascii="Cambria Math" w:hAnsi="Cambria Math"/>
                            </w:rPr>
                          </m:ctrlPr>
                        </m:dPr>
                        <m:e>
                          <m:r>
                            <m:rPr>
                              <m:sty m:val="p"/>
                            </m:rPr>
                            <w:rPr>
                              <w:rFonts w:ascii="Cambria Math" w:hAnsi="Cambria Math"/>
                            </w:rPr>
                            <m:t>-</m:t>
                          </m:r>
                          <m:sSub>
                            <m:sSubPr>
                              <m:ctrlPr>
                                <w:rPr>
                                  <w:rFonts w:ascii="Cambria Math" w:hAnsi="Cambria Math"/>
                                </w:rPr>
                              </m:ctrlPr>
                            </m:sSubPr>
                            <m:e>
                              <m:r>
                                <w:rPr>
                                  <w:rFonts w:ascii="Cambria Math" w:hAnsi="Cambria Math"/>
                                </w:rPr>
                                <m:t>ζ</m:t>
                              </m:r>
                            </m:e>
                            <m:sub>
                              <m:r>
                                <w:rPr>
                                  <w:rFonts w:ascii="Cambria Math" w:hAnsi="Cambria Math"/>
                                </w:rPr>
                                <m:t>V</m:t>
                              </m:r>
                              <m:r>
                                <m:rPr>
                                  <m:sty m:val="p"/>
                                </m:rPr>
                                <w:rPr>
                                  <w:rFonts w:ascii="Cambria Math" w:hAnsi="Cambria Math"/>
                                </w:rPr>
                                <m:t>,</m:t>
                              </m:r>
                              <m:r>
                                <w:rPr>
                                  <w:rFonts w:ascii="Cambria Math" w:hAnsi="Cambria Math"/>
                                </w:rPr>
                                <m:t>EX</m:t>
                              </m:r>
                            </m:sub>
                          </m:sSub>
                        </m:e>
                      </m:d>
                    </m:e>
                    <m:e>
                      <m:r>
                        <w:rPr>
                          <w:rFonts w:ascii="Cambria Math" w:hAnsi="Cambria Math"/>
                        </w:rPr>
                        <m:t>.</m:t>
                      </m:r>
                    </m:e>
                  </m:mr>
                </m:m>
              </m:oMath>
            </m:oMathPara>
          </w:p>
        </w:tc>
        <w:tc>
          <w:tcPr>
            <w:tcW w:w="810" w:type="dxa"/>
            <w:tcBorders>
              <w:top w:val="nil"/>
              <w:left w:val="nil"/>
              <w:bottom w:val="nil"/>
              <w:right w:val="nil"/>
            </w:tcBorders>
            <w:vAlign w:val="center"/>
          </w:tcPr>
          <w:p w14:paraId="091A0FDF" w14:textId="77777777" w:rsidR="00DC177E" w:rsidRDefault="00DC177E" w:rsidP="00C9779B">
            <w:pPr>
              <w:pStyle w:val="Newparagraph"/>
              <w:ind w:firstLine="0"/>
              <w:contextualSpacing/>
              <w:jc w:val="center"/>
            </w:pPr>
            <w:bookmarkStart w:id="9" w:name="Zeta_V"/>
            <w:r>
              <w:t>(</w:t>
            </w:r>
            <w:fldSimple w:instr=" SEQ Eqn \* MERGEFORMAT ">
              <w:r w:rsidR="002637FB">
                <w:rPr>
                  <w:noProof/>
                </w:rPr>
                <w:t>13</w:t>
              </w:r>
            </w:fldSimple>
            <w:r>
              <w:t>)</w:t>
            </w:r>
            <w:bookmarkEnd w:id="9"/>
          </w:p>
        </w:tc>
      </w:tr>
    </w:tbl>
    <w:p w14:paraId="3083CA09" w14:textId="77777777" w:rsidR="00DC177E" w:rsidRDefault="00DC177E" w:rsidP="00135FB0">
      <w:pPr>
        <w:pStyle w:val="Newparagraph"/>
        <w:ind w:firstLine="0"/>
      </w:pPr>
      <w:r>
        <w:t xml:space="preserve">In the continuum limit, the extended volume fraction is given as </w:t>
      </w:r>
    </w:p>
    <w:tbl>
      <w:tblPr>
        <w:tblStyle w:val="TableGrid"/>
        <w:tblW w:w="0" w:type="auto"/>
        <w:jc w:val="center"/>
        <w:tblLook w:val="04A0" w:firstRow="1" w:lastRow="0" w:firstColumn="1" w:lastColumn="0" w:noHBand="0" w:noVBand="1"/>
      </w:tblPr>
      <w:tblGrid>
        <w:gridCol w:w="7905"/>
        <w:gridCol w:w="810"/>
      </w:tblGrid>
      <w:tr w:rsidR="00DC177E" w14:paraId="41BBCBE3" w14:textId="77777777" w:rsidTr="00C9779B">
        <w:trPr>
          <w:jc w:val="center"/>
        </w:trPr>
        <w:tc>
          <w:tcPr>
            <w:tcW w:w="7905" w:type="dxa"/>
            <w:tcBorders>
              <w:top w:val="nil"/>
              <w:left w:val="nil"/>
              <w:bottom w:val="nil"/>
              <w:right w:val="nil"/>
            </w:tcBorders>
            <w:vAlign w:val="center"/>
          </w:tcPr>
          <w:p w14:paraId="4AEA8CDE" w14:textId="3366DF41" w:rsidR="00DC177E" w:rsidRDefault="008F6ACD" w:rsidP="00C9779B">
            <w:pPr>
              <w:spacing w:line="360" w:lineRule="auto"/>
              <w:jc w:val="center"/>
            </w:pPr>
            <m:oMathPara>
              <m:oMath>
                <m:m>
                  <m:mPr>
                    <m:mcs>
                      <m:mc>
                        <m:mcPr>
                          <m:count m:val="2"/>
                          <m:mcJc m:val="center"/>
                        </m:mcPr>
                      </m:mc>
                    </m:mcs>
                    <m:ctrlPr>
                      <w:rPr>
                        <w:rFonts w:ascii="Cambria Math" w:hAnsi="Cambria Math"/>
                        <w:i/>
                      </w:rPr>
                    </m:ctrlPr>
                  </m:mPr>
                  <m:mr>
                    <m:e>
                      <m:sSub>
                        <m:sSubPr>
                          <m:ctrlPr>
                            <w:rPr>
                              <w:rFonts w:ascii="Cambria Math" w:hAnsi="Cambria Math"/>
                            </w:rPr>
                          </m:ctrlPr>
                        </m:sSubPr>
                        <m:e>
                          <m:r>
                            <w:rPr>
                              <w:rFonts w:ascii="Cambria Math" w:hAnsi="Cambria Math"/>
                            </w:rPr>
                            <m:t>ζ</m:t>
                          </m:r>
                        </m:e>
                        <m:sub>
                          <m:r>
                            <w:rPr>
                              <w:rFonts w:ascii="Cambria Math" w:hAnsi="Cambria Math"/>
                            </w:rPr>
                            <m:t>V</m:t>
                          </m:r>
                          <m:r>
                            <m:rPr>
                              <m:sty m:val="p"/>
                            </m:rPr>
                            <w:rPr>
                              <w:rFonts w:ascii="Cambria Math" w:hAnsi="Cambria Math"/>
                            </w:rPr>
                            <m:t>,</m:t>
                          </m:r>
                          <m:r>
                            <w:rPr>
                              <w:rFonts w:ascii="Cambria Math" w:hAnsi="Cambria Math"/>
                            </w:rPr>
                            <m:t>EX</m:t>
                          </m:r>
                        </m:sub>
                      </m:sSub>
                      <m:d>
                        <m:dPr>
                          <m:ctrlPr>
                            <w:rPr>
                              <w:rFonts w:ascii="Cambria Math" w:hAnsi="Cambria Math"/>
                              <w:i/>
                            </w:rPr>
                          </m:ctrlPr>
                        </m:dPr>
                        <m:e>
                          <m:r>
                            <w:rPr>
                              <w:rFonts w:ascii="Cambria Math" w:hAnsi="Cambria Math"/>
                            </w:rPr>
                            <m:t>t</m:t>
                          </m:r>
                        </m:e>
                      </m:d>
                      <m:r>
                        <w:rPr>
                          <w:rFonts w:ascii="Cambria Math" w:hAnsi="Cambria Math"/>
                        </w:rPr>
                        <m:t>=</m:t>
                      </m:r>
                      <m:f>
                        <m:fPr>
                          <m:ctrlPr>
                            <w:rPr>
                              <w:rFonts w:ascii="Cambria Math" w:hAnsi="Cambria Math"/>
                              <w:i/>
                            </w:rPr>
                          </m:ctrlPr>
                        </m:fPr>
                        <m:num>
                          <m:r>
                            <w:rPr>
                              <w:rFonts w:ascii="Cambria Math" w:hAnsi="Cambria Math"/>
                            </w:rPr>
                            <m:t>4π</m:t>
                          </m:r>
                        </m:num>
                        <m:den>
                          <m:r>
                            <w:rPr>
                              <w:rFonts w:ascii="Cambria Math" w:hAnsi="Cambria Math"/>
                            </w:rPr>
                            <m:t>3</m:t>
                          </m:r>
                        </m:den>
                      </m:f>
                      <m:nary>
                        <m:naryPr>
                          <m:limLoc m:val="subSup"/>
                          <m:ctrlPr>
                            <w:rPr>
                              <w:rFonts w:ascii="Cambria Math" w:hAnsi="Cambria Math"/>
                              <w:i/>
                            </w:rPr>
                          </m:ctrlPr>
                        </m:naryPr>
                        <m:sub>
                          <m:r>
                            <w:rPr>
                              <w:rFonts w:ascii="Cambria Math" w:hAnsi="Cambria Math"/>
                            </w:rPr>
                            <m:t>0</m:t>
                          </m:r>
                        </m:sub>
                        <m:sup>
                          <m:r>
                            <w:rPr>
                              <w:rFonts w:ascii="Cambria Math" w:hAnsi="Cambria Math"/>
                            </w:rPr>
                            <m:t>t</m:t>
                          </m:r>
                        </m:sup>
                        <m:e>
                          <m:acc>
                            <m:accPr>
                              <m:chr m:val="̇"/>
                              <m:ctrlPr>
                                <w:rPr>
                                  <w:rFonts w:ascii="Cambria Math" w:hAnsi="Cambria Math"/>
                                  <w:i/>
                                </w:rPr>
                              </m:ctrlPr>
                            </m:accPr>
                            <m:e>
                              <m:r>
                                <w:rPr>
                                  <w:rFonts w:ascii="Cambria Math" w:hAnsi="Cambria Math"/>
                                </w:rPr>
                                <m:t>N</m:t>
                              </m:r>
                            </m:e>
                          </m:acc>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n</m:t>
                                  </m:r>
                                </m:sub>
                              </m:sSub>
                            </m:e>
                          </m:d>
                          <m:sSup>
                            <m:sSupPr>
                              <m:ctrlPr>
                                <w:rPr>
                                  <w:rFonts w:ascii="Cambria Math" w:hAnsi="Cambria Math"/>
                                  <w:i/>
                                </w:rPr>
                              </m:ctrlPr>
                            </m:sSupPr>
                            <m:e>
                              <m:d>
                                <m:dPr>
                                  <m:begChr m:val="["/>
                                  <m:endChr m:val="]"/>
                                  <m:ctrlPr>
                                    <w:rPr>
                                      <w:rFonts w:ascii="Cambria Math" w:hAnsi="Cambria Math"/>
                                      <w:i/>
                                    </w:rPr>
                                  </m:ctrlPr>
                                </m:dPr>
                                <m:e>
                                  <m:nary>
                                    <m:naryPr>
                                      <m:limLoc m:val="subSup"/>
                                      <m:ctrlPr>
                                        <w:rPr>
                                          <w:rFonts w:ascii="Cambria Math" w:hAnsi="Cambria Math"/>
                                          <w:i/>
                                        </w:rPr>
                                      </m:ctrlPr>
                                    </m:naryPr>
                                    <m:sub>
                                      <m:sSub>
                                        <m:sSubPr>
                                          <m:ctrlPr>
                                            <w:rPr>
                                              <w:rFonts w:ascii="Cambria Math" w:hAnsi="Cambria Math"/>
                                              <w:i/>
                                            </w:rPr>
                                          </m:ctrlPr>
                                        </m:sSubPr>
                                        <m:e>
                                          <m:r>
                                            <w:rPr>
                                              <w:rFonts w:ascii="Cambria Math" w:hAnsi="Cambria Math"/>
                                            </w:rPr>
                                            <m:t>t</m:t>
                                          </m:r>
                                        </m:e>
                                        <m:sub>
                                          <m:r>
                                            <w:rPr>
                                              <w:rFonts w:ascii="Cambria Math" w:hAnsi="Cambria Math"/>
                                            </w:rPr>
                                            <m:t>n</m:t>
                                          </m:r>
                                        </m:sub>
                                      </m:sSub>
                                    </m:sub>
                                    <m:sup>
                                      <m:r>
                                        <w:rPr>
                                          <w:rFonts w:ascii="Cambria Math" w:hAnsi="Cambria Math"/>
                                        </w:rPr>
                                        <m:t>t</m:t>
                                      </m:r>
                                    </m:sup>
                                    <m:e>
                                      <m:sSub>
                                        <m:sSubPr>
                                          <m:ctrlPr>
                                            <w:rPr>
                                              <w:rFonts w:ascii="Cambria Math" w:hAnsi="Cambria Math"/>
                                              <w:i/>
                                            </w:rPr>
                                          </m:ctrlPr>
                                        </m:sSubPr>
                                        <m:e>
                                          <m:r>
                                            <w:rPr>
                                              <w:rFonts w:ascii="Cambria Math" w:hAnsi="Cambria Math"/>
                                            </w:rPr>
                                            <m:t>v</m:t>
                                          </m:r>
                                        </m:e>
                                        <m:sub>
                                          <m:r>
                                            <w:rPr>
                                              <w:rFonts w:ascii="Cambria Math" w:hAnsi="Cambria Math"/>
                                            </w:rPr>
                                            <m:t>t</m:t>
                                          </m:r>
                                        </m:sub>
                                      </m:sSub>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m:t>
                                          </m:r>
                                        </m:sup>
                                      </m:sSup>
                                    </m:e>
                                  </m:nary>
                                </m:e>
                              </m:d>
                            </m:e>
                            <m:sup>
                              <m:r>
                                <w:rPr>
                                  <w:rFonts w:ascii="Cambria Math" w:hAnsi="Cambria Math"/>
                                </w:rPr>
                                <m:t>3</m:t>
                              </m:r>
                            </m:sup>
                          </m:sSup>
                          <m:r>
                            <w:rPr>
                              <w:rFonts w:ascii="Cambria Math" w:hAnsi="Cambria Math"/>
                            </w:rPr>
                            <m:t>d</m:t>
                          </m:r>
                          <m:sSub>
                            <m:sSubPr>
                              <m:ctrlPr>
                                <w:rPr>
                                  <w:rFonts w:ascii="Cambria Math" w:hAnsi="Cambria Math"/>
                                  <w:i/>
                                </w:rPr>
                              </m:ctrlPr>
                            </m:sSubPr>
                            <m:e>
                              <m:r>
                                <w:rPr>
                                  <w:rFonts w:ascii="Cambria Math" w:hAnsi="Cambria Math"/>
                                </w:rPr>
                                <m:t>t</m:t>
                              </m:r>
                            </m:e>
                            <m:sub>
                              <m:r>
                                <w:rPr>
                                  <w:rFonts w:ascii="Cambria Math" w:hAnsi="Cambria Math"/>
                                </w:rPr>
                                <m:t>n</m:t>
                              </m:r>
                            </m:sub>
                          </m:sSub>
                        </m:e>
                      </m:nary>
                    </m:e>
                    <m:e>
                      <m:r>
                        <w:rPr>
                          <w:rFonts w:ascii="Cambria Math" w:hAnsi="Cambria Math"/>
                        </w:rPr>
                        <m:t>.</m:t>
                      </m:r>
                    </m:e>
                  </m:mr>
                </m:m>
              </m:oMath>
            </m:oMathPara>
          </w:p>
        </w:tc>
        <w:tc>
          <w:tcPr>
            <w:tcW w:w="810" w:type="dxa"/>
            <w:tcBorders>
              <w:top w:val="nil"/>
              <w:left w:val="nil"/>
              <w:bottom w:val="nil"/>
              <w:right w:val="nil"/>
            </w:tcBorders>
            <w:vAlign w:val="center"/>
          </w:tcPr>
          <w:p w14:paraId="232AF312" w14:textId="77777777" w:rsidR="00DC177E" w:rsidRDefault="00DC177E" w:rsidP="00C9779B">
            <w:pPr>
              <w:pStyle w:val="Newparagraph"/>
              <w:ind w:firstLine="0"/>
              <w:contextualSpacing/>
              <w:jc w:val="center"/>
            </w:pPr>
            <w:bookmarkStart w:id="10" w:name="Zeta_V_EX"/>
            <w:r>
              <w:t>(</w:t>
            </w:r>
            <w:fldSimple w:instr=" SEQ Eqn \* MERGEFORMAT ">
              <w:r w:rsidR="002637FB">
                <w:rPr>
                  <w:noProof/>
                </w:rPr>
                <w:t>14</w:t>
              </w:r>
            </w:fldSimple>
            <w:r>
              <w:t>)</w:t>
            </w:r>
            <w:bookmarkEnd w:id="10"/>
          </w:p>
        </w:tc>
      </w:tr>
    </w:tbl>
    <w:p w14:paraId="5C898ED7" w14:textId="701B1097" w:rsidR="00DC177E" w:rsidRDefault="00DC177E" w:rsidP="0091027E">
      <w:pPr>
        <w:pStyle w:val="Newparagraph"/>
        <w:ind w:firstLine="0"/>
        <w:jc w:val="both"/>
      </w:pPr>
      <w:r>
        <w:t>This probability analysis allows us to determine the nucleation rate for real nucleation events</w:t>
      </w:r>
      <w:r w:rsidR="00EF5D54">
        <w:t>,</w:t>
      </w:r>
      <w:r>
        <w:t xml:space="preserve"> </w:t>
      </w:r>
    </w:p>
    <w:tbl>
      <w:tblPr>
        <w:tblStyle w:val="TableGrid"/>
        <w:tblW w:w="0" w:type="auto"/>
        <w:jc w:val="center"/>
        <w:tblLook w:val="04A0" w:firstRow="1" w:lastRow="0" w:firstColumn="1" w:lastColumn="0" w:noHBand="0" w:noVBand="1"/>
      </w:tblPr>
      <w:tblGrid>
        <w:gridCol w:w="7905"/>
        <w:gridCol w:w="810"/>
      </w:tblGrid>
      <w:tr w:rsidR="00DC177E" w14:paraId="7A83C6FD" w14:textId="77777777" w:rsidTr="00C9779B">
        <w:trPr>
          <w:jc w:val="center"/>
        </w:trPr>
        <w:tc>
          <w:tcPr>
            <w:tcW w:w="7905" w:type="dxa"/>
            <w:tcBorders>
              <w:top w:val="nil"/>
              <w:left w:val="nil"/>
              <w:bottom w:val="nil"/>
              <w:right w:val="nil"/>
            </w:tcBorders>
            <w:vAlign w:val="center"/>
          </w:tcPr>
          <w:p w14:paraId="2439C3F8" w14:textId="6174EB8E" w:rsidR="00DC177E" w:rsidRDefault="008F6ACD" w:rsidP="00C9779B">
            <w:pPr>
              <w:spacing w:line="360" w:lineRule="auto"/>
              <w:jc w:val="center"/>
            </w:pPr>
            <m:oMathPara>
              <m:oMath>
                <m:m>
                  <m:mPr>
                    <m:mcs>
                      <m:mc>
                        <m:mcPr>
                          <m:count m:val="2"/>
                          <m:mcJc m:val="center"/>
                        </m:mcPr>
                      </m:mc>
                    </m:mcs>
                    <m:ctrlPr>
                      <w:rPr>
                        <w:rFonts w:ascii="Cambria Math" w:hAnsi="Cambria Math"/>
                        <w:i/>
                      </w:rPr>
                    </m:ctrlPr>
                  </m:mPr>
                  <m:mr>
                    <m:e>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N</m:t>
                              </m:r>
                            </m:e>
                          </m:acc>
                        </m:e>
                        <m:sub>
                          <m:r>
                            <w:rPr>
                              <w:rFonts w:ascii="Cambria Math" w:eastAsiaTheme="minorEastAsia" w:hAnsi="Cambria Math"/>
                            </w:rPr>
                            <m:t>REAL</m:t>
                          </m:r>
                        </m:sub>
                      </m:sSub>
                      <m:d>
                        <m:dPr>
                          <m:ctrlPr>
                            <w:rPr>
                              <w:rFonts w:ascii="Cambria Math" w:hAnsi="Cambria Math"/>
                              <w:i/>
                            </w:rPr>
                          </m:ctrlPr>
                        </m:dPr>
                        <m:e>
                          <m:r>
                            <w:rPr>
                              <w:rFonts w:ascii="Cambria Math" w:hAnsi="Cambria Math"/>
                            </w:rPr>
                            <m:t>t</m:t>
                          </m:r>
                        </m:e>
                      </m:d>
                      <m:r>
                        <w:rPr>
                          <w:rFonts w:ascii="Cambria Math" w:eastAsiaTheme="minorEastAsia" w:hAnsi="Cambria Math"/>
                        </w:rPr>
                        <m:t>=</m:t>
                      </m:r>
                      <m:acc>
                        <m:accPr>
                          <m:chr m:val="̇"/>
                          <m:ctrlPr>
                            <w:rPr>
                              <w:rFonts w:ascii="Cambria Math" w:hAnsi="Cambria Math"/>
                              <w:i/>
                            </w:rPr>
                          </m:ctrlPr>
                        </m:accPr>
                        <m:e>
                          <m:r>
                            <w:rPr>
                              <w:rFonts w:ascii="Cambria Math" w:hAnsi="Cambria Math"/>
                            </w:rPr>
                            <m:t>N</m:t>
                          </m:r>
                        </m:e>
                      </m:acc>
                      <m:d>
                        <m:dPr>
                          <m:ctrlPr>
                            <w:rPr>
                              <w:rFonts w:ascii="Cambria Math" w:hAnsi="Cambria Math"/>
                              <w:i/>
                            </w:rPr>
                          </m:ctrlPr>
                        </m:dPr>
                        <m:e>
                          <m:r>
                            <w:rPr>
                              <w:rFonts w:ascii="Cambria Math" w:hAnsi="Cambria Math"/>
                            </w:rPr>
                            <m:t>t</m:t>
                          </m:r>
                        </m:e>
                      </m:d>
                      <m:r>
                        <w:rPr>
                          <w:rFonts w:ascii="Cambria Math" w:hAnsi="Cambria Math"/>
                        </w:rPr>
                        <m:t>∙</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ζ</m:t>
                              </m:r>
                            </m:e>
                            <m:sub>
                              <m:r>
                                <w:rPr>
                                  <w:rFonts w:ascii="Cambria Math" w:hAnsi="Cambria Math"/>
                                </w:rPr>
                                <m:t>V</m:t>
                              </m:r>
                            </m:sub>
                          </m:sSub>
                        </m:e>
                      </m:d>
                    </m:e>
                    <m:e>
                      <m:r>
                        <w:rPr>
                          <w:rFonts w:ascii="Cambria Math" w:hAnsi="Cambria Math"/>
                        </w:rPr>
                        <m:t>.</m:t>
                      </m:r>
                    </m:e>
                  </m:mr>
                </m:m>
              </m:oMath>
            </m:oMathPara>
          </w:p>
        </w:tc>
        <w:tc>
          <w:tcPr>
            <w:tcW w:w="810" w:type="dxa"/>
            <w:tcBorders>
              <w:top w:val="nil"/>
              <w:left w:val="nil"/>
              <w:bottom w:val="nil"/>
              <w:right w:val="nil"/>
            </w:tcBorders>
            <w:vAlign w:val="center"/>
          </w:tcPr>
          <w:p w14:paraId="571FD038" w14:textId="77777777" w:rsidR="00DC177E" w:rsidRDefault="00DC177E" w:rsidP="00C9779B">
            <w:pPr>
              <w:pStyle w:val="Newparagraph"/>
              <w:ind w:firstLine="0"/>
              <w:contextualSpacing/>
              <w:jc w:val="center"/>
            </w:pPr>
            <w:bookmarkStart w:id="11" w:name="Ndot_real"/>
            <w:r>
              <w:t>(</w:t>
            </w:r>
            <w:fldSimple w:instr=" SEQ Eqn \* MERGEFORMAT ">
              <w:r w:rsidR="002637FB">
                <w:rPr>
                  <w:noProof/>
                </w:rPr>
                <w:t>15</w:t>
              </w:r>
            </w:fldSimple>
            <w:r>
              <w:t>)</w:t>
            </w:r>
            <w:bookmarkEnd w:id="11"/>
          </w:p>
        </w:tc>
      </w:tr>
    </w:tbl>
    <w:p w14:paraId="2C75BF2A" w14:textId="56E12AB3" w:rsidR="00DC177E" w:rsidRDefault="00DC177E" w:rsidP="0091027E">
      <w:pPr>
        <w:spacing w:line="360" w:lineRule="auto"/>
        <w:jc w:val="both"/>
        <w:rPr>
          <w:rFonts w:eastAsiaTheme="minorEastAsia"/>
        </w:rPr>
      </w:pPr>
      <w:r>
        <w:rPr>
          <w:rFonts w:eastAsiaTheme="minorEastAsia"/>
        </w:rPr>
        <w:t>and, over time, the nucleation density of real nuclei is obtained by integrating</w:t>
      </w:r>
      <w:r w:rsidR="00EF5D54">
        <w:rPr>
          <w:rFonts w:eastAsiaTheme="minorEastAsia"/>
        </w:rPr>
        <w:t>,</w:t>
      </w:r>
      <w:r>
        <w:rPr>
          <w:rFonts w:eastAsiaTheme="minorEastAsia"/>
        </w:rPr>
        <w:t xml:space="preserve"> </w:t>
      </w:r>
    </w:p>
    <w:tbl>
      <w:tblPr>
        <w:tblStyle w:val="TableGrid"/>
        <w:tblW w:w="0" w:type="auto"/>
        <w:jc w:val="center"/>
        <w:tblLook w:val="04A0" w:firstRow="1" w:lastRow="0" w:firstColumn="1" w:lastColumn="0" w:noHBand="0" w:noVBand="1"/>
      </w:tblPr>
      <w:tblGrid>
        <w:gridCol w:w="7905"/>
        <w:gridCol w:w="810"/>
      </w:tblGrid>
      <w:tr w:rsidR="00DC177E" w14:paraId="53809C6D" w14:textId="77777777" w:rsidTr="00C9779B">
        <w:trPr>
          <w:jc w:val="center"/>
        </w:trPr>
        <w:tc>
          <w:tcPr>
            <w:tcW w:w="7905" w:type="dxa"/>
            <w:tcBorders>
              <w:top w:val="nil"/>
              <w:left w:val="nil"/>
              <w:bottom w:val="nil"/>
              <w:right w:val="nil"/>
            </w:tcBorders>
            <w:vAlign w:val="center"/>
          </w:tcPr>
          <w:p w14:paraId="3C336D6C" w14:textId="77777777" w:rsidR="00DC177E" w:rsidRDefault="008F6ACD" w:rsidP="00C9779B">
            <w:pPr>
              <w:pStyle w:val="Newparagraph"/>
              <w:ind w:firstLine="0"/>
              <w:contextualSpacing/>
              <w:jc w:val="center"/>
            </w:pPr>
            <m:oMathPara>
              <m:oMath>
                <m:m>
                  <m:mPr>
                    <m:mcs>
                      <m:mc>
                        <m:mcPr>
                          <m:count m:val="2"/>
                          <m:mcJc m:val="center"/>
                        </m:mcPr>
                      </m:mc>
                    </m:mcs>
                    <m:ctrlPr>
                      <w:rPr>
                        <w:rFonts w:ascii="Cambria Math" w:hAnsi="Cambria Math"/>
                        <w:i/>
                      </w:rPr>
                    </m:ctrlPr>
                  </m:mPr>
                  <m:mr>
                    <m:e>
                      <m:sSub>
                        <m:sSubPr>
                          <m:ctrlPr>
                            <w:rPr>
                              <w:rFonts w:ascii="Cambria Math" w:hAnsi="Cambria Math"/>
                            </w:rPr>
                          </m:ctrlPr>
                        </m:sSubPr>
                        <m:e>
                          <m:r>
                            <w:rPr>
                              <w:rFonts w:ascii="Cambria Math" w:hAnsi="Cambria Math"/>
                            </w:rPr>
                            <m:t>N</m:t>
                          </m:r>
                        </m:e>
                        <m:sub>
                          <m:r>
                            <w:rPr>
                              <w:rFonts w:ascii="Cambria Math" w:hAnsi="Cambria Math"/>
                            </w:rPr>
                            <m:t>REAL</m:t>
                          </m:r>
                        </m:sub>
                      </m:sSub>
                      <m:d>
                        <m:dPr>
                          <m:ctrlPr>
                            <w:rPr>
                              <w:rFonts w:ascii="Cambria Math" w:hAnsi="Cambria Math"/>
                            </w:rPr>
                          </m:ctrlPr>
                        </m:dPr>
                        <m:e>
                          <m:r>
                            <w:rPr>
                              <w:rFonts w:ascii="Cambria Math" w:hAnsi="Cambria Math"/>
                            </w:rPr>
                            <m:t>t</m:t>
                          </m:r>
                        </m:e>
                      </m:d>
                      <m:r>
                        <m:rPr>
                          <m:sty m:val="p"/>
                        </m:rPr>
                        <w:rPr>
                          <w:rFonts w:ascii="Cambria Math" w:hAnsi="Cambria Math"/>
                        </w:rPr>
                        <m:t>=</m:t>
                      </m:r>
                      <m:nary>
                        <m:naryPr>
                          <m:limLoc m:val="subSup"/>
                          <m:ctrlPr>
                            <w:rPr>
                              <w:rFonts w:ascii="Cambria Math" w:hAnsi="Cambria Math"/>
                            </w:rPr>
                          </m:ctrlPr>
                        </m:naryPr>
                        <m:sub>
                          <m:r>
                            <m:rPr>
                              <m:sty m:val="p"/>
                            </m:rPr>
                            <w:rPr>
                              <w:rFonts w:ascii="Cambria Math" w:hAnsi="Cambria Math"/>
                            </w:rPr>
                            <m:t>0</m:t>
                          </m:r>
                        </m:sub>
                        <m:sup>
                          <m:r>
                            <w:rPr>
                              <w:rFonts w:ascii="Cambria Math" w:hAnsi="Cambria Math"/>
                            </w:rPr>
                            <m:t>t</m:t>
                          </m:r>
                        </m:sup>
                        <m:e>
                          <m:acc>
                            <m:accPr>
                              <m:chr m:val="̇"/>
                              <m:ctrlPr>
                                <w:rPr>
                                  <w:rFonts w:ascii="Cambria Math" w:hAnsi="Cambria Math"/>
                                </w:rPr>
                              </m:ctrlPr>
                            </m:accPr>
                            <m:e>
                              <m:r>
                                <w:rPr>
                                  <w:rFonts w:ascii="Cambria Math" w:hAnsi="Cambria Math"/>
                                </w:rPr>
                                <m:t>N</m:t>
                              </m:r>
                            </m:e>
                          </m:acc>
                          <m:d>
                            <m:dPr>
                              <m:ctrlPr>
                                <w:rPr>
                                  <w:rFonts w:ascii="Cambria Math" w:hAnsi="Cambria Math"/>
                                </w:rPr>
                              </m:ctrlPr>
                            </m:dPr>
                            <m:e>
                              <m:sSub>
                                <m:sSubPr>
                                  <m:ctrlPr>
                                    <w:rPr>
                                      <w:rFonts w:ascii="Cambria Math" w:hAnsi="Cambria Math"/>
                                      <w:i/>
                                    </w:rPr>
                                  </m:ctrlPr>
                                </m:sSubPr>
                                <m:e>
                                  <m:r>
                                    <w:rPr>
                                      <w:rFonts w:ascii="Cambria Math" w:hAnsi="Cambria Math"/>
                                    </w:rPr>
                                    <m:t>t</m:t>
                                  </m:r>
                                </m:e>
                                <m:sub>
                                  <m:r>
                                    <w:rPr>
                                      <w:rFonts w:ascii="Cambria Math" w:hAnsi="Cambria Math"/>
                                    </w:rPr>
                                    <m:t>n</m:t>
                                  </m:r>
                                </m:sub>
                              </m:sSub>
                            </m:e>
                          </m:d>
                          <m:r>
                            <m:rPr>
                              <m:sty m:val="p"/>
                            </m:rPr>
                            <w:rPr>
                              <w:rFonts w:ascii="Cambria Math" w:hAnsi="Cambria Math"/>
                            </w:rPr>
                            <m:t>∙</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ζ</m:t>
                                  </m:r>
                                </m:e>
                                <m:sub>
                                  <m:r>
                                    <w:rPr>
                                      <w:rFonts w:ascii="Cambria Math" w:hAnsi="Cambria Math"/>
                                    </w:rPr>
                                    <m:t>V</m:t>
                                  </m:r>
                                </m:sub>
                              </m:sSub>
                            </m:e>
                          </m:d>
                        </m:e>
                      </m:nary>
                      <m:r>
                        <w:rPr>
                          <w:rFonts w:ascii="Cambria Math" w:hAnsi="Cambria Math"/>
                        </w:rPr>
                        <m:t>d</m:t>
                      </m:r>
                      <m:sSub>
                        <m:sSubPr>
                          <m:ctrlPr>
                            <w:rPr>
                              <w:rFonts w:ascii="Cambria Math" w:hAnsi="Cambria Math"/>
                            </w:rPr>
                          </m:ctrlPr>
                        </m:sSubPr>
                        <m:e>
                          <m:r>
                            <w:rPr>
                              <w:rFonts w:ascii="Cambria Math" w:hAnsi="Cambria Math"/>
                            </w:rPr>
                            <m:t>t</m:t>
                          </m:r>
                        </m:e>
                        <m:sub>
                          <m:r>
                            <w:rPr>
                              <w:rFonts w:ascii="Cambria Math" w:hAnsi="Cambria Math"/>
                            </w:rPr>
                            <m:t>n</m:t>
                          </m:r>
                        </m:sub>
                      </m:sSub>
                    </m:e>
                    <m:e>
                      <m:r>
                        <w:rPr>
                          <w:rFonts w:ascii="Cambria Math" w:hAnsi="Cambria Math"/>
                        </w:rPr>
                        <m:t>.</m:t>
                      </m:r>
                    </m:e>
                  </m:mr>
                </m:m>
              </m:oMath>
            </m:oMathPara>
          </w:p>
        </w:tc>
        <w:tc>
          <w:tcPr>
            <w:tcW w:w="810" w:type="dxa"/>
            <w:tcBorders>
              <w:top w:val="nil"/>
              <w:left w:val="nil"/>
              <w:bottom w:val="nil"/>
              <w:right w:val="nil"/>
            </w:tcBorders>
            <w:vAlign w:val="center"/>
          </w:tcPr>
          <w:p w14:paraId="1BF9A6CC" w14:textId="77777777" w:rsidR="00DC177E" w:rsidRDefault="00DC177E" w:rsidP="00C9779B">
            <w:pPr>
              <w:pStyle w:val="Newparagraph"/>
              <w:ind w:firstLine="0"/>
              <w:contextualSpacing/>
              <w:jc w:val="center"/>
            </w:pPr>
            <w:bookmarkStart w:id="12" w:name="N_real"/>
            <w:r>
              <w:t>(</w:t>
            </w:r>
            <w:fldSimple w:instr=" SEQ Eqn \* MERGEFORMAT ">
              <w:r w:rsidR="002637FB">
                <w:rPr>
                  <w:noProof/>
                </w:rPr>
                <w:t>16</w:t>
              </w:r>
            </w:fldSimple>
            <w:r>
              <w:t>)</w:t>
            </w:r>
            <w:bookmarkEnd w:id="12"/>
          </w:p>
        </w:tc>
      </w:tr>
    </w:tbl>
    <w:p w14:paraId="321CFABF" w14:textId="344C28A8" w:rsidR="00DC177E" w:rsidRDefault="00DC177E" w:rsidP="00EF5D54">
      <w:pPr>
        <w:pStyle w:val="Newparagraph"/>
        <w:ind w:firstLine="0"/>
      </w:pPr>
      <w:r>
        <w:t>In the</w:t>
      </w:r>
      <w:r w:rsidR="00EF5D54">
        <w:t xml:space="preserve"> current framework of </w:t>
      </w:r>
      <w:r w:rsidR="00AE667B">
        <w:t>NPF</w:t>
      </w:r>
      <w:r w:rsidR="00EF5D54">
        <w:t xml:space="preserve">, equation </w:t>
      </w:r>
      <w:r w:rsidR="00EF5D54">
        <w:fldChar w:fldCharType="begin"/>
      </w:r>
      <w:r w:rsidR="00EF5D54">
        <w:instrText xml:space="preserve"> REF Ndot_real \h </w:instrText>
      </w:r>
      <w:r w:rsidR="00EF5D54">
        <w:fldChar w:fldCharType="separate"/>
      </w:r>
      <w:r w:rsidR="002637FB">
        <w:t>(</w:t>
      </w:r>
      <w:r w:rsidR="002637FB">
        <w:rPr>
          <w:noProof/>
        </w:rPr>
        <w:t>15</w:t>
      </w:r>
      <w:r w:rsidR="002637FB">
        <w:t>)</w:t>
      </w:r>
      <w:r w:rsidR="00EF5D54">
        <w:fldChar w:fldCharType="end"/>
      </w:r>
      <w:r w:rsidR="007128CA">
        <w:t xml:space="preserve"> </w:t>
      </w:r>
      <w:r>
        <w:t>describe</w:t>
      </w:r>
      <w:r w:rsidR="00DE24D1">
        <w:t>s</w:t>
      </w:r>
      <w:r>
        <w:t xml:space="preserve"> a specific </w:t>
      </w:r>
      <w:r w:rsidR="00AD124A">
        <w:t xml:space="preserve">time-domain </w:t>
      </w:r>
      <w:r>
        <w:t xml:space="preserve">instance of a progeny </w:t>
      </w:r>
      <w:r w:rsidR="00AD124A">
        <w:t xml:space="preserve">function </w:t>
      </w:r>
      <w:r>
        <w:t>desc</w:t>
      </w:r>
      <w:r w:rsidR="007128CA">
        <w:t xml:space="preserve">ended from the progenitor in equation </w:t>
      </w:r>
      <w:r w:rsidR="007128CA">
        <w:fldChar w:fldCharType="begin"/>
      </w:r>
      <w:r w:rsidR="007128CA">
        <w:instrText xml:space="preserve"> REF NPF \h </w:instrText>
      </w:r>
      <w:r w:rsidR="007128CA">
        <w:fldChar w:fldCharType="separate"/>
      </w:r>
      <w:r w:rsidR="002637FB">
        <w:t>(</w:t>
      </w:r>
      <w:r w:rsidR="002637FB">
        <w:rPr>
          <w:noProof/>
        </w:rPr>
        <w:t>2</w:t>
      </w:r>
      <w:r w:rsidR="002637FB">
        <w:t>)</w:t>
      </w:r>
      <w:r w:rsidR="007128CA">
        <w:fldChar w:fldCharType="end"/>
      </w:r>
      <w:r w:rsidR="007128CA">
        <w:t xml:space="preserve">. </w:t>
      </w:r>
    </w:p>
    <w:p w14:paraId="1CCC4575" w14:textId="77777777" w:rsidR="00DC177E" w:rsidRDefault="00DC177E" w:rsidP="0091027E">
      <w:pPr>
        <w:pStyle w:val="Heading3"/>
        <w:jc w:val="both"/>
      </w:pPr>
      <w:r>
        <w:t>Stereology correction for projected data</w:t>
      </w:r>
    </w:p>
    <w:p w14:paraId="63916BB3" w14:textId="1B0E7357" w:rsidR="00DC177E" w:rsidRDefault="00DC177E" w:rsidP="00CA7B38">
      <w:pPr>
        <w:pStyle w:val="Paragraph"/>
      </w:pPr>
      <w:r>
        <w:t xml:space="preserve">In transparent alloy systems where the sample is bulky (i.e., where the sample thickness is greater than the average crystal size), equiaxed nucleation events take </w:t>
      </w:r>
      <w:r w:rsidR="006D4931">
        <w:t xml:space="preserve">place at </w:t>
      </w:r>
      <w:r>
        <w:t xml:space="preserve">varying </w:t>
      </w:r>
      <w:r w:rsidR="006D4931">
        <w:t xml:space="preserve">depths </w:t>
      </w:r>
      <w:r w:rsidR="00DE6A8F">
        <w:t>in</w:t>
      </w:r>
      <w:r w:rsidR="006D4931">
        <w:t xml:space="preserve"> the </w:t>
      </w:r>
      <w:r w:rsidR="00773718">
        <w:t>sample</w:t>
      </w:r>
      <w:r>
        <w:t xml:space="preserve">. As growth proceeds, </w:t>
      </w:r>
      <w:r w:rsidR="00D22DD6">
        <w:t xml:space="preserve">projected </w:t>
      </w:r>
      <w:r>
        <w:t xml:space="preserve">image data observed </w:t>
      </w:r>
      <w:r w:rsidR="00DE24D1">
        <w:t xml:space="preserve">from a fixed viewpoint </w:t>
      </w:r>
      <w:r>
        <w:t xml:space="preserve">will suffer from the problem of over-projection. </w:t>
      </w:r>
      <w:r w:rsidR="00DE6A8F">
        <w:t>N</w:t>
      </w:r>
      <w:r>
        <w:t>on-contacting crystal</w:t>
      </w:r>
      <w:r w:rsidR="00D22DD6">
        <w:t>s</w:t>
      </w:r>
      <w:r>
        <w:t xml:space="preserve"> may appear to overlap and late-stage nucleation events may be obstructed from view due to established crystals being present along the line of sight. This is a well-known stereology problem </w:t>
      </w:r>
      <w:r>
        <w:fldChar w:fldCharType="begin" w:fldLock="1"/>
      </w:r>
      <w:r w:rsidR="009049F4">
        <w:instrText>ADDIN CSL_CITATION { "citationItems" : [ { "id" : "ITEM-1", "itemData" : { "DOI" : "10.1111/j.1365-2818.1969.tb00663.x", "ISSN" : "00222720", "author" : [ { "dropping-particle" : "", "family" : "Underwood", "given" : "E. E.", "non-dropping-particle" : "", "parse-names" : false, "suffix" : "" } ], "container-title" : "Journal of Microscopy", "id" : "ITEM-1", "issue" : "2", "issued" : { "date-parts" : [ [ "1969", "4" ] ] }, "page" : "161-180", "publisher" : "Blackwell Publishing Ltd", "title" : "Stereology, or the quantitative evaluation of microstructures", "type" : "article-journal", "volume" : "89" }, "uris" : [ "http://www.mendeley.com/documents/?uuid=b70af5b4-3de6-43c4-84b6-6557d7bb4cfb" ] }, { "id" : "ITEM-2", "itemData" : { "ISBN" : "9781584884057", "abstract" : "1. Introduction -- 2. Classical stereology -- 3. Overview of modern stereology -- 4. Geometrical identities -- 5. Geometrical probability -- 6. Statistical formulations of stereology -- 7. Uniform and isotropic uniform designs -- 8. Vertical and local designs -- 9. Ratio estimation -- 10. Discrete sampling and counting -- 11. Inference for particle populations -- 12. Design of stereological experiments -- 13. Variance of stereological estimators -- 14. Frontiers and open problems.", "author" : [ { "dropping-particle" : "", "family" : "Baddeley", "given" : "Adrian.", "non-dropping-particle" : "", "parse-names" : false, "suffix" : "" }, { "dropping-particle" : "", "family" : "Jensen", "given" : "Eva B. Vedel.", "non-dropping-particle" : "", "parse-names" : false, "suffix" : "" } ], "id" : "ITEM-2", "issued" : { "date-parts" : [ [ "2005" ] ] }, "number-of-pages" : "395", "publisher" : "Chapman &amp; Hall/CRC", "title" : "Stereology for statisticians", "type" : "book" }, "uris" : [ "http://www.mendeley.com/documents/?uuid=3ee94640-36f2-4779-a22f-1e276096ba35" ] } ], "mendeley" : { "formattedCitation" : "[29,30]", "manualFormatting" : "[29, 30]", "plainTextFormattedCitation" : "[29,30]", "previouslyFormattedCitation" : "[29,30]" }, "properties" : {  }, "schema" : "https://github.com/citation-style-language/schema/raw/master/csl-citation.json" }</w:instrText>
      </w:r>
      <w:r>
        <w:fldChar w:fldCharType="separate"/>
      </w:r>
      <w:r w:rsidR="00D22DD6" w:rsidRPr="00D22DD6">
        <w:rPr>
          <w:noProof/>
        </w:rPr>
        <w:t>[29,</w:t>
      </w:r>
      <w:r w:rsidR="006E390A">
        <w:rPr>
          <w:noProof/>
        </w:rPr>
        <w:t xml:space="preserve"> </w:t>
      </w:r>
      <w:r w:rsidR="00D22DD6" w:rsidRPr="00D22DD6">
        <w:rPr>
          <w:noProof/>
        </w:rPr>
        <w:t>30]</w:t>
      </w:r>
      <w:r>
        <w:fldChar w:fldCharType="end"/>
      </w:r>
      <w:r>
        <w:t xml:space="preserve"> and corrections are provided to account for the unwanted data artefacts that arise. Underwood </w:t>
      </w:r>
      <w:r>
        <w:fldChar w:fldCharType="begin" w:fldLock="1"/>
      </w:r>
      <w:r w:rsidR="0013413C">
        <w:instrText>ADDIN CSL_CITATION { "citationItems" : [ { "id" : "ITEM-1", "itemData" : { "DOI" : "10.1111/j.1365-2818.1969.tb00663.x", "ISSN" : "00222720", "author" : [ { "dropping-particle" : "", "family" : "Underwood", "given" : "E. E.", "non-dropping-particle" : "", "parse-names" : false, "suffix" : "" } ], "container-title" : "Journal of Microscopy", "id" : "ITEM-1", "issue" : "2", "issued" : { "date-parts" : [ [ "1969", "4" ] ] }, "page" : "161-180", "publisher" : "Blackwell Publishing Ltd", "title" : "Stereology, or the quantitative evaluation of microstructures", "type" : "article-journal", "volume" : "89" }, "uris" : [ "http://www.mendeley.com/documents/?uuid=b70af5b4-3de6-43c4-84b6-6557d7bb4cfb" ] } ], "mendeley" : { "formattedCitation" : "[29]", "plainTextFormattedCitation" : "[29]", "previouslyFormattedCitation" : "[29]" }, "properties" : {  }, "schema" : "https://github.com/citation-style-language/schema/raw/master/csl-citation.json" }</w:instrText>
      </w:r>
      <w:r>
        <w:fldChar w:fldCharType="separate"/>
      </w:r>
      <w:r w:rsidR="00255CDA" w:rsidRPr="00255CDA">
        <w:rPr>
          <w:noProof/>
        </w:rPr>
        <w:t>[29]</w:t>
      </w:r>
      <w:r>
        <w:fldChar w:fldCharType="end"/>
      </w:r>
      <w:r>
        <w:t xml:space="preserve"> </w:t>
      </w:r>
      <w:r w:rsidR="00A716D1">
        <w:t>reviewed</w:t>
      </w:r>
      <w:r>
        <w:t xml:space="preserve"> the stereology correction fo</w:t>
      </w:r>
      <w:r w:rsidR="00CA7B38">
        <w:t>r projection in bulk samples as,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05"/>
        <w:gridCol w:w="810"/>
      </w:tblGrid>
      <w:tr w:rsidR="00DC177E" w14:paraId="4B4147A3" w14:textId="77777777" w:rsidTr="005B0181">
        <w:trPr>
          <w:jc w:val="center"/>
        </w:trPr>
        <w:tc>
          <w:tcPr>
            <w:tcW w:w="7905" w:type="dxa"/>
            <w:vAlign w:val="center"/>
          </w:tcPr>
          <w:p w14:paraId="5CDD95D5" w14:textId="6F8ED657" w:rsidR="00DC177E" w:rsidRDefault="008F6ACD" w:rsidP="005B0181">
            <w:pPr>
              <w:pStyle w:val="Newparagraph"/>
              <w:ind w:firstLine="0"/>
              <w:contextualSpacing/>
            </w:pPr>
            <m:oMathPara>
              <m:oMath>
                <m:m>
                  <m:mPr>
                    <m:mcs>
                      <m:mc>
                        <m:mcPr>
                          <m:count m:val="2"/>
                          <m:mcJc m:val="center"/>
                        </m:mcPr>
                      </m:mc>
                    </m:mcs>
                    <m:ctrlPr>
                      <w:rPr>
                        <w:rFonts w:ascii="Cambria Math" w:eastAsiaTheme="minorHAnsi" w:hAnsi="Cambria Math" w:cstheme="minorBidi"/>
                        <w:i/>
                        <w:szCs w:val="22"/>
                        <w:lang w:eastAsia="en-US"/>
                      </w:rPr>
                    </m:ctrlPr>
                  </m:mPr>
                  <m:mr>
                    <m:e>
                      <m:sSubSup>
                        <m:sSubSupPr>
                          <m:ctrlPr>
                            <w:rPr>
                              <w:rFonts w:ascii="Cambria Math" w:eastAsiaTheme="minorHAnsi" w:hAnsi="Cambria Math" w:cstheme="minorBidi"/>
                              <w:i/>
                              <w:szCs w:val="22"/>
                              <w:lang w:eastAsia="en-US"/>
                            </w:rPr>
                          </m:ctrlPr>
                        </m:sSubSupPr>
                        <m:e>
                          <m:r>
                            <w:rPr>
                              <w:rFonts w:ascii="Cambria Math" w:hAnsi="Cambria Math"/>
                            </w:rPr>
                            <m:t>A</m:t>
                          </m:r>
                        </m:e>
                        <m:sub>
                          <m:r>
                            <w:rPr>
                              <w:rFonts w:ascii="Cambria Math" w:hAnsi="Cambria Math"/>
                            </w:rPr>
                            <m:t>A</m:t>
                          </m:r>
                        </m:sub>
                        <m:sup>
                          <m:r>
                            <w:rPr>
                              <w:rFonts w:ascii="Cambria Math" w:hAnsi="Cambria Math"/>
                            </w:rPr>
                            <m:t>''</m:t>
                          </m:r>
                        </m:sup>
                      </m:sSubSup>
                      <m:r>
                        <w:rPr>
                          <w:rFonts w:ascii="Cambria Math" w:hAnsi="Cambria Math"/>
                        </w:rPr>
                        <m:t>=-2ln</m:t>
                      </m:r>
                      <m:d>
                        <m:dPr>
                          <m:ctrlPr>
                            <w:rPr>
                              <w:rFonts w:ascii="Cambria Math" w:eastAsiaTheme="minorHAnsi" w:hAnsi="Cambria Math" w:cstheme="minorBidi"/>
                              <w:i/>
                              <w:szCs w:val="22"/>
                              <w:lang w:eastAsia="en-US"/>
                            </w:rPr>
                          </m:ctrlPr>
                        </m:dPr>
                        <m:e>
                          <m:r>
                            <w:rPr>
                              <w:rFonts w:ascii="Cambria Math" w:hAnsi="Cambria Math"/>
                            </w:rPr>
                            <m:t>1-</m:t>
                          </m:r>
                          <m:sSubSup>
                            <m:sSubSupPr>
                              <m:ctrlPr>
                                <w:rPr>
                                  <w:rFonts w:ascii="Cambria Math" w:eastAsiaTheme="minorHAnsi" w:hAnsi="Cambria Math" w:cstheme="minorBidi"/>
                                  <w:i/>
                                  <w:szCs w:val="22"/>
                                  <w:lang w:eastAsia="en-US"/>
                                </w:rPr>
                              </m:ctrlPr>
                            </m:sSubSupPr>
                            <m:e>
                              <m:r>
                                <w:rPr>
                                  <w:rFonts w:ascii="Cambria Math" w:hAnsi="Cambria Math"/>
                                </w:rPr>
                                <m:t>A</m:t>
                              </m:r>
                            </m:e>
                            <m:sub>
                              <m:r>
                                <w:rPr>
                                  <w:rFonts w:ascii="Cambria Math" w:hAnsi="Cambria Math"/>
                                </w:rPr>
                                <m:t>A</m:t>
                              </m:r>
                            </m:sub>
                            <m:sup>
                              <m:r>
                                <w:rPr>
                                  <w:rFonts w:ascii="Cambria Math" w:hAnsi="Cambria Math"/>
                                </w:rPr>
                                <m:t>'</m:t>
                              </m:r>
                            </m:sup>
                          </m:sSubSup>
                        </m:e>
                      </m:d>
                    </m:e>
                    <m:e>
                      <m:r>
                        <w:rPr>
                          <w:rFonts w:ascii="Cambria Math" w:eastAsiaTheme="minorHAnsi" w:hAnsi="Cambria Math" w:cstheme="minorBidi"/>
                          <w:szCs w:val="22"/>
                          <w:lang w:eastAsia="en-US"/>
                        </w:rPr>
                        <m:t>,</m:t>
                      </m:r>
                    </m:e>
                  </m:mr>
                </m:m>
              </m:oMath>
            </m:oMathPara>
          </w:p>
        </w:tc>
        <w:tc>
          <w:tcPr>
            <w:tcW w:w="810" w:type="dxa"/>
            <w:vAlign w:val="center"/>
          </w:tcPr>
          <w:p w14:paraId="3BC9E41F" w14:textId="77777777" w:rsidR="00DC177E" w:rsidRDefault="00DC177E" w:rsidP="005B0181">
            <w:pPr>
              <w:pStyle w:val="Newparagraph"/>
              <w:ind w:firstLine="0"/>
              <w:contextualSpacing/>
            </w:pPr>
            <w:bookmarkStart w:id="13" w:name="A_doubledash_A"/>
            <w:r>
              <w:t>(</w:t>
            </w:r>
            <w:fldSimple w:instr=" SEQ Eqn \* MERGEFORMAT ">
              <w:r w:rsidR="002637FB">
                <w:rPr>
                  <w:noProof/>
                </w:rPr>
                <w:t>17</w:t>
              </w:r>
            </w:fldSimple>
            <w:r>
              <w:t>)</w:t>
            </w:r>
            <w:bookmarkEnd w:id="13"/>
          </w:p>
        </w:tc>
      </w:tr>
    </w:tbl>
    <w:p w14:paraId="40C9B504" w14:textId="77777777" w:rsidR="00DC177E" w:rsidRDefault="00DC177E" w:rsidP="00CA7B38">
      <w:pPr>
        <w:pStyle w:val="Newparagraph"/>
        <w:ind w:firstLine="0"/>
        <w:rPr>
          <w:rFonts w:eastAsiaTheme="minorEastAsia"/>
        </w:rPr>
      </w:pPr>
      <w:r>
        <w:t xml:space="preserve">where </w:t>
      </w:r>
      <m:oMath>
        <m:sSubSup>
          <m:sSubSupPr>
            <m:ctrlPr>
              <w:rPr>
                <w:rFonts w:ascii="Cambria Math" w:hAnsi="Cambria Math"/>
                <w:i/>
              </w:rPr>
            </m:ctrlPr>
          </m:sSubSupPr>
          <m:e>
            <m:r>
              <w:rPr>
                <w:rFonts w:ascii="Cambria Math" w:hAnsi="Cambria Math"/>
              </w:rPr>
              <m:t>A</m:t>
            </m:r>
          </m:e>
          <m:sub>
            <m:r>
              <w:rPr>
                <w:rFonts w:ascii="Cambria Math" w:hAnsi="Cambria Math"/>
              </w:rPr>
              <m:t>A</m:t>
            </m:r>
          </m:sub>
          <m:sup>
            <m:r>
              <w:rPr>
                <w:rFonts w:ascii="Cambria Math" w:hAnsi="Cambria Math"/>
              </w:rPr>
              <m:t>''</m:t>
            </m:r>
          </m:sup>
        </m:sSubSup>
      </m:oMath>
      <w:r>
        <w:rPr>
          <w:rFonts w:eastAsiaTheme="minorEastAsia"/>
        </w:rPr>
        <w:t xml:space="preserve"> is the total projection (the area fraction of all projected surfaces on all transformed regions) and </w:t>
      </w:r>
      <m:oMath>
        <m:sSubSup>
          <m:sSubSupPr>
            <m:ctrlPr>
              <w:rPr>
                <w:rFonts w:ascii="Cambria Math" w:hAnsi="Cambria Math"/>
                <w:i/>
              </w:rPr>
            </m:ctrlPr>
          </m:sSubSupPr>
          <m:e>
            <m:r>
              <w:rPr>
                <w:rFonts w:ascii="Cambria Math" w:hAnsi="Cambria Math"/>
              </w:rPr>
              <m:t>A</m:t>
            </m:r>
          </m:e>
          <m:sub>
            <m:r>
              <w:rPr>
                <w:rFonts w:ascii="Cambria Math" w:hAnsi="Cambria Math"/>
              </w:rPr>
              <m:t>A</m:t>
            </m:r>
          </m:sub>
          <m:sup>
            <m:r>
              <w:rPr>
                <w:rFonts w:ascii="Cambria Math" w:hAnsi="Cambria Math"/>
              </w:rPr>
              <m:t>'</m:t>
            </m:r>
          </m:sup>
        </m:sSubSup>
      </m:oMath>
      <w:r>
        <w:rPr>
          <w:rFonts w:eastAsiaTheme="minorEastAsia"/>
        </w:rPr>
        <w:t xml:space="preserve"> is projected (or apparent) area fraction on the projection plane. </w:t>
      </w:r>
    </w:p>
    <w:p w14:paraId="15323C16" w14:textId="04F6CE51" w:rsidR="00DC177E" w:rsidRDefault="00DC177E" w:rsidP="00CF4C5A">
      <w:pPr>
        <w:pStyle w:val="Newparagraph"/>
      </w:pPr>
      <w:r>
        <w:t xml:space="preserve">Mooney and McFadden </w:t>
      </w:r>
      <w:r w:rsidR="00CF4C5A">
        <w:fldChar w:fldCharType="begin" w:fldLock="1"/>
      </w:r>
      <w:r w:rsidR="0013413C">
        <w:instrText>ADDIN CSL_CITATION { "citationItems" : [ { "id" : "ITEM-1", "itemData" : { "DOI" : "10.1016/j.jcrysgro.2017.10.002", "ISSN" : "00220248", "abstract" : "In-situ observation of crystal growth in transparent media allows us to observe solidification phase change in real-time. These systems are analogous to opaque systems such as metals. The interpretation of transient 2-dimensional area projections from 3-dimensional phase change phenomena occurring in a bulky sample is problematic due to uncertainty of impingement and hidden nucleation events; in stereology this problem is known as over-projection. This manuscript describes and demonstrates a continuous model for nucleation and growth using the well-established Johnson-Mehl-Avrami-Kolmogorov model, and provides a method to relate 3-dimensional volumetric data (nucleation events, volume fraction) to observed data in a 2-dimensional projection (nucleation count, area fraction). A parametric analysis is performed; the projection phenomenon is shown to be significant in cases where nucleation is occurring continuously with a relatively large variance. In general, area fraction on a projection plane will overestimate the volume fraction within the sample and the nuclei count recorded on the projection plane will underestimate the number of real nucleation events. The statistical framework given in this manuscript provides a methodology to deal with the differences between the observed (projected) data and the real (volumetric) measures.", "author" : [ { "dropping-particle" : "", "family" : "Mooney", "given" : "Robin P.", "non-dropping-particle" : "", "parse-names" : false, "suffix" : "" }, { "dropping-particle" : "", "family" : "McFadden", "given" : "Shaun", "non-dropping-particle" : "", "parse-names" : false, "suffix" : "" } ], "container-title" : "Journal of Crystal Growth", "id" : "ITEM-1", "issued" : { "date-parts" : [ [ "2017" ] ] }, "page" : "43-50", "publisher" : "Elsevier B.V.", "title" : "Theoretical analysis to interpret projected image data from in-situ 3-dimensional equiaxed nucleation and growth", "type" : "article-journal", "volume" : "480" }, "uris" : [ "http://www.mendeley.com/documents/?uuid=9f5c7616-3db3-4cb2-9850-1a5046560b67" ] } ], "mendeley" : { "formattedCitation" : "[31]", "plainTextFormattedCitation" : "[31]", "previouslyFormattedCitation" : "[31]" }, "properties" : {  }, "schema" : "https://github.com/citation-style-language/schema/raw/master/csl-citation.json" }</w:instrText>
      </w:r>
      <w:r w:rsidR="00CF4C5A">
        <w:fldChar w:fldCharType="separate"/>
      </w:r>
      <w:r w:rsidR="00CF4C5A" w:rsidRPr="00CF4C5A">
        <w:rPr>
          <w:noProof/>
        </w:rPr>
        <w:t>[31]</w:t>
      </w:r>
      <w:r w:rsidR="00CF4C5A">
        <w:fldChar w:fldCharType="end"/>
      </w:r>
      <w:r w:rsidR="00CF4C5A">
        <w:t xml:space="preserve"> </w:t>
      </w:r>
      <w:r>
        <w:t xml:space="preserve">have presented a theoretical framework for analysing 2D image data arising from 3D equiaxed nucleation and growth. They showed that, assuming Poisson statistical assumptions, projected image data may </w:t>
      </w:r>
      <w:r w:rsidR="00157872">
        <w:t xml:space="preserve">also </w:t>
      </w:r>
      <w:r>
        <w:t xml:space="preserve">be analysed using a Kolmogorov approach but on the 2D observation plane. This leads to </w:t>
      </w:r>
      <w:r w:rsidR="00834FFE">
        <w:t xml:space="preserve">a </w:t>
      </w:r>
      <w:r>
        <w:t>derivation of the 2D JMAK equation</w:t>
      </w:r>
      <w:r w:rsidR="00837223">
        <w:t>,</w:t>
      </w:r>
      <w:r>
        <w:t xml:space="preserve"> </w:t>
      </w:r>
    </w:p>
    <w:tbl>
      <w:tblPr>
        <w:tblStyle w:val="TableGrid"/>
        <w:tblW w:w="0" w:type="auto"/>
        <w:jc w:val="center"/>
        <w:tblLook w:val="04A0" w:firstRow="1" w:lastRow="0" w:firstColumn="1" w:lastColumn="0" w:noHBand="0" w:noVBand="1"/>
      </w:tblPr>
      <w:tblGrid>
        <w:gridCol w:w="7905"/>
        <w:gridCol w:w="810"/>
      </w:tblGrid>
      <w:tr w:rsidR="00DC177E" w14:paraId="6DD46E26" w14:textId="77777777" w:rsidTr="005B0181">
        <w:trPr>
          <w:jc w:val="center"/>
        </w:trPr>
        <w:tc>
          <w:tcPr>
            <w:tcW w:w="7905" w:type="dxa"/>
            <w:tcBorders>
              <w:top w:val="nil"/>
              <w:left w:val="nil"/>
              <w:bottom w:val="nil"/>
              <w:right w:val="nil"/>
            </w:tcBorders>
            <w:vAlign w:val="center"/>
          </w:tcPr>
          <w:p w14:paraId="4337E578" w14:textId="77777777" w:rsidR="00DC177E" w:rsidRDefault="008F6ACD" w:rsidP="005B0181">
            <w:pPr>
              <w:pStyle w:val="Newparagraph"/>
              <w:ind w:firstLine="0"/>
              <w:contextualSpacing/>
            </w:pPr>
            <m:oMathPara>
              <m:oMath>
                <m:m>
                  <m:mPr>
                    <m:mcs>
                      <m:mc>
                        <m:mcPr>
                          <m:count m:val="2"/>
                          <m:mcJc m:val="center"/>
                        </m:mcPr>
                      </m:mc>
                    </m:mcs>
                    <m:ctrlPr>
                      <w:rPr>
                        <w:rFonts w:ascii="Cambria Math" w:hAnsi="Cambria Math"/>
                        <w:i/>
                      </w:rPr>
                    </m:ctrlPr>
                  </m:mPr>
                  <m:mr>
                    <m:e>
                      <m:sSub>
                        <m:sSubPr>
                          <m:ctrlPr>
                            <w:rPr>
                              <w:rFonts w:ascii="Cambria Math" w:hAnsi="Cambria Math"/>
                            </w:rPr>
                          </m:ctrlPr>
                        </m:sSubPr>
                        <m:e>
                          <m:r>
                            <w:rPr>
                              <w:rFonts w:ascii="Cambria Math" w:hAnsi="Cambria Math"/>
                            </w:rPr>
                            <m:t>ζ</m:t>
                          </m:r>
                        </m:e>
                        <m:sub>
                          <m:r>
                            <w:rPr>
                              <w:rFonts w:ascii="Cambria Math" w:hAnsi="Cambria Math"/>
                            </w:rPr>
                            <m:t>A</m:t>
                          </m:r>
                        </m:sub>
                      </m:sSub>
                      <m:r>
                        <m:rPr>
                          <m:sty m:val="p"/>
                        </m:rPr>
                        <w:rPr>
                          <w:rFonts w:ascii="Cambria Math" w:hAnsi="Cambria Math"/>
                        </w:rPr>
                        <m:t>=1-</m:t>
                      </m:r>
                      <m:r>
                        <w:rPr>
                          <w:rFonts w:ascii="Cambria Math" w:hAnsi="Cambria Math"/>
                        </w:rPr>
                        <m:t>exp</m:t>
                      </m:r>
                      <m:d>
                        <m:dPr>
                          <m:ctrlPr>
                            <w:rPr>
                              <w:rFonts w:ascii="Cambria Math" w:hAnsi="Cambria Math"/>
                            </w:rPr>
                          </m:ctrlPr>
                        </m:dPr>
                        <m:e>
                          <m:r>
                            <m:rPr>
                              <m:sty m:val="p"/>
                            </m:rPr>
                            <w:rPr>
                              <w:rFonts w:ascii="Cambria Math" w:hAnsi="Cambria Math"/>
                            </w:rPr>
                            <m:t>-</m:t>
                          </m:r>
                          <m:sSub>
                            <m:sSubPr>
                              <m:ctrlPr>
                                <w:rPr>
                                  <w:rFonts w:ascii="Cambria Math" w:hAnsi="Cambria Math"/>
                                </w:rPr>
                              </m:ctrlPr>
                            </m:sSubPr>
                            <m:e>
                              <m:r>
                                <w:rPr>
                                  <w:rFonts w:ascii="Cambria Math" w:hAnsi="Cambria Math"/>
                                </w:rPr>
                                <m:t>ζ</m:t>
                              </m:r>
                            </m:e>
                            <m:sub>
                              <m:r>
                                <w:rPr>
                                  <w:rFonts w:ascii="Cambria Math" w:hAnsi="Cambria Math"/>
                                </w:rPr>
                                <m:t>A</m:t>
                              </m:r>
                              <m:r>
                                <m:rPr>
                                  <m:sty m:val="p"/>
                                </m:rPr>
                                <w:rPr>
                                  <w:rFonts w:ascii="Cambria Math" w:hAnsi="Cambria Math"/>
                                </w:rPr>
                                <m:t>,</m:t>
                              </m:r>
                              <m:r>
                                <w:rPr>
                                  <w:rFonts w:ascii="Cambria Math" w:hAnsi="Cambria Math"/>
                                </w:rPr>
                                <m:t>EX</m:t>
                              </m:r>
                            </m:sub>
                          </m:sSub>
                        </m:e>
                      </m:d>
                    </m:e>
                    <m:e>
                      <m:r>
                        <w:rPr>
                          <w:rFonts w:ascii="Cambria Math" w:hAnsi="Cambria Math"/>
                        </w:rPr>
                        <m:t>.</m:t>
                      </m:r>
                    </m:e>
                  </m:mr>
                </m:m>
              </m:oMath>
            </m:oMathPara>
          </w:p>
        </w:tc>
        <w:tc>
          <w:tcPr>
            <w:tcW w:w="810" w:type="dxa"/>
            <w:tcBorders>
              <w:top w:val="nil"/>
              <w:left w:val="nil"/>
              <w:bottom w:val="nil"/>
              <w:right w:val="nil"/>
            </w:tcBorders>
            <w:vAlign w:val="center"/>
          </w:tcPr>
          <w:p w14:paraId="526AFF64" w14:textId="77777777" w:rsidR="00DC177E" w:rsidRDefault="00DC177E" w:rsidP="005B0181">
            <w:pPr>
              <w:pStyle w:val="Newparagraph"/>
              <w:ind w:firstLine="0"/>
              <w:contextualSpacing/>
            </w:pPr>
            <w:bookmarkStart w:id="14" w:name="twoDJMAK"/>
            <w:r>
              <w:t>(</w:t>
            </w:r>
            <w:fldSimple w:instr=" SEQ Eqn \* MERGEFORMAT ">
              <w:r w:rsidR="002637FB">
                <w:rPr>
                  <w:noProof/>
                </w:rPr>
                <w:t>18</w:t>
              </w:r>
            </w:fldSimple>
            <w:r>
              <w:t>)</w:t>
            </w:r>
            <w:bookmarkEnd w:id="14"/>
          </w:p>
        </w:tc>
      </w:tr>
    </w:tbl>
    <w:p w14:paraId="5AC2A0C8" w14:textId="2FCB7C8B" w:rsidR="00DC177E" w:rsidRDefault="00DC177E" w:rsidP="00CF4C5A">
      <w:pPr>
        <w:pStyle w:val="Newparagraph"/>
        <w:ind w:firstLine="0"/>
      </w:pPr>
      <w:r>
        <w:t xml:space="preserve">where </w:t>
      </w:r>
      <m:oMath>
        <m:sSub>
          <m:sSubPr>
            <m:ctrlPr>
              <w:rPr>
                <w:rFonts w:ascii="Cambria Math" w:hAnsi="Cambria Math"/>
              </w:rPr>
            </m:ctrlPr>
          </m:sSubPr>
          <m:e>
            <m:r>
              <w:rPr>
                <w:rFonts w:ascii="Cambria Math" w:hAnsi="Cambria Math"/>
              </w:rPr>
              <m:t>ζ</m:t>
            </m:r>
          </m:e>
          <m:sub>
            <m:r>
              <w:rPr>
                <w:rFonts w:ascii="Cambria Math" w:hAnsi="Cambria Math"/>
              </w:rPr>
              <m:t>A</m:t>
            </m:r>
          </m:sub>
        </m:sSub>
      </m:oMath>
      <w:r>
        <w:t xml:space="preserve"> is the observed area fraction with </w:t>
      </w:r>
      <m:oMath>
        <m:sSub>
          <m:sSubPr>
            <m:ctrlPr>
              <w:rPr>
                <w:rFonts w:ascii="Cambria Math" w:hAnsi="Cambria Math"/>
              </w:rPr>
            </m:ctrlPr>
          </m:sSubPr>
          <m:e>
            <m:r>
              <w:rPr>
                <w:rFonts w:ascii="Cambria Math" w:hAnsi="Cambria Math"/>
              </w:rPr>
              <m:t>ζ</m:t>
            </m:r>
          </m:e>
          <m:sub>
            <m:r>
              <w:rPr>
                <w:rFonts w:ascii="Cambria Math" w:hAnsi="Cambria Math"/>
              </w:rPr>
              <m:t>A</m:t>
            </m:r>
            <m:r>
              <m:rPr>
                <m:sty m:val="p"/>
              </m:rPr>
              <w:rPr>
                <w:rFonts w:ascii="Cambria Math" w:hAnsi="Cambria Math"/>
              </w:rPr>
              <m:t>,</m:t>
            </m:r>
            <m:r>
              <w:rPr>
                <w:rFonts w:ascii="Cambria Math" w:hAnsi="Cambria Math"/>
              </w:rPr>
              <m:t>EX</m:t>
            </m:r>
          </m:sub>
        </m:sSub>
      </m:oMath>
      <w:r>
        <w:t xml:space="preserve"> is the extended area fraction (which is analogous to the extended volume fraction but based on area calculations). Through application </w:t>
      </w:r>
      <w:r w:rsidR="00996E2F">
        <w:t>of the supporting theory for equation</w:t>
      </w:r>
      <w:r>
        <w:t xml:space="preserve"> </w:t>
      </w:r>
      <w:r w:rsidR="00996E2F">
        <w:fldChar w:fldCharType="begin"/>
      </w:r>
      <w:r w:rsidR="00996E2F">
        <w:instrText xml:space="preserve"> REF twoDJMAK \h </w:instrText>
      </w:r>
      <w:r w:rsidR="00996E2F">
        <w:fldChar w:fldCharType="separate"/>
      </w:r>
      <w:r w:rsidR="002637FB">
        <w:t>(</w:t>
      </w:r>
      <w:r w:rsidR="002637FB">
        <w:rPr>
          <w:noProof/>
        </w:rPr>
        <w:t>18</w:t>
      </w:r>
      <w:r w:rsidR="002637FB">
        <w:t>)</w:t>
      </w:r>
      <w:r w:rsidR="00996E2F">
        <w:fldChar w:fldCharType="end"/>
      </w:r>
      <w:r w:rsidR="00996E2F">
        <w:t xml:space="preserve">, </w:t>
      </w:r>
      <w:r>
        <w:t>a new progen</w:t>
      </w:r>
      <w:r w:rsidR="00ED384B">
        <w:t>y</w:t>
      </w:r>
      <w:r>
        <w:t xml:space="preserve"> function is possible for the observed nucleation rate,</w:t>
      </w:r>
    </w:p>
    <w:tbl>
      <w:tblPr>
        <w:tblStyle w:val="TableGrid"/>
        <w:tblW w:w="0" w:type="auto"/>
        <w:jc w:val="center"/>
        <w:tblLook w:val="04A0" w:firstRow="1" w:lastRow="0" w:firstColumn="1" w:lastColumn="0" w:noHBand="0" w:noVBand="1"/>
      </w:tblPr>
      <w:tblGrid>
        <w:gridCol w:w="7905"/>
        <w:gridCol w:w="810"/>
      </w:tblGrid>
      <w:tr w:rsidR="00DC177E" w14:paraId="4AD99AD8" w14:textId="77777777" w:rsidTr="005B0181">
        <w:trPr>
          <w:jc w:val="center"/>
        </w:trPr>
        <w:tc>
          <w:tcPr>
            <w:tcW w:w="7905" w:type="dxa"/>
            <w:tcBorders>
              <w:top w:val="nil"/>
              <w:left w:val="nil"/>
              <w:bottom w:val="nil"/>
              <w:right w:val="nil"/>
            </w:tcBorders>
            <w:vAlign w:val="center"/>
          </w:tcPr>
          <w:p w14:paraId="779F0380" w14:textId="77777777" w:rsidR="00DC177E" w:rsidRDefault="008F6ACD" w:rsidP="0091027E">
            <w:pPr>
              <w:pStyle w:val="Newparagraph"/>
              <w:ind w:firstLine="0"/>
              <w:contextualSpacing/>
              <w:jc w:val="both"/>
            </w:pPr>
            <m:oMathPara>
              <m:oMath>
                <m:m>
                  <m:mPr>
                    <m:mcs>
                      <m:mc>
                        <m:mcPr>
                          <m:count m:val="2"/>
                          <m:mcJc m:val="center"/>
                        </m:mcPr>
                      </m:mc>
                    </m:mcs>
                    <m:ctrlPr>
                      <w:rPr>
                        <w:rFonts w:ascii="Cambria Math" w:hAnsi="Cambria Math"/>
                        <w:i/>
                      </w:rPr>
                    </m:ctrlPr>
                  </m:mPr>
                  <m:mr>
                    <m:e>
                      <m:sSub>
                        <m:sSubPr>
                          <m:ctrlPr>
                            <w:rPr>
                              <w:rFonts w:ascii="Cambria Math" w:hAnsi="Cambria Math"/>
                            </w:rPr>
                          </m:ctrlPr>
                        </m:sSubPr>
                        <m:e>
                          <m:acc>
                            <m:accPr>
                              <m:chr m:val="̇"/>
                              <m:ctrlPr>
                                <w:rPr>
                                  <w:rFonts w:ascii="Cambria Math" w:hAnsi="Cambria Math"/>
                                  <w:i/>
                                </w:rPr>
                              </m:ctrlPr>
                            </m:accPr>
                            <m:e>
                              <m:r>
                                <w:rPr>
                                  <w:rFonts w:ascii="Cambria Math" w:hAnsi="Cambria Math"/>
                                </w:rPr>
                                <m:t>N</m:t>
                              </m:r>
                            </m:e>
                          </m:acc>
                        </m:e>
                        <m:sub>
                          <m:r>
                            <w:rPr>
                              <w:rFonts w:ascii="Cambria Math" w:hAnsi="Cambria Math"/>
                            </w:rPr>
                            <m:t>OBS</m:t>
                          </m:r>
                        </m:sub>
                      </m:sSub>
                      <m:d>
                        <m:dPr>
                          <m:ctrlPr>
                            <w:rPr>
                              <w:rFonts w:ascii="Cambria Math" w:hAnsi="Cambria Math"/>
                            </w:rPr>
                          </m:ctrlPr>
                        </m:dPr>
                        <m:e>
                          <m:r>
                            <w:rPr>
                              <w:rFonts w:ascii="Cambria Math" w:hAnsi="Cambria Math"/>
                            </w:rPr>
                            <m:t>t</m:t>
                          </m:r>
                        </m:e>
                      </m:d>
                      <m:r>
                        <m:rPr>
                          <m:sty m:val="p"/>
                        </m:rPr>
                        <w:rPr>
                          <w:rFonts w:ascii="Cambria Math" w:hAnsi="Cambria Math"/>
                        </w:rPr>
                        <m:t>=</m:t>
                      </m:r>
                      <m:acc>
                        <m:accPr>
                          <m:chr m:val="̇"/>
                          <m:ctrlPr>
                            <w:rPr>
                              <w:rFonts w:ascii="Cambria Math" w:hAnsi="Cambria Math"/>
                            </w:rPr>
                          </m:ctrlPr>
                        </m:accPr>
                        <m:e>
                          <m:r>
                            <w:rPr>
                              <w:rFonts w:ascii="Cambria Math" w:hAnsi="Cambria Math"/>
                            </w:rPr>
                            <m:t>N</m:t>
                          </m:r>
                        </m:e>
                      </m:acc>
                      <m:d>
                        <m:dPr>
                          <m:ctrlPr>
                            <w:rPr>
                              <w:rFonts w:ascii="Cambria Math" w:hAnsi="Cambria Math"/>
                            </w:rPr>
                          </m:ctrlPr>
                        </m:dPr>
                        <m:e>
                          <m:sSub>
                            <m:sSubPr>
                              <m:ctrlPr>
                                <w:rPr>
                                  <w:rFonts w:ascii="Cambria Math" w:hAnsi="Cambria Math"/>
                                  <w:i/>
                                </w:rPr>
                              </m:ctrlPr>
                            </m:sSubPr>
                            <m:e>
                              <m:r>
                                <w:rPr>
                                  <w:rFonts w:ascii="Cambria Math" w:hAnsi="Cambria Math"/>
                                </w:rPr>
                                <m:t>t</m:t>
                              </m:r>
                            </m:e>
                            <m:sub>
                              <m:r>
                                <w:rPr>
                                  <w:rFonts w:ascii="Cambria Math" w:hAnsi="Cambria Math"/>
                                </w:rPr>
                                <m:t>n</m:t>
                              </m:r>
                            </m:sub>
                          </m:sSub>
                        </m:e>
                      </m:d>
                      <m:r>
                        <m:rPr>
                          <m:sty m:val="p"/>
                        </m:rPr>
                        <w:rPr>
                          <w:rFonts w:ascii="Cambria Math" w:hAnsi="Cambria Math"/>
                        </w:rPr>
                        <m:t>∙</m:t>
                      </m:r>
                      <m:r>
                        <w:rPr>
                          <w:rFonts w:ascii="Cambria Math" w:hAnsi="Cambria Math"/>
                        </w:rPr>
                        <m:t>D</m:t>
                      </m:r>
                      <m:r>
                        <m:rPr>
                          <m:sty m:val="p"/>
                        </m:rPr>
                        <w:rPr>
                          <w:rFonts w:ascii="Cambria Math" w:hAnsi="Cambria Math"/>
                        </w:rPr>
                        <m:t>∙</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ζ</m:t>
                              </m:r>
                            </m:e>
                            <m:sub>
                              <m:r>
                                <w:rPr>
                                  <w:rFonts w:ascii="Cambria Math" w:hAnsi="Cambria Math"/>
                                </w:rPr>
                                <m:t>A</m:t>
                              </m:r>
                            </m:sub>
                          </m:sSub>
                        </m:e>
                      </m:d>
                    </m:e>
                    <m:e>
                      <m:r>
                        <w:rPr>
                          <w:rFonts w:ascii="Cambria Math" w:hAnsi="Cambria Math"/>
                        </w:rPr>
                        <m:t>,</m:t>
                      </m:r>
                    </m:e>
                  </m:mr>
                </m:m>
              </m:oMath>
            </m:oMathPara>
          </w:p>
        </w:tc>
        <w:tc>
          <w:tcPr>
            <w:tcW w:w="810" w:type="dxa"/>
            <w:tcBorders>
              <w:top w:val="nil"/>
              <w:left w:val="nil"/>
              <w:bottom w:val="nil"/>
              <w:right w:val="nil"/>
            </w:tcBorders>
            <w:vAlign w:val="center"/>
          </w:tcPr>
          <w:p w14:paraId="2A564674" w14:textId="77777777" w:rsidR="00DC177E" w:rsidRDefault="00DC177E" w:rsidP="0091027E">
            <w:pPr>
              <w:pStyle w:val="Newparagraph"/>
              <w:ind w:firstLine="0"/>
              <w:contextualSpacing/>
              <w:jc w:val="both"/>
            </w:pPr>
            <w:bookmarkStart w:id="15" w:name="Nobs1"/>
            <w:bookmarkStart w:id="16" w:name="Ndot_obs"/>
            <w:r>
              <w:t>(</w:t>
            </w:r>
            <w:fldSimple w:instr=" SEQ Eqn \* MERGEFORMAT ">
              <w:r w:rsidR="002637FB">
                <w:rPr>
                  <w:noProof/>
                </w:rPr>
                <w:t>19</w:t>
              </w:r>
            </w:fldSimple>
            <w:r>
              <w:t>)</w:t>
            </w:r>
            <w:bookmarkEnd w:id="15"/>
            <w:bookmarkEnd w:id="16"/>
          </w:p>
        </w:tc>
      </w:tr>
    </w:tbl>
    <w:p w14:paraId="02EEC40A" w14:textId="02B6D13D" w:rsidR="00DC177E" w:rsidRDefault="00ED384B" w:rsidP="00996E2F">
      <w:pPr>
        <w:pStyle w:val="Newparagraph"/>
        <w:ind w:firstLine="0"/>
      </w:pPr>
      <w:r>
        <w:t xml:space="preserve">With an associated </w:t>
      </w:r>
      <w:r w:rsidR="00DC177E">
        <w:t>observed nucleation density</w:t>
      </w:r>
      <w:r w:rsidR="00996E2F">
        <w:t>,</w:t>
      </w:r>
    </w:p>
    <w:tbl>
      <w:tblPr>
        <w:tblStyle w:val="TableGrid"/>
        <w:tblW w:w="0" w:type="auto"/>
        <w:jc w:val="center"/>
        <w:tblLook w:val="04A0" w:firstRow="1" w:lastRow="0" w:firstColumn="1" w:lastColumn="0" w:noHBand="0" w:noVBand="1"/>
      </w:tblPr>
      <w:tblGrid>
        <w:gridCol w:w="7905"/>
        <w:gridCol w:w="810"/>
      </w:tblGrid>
      <w:tr w:rsidR="00DC177E" w14:paraId="249BF248" w14:textId="77777777" w:rsidTr="005B0181">
        <w:trPr>
          <w:jc w:val="center"/>
        </w:trPr>
        <w:tc>
          <w:tcPr>
            <w:tcW w:w="7905" w:type="dxa"/>
            <w:tcBorders>
              <w:top w:val="nil"/>
              <w:left w:val="nil"/>
              <w:bottom w:val="nil"/>
              <w:right w:val="nil"/>
            </w:tcBorders>
            <w:vAlign w:val="center"/>
          </w:tcPr>
          <w:p w14:paraId="1CE35C8C" w14:textId="77777777" w:rsidR="00DC177E" w:rsidRDefault="008F6ACD" w:rsidP="005B0181">
            <w:pPr>
              <w:pStyle w:val="Newparagraph"/>
              <w:ind w:firstLine="0"/>
              <w:contextualSpacing/>
            </w:pPr>
            <m:oMathPara>
              <m:oMath>
                <m:m>
                  <m:mPr>
                    <m:mcs>
                      <m:mc>
                        <m:mcPr>
                          <m:count m:val="2"/>
                          <m:mcJc m:val="center"/>
                        </m:mcPr>
                      </m:mc>
                    </m:mcs>
                    <m:ctrlPr>
                      <w:rPr>
                        <w:rFonts w:ascii="Cambria Math" w:hAnsi="Cambria Math"/>
                        <w:i/>
                      </w:rPr>
                    </m:ctrlPr>
                  </m:mPr>
                  <m:mr>
                    <m:e>
                      <m:sSub>
                        <m:sSubPr>
                          <m:ctrlPr>
                            <w:rPr>
                              <w:rFonts w:ascii="Cambria Math" w:hAnsi="Cambria Math"/>
                            </w:rPr>
                          </m:ctrlPr>
                        </m:sSubPr>
                        <m:e>
                          <m:r>
                            <w:rPr>
                              <w:rFonts w:ascii="Cambria Math" w:hAnsi="Cambria Math"/>
                            </w:rPr>
                            <m:t>N</m:t>
                          </m:r>
                        </m:e>
                        <m:sub>
                          <m:r>
                            <w:rPr>
                              <w:rFonts w:ascii="Cambria Math" w:hAnsi="Cambria Math"/>
                            </w:rPr>
                            <m:t>OBS</m:t>
                          </m:r>
                        </m:sub>
                      </m:sSub>
                      <m:d>
                        <m:dPr>
                          <m:ctrlPr>
                            <w:rPr>
                              <w:rFonts w:ascii="Cambria Math" w:hAnsi="Cambria Math"/>
                            </w:rPr>
                          </m:ctrlPr>
                        </m:dPr>
                        <m:e>
                          <m:r>
                            <w:rPr>
                              <w:rFonts w:ascii="Cambria Math" w:hAnsi="Cambria Math"/>
                            </w:rPr>
                            <m:t>t</m:t>
                          </m:r>
                        </m:e>
                      </m:d>
                      <m:r>
                        <m:rPr>
                          <m:sty m:val="p"/>
                        </m:rPr>
                        <w:rPr>
                          <w:rFonts w:ascii="Cambria Math" w:hAnsi="Cambria Math"/>
                        </w:rPr>
                        <m:t>=</m:t>
                      </m:r>
                      <m:nary>
                        <m:naryPr>
                          <m:limLoc m:val="subSup"/>
                          <m:ctrlPr>
                            <w:rPr>
                              <w:rFonts w:ascii="Cambria Math" w:hAnsi="Cambria Math"/>
                            </w:rPr>
                          </m:ctrlPr>
                        </m:naryPr>
                        <m:sub>
                          <m:r>
                            <m:rPr>
                              <m:sty m:val="p"/>
                            </m:rPr>
                            <w:rPr>
                              <w:rFonts w:ascii="Cambria Math" w:hAnsi="Cambria Math"/>
                            </w:rPr>
                            <m:t>0</m:t>
                          </m:r>
                        </m:sub>
                        <m:sup>
                          <m:r>
                            <w:rPr>
                              <w:rFonts w:ascii="Cambria Math" w:hAnsi="Cambria Math"/>
                            </w:rPr>
                            <m:t>t</m:t>
                          </m:r>
                        </m:sup>
                        <m:e>
                          <m:acc>
                            <m:accPr>
                              <m:chr m:val="̇"/>
                              <m:ctrlPr>
                                <w:rPr>
                                  <w:rFonts w:ascii="Cambria Math" w:hAnsi="Cambria Math"/>
                                </w:rPr>
                              </m:ctrlPr>
                            </m:accPr>
                            <m:e>
                              <m:r>
                                <w:rPr>
                                  <w:rFonts w:ascii="Cambria Math" w:hAnsi="Cambria Math"/>
                                </w:rPr>
                                <m:t>N</m:t>
                              </m:r>
                            </m:e>
                          </m:acc>
                          <m:d>
                            <m:dPr>
                              <m:ctrlPr>
                                <w:rPr>
                                  <w:rFonts w:ascii="Cambria Math" w:hAnsi="Cambria Math"/>
                                </w:rPr>
                              </m:ctrlPr>
                            </m:dPr>
                            <m:e>
                              <m:sSub>
                                <m:sSubPr>
                                  <m:ctrlPr>
                                    <w:rPr>
                                      <w:rFonts w:ascii="Cambria Math" w:hAnsi="Cambria Math"/>
                                      <w:i/>
                                    </w:rPr>
                                  </m:ctrlPr>
                                </m:sSubPr>
                                <m:e>
                                  <m:r>
                                    <w:rPr>
                                      <w:rFonts w:ascii="Cambria Math" w:hAnsi="Cambria Math"/>
                                    </w:rPr>
                                    <m:t>t</m:t>
                                  </m:r>
                                </m:e>
                                <m:sub>
                                  <m:r>
                                    <w:rPr>
                                      <w:rFonts w:ascii="Cambria Math" w:hAnsi="Cambria Math"/>
                                    </w:rPr>
                                    <m:t>n</m:t>
                                  </m:r>
                                </m:sub>
                              </m:sSub>
                            </m:e>
                          </m:d>
                          <m:r>
                            <m:rPr>
                              <m:sty m:val="p"/>
                            </m:rPr>
                            <w:rPr>
                              <w:rFonts w:ascii="Cambria Math" w:hAnsi="Cambria Math"/>
                            </w:rPr>
                            <m:t>∙</m:t>
                          </m:r>
                          <m:r>
                            <w:rPr>
                              <w:rFonts w:ascii="Cambria Math" w:hAnsi="Cambria Math"/>
                            </w:rPr>
                            <m:t>D</m:t>
                          </m:r>
                          <m:r>
                            <m:rPr>
                              <m:sty m:val="p"/>
                            </m:rPr>
                            <w:rPr>
                              <w:rFonts w:ascii="Cambria Math" w:hAnsi="Cambria Math"/>
                            </w:rPr>
                            <m:t>∙</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ζ</m:t>
                                  </m:r>
                                </m:e>
                                <m:sub>
                                  <m:r>
                                    <w:rPr>
                                      <w:rFonts w:ascii="Cambria Math" w:hAnsi="Cambria Math"/>
                                    </w:rPr>
                                    <m:t>A</m:t>
                                  </m:r>
                                </m:sub>
                              </m:sSub>
                            </m:e>
                          </m:d>
                        </m:e>
                      </m:nary>
                      <m:r>
                        <w:rPr>
                          <w:rFonts w:ascii="Cambria Math" w:hAnsi="Cambria Math"/>
                        </w:rPr>
                        <m:t>d</m:t>
                      </m:r>
                      <m:sSub>
                        <m:sSubPr>
                          <m:ctrlPr>
                            <w:rPr>
                              <w:rFonts w:ascii="Cambria Math" w:hAnsi="Cambria Math"/>
                            </w:rPr>
                          </m:ctrlPr>
                        </m:sSubPr>
                        <m:e>
                          <m:r>
                            <w:rPr>
                              <w:rFonts w:ascii="Cambria Math" w:hAnsi="Cambria Math"/>
                            </w:rPr>
                            <m:t>t</m:t>
                          </m:r>
                        </m:e>
                        <m:sub>
                          <m:r>
                            <w:rPr>
                              <w:rFonts w:ascii="Cambria Math" w:hAnsi="Cambria Math"/>
                            </w:rPr>
                            <m:t>n</m:t>
                          </m:r>
                        </m:sub>
                      </m:sSub>
                    </m:e>
                    <m:e>
                      <m:r>
                        <w:rPr>
                          <w:rFonts w:ascii="Cambria Math" w:hAnsi="Cambria Math"/>
                        </w:rPr>
                        <m:t>.</m:t>
                      </m:r>
                    </m:e>
                  </m:mr>
                </m:m>
              </m:oMath>
            </m:oMathPara>
          </w:p>
        </w:tc>
        <w:tc>
          <w:tcPr>
            <w:tcW w:w="810" w:type="dxa"/>
            <w:tcBorders>
              <w:top w:val="nil"/>
              <w:left w:val="nil"/>
              <w:bottom w:val="nil"/>
              <w:right w:val="nil"/>
            </w:tcBorders>
            <w:vAlign w:val="center"/>
          </w:tcPr>
          <w:p w14:paraId="59622114" w14:textId="77777777" w:rsidR="00DC177E" w:rsidRDefault="00DC177E" w:rsidP="005B0181">
            <w:pPr>
              <w:pStyle w:val="Newparagraph"/>
              <w:ind w:firstLine="0"/>
              <w:contextualSpacing/>
            </w:pPr>
            <w:bookmarkStart w:id="17" w:name="Nobs"/>
            <w:r>
              <w:t>(</w:t>
            </w:r>
            <w:fldSimple w:instr=" SEQ Eqn \* MERGEFORMAT ">
              <w:r w:rsidR="002637FB">
                <w:rPr>
                  <w:noProof/>
                </w:rPr>
                <w:t>20</w:t>
              </w:r>
            </w:fldSimple>
            <w:r>
              <w:t>)</w:t>
            </w:r>
            <w:bookmarkEnd w:id="17"/>
          </w:p>
        </w:tc>
      </w:tr>
    </w:tbl>
    <w:p w14:paraId="5DD21DF6" w14:textId="218A599D" w:rsidR="00DC177E" w:rsidRPr="00576092" w:rsidRDefault="00DC177E" w:rsidP="00996E2F">
      <w:pPr>
        <w:pStyle w:val="Newparagraph"/>
        <w:ind w:firstLine="0"/>
      </w:pPr>
      <w:r>
        <w:t xml:space="preserve">The parameter </w:t>
      </w:r>
      <w:r>
        <w:rPr>
          <w:i/>
        </w:rPr>
        <w:t>D</w:t>
      </w:r>
      <w:r>
        <w:t xml:space="preserve"> is the overall depth (or thickness) of the sample under observation. The observed nucleation rate and observed nucleation density are examples of areal density data (units of [mm</w:t>
      </w:r>
      <w:r>
        <w:rPr>
          <w:vertAlign w:val="superscript"/>
        </w:rPr>
        <w:t>-2</w:t>
      </w:r>
      <w:r>
        <w:t>s</w:t>
      </w:r>
      <w:r>
        <w:rPr>
          <w:vertAlign w:val="superscript"/>
        </w:rPr>
        <w:t>-1</w:t>
      </w:r>
      <w:r>
        <w:t>] and [mm</w:t>
      </w:r>
      <w:r>
        <w:rPr>
          <w:vertAlign w:val="superscript"/>
        </w:rPr>
        <w:t>-2</w:t>
      </w:r>
      <w:r>
        <w:t xml:space="preserve">] respectively). Mooney and McFadden showed equivalence between the current analysis and the correction factor presented in </w:t>
      </w:r>
      <w:r w:rsidR="005B0181">
        <w:t xml:space="preserve">equation </w:t>
      </w:r>
      <w:r w:rsidR="005B0181">
        <w:fldChar w:fldCharType="begin"/>
      </w:r>
      <w:r w:rsidR="005B0181">
        <w:instrText xml:space="preserve"> REF A_doubledash_A \h </w:instrText>
      </w:r>
      <w:r w:rsidR="005B0181">
        <w:fldChar w:fldCharType="separate"/>
      </w:r>
      <w:r w:rsidR="002637FB">
        <w:t>(</w:t>
      </w:r>
      <w:r w:rsidR="002637FB">
        <w:rPr>
          <w:noProof/>
        </w:rPr>
        <w:t>17</w:t>
      </w:r>
      <w:r w:rsidR="002637FB">
        <w:t>)</w:t>
      </w:r>
      <w:r w:rsidR="005B0181">
        <w:fldChar w:fldCharType="end"/>
      </w:r>
      <w:r w:rsidR="005B0181">
        <w:t xml:space="preserve"> given that, </w:t>
      </w:r>
      <m:oMath>
        <m:sSubSup>
          <m:sSubSupPr>
            <m:ctrlPr>
              <w:rPr>
                <w:rFonts w:ascii="Cambria Math" w:hAnsi="Cambria Math"/>
                <w:i/>
              </w:rPr>
            </m:ctrlPr>
          </m:sSubSupPr>
          <m:e>
            <m:r>
              <w:rPr>
                <w:rFonts w:ascii="Cambria Math" w:hAnsi="Cambria Math"/>
              </w:rPr>
              <m:t>A</m:t>
            </m:r>
          </m:e>
          <m:sub>
            <m:r>
              <w:rPr>
                <w:rFonts w:ascii="Cambria Math" w:hAnsi="Cambria Math"/>
              </w:rPr>
              <m:t>A</m:t>
            </m:r>
          </m:sub>
          <m:sup>
            <m:r>
              <w:rPr>
                <w:rFonts w:ascii="Cambria Math" w:hAnsi="Cambria Math"/>
              </w:rPr>
              <m:t>''</m:t>
            </m:r>
          </m:sup>
        </m:sSubSup>
        <m:sSub>
          <m:sSubPr>
            <m:ctrlPr>
              <w:rPr>
                <w:rFonts w:ascii="Cambria Math" w:hAnsi="Cambria Math"/>
                <w:i/>
              </w:rPr>
            </m:ctrlPr>
          </m:sSubPr>
          <m:e>
            <m:r>
              <w:rPr>
                <w:rFonts w:ascii="Cambria Math" w:hAnsi="Cambria Math"/>
              </w:rPr>
              <m:t>=2ζ</m:t>
            </m:r>
          </m:e>
          <m:sub>
            <m:r>
              <w:rPr>
                <w:rFonts w:ascii="Cambria Math" w:hAnsi="Cambria Math"/>
              </w:rPr>
              <m:t>A,EX</m:t>
            </m:r>
          </m:sub>
        </m:sSub>
      </m:oMath>
      <w:r>
        <w:rPr>
          <w:rFonts w:eastAsiaTheme="minorEastAsia"/>
        </w:rPr>
        <w:t xml:space="preserve"> and </w:t>
      </w:r>
      <m:oMath>
        <m:sSubSup>
          <m:sSubSupPr>
            <m:ctrlPr>
              <w:rPr>
                <w:rFonts w:ascii="Cambria Math" w:hAnsi="Cambria Math"/>
                <w:i/>
              </w:rPr>
            </m:ctrlPr>
          </m:sSubSupPr>
          <m:e>
            <m:r>
              <w:rPr>
                <w:rFonts w:ascii="Cambria Math" w:hAnsi="Cambria Math"/>
              </w:rPr>
              <m:t>A</m:t>
            </m:r>
          </m:e>
          <m:sub>
            <m:r>
              <w:rPr>
                <w:rFonts w:ascii="Cambria Math" w:hAnsi="Cambria Math"/>
              </w:rPr>
              <m:t>A</m:t>
            </m:r>
          </m:sub>
          <m:sup>
            <m:r>
              <w:rPr>
                <w:rFonts w:ascii="Cambria Math" w:hAnsi="Cambria Math"/>
              </w:rPr>
              <m:t>'</m:t>
            </m:r>
          </m:sup>
        </m:sSubSup>
        <m:sSub>
          <m:sSubPr>
            <m:ctrlPr>
              <w:rPr>
                <w:rFonts w:ascii="Cambria Math" w:hAnsi="Cambria Math"/>
                <w:i/>
              </w:rPr>
            </m:ctrlPr>
          </m:sSubPr>
          <m:e>
            <m:r>
              <w:rPr>
                <w:rFonts w:ascii="Cambria Math" w:hAnsi="Cambria Math"/>
              </w:rPr>
              <m:t>=ζ</m:t>
            </m:r>
          </m:e>
          <m:sub>
            <m:r>
              <w:rPr>
                <w:rFonts w:ascii="Cambria Math" w:hAnsi="Cambria Math"/>
              </w:rPr>
              <m:t>A</m:t>
            </m:r>
          </m:sub>
        </m:sSub>
      </m:oMath>
      <w:r>
        <w:rPr>
          <w:rFonts w:eastAsiaTheme="minorEastAsia"/>
        </w:rPr>
        <w:t>.</w:t>
      </w:r>
      <w:r>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1"/>
      </w:tblGrid>
      <w:tr w:rsidR="00DC177E" w14:paraId="6A6944D2" w14:textId="77777777" w:rsidTr="00D37AD7">
        <w:trPr>
          <w:trHeight w:val="2989"/>
          <w:jc w:val="center"/>
        </w:trPr>
        <w:tc>
          <w:tcPr>
            <w:tcW w:w="9021" w:type="dxa"/>
          </w:tcPr>
          <w:p w14:paraId="60D44E5E" w14:textId="3AB5432A" w:rsidR="00DC177E" w:rsidRDefault="00D37AD7" w:rsidP="00FA1D4C">
            <w:pPr>
              <w:pStyle w:val="Paragraph"/>
              <w:keepNext/>
              <w:jc w:val="center"/>
            </w:pPr>
            <w:r>
              <w:rPr>
                <w:noProof/>
              </w:rPr>
              <w:drawing>
                <wp:inline distT="0" distB="0" distL="0" distR="0" wp14:anchorId="56DE82B1" wp14:editId="3664A468">
                  <wp:extent cx="5040000" cy="2520000"/>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2_Figure11ActaMat-02.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40000" cy="2520000"/>
                          </a:xfrm>
                          <a:prstGeom prst="rect">
                            <a:avLst/>
                          </a:prstGeom>
                        </pic:spPr>
                      </pic:pic>
                    </a:graphicData>
                  </a:graphic>
                </wp:inline>
              </w:drawing>
            </w:r>
          </w:p>
          <w:p w14:paraId="4BCF4A7C" w14:textId="7D94C789" w:rsidR="00DC177E" w:rsidRPr="00FA1D4C" w:rsidRDefault="00DC177E" w:rsidP="0091027E">
            <w:pPr>
              <w:pStyle w:val="Figurecaption"/>
              <w:spacing w:line="360" w:lineRule="auto"/>
              <w:jc w:val="both"/>
              <w:rPr>
                <w:i/>
                <w:sz w:val="20"/>
                <w:szCs w:val="20"/>
              </w:rPr>
            </w:pPr>
            <w:bookmarkStart w:id="18" w:name="_Ref496193917"/>
            <w:r w:rsidRPr="00FA1D4C">
              <w:rPr>
                <w:i/>
                <w:sz w:val="20"/>
                <w:szCs w:val="20"/>
              </w:rPr>
              <w:t xml:space="preserve">Figure </w:t>
            </w:r>
            <w:r w:rsidRPr="00FA1D4C">
              <w:rPr>
                <w:i/>
                <w:sz w:val="20"/>
                <w:szCs w:val="20"/>
              </w:rPr>
              <w:fldChar w:fldCharType="begin"/>
            </w:r>
            <w:r w:rsidRPr="00FA1D4C">
              <w:rPr>
                <w:i/>
                <w:sz w:val="20"/>
                <w:szCs w:val="20"/>
              </w:rPr>
              <w:instrText xml:space="preserve"> SEQ Figure \* ARABIC </w:instrText>
            </w:r>
            <w:r w:rsidRPr="00FA1D4C">
              <w:rPr>
                <w:i/>
                <w:sz w:val="20"/>
                <w:szCs w:val="20"/>
              </w:rPr>
              <w:fldChar w:fldCharType="separate"/>
            </w:r>
            <w:r w:rsidR="002637FB">
              <w:rPr>
                <w:i/>
                <w:noProof/>
                <w:sz w:val="20"/>
                <w:szCs w:val="20"/>
              </w:rPr>
              <w:t>2</w:t>
            </w:r>
            <w:r w:rsidRPr="00FA1D4C">
              <w:rPr>
                <w:i/>
                <w:noProof/>
                <w:sz w:val="20"/>
                <w:szCs w:val="20"/>
              </w:rPr>
              <w:fldChar w:fldCharType="end"/>
            </w:r>
            <w:bookmarkEnd w:id="18"/>
            <w:r w:rsidRPr="00FA1D4C">
              <w:rPr>
                <w:i/>
                <w:sz w:val="20"/>
                <w:szCs w:val="20"/>
              </w:rPr>
              <w:t xml:space="preserve"> Progenitor-progeny relationships. An instance of the progenitor in the time domain with two progeny functions: Real (volumetric) nucleation rate and Observed (areal) nucleation rate</w:t>
            </w:r>
            <w:r w:rsidR="00D37AD7">
              <w:rPr>
                <w:i/>
                <w:sz w:val="20"/>
                <w:szCs w:val="20"/>
              </w:rPr>
              <w:t>.</w:t>
            </w:r>
          </w:p>
        </w:tc>
      </w:tr>
    </w:tbl>
    <w:p w14:paraId="6D87B763" w14:textId="7C35F9A2" w:rsidR="00DC177E" w:rsidRDefault="00B61CE4" w:rsidP="00991D47">
      <w:pPr>
        <w:pStyle w:val="Paragraph"/>
      </w:pPr>
      <w:r w:rsidRPr="00B61CE4">
        <w:fldChar w:fldCharType="begin"/>
      </w:r>
      <w:r w:rsidRPr="00B61CE4">
        <w:instrText xml:space="preserve"> REF _Ref496193917 \h </w:instrText>
      </w:r>
      <w:r>
        <w:instrText xml:space="preserve"> \* MERGEFORMAT </w:instrText>
      </w:r>
      <w:r w:rsidRPr="00B61CE4">
        <w:fldChar w:fldCharType="separate"/>
      </w:r>
      <w:r w:rsidR="002637FB" w:rsidRPr="002637FB">
        <w:t>Figure 2</w:t>
      </w:r>
      <w:r w:rsidRPr="00B61CE4">
        <w:fldChar w:fldCharType="end"/>
      </w:r>
      <w:r w:rsidRPr="00B61CE4">
        <w:t xml:space="preserve"> </w:t>
      </w:r>
      <w:r w:rsidR="00DC177E" w:rsidRPr="00B61CE4">
        <w:t>show</w:t>
      </w:r>
      <w:r w:rsidR="00DC177E">
        <w:t xml:space="preserve"> the progenitor-progeny relationships for a case with </w:t>
      </w:r>
      <w:r w:rsidR="00AD124A">
        <w:t xml:space="preserve">uniform temperature and </w:t>
      </w:r>
      <w:r w:rsidR="00DC177E">
        <w:t xml:space="preserve">constant cooling rate </w:t>
      </w:r>
      <w:r w:rsidR="00ED384B">
        <w:t>of 0.75 K/min</w:t>
      </w:r>
      <w:r w:rsidR="00DC177E">
        <w:t xml:space="preserve">. The progenitor function </w:t>
      </w:r>
      <w:r w:rsidR="00AD124A">
        <w:t>shown in</w:t>
      </w:r>
      <w:r w:rsidR="00DC177E" w:rsidRPr="00B61CE4">
        <w:t xml:space="preserve"> </w:t>
      </w:r>
      <w:r w:rsidRPr="00B61CE4">
        <w:fldChar w:fldCharType="begin"/>
      </w:r>
      <w:r w:rsidRPr="00B61CE4">
        <w:instrText xml:space="preserve"> REF _Ref496181559 \h </w:instrText>
      </w:r>
      <w:r>
        <w:instrText xml:space="preserve"> \* MERGEFORMAT </w:instrText>
      </w:r>
      <w:r w:rsidRPr="00B61CE4">
        <w:fldChar w:fldCharType="separate"/>
      </w:r>
      <w:r w:rsidR="002637FB" w:rsidRPr="002637FB">
        <w:t>Figure 1</w:t>
      </w:r>
      <w:r w:rsidRPr="00B61CE4">
        <w:fldChar w:fldCharType="end"/>
      </w:r>
      <w:r>
        <w:t xml:space="preserve"> </w:t>
      </w:r>
      <w:r w:rsidR="00DC177E" w:rsidRPr="00B61CE4">
        <w:t>is</w:t>
      </w:r>
      <w:r w:rsidR="00DC177E">
        <w:t xml:space="preserve"> adapted to give an instance </w:t>
      </w:r>
      <w:r w:rsidR="00DC177E">
        <w:lastRenderedPageBreak/>
        <w:t xml:space="preserve">of the progenitor in the time domain. Two progeny functions are shown: real nucleation rate and the observed nucleation rate. Note that the progenitor nucleation rate and the real nucleation rate functions </w:t>
      </w:r>
      <w:r w:rsidR="000C26FA">
        <w:t>have</w:t>
      </w:r>
      <w:r w:rsidR="00DC177E">
        <w:t xml:space="preserve"> volumetric units [</w:t>
      </w:r>
      <w:r w:rsidR="000C26FA">
        <w:t>m</w:t>
      </w:r>
      <w:r w:rsidR="00DC177E">
        <w:t>m</w:t>
      </w:r>
      <w:r w:rsidR="00DC177E">
        <w:rPr>
          <w:vertAlign w:val="superscript"/>
        </w:rPr>
        <w:t>-3</w:t>
      </w:r>
      <w:r w:rsidR="00DC177E">
        <w:t>s</w:t>
      </w:r>
      <w:r w:rsidR="00DC177E">
        <w:rPr>
          <w:vertAlign w:val="superscript"/>
        </w:rPr>
        <w:t>-1</w:t>
      </w:r>
      <w:r w:rsidR="00DC177E">
        <w:t>], whereas, the observed nucleation rate</w:t>
      </w:r>
      <w:r w:rsidR="000C26FA">
        <w:t xml:space="preserve"> function</w:t>
      </w:r>
      <w:r w:rsidR="00DC177E">
        <w:t xml:space="preserve"> is </w:t>
      </w:r>
      <w:r w:rsidR="000C26FA">
        <w:t>has</w:t>
      </w:r>
      <w:r w:rsidR="00DC177E">
        <w:t xml:space="preserve"> areal units [</w:t>
      </w:r>
      <w:r w:rsidR="000C26FA">
        <w:t>m</w:t>
      </w:r>
      <w:r w:rsidR="00DC177E">
        <w:t>m</w:t>
      </w:r>
      <w:r w:rsidR="00DC177E">
        <w:rPr>
          <w:vertAlign w:val="superscript"/>
        </w:rPr>
        <w:t>-2</w:t>
      </w:r>
      <w:r w:rsidR="00DC177E">
        <w:t>s</w:t>
      </w:r>
      <w:r w:rsidR="00DC177E">
        <w:rPr>
          <w:vertAlign w:val="superscript"/>
        </w:rPr>
        <w:t>-1</w:t>
      </w:r>
      <w:r w:rsidR="00DC177E">
        <w:t xml:space="preserve">]. A detailed analysis of the exchange processes for all potent seeds as they progress from </w:t>
      </w:r>
      <w:r w:rsidR="00DC177E" w:rsidRPr="00B0421E">
        <w:rPr>
          <w:i/>
        </w:rPr>
        <w:t>passive</w:t>
      </w:r>
      <w:r w:rsidR="00DC177E">
        <w:t xml:space="preserve"> to </w:t>
      </w:r>
      <w:r w:rsidR="00DC177E">
        <w:rPr>
          <w:i/>
        </w:rPr>
        <w:t xml:space="preserve">active </w:t>
      </w:r>
      <w:r w:rsidR="00DC177E">
        <w:t xml:space="preserve">and from </w:t>
      </w:r>
      <w:r w:rsidR="00DC177E">
        <w:rPr>
          <w:i/>
        </w:rPr>
        <w:t>active</w:t>
      </w:r>
      <w:r w:rsidR="00DC177E">
        <w:t xml:space="preserve"> to the various categories of real, phantom, and observable is provided </w:t>
      </w:r>
      <w:r w:rsidR="000C26FA">
        <w:t xml:space="preserve">in detail </w:t>
      </w:r>
      <w:r w:rsidR="00ED384B">
        <w:t xml:space="preserve">in </w:t>
      </w:r>
      <w:r w:rsidR="007166AD">
        <w:t>reference</w:t>
      </w:r>
      <w:r w:rsidR="00024A8E">
        <w:t xml:space="preserve"> </w:t>
      </w:r>
      <w:r w:rsidR="000C26FA">
        <w:fldChar w:fldCharType="begin" w:fldLock="1"/>
      </w:r>
      <w:r w:rsidR="0013413C">
        <w:instrText>ADDIN CSL_CITATION { "citationItems" : [ { "id" : "ITEM-1", "itemData" : { "DOI" : "10.1016/j.jcrysgro.2017.10.002", "ISSN" : "00220248", "abstract" : "In-situ observation of crystal growth in transparent media allows us to observe solidification phase change in real-time. These systems are analogous to opaque systems such as metals. The interpretation of transient 2-dimensional area projections from 3-dimensional phase change phenomena occurring in a bulky sample is problematic due to uncertainty of impingement and hidden nucleation events; in stereology this problem is known as over-projection. This manuscript describes and demonstrates a continuous model for nucleation and growth using the well-established Johnson-Mehl-Avrami-Kolmogorov model, and provides a method to relate 3-dimensional volumetric data (nucleation events, volume fraction) to observed data in a 2-dimensional projection (nucleation count, area fraction). A parametric analysis is performed; the projection phenomenon is shown to be significant in cases where nucleation is occurring continuously with a relatively large variance. In general, area fraction on a projection plane will overestimate the volume fraction within the sample and the nuclei count recorded on the projection plane will underestimate the number of real nucleation events. The statistical framework given in this manuscript provides a methodology to deal with the differences between the observed (projected) data and the real (volumetric) measures.", "author" : [ { "dropping-particle" : "", "family" : "Mooney", "given" : "Robin P.", "non-dropping-particle" : "", "parse-names" : false, "suffix" : "" }, { "dropping-particle" : "", "family" : "McFadden", "given" : "Shaun", "non-dropping-particle" : "", "parse-names" : false, "suffix" : "" } ], "container-title" : "Journal of Crystal Growth", "id" : "ITEM-1", "issued" : { "date-parts" : [ [ "2017" ] ] }, "page" : "43-50", "publisher" : "Elsevier B.V.", "title" : "Theoretical analysis to interpret projected image data from in-situ 3-dimensional equiaxed nucleation and growth", "type" : "article-journal", "volume" : "480" }, "uris" : [ "http://www.mendeley.com/documents/?uuid=9f5c7616-3db3-4cb2-9850-1a5046560b67" ] } ], "mendeley" : { "formattedCitation" : "[31]", "plainTextFormattedCitation" : "[31]", "previouslyFormattedCitation" : "[31]" }, "properties" : {  }, "schema" : "https://github.com/citation-style-language/schema/raw/master/csl-citation.json" }</w:instrText>
      </w:r>
      <w:r w:rsidR="000C26FA">
        <w:fldChar w:fldCharType="separate"/>
      </w:r>
      <w:r w:rsidR="000C26FA" w:rsidRPr="000C26FA">
        <w:rPr>
          <w:noProof/>
        </w:rPr>
        <w:t>[31]</w:t>
      </w:r>
      <w:r w:rsidR="000C26FA">
        <w:fldChar w:fldCharType="end"/>
      </w:r>
      <w:r w:rsidR="000C26FA">
        <w:t>.</w:t>
      </w:r>
    </w:p>
    <w:p w14:paraId="0A933A9E" w14:textId="77777777" w:rsidR="00DC177E" w:rsidRDefault="00DC177E" w:rsidP="0091027E">
      <w:pPr>
        <w:pStyle w:val="Heading3"/>
        <w:jc w:val="both"/>
      </w:pPr>
      <w:r>
        <w:t>Statistical analyses of progeny functions</w:t>
      </w:r>
    </w:p>
    <w:p w14:paraId="23BC454A" w14:textId="60707D82" w:rsidR="00DC177E" w:rsidRDefault="00DC177E" w:rsidP="00DE31A6">
      <w:pPr>
        <w:pStyle w:val="Newparagraph"/>
        <w:ind w:firstLine="0"/>
      </w:pPr>
      <w:r>
        <w:t xml:space="preserve">Analysis of the progeny functions will yield </w:t>
      </w:r>
      <w:r w:rsidR="00ED384B">
        <w:t xml:space="preserve">further </w:t>
      </w:r>
      <w:r>
        <w:t>informa</w:t>
      </w:r>
      <w:r w:rsidR="00DE31A6">
        <w:t xml:space="preserve">tion on the nucleation events. </w:t>
      </w:r>
      <w:r>
        <w:t xml:space="preserve">In order to establish the number of nucleated crystals during the course of solidification at time </w:t>
      </w:r>
      <w:r>
        <w:rPr>
          <w:i/>
        </w:rPr>
        <w:t>t</w:t>
      </w:r>
      <w:r>
        <w:t>, we integrate the volumetric grain density over the volume of interest.</w:t>
      </w:r>
    </w:p>
    <w:tbl>
      <w:tblPr>
        <w:tblStyle w:val="TableGrid"/>
        <w:tblW w:w="0" w:type="auto"/>
        <w:jc w:val="center"/>
        <w:tblLook w:val="04A0" w:firstRow="1" w:lastRow="0" w:firstColumn="1" w:lastColumn="0" w:noHBand="0" w:noVBand="1"/>
      </w:tblPr>
      <w:tblGrid>
        <w:gridCol w:w="7905"/>
        <w:gridCol w:w="810"/>
      </w:tblGrid>
      <w:tr w:rsidR="00DC177E" w14:paraId="5A98B1B6" w14:textId="77777777" w:rsidTr="00C9779B">
        <w:trPr>
          <w:jc w:val="center"/>
        </w:trPr>
        <w:tc>
          <w:tcPr>
            <w:tcW w:w="7905" w:type="dxa"/>
            <w:tcBorders>
              <w:top w:val="nil"/>
              <w:left w:val="nil"/>
              <w:bottom w:val="nil"/>
              <w:right w:val="nil"/>
            </w:tcBorders>
            <w:vAlign w:val="center"/>
          </w:tcPr>
          <w:p w14:paraId="08BAF031" w14:textId="77777777" w:rsidR="00DC177E" w:rsidRDefault="008F6ACD" w:rsidP="00C9779B">
            <w:pPr>
              <w:pStyle w:val="Newparagraph"/>
              <w:ind w:firstLine="0"/>
              <w:contextualSpacing/>
              <w:jc w:val="center"/>
            </w:pPr>
            <m:oMathPara>
              <m:oMath>
                <m:m>
                  <m:mPr>
                    <m:mcs>
                      <m:mc>
                        <m:mcPr>
                          <m:count m:val="2"/>
                          <m:mcJc m:val="center"/>
                        </m:mcPr>
                      </m:mc>
                    </m:mcs>
                    <m:ctrlPr>
                      <w:rPr>
                        <w:rFonts w:ascii="Cambria Math" w:hAnsi="Cambria Math"/>
                        <w:i/>
                      </w:rPr>
                    </m:ctrlPr>
                  </m:mPr>
                  <m:mr>
                    <m:e>
                      <m:sSub>
                        <m:sSubPr>
                          <m:ctrlPr>
                            <w:rPr>
                              <w:rFonts w:ascii="Cambria Math" w:hAnsi="Cambria Math"/>
                            </w:rPr>
                          </m:ctrlPr>
                        </m:sSubPr>
                        <m:e>
                          <m:r>
                            <w:rPr>
                              <w:rFonts w:ascii="Cambria Math" w:hAnsi="Cambria Math"/>
                            </w:rPr>
                            <m:t>n</m:t>
                          </m:r>
                        </m:e>
                        <m:sub>
                          <m:r>
                            <w:rPr>
                              <w:rFonts w:ascii="Cambria Math" w:hAnsi="Cambria Math"/>
                            </w:rPr>
                            <m:t>REAL</m:t>
                          </m:r>
                        </m:sub>
                      </m:sSub>
                      <m:d>
                        <m:dPr>
                          <m:ctrlPr>
                            <w:rPr>
                              <w:rFonts w:ascii="Cambria Math" w:hAnsi="Cambria Math"/>
                            </w:rPr>
                          </m:ctrlPr>
                        </m:dPr>
                        <m:e>
                          <m:r>
                            <w:rPr>
                              <w:rFonts w:ascii="Cambria Math" w:hAnsi="Cambria Math"/>
                            </w:rPr>
                            <m:t>t</m:t>
                          </m:r>
                        </m:e>
                      </m:d>
                      <m:r>
                        <m:rPr>
                          <m:sty m:val="p"/>
                        </m:rPr>
                        <w:rPr>
                          <w:rFonts w:ascii="Cambria Math" w:hAnsi="Cambria Math"/>
                        </w:rPr>
                        <m:t>=</m:t>
                      </m:r>
                      <m:nary>
                        <m:naryPr>
                          <m:limLoc m:val="subSup"/>
                          <m:ctrlPr>
                            <w:rPr>
                              <w:rFonts w:ascii="Cambria Math" w:hAnsi="Cambria Math"/>
                            </w:rPr>
                          </m:ctrlPr>
                        </m:naryPr>
                        <m:sub>
                          <m:r>
                            <w:rPr>
                              <w:rFonts w:ascii="Cambria Math" w:hAnsi="Cambria Math"/>
                            </w:rPr>
                            <m:t>V</m:t>
                          </m:r>
                        </m:sub>
                        <m:sup>
                          <m:r>
                            <w:rPr>
                              <w:rFonts w:ascii="Cambria Math" w:hAnsi="Cambria Math"/>
                            </w:rPr>
                            <m:t xml:space="preserve"> </m:t>
                          </m:r>
                        </m:sup>
                        <m:e>
                          <m:sSub>
                            <m:sSubPr>
                              <m:ctrlPr>
                                <w:rPr>
                                  <w:rFonts w:ascii="Cambria Math" w:hAnsi="Cambria Math"/>
                                </w:rPr>
                              </m:ctrlPr>
                            </m:sSubPr>
                            <m:e>
                              <m:r>
                                <w:rPr>
                                  <w:rFonts w:ascii="Cambria Math" w:hAnsi="Cambria Math"/>
                                </w:rPr>
                                <m:t>N</m:t>
                              </m:r>
                            </m:e>
                            <m:sub>
                              <m:r>
                                <w:rPr>
                                  <w:rFonts w:ascii="Cambria Math" w:hAnsi="Cambria Math"/>
                                </w:rPr>
                                <m:t>REAL</m:t>
                              </m:r>
                            </m:sub>
                          </m:sSub>
                          <m:d>
                            <m:dPr>
                              <m:ctrlPr>
                                <w:rPr>
                                  <w:rFonts w:ascii="Cambria Math" w:hAnsi="Cambria Math"/>
                                </w:rPr>
                              </m:ctrlPr>
                            </m:dPr>
                            <m:e>
                              <m:r>
                                <w:rPr>
                                  <w:rFonts w:ascii="Cambria Math" w:hAnsi="Cambria Math"/>
                                </w:rPr>
                                <m:t>t</m:t>
                              </m:r>
                            </m:e>
                          </m:d>
                        </m:e>
                      </m:nary>
                      <m:r>
                        <w:rPr>
                          <w:rFonts w:ascii="Cambria Math" w:hAnsi="Cambria Math"/>
                        </w:rPr>
                        <m:t>dV</m:t>
                      </m:r>
                    </m:e>
                    <m:e>
                      <m:r>
                        <w:rPr>
                          <w:rFonts w:ascii="Cambria Math" w:hAnsi="Cambria Math"/>
                        </w:rPr>
                        <m:t>.</m:t>
                      </m:r>
                    </m:e>
                  </m:mr>
                </m:m>
              </m:oMath>
            </m:oMathPara>
          </w:p>
        </w:tc>
        <w:tc>
          <w:tcPr>
            <w:tcW w:w="810" w:type="dxa"/>
            <w:tcBorders>
              <w:top w:val="nil"/>
              <w:left w:val="nil"/>
              <w:bottom w:val="nil"/>
              <w:right w:val="nil"/>
            </w:tcBorders>
            <w:vAlign w:val="center"/>
          </w:tcPr>
          <w:p w14:paraId="069D4625" w14:textId="77777777" w:rsidR="00DC177E" w:rsidRDefault="00DC177E" w:rsidP="00C9779B">
            <w:pPr>
              <w:pStyle w:val="Newparagraph"/>
              <w:ind w:firstLine="0"/>
              <w:contextualSpacing/>
              <w:jc w:val="center"/>
            </w:pPr>
            <w:r>
              <w:t>(</w:t>
            </w:r>
            <w:fldSimple w:instr=" SEQ Eqn \* MERGEFORMAT ">
              <w:r w:rsidR="002637FB">
                <w:rPr>
                  <w:noProof/>
                </w:rPr>
                <w:t>21</w:t>
              </w:r>
            </w:fldSimple>
            <w:r>
              <w:t>)</w:t>
            </w:r>
          </w:p>
        </w:tc>
      </w:tr>
    </w:tbl>
    <w:p w14:paraId="63E23F47" w14:textId="063978A1" w:rsidR="00DC177E" w:rsidRDefault="00DE31A6" w:rsidP="00ED384B">
      <w:pPr>
        <w:pStyle w:val="Newparagraph"/>
        <w:ind w:firstLine="0"/>
      </w:pPr>
      <w:r>
        <w:t>With</w:t>
      </w:r>
      <w:r w:rsidR="00DC177E">
        <w:t xml:space="preserve"> uniform conditi</w:t>
      </w:r>
      <w:r>
        <w:t>ons, the relation simplifies to</w:t>
      </w:r>
      <m:oMath>
        <m:r>
          <w:rPr>
            <w:rFonts w:ascii="Cambria Math" w:hAnsi="Cambria Math"/>
          </w:rPr>
          <m:t xml:space="preserve"> </m:t>
        </m:r>
        <m:sSub>
          <m:sSubPr>
            <m:ctrlPr>
              <w:rPr>
                <w:rFonts w:ascii="Cambria Math" w:hAnsi="Cambria Math"/>
              </w:rPr>
            </m:ctrlPr>
          </m:sSubPr>
          <m:e>
            <m:r>
              <w:rPr>
                <w:rFonts w:ascii="Cambria Math" w:hAnsi="Cambria Math"/>
              </w:rPr>
              <m:t>n</m:t>
            </m:r>
          </m:e>
          <m:sub>
            <m:r>
              <w:rPr>
                <w:rFonts w:ascii="Cambria Math" w:hAnsi="Cambria Math"/>
              </w:rPr>
              <m:t>REAL</m:t>
            </m:r>
          </m:sub>
        </m:sSub>
        <m:d>
          <m:dPr>
            <m:ctrlPr>
              <w:rPr>
                <w:rFonts w:ascii="Cambria Math" w:hAnsi="Cambria Math"/>
              </w:rPr>
            </m:ctrlPr>
          </m:dPr>
          <m:e>
            <m:r>
              <w:rPr>
                <w:rFonts w:ascii="Cambria Math" w:hAnsi="Cambria Math"/>
              </w:rPr>
              <m:t>t</m:t>
            </m:r>
          </m:e>
        </m:d>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REAL</m:t>
            </m:r>
          </m:sub>
        </m:sSub>
        <m:d>
          <m:dPr>
            <m:ctrlPr>
              <w:rPr>
                <w:rFonts w:ascii="Cambria Math" w:hAnsi="Cambria Math"/>
              </w:rPr>
            </m:ctrlPr>
          </m:dPr>
          <m:e>
            <m:r>
              <w:rPr>
                <w:rFonts w:ascii="Cambria Math" w:hAnsi="Cambria Math"/>
              </w:rPr>
              <m:t>t</m:t>
            </m:r>
          </m:e>
        </m:d>
        <m:r>
          <w:rPr>
            <w:rFonts w:ascii="Cambria Math" w:hAnsi="Cambria Math"/>
          </w:rPr>
          <m:t>V</m:t>
        </m:r>
      </m:oMath>
      <w:r w:rsidR="00DC177E">
        <w:t xml:space="preserve">. Similarly, we can calculate the number of observed nucleation events (which is lower due to stereology effects) by integrating over the area, </w:t>
      </w:r>
      <w:r w:rsidR="00DC177E">
        <w:rPr>
          <w:i/>
        </w:rPr>
        <w:t>A</w:t>
      </w:r>
      <w:r w:rsidR="00DC177E">
        <w:t>, of the projection plane</w:t>
      </w:r>
      <w:r w:rsidR="0026355F">
        <w:t>.</w:t>
      </w:r>
    </w:p>
    <w:tbl>
      <w:tblPr>
        <w:tblStyle w:val="TableGrid"/>
        <w:tblW w:w="0" w:type="auto"/>
        <w:jc w:val="center"/>
        <w:tblLook w:val="04A0" w:firstRow="1" w:lastRow="0" w:firstColumn="1" w:lastColumn="0" w:noHBand="0" w:noVBand="1"/>
      </w:tblPr>
      <w:tblGrid>
        <w:gridCol w:w="7905"/>
        <w:gridCol w:w="810"/>
      </w:tblGrid>
      <w:tr w:rsidR="00DC177E" w14:paraId="765CE6B1" w14:textId="77777777" w:rsidTr="00C9779B">
        <w:trPr>
          <w:jc w:val="center"/>
        </w:trPr>
        <w:tc>
          <w:tcPr>
            <w:tcW w:w="7905" w:type="dxa"/>
            <w:tcBorders>
              <w:top w:val="nil"/>
              <w:left w:val="nil"/>
              <w:bottom w:val="nil"/>
              <w:right w:val="nil"/>
            </w:tcBorders>
            <w:vAlign w:val="center"/>
          </w:tcPr>
          <w:p w14:paraId="79A269D8" w14:textId="77777777" w:rsidR="00DC177E" w:rsidRDefault="008F6ACD" w:rsidP="00C9779B">
            <w:pPr>
              <w:pStyle w:val="Newparagraph"/>
              <w:ind w:firstLine="0"/>
              <w:contextualSpacing/>
              <w:jc w:val="center"/>
            </w:pPr>
            <m:oMathPara>
              <m:oMath>
                <m:m>
                  <m:mPr>
                    <m:mcs>
                      <m:mc>
                        <m:mcPr>
                          <m:count m:val="2"/>
                          <m:mcJc m:val="center"/>
                        </m:mcPr>
                      </m:mc>
                    </m:mcs>
                    <m:ctrlPr>
                      <w:rPr>
                        <w:rFonts w:ascii="Cambria Math" w:hAnsi="Cambria Math"/>
                        <w:i/>
                      </w:rPr>
                    </m:ctrlPr>
                  </m:mPr>
                  <m:mr>
                    <m:e>
                      <m:sSub>
                        <m:sSubPr>
                          <m:ctrlPr>
                            <w:rPr>
                              <w:rFonts w:ascii="Cambria Math" w:hAnsi="Cambria Math"/>
                            </w:rPr>
                          </m:ctrlPr>
                        </m:sSubPr>
                        <m:e>
                          <m:r>
                            <w:rPr>
                              <w:rFonts w:ascii="Cambria Math" w:hAnsi="Cambria Math"/>
                            </w:rPr>
                            <m:t>n</m:t>
                          </m:r>
                        </m:e>
                        <m:sub>
                          <m:r>
                            <w:rPr>
                              <w:rFonts w:ascii="Cambria Math" w:hAnsi="Cambria Math"/>
                            </w:rPr>
                            <m:t>OBS</m:t>
                          </m:r>
                        </m:sub>
                      </m:sSub>
                      <m:d>
                        <m:dPr>
                          <m:ctrlPr>
                            <w:rPr>
                              <w:rFonts w:ascii="Cambria Math" w:hAnsi="Cambria Math"/>
                            </w:rPr>
                          </m:ctrlPr>
                        </m:dPr>
                        <m:e>
                          <m:r>
                            <w:rPr>
                              <w:rFonts w:ascii="Cambria Math" w:hAnsi="Cambria Math"/>
                            </w:rPr>
                            <m:t>t</m:t>
                          </m:r>
                        </m:e>
                      </m:d>
                      <m:r>
                        <m:rPr>
                          <m:sty m:val="p"/>
                        </m:rPr>
                        <w:rPr>
                          <w:rFonts w:ascii="Cambria Math" w:hAnsi="Cambria Math"/>
                        </w:rPr>
                        <m:t>=</m:t>
                      </m:r>
                      <m:nary>
                        <m:naryPr>
                          <m:limLoc m:val="subSup"/>
                          <m:ctrlPr>
                            <w:rPr>
                              <w:rFonts w:ascii="Cambria Math" w:hAnsi="Cambria Math"/>
                            </w:rPr>
                          </m:ctrlPr>
                        </m:naryPr>
                        <m:sub>
                          <m:r>
                            <w:rPr>
                              <w:rFonts w:ascii="Cambria Math" w:hAnsi="Cambria Math"/>
                            </w:rPr>
                            <m:t>A</m:t>
                          </m:r>
                        </m:sub>
                        <m:sup>
                          <m:r>
                            <w:rPr>
                              <w:rFonts w:ascii="Cambria Math" w:hAnsi="Cambria Math"/>
                            </w:rPr>
                            <m:t xml:space="preserve"> </m:t>
                          </m:r>
                        </m:sup>
                        <m:e>
                          <m:sSub>
                            <m:sSubPr>
                              <m:ctrlPr>
                                <w:rPr>
                                  <w:rFonts w:ascii="Cambria Math" w:hAnsi="Cambria Math"/>
                                </w:rPr>
                              </m:ctrlPr>
                            </m:sSubPr>
                            <m:e>
                              <m:r>
                                <w:rPr>
                                  <w:rFonts w:ascii="Cambria Math" w:hAnsi="Cambria Math"/>
                                </w:rPr>
                                <m:t>N</m:t>
                              </m:r>
                            </m:e>
                            <m:sub>
                              <m:r>
                                <w:rPr>
                                  <w:rFonts w:ascii="Cambria Math" w:hAnsi="Cambria Math"/>
                                </w:rPr>
                                <m:t>OBS</m:t>
                              </m:r>
                            </m:sub>
                          </m:sSub>
                          <m:d>
                            <m:dPr>
                              <m:ctrlPr>
                                <w:rPr>
                                  <w:rFonts w:ascii="Cambria Math" w:hAnsi="Cambria Math"/>
                                </w:rPr>
                              </m:ctrlPr>
                            </m:dPr>
                            <m:e>
                              <m:r>
                                <w:rPr>
                                  <w:rFonts w:ascii="Cambria Math" w:hAnsi="Cambria Math"/>
                                </w:rPr>
                                <m:t>t</m:t>
                              </m:r>
                            </m:e>
                          </m:d>
                        </m:e>
                      </m:nary>
                      <m:r>
                        <w:rPr>
                          <w:rFonts w:ascii="Cambria Math" w:hAnsi="Cambria Math"/>
                        </w:rPr>
                        <m:t>dA</m:t>
                      </m:r>
                    </m:e>
                    <m:e>
                      <m:r>
                        <w:rPr>
                          <w:rFonts w:ascii="Cambria Math" w:hAnsi="Cambria Math"/>
                        </w:rPr>
                        <m:t>.</m:t>
                      </m:r>
                    </m:e>
                  </m:mr>
                </m:m>
              </m:oMath>
            </m:oMathPara>
          </w:p>
        </w:tc>
        <w:tc>
          <w:tcPr>
            <w:tcW w:w="810" w:type="dxa"/>
            <w:tcBorders>
              <w:top w:val="nil"/>
              <w:left w:val="nil"/>
              <w:bottom w:val="nil"/>
              <w:right w:val="nil"/>
            </w:tcBorders>
            <w:vAlign w:val="center"/>
          </w:tcPr>
          <w:p w14:paraId="66C3889D" w14:textId="139956B4" w:rsidR="00DC177E" w:rsidRDefault="00DC177E" w:rsidP="00C9779B">
            <w:pPr>
              <w:pStyle w:val="Newparagraph"/>
              <w:ind w:firstLine="0"/>
              <w:contextualSpacing/>
              <w:jc w:val="center"/>
            </w:pPr>
            <w:r>
              <w:t>(</w:t>
            </w:r>
            <w:fldSimple w:instr=" SEQ Eqn \* MERGEFORMAT ">
              <w:r w:rsidR="00ED384B">
                <w:rPr>
                  <w:noProof/>
                </w:rPr>
                <w:t>22</w:t>
              </w:r>
            </w:fldSimple>
            <w:r>
              <w:t>)</w:t>
            </w:r>
          </w:p>
        </w:tc>
      </w:tr>
    </w:tbl>
    <w:p w14:paraId="31483787" w14:textId="36D6E574" w:rsidR="00DC177E" w:rsidRPr="0026355F" w:rsidRDefault="00DC177E" w:rsidP="00ED384B">
      <w:pPr>
        <w:pStyle w:val="Newparagraph"/>
        <w:ind w:firstLine="0"/>
      </w:pPr>
      <w:r>
        <w:t>Again, with uniform conditi</w:t>
      </w:r>
      <w:r w:rsidR="0026355F">
        <w:t>ons, the relation simplifies to</w:t>
      </w:r>
      <m:oMath>
        <m:r>
          <w:rPr>
            <w:rFonts w:ascii="Cambria Math" w:hAnsi="Cambria Math"/>
          </w:rPr>
          <m:t xml:space="preserve"> </m:t>
        </m:r>
        <m:sSub>
          <m:sSubPr>
            <m:ctrlPr>
              <w:rPr>
                <w:rFonts w:ascii="Cambria Math" w:hAnsi="Cambria Math"/>
              </w:rPr>
            </m:ctrlPr>
          </m:sSubPr>
          <m:e>
            <m:r>
              <w:rPr>
                <w:rFonts w:ascii="Cambria Math" w:hAnsi="Cambria Math"/>
              </w:rPr>
              <m:t>n</m:t>
            </m:r>
          </m:e>
          <m:sub>
            <m:r>
              <w:rPr>
                <w:rFonts w:ascii="Cambria Math" w:hAnsi="Cambria Math"/>
              </w:rPr>
              <m:t>OBS</m:t>
            </m:r>
          </m:sub>
        </m:sSub>
        <m:d>
          <m:dPr>
            <m:ctrlPr>
              <w:rPr>
                <w:rFonts w:ascii="Cambria Math" w:hAnsi="Cambria Math"/>
              </w:rPr>
            </m:ctrlPr>
          </m:dPr>
          <m:e>
            <m:r>
              <w:rPr>
                <w:rFonts w:ascii="Cambria Math" w:hAnsi="Cambria Math"/>
              </w:rPr>
              <m:t>t</m:t>
            </m:r>
          </m:e>
        </m:d>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OBS</m:t>
            </m:r>
          </m:sub>
        </m:sSub>
        <m:d>
          <m:dPr>
            <m:ctrlPr>
              <w:rPr>
                <w:rFonts w:ascii="Cambria Math" w:hAnsi="Cambria Math"/>
              </w:rPr>
            </m:ctrlPr>
          </m:dPr>
          <m:e>
            <m:r>
              <w:rPr>
                <w:rFonts w:ascii="Cambria Math" w:hAnsi="Cambria Math"/>
              </w:rPr>
              <m:t>t</m:t>
            </m:r>
          </m:e>
        </m:d>
        <m:r>
          <w:rPr>
            <w:rFonts w:ascii="Cambria Math" w:hAnsi="Cambria Math"/>
          </w:rPr>
          <m:t>A</m:t>
        </m:r>
      </m:oMath>
      <w:r>
        <w:t xml:space="preserve">. </w:t>
      </w:r>
      <w:r w:rsidR="0026355F" w:rsidRPr="0026355F">
        <w:fldChar w:fldCharType="begin"/>
      </w:r>
      <w:r w:rsidR="0026355F" w:rsidRPr="0026355F">
        <w:instrText xml:space="preserve"> REF _Ref496260774 \h </w:instrText>
      </w:r>
      <w:r w:rsidR="0026355F">
        <w:instrText xml:space="preserve"> \* MERGEFORMAT </w:instrText>
      </w:r>
      <w:r w:rsidR="0026355F" w:rsidRPr="0026355F">
        <w:fldChar w:fldCharType="separate"/>
      </w:r>
      <w:r w:rsidR="002637FB" w:rsidRPr="002637FB">
        <w:t>Figure 3</w:t>
      </w:r>
      <w:r w:rsidR="0026355F" w:rsidRPr="0026355F">
        <w:fldChar w:fldCharType="end"/>
      </w:r>
      <w:r w:rsidR="0026355F" w:rsidRPr="0026355F">
        <w:t xml:space="preserve"> </w:t>
      </w:r>
      <w:r w:rsidRPr="0026355F">
        <w:t>shows</w:t>
      </w:r>
      <w:r>
        <w:t xml:space="preserve"> </w:t>
      </w:r>
      <w:r w:rsidR="00ED384B">
        <w:t>a</w:t>
      </w:r>
      <w:r>
        <w:t xml:space="preserve"> </w:t>
      </w:r>
      <w:r w:rsidR="00ED384B">
        <w:t>demonstrative</w:t>
      </w:r>
      <w:r>
        <w:t xml:space="preserve"> </w:t>
      </w:r>
      <w:r w:rsidR="00ED384B">
        <w:t xml:space="preserve">set of </w:t>
      </w:r>
      <w:r>
        <w:t>results for nucleat</w:t>
      </w:r>
      <w:r w:rsidR="0026355F">
        <w:t xml:space="preserve">ion counting based on data </w:t>
      </w:r>
      <w:r w:rsidR="0026355F" w:rsidRPr="0026355F">
        <w:t xml:space="preserve">from </w:t>
      </w:r>
      <w:r w:rsidR="0026355F" w:rsidRPr="0026355F">
        <w:fldChar w:fldCharType="begin"/>
      </w:r>
      <w:r w:rsidR="0026355F" w:rsidRPr="0026355F">
        <w:instrText xml:space="preserve"> REF _Ref496193917 \h </w:instrText>
      </w:r>
      <w:r w:rsidR="0026355F">
        <w:instrText xml:space="preserve"> \* MERGEFORMAT </w:instrText>
      </w:r>
      <w:r w:rsidR="0026355F" w:rsidRPr="0026355F">
        <w:fldChar w:fldCharType="separate"/>
      </w:r>
      <w:r w:rsidR="002637FB" w:rsidRPr="002637FB">
        <w:t>Figure 2</w:t>
      </w:r>
      <w:r w:rsidR="0026355F" w:rsidRPr="0026355F">
        <w:fldChar w:fldCharType="end"/>
      </w:r>
      <w:r w:rsidR="0026355F">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1"/>
      </w:tblGrid>
      <w:tr w:rsidR="00DC177E" w14:paraId="116E757C" w14:textId="77777777" w:rsidTr="00682AF7">
        <w:trPr>
          <w:trHeight w:val="2989"/>
          <w:jc w:val="center"/>
        </w:trPr>
        <w:tc>
          <w:tcPr>
            <w:tcW w:w="9021" w:type="dxa"/>
          </w:tcPr>
          <w:p w14:paraId="3A86FF53" w14:textId="15EB47D5" w:rsidR="00DC177E" w:rsidRDefault="007B6846" w:rsidP="00FA1D4C">
            <w:pPr>
              <w:pStyle w:val="Paragraph"/>
              <w:keepNext/>
              <w:jc w:val="center"/>
            </w:pPr>
            <w:r>
              <w:rPr>
                <w:noProof/>
              </w:rPr>
              <w:drawing>
                <wp:inline distT="0" distB="0" distL="0" distR="0" wp14:anchorId="7E2F7D08" wp14:editId="27A4589B">
                  <wp:extent cx="3240024" cy="216103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e3_Figure12ActaMat.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40024" cy="2161032"/>
                          </a:xfrm>
                          <a:prstGeom prst="rect">
                            <a:avLst/>
                          </a:prstGeom>
                        </pic:spPr>
                      </pic:pic>
                    </a:graphicData>
                  </a:graphic>
                </wp:inline>
              </w:drawing>
            </w:r>
          </w:p>
          <w:p w14:paraId="67FDDF5A" w14:textId="77777777" w:rsidR="00DC177E" w:rsidRPr="00FA1D4C" w:rsidRDefault="00DC177E" w:rsidP="0091027E">
            <w:pPr>
              <w:pStyle w:val="Figurecaption"/>
              <w:spacing w:line="360" w:lineRule="auto"/>
              <w:jc w:val="both"/>
              <w:rPr>
                <w:i/>
                <w:sz w:val="20"/>
                <w:szCs w:val="20"/>
              </w:rPr>
            </w:pPr>
            <w:bookmarkStart w:id="19" w:name="_Ref496260774"/>
            <w:r w:rsidRPr="00FA1D4C">
              <w:rPr>
                <w:i/>
                <w:sz w:val="20"/>
                <w:szCs w:val="20"/>
              </w:rPr>
              <w:t xml:space="preserve">Figure </w:t>
            </w:r>
            <w:r w:rsidRPr="00FA1D4C">
              <w:rPr>
                <w:i/>
                <w:sz w:val="20"/>
                <w:szCs w:val="20"/>
              </w:rPr>
              <w:fldChar w:fldCharType="begin"/>
            </w:r>
            <w:r w:rsidRPr="00FA1D4C">
              <w:rPr>
                <w:i/>
                <w:sz w:val="20"/>
                <w:szCs w:val="20"/>
              </w:rPr>
              <w:instrText xml:space="preserve"> SEQ Figure \* ARABIC </w:instrText>
            </w:r>
            <w:r w:rsidRPr="00FA1D4C">
              <w:rPr>
                <w:i/>
                <w:sz w:val="20"/>
                <w:szCs w:val="20"/>
              </w:rPr>
              <w:fldChar w:fldCharType="separate"/>
            </w:r>
            <w:r w:rsidR="002637FB">
              <w:rPr>
                <w:i/>
                <w:noProof/>
                <w:sz w:val="20"/>
                <w:szCs w:val="20"/>
              </w:rPr>
              <w:t>3</w:t>
            </w:r>
            <w:r w:rsidRPr="00FA1D4C">
              <w:rPr>
                <w:i/>
                <w:noProof/>
                <w:sz w:val="20"/>
                <w:szCs w:val="20"/>
              </w:rPr>
              <w:fldChar w:fldCharType="end"/>
            </w:r>
            <w:bookmarkEnd w:id="19"/>
            <w:r w:rsidRPr="00FA1D4C">
              <w:rPr>
                <w:i/>
                <w:sz w:val="20"/>
                <w:szCs w:val="20"/>
              </w:rPr>
              <w:t xml:space="preserve"> Nucleation count (as a continuous function) over time for active, real, and observable events</w:t>
            </w:r>
          </w:p>
        </w:tc>
      </w:tr>
    </w:tbl>
    <w:p w14:paraId="246247A9" w14:textId="20C0DDD9" w:rsidR="00DC177E" w:rsidRDefault="00AD124A" w:rsidP="007B6846">
      <w:pPr>
        <w:pStyle w:val="Newparagraph"/>
        <w:ind w:firstLine="0"/>
      </w:pPr>
      <w:r>
        <w:t xml:space="preserve">In order to perform </w:t>
      </w:r>
      <w:r w:rsidR="00ED384B">
        <w:t>further</w:t>
      </w:r>
      <w:r w:rsidR="00DC177E">
        <w:t xml:space="preserve"> statistical analysis</w:t>
      </w:r>
      <w:r w:rsidRPr="00AD124A">
        <w:t xml:space="preserve"> </w:t>
      </w:r>
      <w:r>
        <w:t>in detail</w:t>
      </w:r>
      <w:r w:rsidR="00DC177E">
        <w:t xml:space="preserve">, </w:t>
      </w:r>
      <w:r w:rsidR="004F77AA">
        <w:t xml:space="preserve">equation </w:t>
      </w:r>
      <w:r w:rsidR="004F77AA">
        <w:rPr>
          <w:rFonts w:eastAsiaTheme="minorEastAsia"/>
        </w:rPr>
        <w:fldChar w:fldCharType="begin"/>
      </w:r>
      <w:r w:rsidR="004F77AA">
        <w:rPr>
          <w:rFonts w:eastAsiaTheme="minorEastAsia"/>
        </w:rPr>
        <w:instrText xml:space="preserve"> REF Ndot_real \h </w:instrText>
      </w:r>
      <w:r w:rsidR="004F77AA">
        <w:rPr>
          <w:rFonts w:eastAsiaTheme="minorEastAsia"/>
        </w:rPr>
      </w:r>
      <w:r w:rsidR="004F77AA">
        <w:rPr>
          <w:rFonts w:eastAsiaTheme="minorEastAsia"/>
        </w:rPr>
        <w:fldChar w:fldCharType="separate"/>
      </w:r>
      <w:r w:rsidR="00ED384B">
        <w:t>(</w:t>
      </w:r>
      <w:r w:rsidR="00ED384B">
        <w:rPr>
          <w:noProof/>
        </w:rPr>
        <w:t>15</w:t>
      </w:r>
      <w:r w:rsidR="00ED384B">
        <w:t>)</w:t>
      </w:r>
      <w:r w:rsidR="004F77AA">
        <w:rPr>
          <w:rFonts w:eastAsiaTheme="minorEastAsia"/>
        </w:rPr>
        <w:fldChar w:fldCharType="end"/>
      </w:r>
      <w:r w:rsidR="00DC177E">
        <w:t xml:space="preserve"> is subjected to the reverse coordinate transformation from the time domain back i</w:t>
      </w:r>
      <w:r w:rsidR="004F77AA">
        <w:t>nto the undercooling domain,</w:t>
      </w:r>
    </w:p>
    <w:tbl>
      <w:tblPr>
        <w:tblStyle w:val="TableGrid"/>
        <w:tblW w:w="0" w:type="auto"/>
        <w:jc w:val="center"/>
        <w:tblLook w:val="04A0" w:firstRow="1" w:lastRow="0" w:firstColumn="1" w:lastColumn="0" w:noHBand="0" w:noVBand="1"/>
      </w:tblPr>
      <w:tblGrid>
        <w:gridCol w:w="7905"/>
        <w:gridCol w:w="810"/>
      </w:tblGrid>
      <w:tr w:rsidR="00DC177E" w14:paraId="2B62F0F1" w14:textId="77777777" w:rsidTr="00C9779B">
        <w:trPr>
          <w:jc w:val="center"/>
        </w:trPr>
        <w:tc>
          <w:tcPr>
            <w:tcW w:w="7905" w:type="dxa"/>
            <w:tcBorders>
              <w:top w:val="nil"/>
              <w:left w:val="nil"/>
              <w:bottom w:val="nil"/>
              <w:right w:val="nil"/>
            </w:tcBorders>
            <w:vAlign w:val="center"/>
          </w:tcPr>
          <w:p w14:paraId="6963DEE8" w14:textId="46C1425C" w:rsidR="00DC177E" w:rsidRDefault="008F6ACD" w:rsidP="00C9779B">
            <w:pPr>
              <w:pStyle w:val="Newparagraph"/>
              <w:ind w:firstLine="0"/>
              <w:contextualSpacing/>
              <w:jc w:val="center"/>
            </w:pPr>
            <m:oMathPara>
              <m:oMath>
                <m:m>
                  <m:mPr>
                    <m:mcs>
                      <m:mc>
                        <m:mcPr>
                          <m:count m:val="2"/>
                          <m:mcJc m:val="center"/>
                        </m:mcPr>
                      </m:mc>
                    </m:mcs>
                    <m:ctrlPr>
                      <w:rPr>
                        <w:rFonts w:ascii="Cambria Math" w:eastAsiaTheme="minorEastAsia" w:hAnsi="Cambria Math"/>
                        <w:i/>
                      </w:rPr>
                    </m:ctrlPr>
                  </m:mPr>
                  <m:mr>
                    <m:e>
                      <m:f>
                        <m:fPr>
                          <m:ctrlPr>
                            <w:rPr>
                              <w:rFonts w:ascii="Cambria Math" w:hAnsi="Cambria Math"/>
                              <w:i/>
                            </w:rPr>
                          </m:ctrlPr>
                        </m:fPr>
                        <m:num>
                          <m:sSub>
                            <m:sSubPr>
                              <m:ctrlPr>
                                <w:rPr>
                                  <w:rFonts w:ascii="Cambria Math" w:hAnsi="Cambria Math"/>
                                  <w:i/>
                                </w:rPr>
                              </m:ctrlPr>
                            </m:sSubPr>
                            <m:e>
                              <m:r>
                                <w:rPr>
                                  <w:rFonts w:ascii="Cambria Math" w:hAnsi="Cambria Math"/>
                                </w:rPr>
                                <m:t>dN</m:t>
                              </m:r>
                            </m:e>
                            <m:sub>
                              <m:r>
                                <w:rPr>
                                  <w:rFonts w:ascii="Cambria Math" w:hAnsi="Cambria Math"/>
                                </w:rPr>
                                <m:t>REAL</m:t>
                              </m:r>
                            </m:sub>
                          </m:sSub>
                          <m:d>
                            <m:dPr>
                              <m:ctrlPr>
                                <w:rPr>
                                  <w:rFonts w:ascii="Cambria Math" w:hAnsi="Cambria Math"/>
                                  <w:i/>
                                </w:rPr>
                              </m:ctrlPr>
                            </m:dPr>
                            <m:e>
                              <m:r>
                                <w:rPr>
                                  <w:rFonts w:ascii="Cambria Math" w:hAnsi="Cambria Math"/>
                                </w:rPr>
                                <m:t>∆T</m:t>
                              </m:r>
                            </m:e>
                          </m:d>
                        </m:num>
                        <m:den>
                          <m:r>
                            <w:rPr>
                              <w:rFonts w:ascii="Cambria Math" w:hAnsi="Cambria Math"/>
                            </w:rPr>
                            <m:t>d</m:t>
                          </m:r>
                          <m:d>
                            <m:dPr>
                              <m:ctrlPr>
                                <w:rPr>
                                  <w:rFonts w:ascii="Cambria Math" w:hAnsi="Cambria Math"/>
                                  <w:i/>
                                </w:rPr>
                              </m:ctrlPr>
                            </m:dPr>
                            <m:e>
                              <m:r>
                                <w:rPr>
                                  <w:rFonts w:ascii="Cambria Math" w:hAnsi="Cambria Math"/>
                                </w:rPr>
                                <m:t>∆T</m:t>
                              </m:r>
                            </m:e>
                          </m:d>
                        </m:den>
                      </m:f>
                      <m:r>
                        <w:rPr>
                          <w:rFonts w:ascii="Cambria Math" w:eastAsiaTheme="minorEastAsia" w:hAnsi="Cambria Math"/>
                        </w:rPr>
                        <m:t>=</m:t>
                      </m:r>
                      <m:f>
                        <m:fPr>
                          <m:type m:val="lin"/>
                          <m:ctrlPr>
                            <w:rPr>
                              <w:rFonts w:ascii="Cambria Math" w:eastAsiaTheme="minorEastAsia" w:hAnsi="Cambria Math"/>
                              <w:i/>
                            </w:rPr>
                          </m:ctrlPr>
                        </m:fPr>
                        <m:num>
                          <m:f>
                            <m:fPr>
                              <m:ctrlPr>
                                <w:rPr>
                                  <w:rFonts w:ascii="Cambria Math" w:eastAsiaTheme="minorEastAsia" w:hAnsi="Cambria Math"/>
                                  <w:i/>
                                </w:rPr>
                              </m:ctrlPr>
                            </m:fPr>
                            <m:num>
                              <m:r>
                                <w:rPr>
                                  <w:rFonts w:ascii="Cambria Math" w:eastAsiaTheme="minorEastAsia" w:hAnsi="Cambria Math"/>
                                </w:rPr>
                                <m:t>d</m:t>
                              </m:r>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REAL</m:t>
                                  </m:r>
                                </m:sub>
                              </m:sSub>
                              <m:d>
                                <m:dPr>
                                  <m:ctrlPr>
                                    <w:rPr>
                                      <w:rFonts w:ascii="Cambria Math" w:eastAsiaTheme="minorEastAsia" w:hAnsi="Cambria Math"/>
                                      <w:i/>
                                    </w:rPr>
                                  </m:ctrlPr>
                                </m:dPr>
                                <m:e>
                                  <m:r>
                                    <w:rPr>
                                      <w:rFonts w:ascii="Cambria Math" w:eastAsiaTheme="minorEastAsia" w:hAnsi="Cambria Math"/>
                                    </w:rPr>
                                    <m:t>t</m:t>
                                  </m:r>
                                </m:e>
                              </m:d>
                            </m:num>
                            <m:den>
                              <m:r>
                                <w:rPr>
                                  <w:rFonts w:ascii="Cambria Math" w:eastAsiaTheme="minorEastAsia" w:hAnsi="Cambria Math"/>
                                </w:rPr>
                                <m:t>dt</m:t>
                              </m:r>
                            </m:den>
                          </m:f>
                        </m:num>
                        <m:den>
                          <m:f>
                            <m:fPr>
                              <m:ctrlPr>
                                <w:rPr>
                                  <w:rFonts w:ascii="Cambria Math" w:eastAsiaTheme="minorEastAsia" w:hAnsi="Cambria Math"/>
                                  <w:i/>
                                </w:rPr>
                              </m:ctrlPr>
                            </m:fPr>
                            <m:num>
                              <m:r>
                                <w:rPr>
                                  <w:rFonts w:ascii="Cambria Math" w:eastAsiaTheme="minorEastAsia" w:hAnsi="Cambria Math"/>
                                </w:rPr>
                                <m:t>d</m:t>
                              </m:r>
                              <m:d>
                                <m:dPr>
                                  <m:ctrlPr>
                                    <w:rPr>
                                      <w:rFonts w:ascii="Cambria Math" w:eastAsiaTheme="minorEastAsia" w:hAnsi="Cambria Math"/>
                                      <w:i/>
                                    </w:rPr>
                                  </m:ctrlPr>
                                </m:dPr>
                                <m:e>
                                  <m:r>
                                    <w:rPr>
                                      <w:rFonts w:ascii="Cambria Math" w:eastAsiaTheme="minorEastAsia" w:hAnsi="Cambria Math"/>
                                    </w:rPr>
                                    <m:t>∆T</m:t>
                                  </m:r>
                                </m:e>
                              </m:d>
                            </m:num>
                            <m:den>
                              <m:r>
                                <w:rPr>
                                  <w:rFonts w:ascii="Cambria Math" w:eastAsiaTheme="minorEastAsia" w:hAnsi="Cambria Math"/>
                                </w:rPr>
                                <m:t>dt</m:t>
                              </m:r>
                            </m:den>
                          </m:f>
                        </m:den>
                      </m:f>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N</m:t>
                                  </m:r>
                                </m:e>
                              </m:acc>
                            </m:e>
                            <m:sub>
                              <m:r>
                                <w:rPr>
                                  <w:rFonts w:ascii="Cambria Math" w:eastAsiaTheme="minorEastAsia" w:hAnsi="Cambria Math"/>
                                </w:rPr>
                                <m:t>REAL</m:t>
                              </m:r>
                            </m:sub>
                          </m:sSub>
                          <m:d>
                            <m:dPr>
                              <m:ctrlPr>
                                <w:rPr>
                                  <w:rFonts w:ascii="Cambria Math" w:hAnsi="Cambria Math"/>
                                  <w:i/>
                                </w:rPr>
                              </m:ctrlPr>
                            </m:dPr>
                            <m:e>
                              <m:r>
                                <w:rPr>
                                  <w:rFonts w:ascii="Cambria Math" w:hAnsi="Cambria Math"/>
                                </w:rPr>
                                <m:t>t</m:t>
                              </m:r>
                            </m:e>
                          </m:d>
                        </m:num>
                        <m:den>
                          <m:acc>
                            <m:accPr>
                              <m:chr m:val="̇"/>
                              <m:ctrlPr>
                                <w:rPr>
                                  <w:rFonts w:ascii="Cambria Math" w:eastAsiaTheme="minorEastAsia" w:hAnsi="Cambria Math"/>
                                  <w:i/>
                                </w:rPr>
                              </m:ctrlPr>
                            </m:accPr>
                            <m:e>
                              <m:r>
                                <w:rPr>
                                  <w:rFonts w:ascii="Cambria Math" w:eastAsiaTheme="minorEastAsia" w:hAnsi="Cambria Math"/>
                                </w:rPr>
                                <m:t>T</m:t>
                              </m:r>
                            </m:e>
                          </m:acc>
                        </m:den>
                      </m:f>
                    </m:e>
                    <m:e>
                      <m:r>
                        <w:rPr>
                          <w:rFonts w:ascii="Cambria Math" w:eastAsiaTheme="minorEastAsia" w:hAnsi="Cambria Math"/>
                        </w:rPr>
                        <m:t>.</m:t>
                      </m:r>
                    </m:e>
                  </m:mr>
                </m:m>
              </m:oMath>
            </m:oMathPara>
          </w:p>
        </w:tc>
        <w:tc>
          <w:tcPr>
            <w:tcW w:w="810" w:type="dxa"/>
            <w:tcBorders>
              <w:top w:val="nil"/>
              <w:left w:val="nil"/>
              <w:bottom w:val="nil"/>
              <w:right w:val="nil"/>
            </w:tcBorders>
            <w:vAlign w:val="center"/>
          </w:tcPr>
          <w:p w14:paraId="376B532F" w14:textId="27F436DC" w:rsidR="00DC177E" w:rsidRDefault="00DC177E" w:rsidP="00C9779B">
            <w:pPr>
              <w:pStyle w:val="Newparagraph"/>
              <w:ind w:firstLine="0"/>
              <w:contextualSpacing/>
              <w:jc w:val="center"/>
            </w:pPr>
            <w:r>
              <w:t>(</w:t>
            </w:r>
            <w:fldSimple w:instr=" SEQ Eqn \* MERGEFORMAT ">
              <w:r w:rsidR="00ED384B">
                <w:rPr>
                  <w:noProof/>
                </w:rPr>
                <w:t>23</w:t>
              </w:r>
            </w:fldSimple>
            <w:r>
              <w:t>)</w:t>
            </w:r>
          </w:p>
        </w:tc>
      </w:tr>
    </w:tbl>
    <w:p w14:paraId="68F5C0F6" w14:textId="19136625" w:rsidR="00DC177E" w:rsidRDefault="00DC177E" w:rsidP="007B6846">
      <w:pPr>
        <w:pStyle w:val="Newparagraph"/>
        <w:ind w:firstLine="0"/>
      </w:pPr>
      <w:r>
        <w:t>And by app</w:t>
      </w:r>
      <w:r w:rsidR="004F77AA">
        <w:t>lying a normalisation constant,</w:t>
      </w:r>
      <m:oMath>
        <m:r>
          <w:rPr>
            <w:rFonts w:ascii="Cambria Math" w:hAnsi="Cambria Math"/>
          </w:rPr>
          <m:t xml:space="preserve"> </m:t>
        </m:r>
        <m:sSub>
          <m:sSubPr>
            <m:ctrlPr>
              <w:rPr>
                <w:rFonts w:ascii="Cambria Math" w:hAnsi="Cambria Math"/>
                <w:i/>
              </w:rPr>
            </m:ctrlPr>
          </m:sSubPr>
          <m:e>
            <m:r>
              <w:rPr>
                <w:rFonts w:ascii="Cambria Math" w:hAnsi="Cambria Math"/>
              </w:rPr>
              <m:t>φ</m:t>
            </m:r>
          </m:e>
          <m:sub>
            <m:r>
              <w:rPr>
                <w:rFonts w:ascii="Cambria Math" w:hAnsi="Cambria Math"/>
              </w:rPr>
              <m:t>REAL</m:t>
            </m:r>
          </m:sub>
        </m:sSub>
      </m:oMath>
      <w:r w:rsidR="004F77AA">
        <w:t xml:space="preserve">, </w:t>
      </w:r>
      <w:r>
        <w:t xml:space="preserve">we get </w:t>
      </w:r>
      <w:r w:rsidR="00267485">
        <w:t>a</w:t>
      </w:r>
      <w:r>
        <w:t xml:space="preserve"> </w:t>
      </w:r>
      <w:r w:rsidR="00267485">
        <w:t>PDF</w:t>
      </w:r>
      <w:r>
        <w:t xml:space="preserve"> with respect to </w:t>
      </w:r>
      <w:r w:rsidR="007B6846">
        <w:t>u</w:t>
      </w:r>
      <w:r w:rsidR="00267485">
        <w:t>ndercool</w:t>
      </w:r>
      <w:r w:rsidR="007B6846">
        <w:t>ing</w:t>
      </w:r>
      <w:r w:rsidR="004F77AA">
        <w:t>,</w:t>
      </w:r>
      <w:r>
        <w:t xml:space="preserve"> </w:t>
      </w:r>
    </w:p>
    <w:tbl>
      <w:tblPr>
        <w:tblStyle w:val="TableGrid"/>
        <w:tblW w:w="0" w:type="auto"/>
        <w:jc w:val="center"/>
        <w:tblLook w:val="04A0" w:firstRow="1" w:lastRow="0" w:firstColumn="1" w:lastColumn="0" w:noHBand="0" w:noVBand="1"/>
      </w:tblPr>
      <w:tblGrid>
        <w:gridCol w:w="7905"/>
        <w:gridCol w:w="810"/>
      </w:tblGrid>
      <w:tr w:rsidR="00DC177E" w14:paraId="780BBE51" w14:textId="77777777" w:rsidTr="00C9779B">
        <w:trPr>
          <w:jc w:val="center"/>
        </w:trPr>
        <w:tc>
          <w:tcPr>
            <w:tcW w:w="7905" w:type="dxa"/>
            <w:tcBorders>
              <w:top w:val="nil"/>
              <w:left w:val="nil"/>
              <w:bottom w:val="nil"/>
              <w:right w:val="nil"/>
            </w:tcBorders>
            <w:vAlign w:val="center"/>
          </w:tcPr>
          <w:p w14:paraId="36F87E2D" w14:textId="1C4EC4F7" w:rsidR="00DC177E" w:rsidRDefault="008F6ACD" w:rsidP="00C9779B">
            <w:pPr>
              <w:pStyle w:val="Newparagraph"/>
              <w:ind w:firstLine="0"/>
              <w:contextualSpacing/>
              <w:jc w:val="center"/>
            </w:pPr>
            <m:oMathPara>
              <m:oMath>
                <m:m>
                  <m:mPr>
                    <m:mcs>
                      <m:mc>
                        <m:mcPr>
                          <m:count m:val="2"/>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p</m:t>
                          </m:r>
                        </m:e>
                        <m:sub>
                          <m:r>
                            <w:rPr>
                              <w:rFonts w:ascii="Cambria Math" w:hAnsi="Cambria Math"/>
                            </w:rPr>
                            <m:t>REAL</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φ</m:t>
                          </m:r>
                        </m:e>
                        <m:sub>
                          <m:r>
                            <w:rPr>
                              <w:rFonts w:ascii="Cambria Math" w:hAnsi="Cambria Math"/>
                            </w:rPr>
                            <m:t>REAL</m:t>
                          </m:r>
                        </m:sub>
                      </m:sSub>
                      <m:f>
                        <m:fPr>
                          <m:ctrlPr>
                            <w:rPr>
                              <w:rFonts w:ascii="Cambria Math" w:hAnsi="Cambria Math"/>
                              <w:i/>
                            </w:rPr>
                          </m:ctrlPr>
                        </m:fPr>
                        <m:num>
                          <m:sSub>
                            <m:sSubPr>
                              <m:ctrlPr>
                                <w:rPr>
                                  <w:rFonts w:ascii="Cambria Math" w:hAnsi="Cambria Math"/>
                                  <w:i/>
                                </w:rPr>
                              </m:ctrlPr>
                            </m:sSubPr>
                            <m:e>
                              <m:r>
                                <w:rPr>
                                  <w:rFonts w:ascii="Cambria Math" w:hAnsi="Cambria Math"/>
                                </w:rPr>
                                <m:t>dN</m:t>
                              </m:r>
                            </m:e>
                            <m:sub>
                              <m:r>
                                <w:rPr>
                                  <w:rFonts w:ascii="Cambria Math" w:hAnsi="Cambria Math"/>
                                </w:rPr>
                                <m:t>REAL</m:t>
                              </m:r>
                            </m:sub>
                          </m:sSub>
                          <m:d>
                            <m:dPr>
                              <m:ctrlPr>
                                <w:rPr>
                                  <w:rFonts w:ascii="Cambria Math" w:hAnsi="Cambria Math"/>
                                  <w:i/>
                                </w:rPr>
                              </m:ctrlPr>
                            </m:dPr>
                            <m:e>
                              <m:r>
                                <w:rPr>
                                  <w:rFonts w:ascii="Cambria Math" w:hAnsi="Cambria Math"/>
                                </w:rPr>
                                <m:t>∆T</m:t>
                              </m:r>
                            </m:e>
                          </m:d>
                        </m:num>
                        <m:den>
                          <m:r>
                            <w:rPr>
                              <w:rFonts w:ascii="Cambria Math" w:hAnsi="Cambria Math"/>
                            </w:rPr>
                            <m:t>d</m:t>
                          </m:r>
                          <m:d>
                            <m:dPr>
                              <m:ctrlPr>
                                <w:rPr>
                                  <w:rFonts w:ascii="Cambria Math" w:hAnsi="Cambria Math"/>
                                  <w:i/>
                                </w:rPr>
                              </m:ctrlPr>
                            </m:dPr>
                            <m:e>
                              <m:r>
                                <w:rPr>
                                  <w:rFonts w:ascii="Cambria Math" w:hAnsi="Cambria Math"/>
                                </w:rPr>
                                <m:t>∆T</m:t>
                              </m:r>
                            </m:e>
                          </m:d>
                        </m:den>
                      </m:f>
                    </m:e>
                    <m:e>
                      <m:r>
                        <w:rPr>
                          <w:rFonts w:ascii="Cambria Math" w:hAnsi="Cambria Math"/>
                        </w:rPr>
                        <m:t>.</m:t>
                      </m:r>
                    </m:e>
                  </m:mr>
                </m:m>
              </m:oMath>
            </m:oMathPara>
          </w:p>
        </w:tc>
        <w:tc>
          <w:tcPr>
            <w:tcW w:w="810" w:type="dxa"/>
            <w:tcBorders>
              <w:top w:val="nil"/>
              <w:left w:val="nil"/>
              <w:bottom w:val="nil"/>
              <w:right w:val="nil"/>
            </w:tcBorders>
            <w:vAlign w:val="center"/>
          </w:tcPr>
          <w:p w14:paraId="760D51E5" w14:textId="228618B0" w:rsidR="00DC177E" w:rsidRDefault="00DC177E" w:rsidP="00C9779B">
            <w:pPr>
              <w:pStyle w:val="Newparagraph"/>
              <w:ind w:firstLine="0"/>
              <w:contextualSpacing/>
              <w:jc w:val="center"/>
            </w:pPr>
            <w:bookmarkStart w:id="20" w:name="PDFreal"/>
            <w:r>
              <w:t>(</w:t>
            </w:r>
            <w:fldSimple w:instr=" SEQ Eqn \* MERGEFORMAT ">
              <w:r w:rsidR="00ED384B">
                <w:rPr>
                  <w:noProof/>
                </w:rPr>
                <w:t>24</w:t>
              </w:r>
            </w:fldSimple>
            <w:r>
              <w:t>)</w:t>
            </w:r>
            <w:bookmarkEnd w:id="20"/>
          </w:p>
        </w:tc>
      </w:tr>
    </w:tbl>
    <w:p w14:paraId="75911AA4" w14:textId="067B09A2" w:rsidR="00DC177E" w:rsidRDefault="00DC177E" w:rsidP="007B6846">
      <w:pPr>
        <w:pStyle w:val="Newparagraph"/>
        <w:ind w:firstLine="0"/>
      </w:pPr>
      <w:r>
        <w:t>The normalisation constant is required to ensure that the overall integral</w:t>
      </w:r>
      <w:r w:rsidR="00267485">
        <w:t xml:space="preserve"> of the PDF is</w:t>
      </w:r>
      <w:r w:rsidR="00FA1D4C">
        <w:t xml:space="preserve"> unity (</w:t>
      </w:r>
      <w:r>
        <w:t>a</w:t>
      </w:r>
      <w:r w:rsidR="00FA1D4C">
        <w:t xml:space="preserve"> </w:t>
      </w:r>
      <w:r>
        <w:t>strict mathematical requirement). Similarly</w:t>
      </w:r>
      <w:r w:rsidR="00267485">
        <w:t>,</w:t>
      </w:r>
      <w:r>
        <w:t xml:space="preserve"> we get a PDF for the observed nucleation distribution after applying a coordinate transformation on </w:t>
      </w:r>
      <w:r w:rsidR="00267485">
        <w:t xml:space="preserve">equation </w:t>
      </w:r>
      <w:r w:rsidR="00267485">
        <w:fldChar w:fldCharType="begin"/>
      </w:r>
      <w:r w:rsidR="00267485">
        <w:instrText xml:space="preserve"> REF Nobs \h </w:instrText>
      </w:r>
      <w:r w:rsidR="00267485">
        <w:fldChar w:fldCharType="separate"/>
      </w:r>
      <w:r w:rsidR="00ED384B">
        <w:t>(</w:t>
      </w:r>
      <w:r w:rsidR="00ED384B">
        <w:rPr>
          <w:noProof/>
        </w:rPr>
        <w:t>20</w:t>
      </w:r>
      <w:r w:rsidR="00ED384B">
        <w:t>)</w:t>
      </w:r>
      <w:r w:rsidR="00267485">
        <w:fldChar w:fldCharType="end"/>
      </w:r>
      <w:r w:rsidR="00267485">
        <w:t xml:space="preserve"> to obtain</w:t>
      </w:r>
      <m:oMath>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dN</m:t>
                </m:r>
              </m:e>
              <m:sub>
                <m:r>
                  <w:rPr>
                    <w:rFonts w:ascii="Cambria Math" w:hAnsi="Cambria Math"/>
                  </w:rPr>
                  <m:t>OBS</m:t>
                </m:r>
              </m:sub>
            </m:sSub>
            <m:d>
              <m:dPr>
                <m:ctrlPr>
                  <w:rPr>
                    <w:rFonts w:ascii="Cambria Math" w:hAnsi="Cambria Math"/>
                    <w:i/>
                  </w:rPr>
                </m:ctrlPr>
              </m:dPr>
              <m:e>
                <m:r>
                  <w:rPr>
                    <w:rFonts w:ascii="Cambria Math" w:hAnsi="Cambria Math"/>
                  </w:rPr>
                  <m:t>∆T</m:t>
                </m:r>
              </m:e>
            </m:d>
          </m:num>
          <m:den>
            <m:r>
              <w:rPr>
                <w:rFonts w:ascii="Cambria Math" w:hAnsi="Cambria Math"/>
              </w:rPr>
              <m:t>d</m:t>
            </m:r>
            <m:d>
              <m:dPr>
                <m:ctrlPr>
                  <w:rPr>
                    <w:rFonts w:ascii="Cambria Math" w:hAnsi="Cambria Math"/>
                    <w:i/>
                  </w:rPr>
                </m:ctrlPr>
              </m:dPr>
              <m:e>
                <m:r>
                  <w:rPr>
                    <w:rFonts w:ascii="Cambria Math" w:hAnsi="Cambria Math"/>
                  </w:rPr>
                  <m:t>∆T</m:t>
                </m:r>
              </m:e>
            </m:d>
          </m:den>
        </m:f>
      </m:oMath>
      <w:r w:rsidR="00267485">
        <w:t>, normalising with</w:t>
      </w:r>
      <m:oMath>
        <m:r>
          <w:rPr>
            <w:rFonts w:ascii="Cambria Math" w:hAnsi="Cambria Math"/>
          </w:rPr>
          <m:t xml:space="preserve"> </m:t>
        </m:r>
        <m:sSub>
          <m:sSubPr>
            <m:ctrlPr>
              <w:rPr>
                <w:rFonts w:ascii="Cambria Math" w:hAnsi="Cambria Math"/>
                <w:i/>
              </w:rPr>
            </m:ctrlPr>
          </m:sSubPr>
          <m:e>
            <m:r>
              <w:rPr>
                <w:rFonts w:ascii="Cambria Math" w:hAnsi="Cambria Math"/>
              </w:rPr>
              <m:t>φ</m:t>
            </m:r>
          </m:e>
          <m:sub>
            <m:r>
              <w:rPr>
                <w:rFonts w:ascii="Cambria Math" w:hAnsi="Cambria Math"/>
              </w:rPr>
              <m:t>OBS</m:t>
            </m:r>
          </m:sub>
        </m:sSub>
      </m:oMath>
      <w:r w:rsidR="00267485">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05"/>
        <w:gridCol w:w="810"/>
      </w:tblGrid>
      <w:tr w:rsidR="00111A5B" w14:paraId="7A4EF7AC" w14:textId="77777777" w:rsidTr="00111A5B">
        <w:trPr>
          <w:jc w:val="center"/>
        </w:trPr>
        <w:tc>
          <w:tcPr>
            <w:tcW w:w="7905" w:type="dxa"/>
            <w:vAlign w:val="center"/>
          </w:tcPr>
          <w:p w14:paraId="16CD8F93" w14:textId="77777777" w:rsidR="00111A5B" w:rsidRDefault="008F6ACD" w:rsidP="00C54806">
            <w:pPr>
              <w:pStyle w:val="Newparagraph"/>
              <w:ind w:firstLine="0"/>
              <w:contextualSpacing/>
              <w:jc w:val="center"/>
            </w:pPr>
            <m:oMathPara>
              <m:oMath>
                <m:m>
                  <m:mPr>
                    <m:mcs>
                      <m:mc>
                        <m:mcPr>
                          <m:count m:val="2"/>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p</m:t>
                          </m:r>
                        </m:e>
                        <m:sub>
                          <m:r>
                            <w:rPr>
                              <w:rFonts w:ascii="Cambria Math" w:hAnsi="Cambria Math"/>
                            </w:rPr>
                            <m:t>OBS</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φ</m:t>
                          </m:r>
                        </m:e>
                        <m:sub>
                          <m:r>
                            <w:rPr>
                              <w:rFonts w:ascii="Cambria Math" w:hAnsi="Cambria Math"/>
                            </w:rPr>
                            <m:t>OBS</m:t>
                          </m:r>
                        </m:sub>
                      </m:sSub>
                      <m:f>
                        <m:fPr>
                          <m:ctrlPr>
                            <w:rPr>
                              <w:rFonts w:ascii="Cambria Math" w:hAnsi="Cambria Math"/>
                              <w:i/>
                            </w:rPr>
                          </m:ctrlPr>
                        </m:fPr>
                        <m:num>
                          <m:sSub>
                            <m:sSubPr>
                              <m:ctrlPr>
                                <w:rPr>
                                  <w:rFonts w:ascii="Cambria Math" w:hAnsi="Cambria Math"/>
                                  <w:i/>
                                </w:rPr>
                              </m:ctrlPr>
                            </m:sSubPr>
                            <m:e>
                              <m:r>
                                <w:rPr>
                                  <w:rFonts w:ascii="Cambria Math" w:hAnsi="Cambria Math"/>
                                </w:rPr>
                                <m:t>dN</m:t>
                              </m:r>
                            </m:e>
                            <m:sub>
                              <m:r>
                                <w:rPr>
                                  <w:rFonts w:ascii="Cambria Math" w:hAnsi="Cambria Math"/>
                                </w:rPr>
                                <m:t>OBS</m:t>
                              </m:r>
                            </m:sub>
                          </m:sSub>
                          <m:d>
                            <m:dPr>
                              <m:ctrlPr>
                                <w:rPr>
                                  <w:rFonts w:ascii="Cambria Math" w:hAnsi="Cambria Math"/>
                                  <w:i/>
                                </w:rPr>
                              </m:ctrlPr>
                            </m:dPr>
                            <m:e>
                              <m:r>
                                <w:rPr>
                                  <w:rFonts w:ascii="Cambria Math" w:hAnsi="Cambria Math"/>
                                </w:rPr>
                                <m:t>∆T</m:t>
                              </m:r>
                            </m:e>
                          </m:d>
                        </m:num>
                        <m:den>
                          <m:r>
                            <w:rPr>
                              <w:rFonts w:ascii="Cambria Math" w:hAnsi="Cambria Math"/>
                            </w:rPr>
                            <m:t>d</m:t>
                          </m:r>
                          <m:d>
                            <m:dPr>
                              <m:ctrlPr>
                                <w:rPr>
                                  <w:rFonts w:ascii="Cambria Math" w:hAnsi="Cambria Math"/>
                                  <w:i/>
                                </w:rPr>
                              </m:ctrlPr>
                            </m:dPr>
                            <m:e>
                              <m:r>
                                <w:rPr>
                                  <w:rFonts w:ascii="Cambria Math" w:hAnsi="Cambria Math"/>
                                </w:rPr>
                                <m:t>∆T</m:t>
                              </m:r>
                            </m:e>
                          </m:d>
                        </m:den>
                      </m:f>
                    </m:e>
                    <m:e>
                      <m:r>
                        <w:rPr>
                          <w:rFonts w:ascii="Cambria Math" w:hAnsi="Cambria Math"/>
                        </w:rPr>
                        <m:t>.</m:t>
                      </m:r>
                    </m:e>
                  </m:mr>
                </m:m>
              </m:oMath>
            </m:oMathPara>
          </w:p>
        </w:tc>
        <w:tc>
          <w:tcPr>
            <w:tcW w:w="810" w:type="dxa"/>
            <w:vAlign w:val="center"/>
          </w:tcPr>
          <w:p w14:paraId="6709B418" w14:textId="395D0D65" w:rsidR="00111A5B" w:rsidRDefault="00111A5B" w:rsidP="00C54806">
            <w:pPr>
              <w:pStyle w:val="Newparagraph"/>
              <w:ind w:firstLine="0"/>
              <w:contextualSpacing/>
              <w:jc w:val="center"/>
            </w:pPr>
            <w:bookmarkStart w:id="21" w:name="PDFobs"/>
            <w:r>
              <w:t>(</w:t>
            </w:r>
            <w:fldSimple w:instr=" SEQ Eqn \* MERGEFORMAT ">
              <w:r w:rsidR="00ED384B">
                <w:rPr>
                  <w:noProof/>
                </w:rPr>
                <w:t>25</w:t>
              </w:r>
            </w:fldSimple>
            <w:r>
              <w:t>)</w:t>
            </w:r>
            <w:bookmarkEnd w:id="21"/>
          </w:p>
        </w:tc>
      </w:tr>
    </w:tbl>
    <w:p w14:paraId="75C89D56" w14:textId="3DEF50CD" w:rsidR="00DC177E" w:rsidRDefault="00DC177E" w:rsidP="00111A5B">
      <w:pPr>
        <w:pStyle w:val="Paragraph"/>
      </w:pPr>
      <w:r>
        <w:t>The expected value equation is used to calculate the mean undercooling,</w:t>
      </w:r>
      <m:oMath>
        <m:acc>
          <m:accPr>
            <m:chr m:val="̅"/>
            <m:ctrlPr>
              <w:rPr>
                <w:rFonts w:ascii="Cambria Math" w:hAnsi="Cambria Math"/>
                <w:i/>
              </w:rPr>
            </m:ctrlPr>
          </m:accPr>
          <m:e>
            <m:r>
              <w:rPr>
                <w:rFonts w:ascii="Cambria Math" w:hAnsi="Cambria Math"/>
              </w:rPr>
              <m:t xml:space="preserve"> ∆T</m:t>
            </m:r>
          </m:e>
        </m:acc>
      </m:oMath>
      <w:r>
        <w:t xml:space="preserve">, </w:t>
      </w:r>
      <w:r w:rsidR="007457B5">
        <w:t>from</w:t>
      </w:r>
      <w:r>
        <w:t xml:space="preserve"> a known continuous PDF, </w:t>
      </w:r>
      <m:oMath>
        <m:r>
          <w:rPr>
            <w:rFonts w:ascii="Cambria Math" w:hAnsi="Cambria Math"/>
          </w:rPr>
          <m:t>p</m:t>
        </m:r>
        <m:d>
          <m:dPr>
            <m:ctrlPr>
              <w:rPr>
                <w:rFonts w:ascii="Cambria Math" w:hAnsi="Cambria Math"/>
                <w:i/>
              </w:rPr>
            </m:ctrlPr>
          </m:dPr>
          <m:e>
            <m:r>
              <w:rPr>
                <w:rFonts w:ascii="Cambria Math" w:hAnsi="Cambria Math"/>
              </w:rPr>
              <m:t>∆T</m:t>
            </m:r>
          </m:e>
        </m:d>
      </m:oMath>
      <w:r>
        <w:t>, as follows</w:t>
      </w:r>
      <w:r w:rsidR="00111A5B">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05"/>
        <w:gridCol w:w="810"/>
      </w:tblGrid>
      <w:tr w:rsidR="00DC177E" w14:paraId="0F029010" w14:textId="77777777" w:rsidTr="00C9779B">
        <w:trPr>
          <w:jc w:val="center"/>
        </w:trPr>
        <w:tc>
          <w:tcPr>
            <w:tcW w:w="7905" w:type="dxa"/>
            <w:vAlign w:val="center"/>
          </w:tcPr>
          <w:p w14:paraId="2C48E45B" w14:textId="7E2E7825" w:rsidR="00DC177E" w:rsidRDefault="008F6ACD" w:rsidP="00C9779B">
            <w:pPr>
              <w:spacing w:line="360" w:lineRule="auto"/>
              <w:jc w:val="center"/>
            </w:pPr>
            <m:oMathPara>
              <m:oMath>
                <m:m>
                  <m:mPr>
                    <m:mcs>
                      <m:mc>
                        <m:mcPr>
                          <m:count m:val="2"/>
                          <m:mcJc m:val="center"/>
                        </m:mcPr>
                      </m:mc>
                    </m:mcs>
                    <m:ctrlPr>
                      <w:rPr>
                        <w:rFonts w:ascii="Cambria Math" w:hAnsi="Cambria Math"/>
                        <w:i/>
                      </w:rPr>
                    </m:ctrlPr>
                  </m:mPr>
                  <m:mr>
                    <m:e>
                      <m:acc>
                        <m:accPr>
                          <m:chr m:val="̅"/>
                          <m:ctrlPr>
                            <w:rPr>
                              <w:rFonts w:ascii="Cambria Math" w:hAnsi="Cambria Math"/>
                              <w:i/>
                            </w:rPr>
                          </m:ctrlPr>
                        </m:accPr>
                        <m:e>
                          <m:r>
                            <w:rPr>
                              <w:rFonts w:ascii="Cambria Math" w:hAnsi="Cambria Math"/>
                            </w:rPr>
                            <m:t>∆T</m:t>
                          </m:r>
                        </m:e>
                      </m:acc>
                      <m:r>
                        <m:rPr>
                          <m:sty m:val="p"/>
                        </m:rPr>
                        <w:rPr>
                          <w:rFonts w:ascii="Cambria Math" w:hAnsi="Cambria Math"/>
                        </w:rPr>
                        <m:t>=E</m:t>
                      </m:r>
                      <m:d>
                        <m:dPr>
                          <m:ctrlPr>
                            <w:rPr>
                              <w:rFonts w:ascii="Cambria Math" w:hAnsi="Cambria Math"/>
                            </w:rPr>
                          </m:ctrlPr>
                        </m:dPr>
                        <m:e>
                          <m:r>
                            <w:rPr>
                              <w:rFonts w:ascii="Cambria Math" w:hAnsi="Cambria Math"/>
                            </w:rPr>
                            <m:t>∆T</m:t>
                          </m:r>
                        </m:e>
                      </m:d>
                      <m:r>
                        <m:rPr>
                          <m:sty m:val="p"/>
                        </m:rPr>
                        <w:rPr>
                          <w:rFonts w:ascii="Cambria Math" w:hAnsi="Cambria Math"/>
                        </w:rPr>
                        <m:t>=</m:t>
                      </m:r>
                      <m:nary>
                        <m:naryPr>
                          <m:limLoc m:val="subSup"/>
                          <m:ctrlPr>
                            <w:rPr>
                              <w:rFonts w:ascii="Cambria Math" w:hAnsi="Cambria Math"/>
                            </w:rPr>
                          </m:ctrlPr>
                        </m:naryPr>
                        <m:sub>
                          <m:r>
                            <w:rPr>
                              <w:rFonts w:ascii="Cambria Math" w:hAnsi="Cambria Math"/>
                            </w:rPr>
                            <m:t>0</m:t>
                          </m:r>
                        </m:sub>
                        <m:sup>
                          <m:r>
                            <w:rPr>
                              <w:rFonts w:ascii="Cambria Math" w:hAnsi="Cambria Math"/>
                            </w:rPr>
                            <m:t>∞</m:t>
                          </m:r>
                        </m:sup>
                        <m:e>
                          <m:r>
                            <w:rPr>
                              <w:rFonts w:ascii="Cambria Math" w:hAnsi="Cambria Math"/>
                            </w:rPr>
                            <m:t>p</m:t>
                          </m:r>
                          <m:d>
                            <m:dPr>
                              <m:ctrlPr>
                                <w:rPr>
                                  <w:rFonts w:ascii="Cambria Math" w:hAnsi="Cambria Math"/>
                                  <w:i/>
                                </w:rPr>
                              </m:ctrlPr>
                            </m:dPr>
                            <m:e>
                              <m:r>
                                <w:rPr>
                                  <w:rFonts w:ascii="Cambria Math" w:hAnsi="Cambria Math"/>
                                </w:rPr>
                                <m:t>∆T</m:t>
                              </m:r>
                            </m:e>
                          </m:d>
                          <m:r>
                            <w:rPr>
                              <w:rFonts w:ascii="Cambria Math" w:hAnsi="Cambria Math"/>
                            </w:rPr>
                            <m:t>∙</m:t>
                          </m:r>
                        </m:e>
                      </m:nary>
                      <m:r>
                        <w:rPr>
                          <w:rFonts w:ascii="Cambria Math" w:hAnsi="Cambria Math"/>
                        </w:rPr>
                        <m:t>∆T d</m:t>
                      </m:r>
                      <m:d>
                        <m:dPr>
                          <m:ctrlPr>
                            <w:rPr>
                              <w:rFonts w:ascii="Cambria Math" w:hAnsi="Cambria Math"/>
                              <w:i/>
                            </w:rPr>
                          </m:ctrlPr>
                        </m:dPr>
                        <m:e>
                          <m:r>
                            <w:rPr>
                              <w:rFonts w:ascii="Cambria Math" w:hAnsi="Cambria Math"/>
                            </w:rPr>
                            <m:t>∆T</m:t>
                          </m:r>
                        </m:e>
                      </m:d>
                    </m:e>
                    <m:e>
                      <m:r>
                        <w:rPr>
                          <w:rFonts w:ascii="Cambria Math" w:hAnsi="Cambria Math"/>
                        </w:rPr>
                        <m:t>.</m:t>
                      </m:r>
                    </m:e>
                  </m:mr>
                </m:m>
              </m:oMath>
            </m:oMathPara>
          </w:p>
        </w:tc>
        <w:tc>
          <w:tcPr>
            <w:tcW w:w="810" w:type="dxa"/>
            <w:vAlign w:val="center"/>
          </w:tcPr>
          <w:p w14:paraId="036D3122" w14:textId="00FBF257" w:rsidR="00DC177E" w:rsidRDefault="00DC177E" w:rsidP="00C9779B">
            <w:pPr>
              <w:pStyle w:val="Newparagraph"/>
              <w:ind w:firstLine="0"/>
              <w:contextualSpacing/>
              <w:jc w:val="center"/>
            </w:pPr>
            <w:bookmarkStart w:id="22" w:name="expectedvalueeqtn"/>
            <w:r>
              <w:t>(</w:t>
            </w:r>
            <w:fldSimple w:instr=" SEQ Eqn \* MERGEFORMAT ">
              <w:r w:rsidR="00ED384B">
                <w:rPr>
                  <w:noProof/>
                </w:rPr>
                <w:t>26</w:t>
              </w:r>
            </w:fldSimple>
            <w:r>
              <w:t>)</w:t>
            </w:r>
            <w:bookmarkEnd w:id="22"/>
          </w:p>
        </w:tc>
      </w:tr>
    </w:tbl>
    <w:p w14:paraId="705D7DD1" w14:textId="5DBE2F15" w:rsidR="00DC177E" w:rsidRDefault="00DC177E" w:rsidP="007B6846">
      <w:pPr>
        <w:pStyle w:val="Newparagraph"/>
        <w:ind w:firstLine="0"/>
      </w:pPr>
      <w:r>
        <w:rPr>
          <w:rFonts w:eastAsiaTheme="minorEastAsia"/>
        </w:rPr>
        <w:t xml:space="preserve">Usually, for a two-sided distribution the integration limits are </w:t>
      </w:r>
      <w:r w:rsidR="00111A5B">
        <w:rPr>
          <w:rFonts w:eastAsiaTheme="minorEastAsia"/>
        </w:rPr>
        <w:t>from</w:t>
      </w:r>
      <w:r>
        <w:rPr>
          <w:rFonts w:eastAsiaTheme="minorEastAsia"/>
        </w:rPr>
        <w:t xml:space="preserve"> </w:t>
      </w:r>
      <m:oMath>
        <m:r>
          <w:rPr>
            <w:rFonts w:ascii="Cambria Math" w:eastAsiaTheme="minorEastAsia" w:hAnsi="Cambria Math"/>
          </w:rPr>
          <m:t>-∞</m:t>
        </m:r>
      </m:oMath>
      <w:r>
        <w:rPr>
          <w:rFonts w:eastAsiaTheme="minorEastAsia"/>
        </w:rPr>
        <w:t xml:space="preserve"> </w:t>
      </w:r>
      <w:r w:rsidR="00111A5B">
        <w:rPr>
          <w:rFonts w:eastAsiaTheme="minorEastAsia"/>
        </w:rPr>
        <w:t>to</w:t>
      </w:r>
      <w:r>
        <w:rPr>
          <w:rFonts w:eastAsiaTheme="minorEastAsia"/>
        </w:rPr>
        <w:t xml:space="preserve"> +</w:t>
      </w:r>
      <m:oMath>
        <m:r>
          <w:rPr>
            <w:rFonts w:ascii="Cambria Math" w:eastAsiaTheme="minorEastAsia" w:hAnsi="Cambria Math"/>
          </w:rPr>
          <m:t>∞</m:t>
        </m:r>
      </m:oMath>
      <w:r>
        <w:rPr>
          <w:rFonts w:eastAsiaTheme="minorEastAsia"/>
        </w:rPr>
        <w:t>, but in our case we can typically assume that the limits range from zero to infinit</w:t>
      </w:r>
      <w:r w:rsidR="00111A5B">
        <w:rPr>
          <w:rFonts w:eastAsiaTheme="minorEastAsia"/>
        </w:rPr>
        <w:t xml:space="preserve">y with negligible consequences. </w:t>
      </w:r>
      <w:r>
        <w:rPr>
          <w:rFonts w:eastAsiaTheme="minorEastAsia"/>
        </w:rPr>
        <w:t xml:space="preserve">(However, one should exercise caution when using a two-sided distribution such as a Gaussian by </w:t>
      </w:r>
      <w:r w:rsidR="00ED384B">
        <w:rPr>
          <w:rFonts w:eastAsiaTheme="minorEastAsia"/>
        </w:rPr>
        <w:t>checking that</w:t>
      </w:r>
      <w:r>
        <w:rPr>
          <w:rFonts w:eastAsiaTheme="minorEastAsia"/>
        </w:rPr>
        <w:t xml:space="preserve"> </w:t>
      </w:r>
      <w:r w:rsidRPr="009913A4">
        <w:sym w:font="Symbol" w:char="F044"/>
      </w:r>
      <w:r w:rsidRPr="007B258B">
        <w:rPr>
          <w:i/>
        </w:rPr>
        <w:t>T</w:t>
      </w:r>
      <w:r>
        <w:rPr>
          <w:i/>
          <w:vertAlign w:val="subscript"/>
        </w:rPr>
        <w:t xml:space="preserve">o </w:t>
      </w:r>
      <w:r>
        <w:rPr>
          <w:i/>
        </w:rPr>
        <w:t>&gt;</w:t>
      </w:r>
      <w:r w:rsidR="00111A5B" w:rsidRPr="00111A5B">
        <w:t>3</w:t>
      </w:r>
      <w:r w:rsidRPr="009913A4">
        <w:sym w:font="Symbol" w:char="F044"/>
      </w:r>
      <w:r w:rsidRPr="007B258B">
        <w:rPr>
          <w:i/>
        </w:rPr>
        <w:t>T</w:t>
      </w:r>
      <w:r>
        <w:rPr>
          <w:i/>
          <w:vertAlign w:val="subscript"/>
        </w:rPr>
        <w:sym w:font="Symbol" w:char="F073"/>
      </w:r>
      <w:r>
        <w:t>).</w:t>
      </w:r>
    </w:p>
    <w:p w14:paraId="4DB0AA1E" w14:textId="19F1D1C3" w:rsidR="00DC177E" w:rsidRDefault="00DC177E" w:rsidP="007B6846">
      <w:pPr>
        <w:pStyle w:val="Newparagraph"/>
      </w:pPr>
      <w:r w:rsidRPr="007B6846">
        <w:t>The</w:t>
      </w:r>
      <w:r w:rsidR="007457B5">
        <w:t xml:space="preserve"> associated standard deviation of nucleation </w:t>
      </w:r>
      <w:r w:rsidR="001A6F82">
        <w:t>undercooling</w:t>
      </w:r>
      <w:r w:rsidR="007457B5">
        <w:t xml:space="preserve"> in this distribution</w:t>
      </w:r>
      <w:r w:rsidR="001A6F82">
        <w:t>,</w:t>
      </w:r>
      <m:oMath>
        <m:r>
          <w:rPr>
            <w:rFonts w:ascii="Cambria Math" w:hAnsi="Cambria Math"/>
          </w:rPr>
          <m:t xml:space="preserve"> </m:t>
        </m:r>
        <m:sSub>
          <m:sSubPr>
            <m:ctrlPr>
              <w:rPr>
                <w:rFonts w:ascii="Cambria Math" w:hAnsi="Cambria Math"/>
                <w:i/>
              </w:rPr>
            </m:ctrlPr>
          </m:sSubPr>
          <m:e>
            <m:r>
              <w:rPr>
                <w:rFonts w:ascii="Cambria Math" w:hAnsi="Cambria Math"/>
              </w:rPr>
              <m:t>σ</m:t>
            </m:r>
          </m:e>
          <m:sub>
            <m:r>
              <w:rPr>
                <w:rFonts w:ascii="Cambria Math" w:hAnsi="Cambria Math"/>
              </w:rPr>
              <m:t>∆T</m:t>
            </m:r>
          </m:sub>
        </m:sSub>
      </m:oMath>
      <w:r w:rsidR="001A6F82">
        <w:t xml:space="preserve">, </w:t>
      </w:r>
      <w:r>
        <w:t>is</w:t>
      </w:r>
      <w:r w:rsidR="007457B5">
        <w:t xml:space="preserve"> </w:t>
      </w:r>
      <w:r>
        <w:t xml:space="preserve">obtained </w:t>
      </w:r>
      <w:r w:rsidR="007457B5">
        <w:t xml:space="preserve">through </w:t>
      </w:r>
      <w:r>
        <w:t xml:space="preserve">application of the expected value </w:t>
      </w:r>
      <w:r w:rsidR="007457B5">
        <w:t>equation</w:t>
      </w:r>
      <w:r w:rsidR="00ED384B">
        <w:t xml:space="preserve"> as follows</w:t>
      </w:r>
      <w:r w:rsidR="007457B5">
        <w:t>,</w:t>
      </w:r>
      <w:r>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05"/>
        <w:gridCol w:w="810"/>
      </w:tblGrid>
      <w:tr w:rsidR="00DC177E" w14:paraId="485A8D37" w14:textId="77777777" w:rsidTr="00C9779B">
        <w:trPr>
          <w:jc w:val="center"/>
        </w:trPr>
        <w:tc>
          <w:tcPr>
            <w:tcW w:w="7905" w:type="dxa"/>
            <w:vAlign w:val="center"/>
          </w:tcPr>
          <w:p w14:paraId="0D7B3005" w14:textId="6BA3407A" w:rsidR="00DC177E" w:rsidRDefault="008F6ACD" w:rsidP="00C9779B">
            <w:pPr>
              <w:spacing w:line="360" w:lineRule="auto"/>
              <w:jc w:val="center"/>
            </w:pPr>
            <m:oMathPara>
              <m:oMath>
                <m:m>
                  <m:mPr>
                    <m:mcs>
                      <m:mc>
                        <m:mcPr>
                          <m:count m:val="2"/>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σ</m:t>
                          </m:r>
                        </m:e>
                        <m:sub>
                          <m:r>
                            <w:rPr>
                              <w:rFonts w:ascii="Cambria Math" w:hAnsi="Cambria Math"/>
                            </w:rPr>
                            <m:t>∆T</m:t>
                          </m:r>
                        </m:sub>
                      </m:sSub>
                      <m:r>
                        <m:rPr>
                          <m:sty m:val="p"/>
                        </m:rPr>
                        <w:rPr>
                          <w:rFonts w:ascii="Cambria Math" w:hAnsi="Cambria Math"/>
                        </w:rPr>
                        <m:t>=</m:t>
                      </m:r>
                      <m:rad>
                        <m:radPr>
                          <m:degHide m:val="1"/>
                          <m:ctrlPr>
                            <w:rPr>
                              <w:rFonts w:ascii="Cambria Math" w:hAnsi="Cambria Math"/>
                            </w:rPr>
                          </m:ctrlPr>
                        </m:radPr>
                        <m:deg/>
                        <m:e>
                          <m:r>
                            <m:rPr>
                              <m:sty m:val="p"/>
                            </m:rPr>
                            <w:rPr>
                              <w:rFonts w:ascii="Cambria Math" w:hAnsi="Cambria Math"/>
                            </w:rPr>
                            <m:t>E</m:t>
                          </m:r>
                          <m:d>
                            <m:dPr>
                              <m:ctrlPr>
                                <w:rPr>
                                  <w:rFonts w:ascii="Cambria Math" w:hAnsi="Cambria Math"/>
                                </w:rPr>
                              </m:ctrlPr>
                            </m:dPr>
                            <m:e>
                              <m:sSup>
                                <m:sSupPr>
                                  <m:ctrlPr>
                                    <w:rPr>
                                      <w:rFonts w:ascii="Cambria Math" w:hAnsi="Cambria Math"/>
                                      <w:i/>
                                    </w:rPr>
                                  </m:ctrlPr>
                                </m:sSupPr>
                                <m:e>
                                  <m:d>
                                    <m:dPr>
                                      <m:ctrlPr>
                                        <w:rPr>
                                          <w:rFonts w:ascii="Cambria Math" w:hAnsi="Cambria Math"/>
                                          <w:i/>
                                        </w:rPr>
                                      </m:ctrlPr>
                                    </m:dPr>
                                    <m:e>
                                      <m:r>
                                        <w:rPr>
                                          <w:rFonts w:ascii="Cambria Math" w:hAnsi="Cambria Math"/>
                                        </w:rPr>
                                        <m:t>∆T-</m:t>
                                      </m:r>
                                      <m:acc>
                                        <m:accPr>
                                          <m:chr m:val="̅"/>
                                          <m:ctrlPr>
                                            <w:rPr>
                                              <w:rFonts w:ascii="Cambria Math" w:hAnsi="Cambria Math"/>
                                              <w:i/>
                                            </w:rPr>
                                          </m:ctrlPr>
                                        </m:accPr>
                                        <m:e>
                                          <m:r>
                                            <w:rPr>
                                              <w:rFonts w:ascii="Cambria Math" w:hAnsi="Cambria Math"/>
                                            </w:rPr>
                                            <m:t>∆T</m:t>
                                          </m:r>
                                        </m:e>
                                      </m:acc>
                                    </m:e>
                                  </m:d>
                                </m:e>
                                <m:sup>
                                  <m:r>
                                    <w:rPr>
                                      <w:rFonts w:ascii="Cambria Math" w:hAnsi="Cambria Math"/>
                                    </w:rPr>
                                    <m:t>2</m:t>
                                  </m:r>
                                </m:sup>
                              </m:sSup>
                            </m:e>
                          </m:d>
                        </m:e>
                      </m:rad>
                      <m:r>
                        <w:rPr>
                          <w:rFonts w:ascii="Cambria Math" w:hAnsi="Cambria Math"/>
                        </w:rPr>
                        <m:t>=</m:t>
                      </m:r>
                      <m:rad>
                        <m:radPr>
                          <m:degHide m:val="1"/>
                          <m:ctrlPr>
                            <w:rPr>
                              <w:rFonts w:ascii="Cambria Math" w:hAnsi="Cambria Math"/>
                              <w:i/>
                            </w:rPr>
                          </m:ctrlPr>
                        </m:radPr>
                        <m:deg/>
                        <m:e>
                          <m:r>
                            <w:rPr>
                              <w:rFonts w:ascii="Cambria Math" w:hAnsi="Cambria Math"/>
                            </w:rPr>
                            <m:t>E</m:t>
                          </m:r>
                          <m:d>
                            <m:dPr>
                              <m:ctrlPr>
                                <w:rPr>
                                  <w:rFonts w:ascii="Cambria Math" w:hAnsi="Cambria Math"/>
                                  <w:i/>
                                </w:rPr>
                              </m:ctrlPr>
                            </m:dPr>
                            <m:e>
                              <m:sSup>
                                <m:sSupPr>
                                  <m:ctrlPr>
                                    <w:rPr>
                                      <w:rFonts w:ascii="Cambria Math" w:hAnsi="Cambria Math"/>
                                      <w:i/>
                                    </w:rPr>
                                  </m:ctrlPr>
                                </m:sSupPr>
                                <m:e>
                                  <m:r>
                                    <w:rPr>
                                      <w:rFonts w:ascii="Cambria Math" w:hAnsi="Cambria Math"/>
                                    </w:rPr>
                                    <m:t>∆T</m:t>
                                  </m:r>
                                </m:e>
                                <m:sup>
                                  <m:r>
                                    <w:rPr>
                                      <w:rFonts w:ascii="Cambria Math" w:hAnsi="Cambria Math"/>
                                    </w:rPr>
                                    <m:t>2</m:t>
                                  </m:r>
                                </m:sup>
                              </m:sSup>
                            </m:e>
                          </m:d>
                          <m:r>
                            <w:rPr>
                              <w:rFonts w:ascii="Cambria Math" w:hAnsi="Cambria Math"/>
                            </w:rPr>
                            <m:t>-</m:t>
                          </m:r>
                          <m:sSup>
                            <m:sSupPr>
                              <m:ctrlPr>
                                <w:rPr>
                                  <w:rFonts w:ascii="Cambria Math" w:hAnsi="Cambria Math"/>
                                  <w:i/>
                                </w:rPr>
                              </m:ctrlPr>
                            </m:sSupPr>
                            <m:e>
                              <m:acc>
                                <m:accPr>
                                  <m:chr m:val="̅"/>
                                  <m:ctrlPr>
                                    <w:rPr>
                                      <w:rFonts w:ascii="Cambria Math" w:hAnsi="Cambria Math"/>
                                      <w:i/>
                                    </w:rPr>
                                  </m:ctrlPr>
                                </m:accPr>
                                <m:e>
                                  <m:r>
                                    <w:rPr>
                                      <w:rFonts w:ascii="Cambria Math" w:hAnsi="Cambria Math"/>
                                    </w:rPr>
                                    <m:t>∆T</m:t>
                                  </m:r>
                                </m:e>
                              </m:acc>
                            </m:e>
                            <m:sup>
                              <m:r>
                                <w:rPr>
                                  <w:rFonts w:ascii="Cambria Math" w:hAnsi="Cambria Math"/>
                                </w:rPr>
                                <m:t>2</m:t>
                              </m:r>
                            </m:sup>
                          </m:sSup>
                        </m:e>
                      </m:rad>
                    </m:e>
                    <m:e>
                      <m:r>
                        <w:rPr>
                          <w:rFonts w:ascii="Cambria Math" w:hAnsi="Cambria Math"/>
                        </w:rPr>
                        <m:t>.</m:t>
                      </m:r>
                    </m:e>
                  </m:mr>
                </m:m>
              </m:oMath>
            </m:oMathPara>
          </w:p>
        </w:tc>
        <w:tc>
          <w:tcPr>
            <w:tcW w:w="810" w:type="dxa"/>
            <w:vAlign w:val="center"/>
          </w:tcPr>
          <w:p w14:paraId="49EDF19A" w14:textId="68673798" w:rsidR="00DC177E" w:rsidRDefault="00DC177E" w:rsidP="00C9779B">
            <w:pPr>
              <w:pStyle w:val="Newparagraph"/>
              <w:ind w:firstLine="0"/>
              <w:contextualSpacing/>
              <w:jc w:val="center"/>
            </w:pPr>
            <w:bookmarkStart w:id="23" w:name="expectedvalueeqtn_sigma"/>
            <w:r>
              <w:t>(</w:t>
            </w:r>
            <w:fldSimple w:instr=" SEQ Eqn \* MERGEFORMAT ">
              <w:r w:rsidR="00ED384B">
                <w:rPr>
                  <w:noProof/>
                </w:rPr>
                <w:t>27</w:t>
              </w:r>
            </w:fldSimple>
            <w:r>
              <w:t>)</w:t>
            </w:r>
            <w:bookmarkEnd w:id="23"/>
          </w:p>
        </w:tc>
      </w:tr>
    </w:tbl>
    <w:p w14:paraId="5F99A3A8" w14:textId="20959CCA" w:rsidR="00DC177E" w:rsidRDefault="008236AE" w:rsidP="007B6846">
      <w:pPr>
        <w:pStyle w:val="Newparagraph"/>
        <w:ind w:firstLine="0"/>
      </w:pPr>
      <w:r>
        <w:t>Hence, equations</w:t>
      </w:r>
      <w:r w:rsidR="00DC177E">
        <w:t xml:space="preserve"> </w:t>
      </w:r>
      <w:r>
        <w:fldChar w:fldCharType="begin"/>
      </w:r>
      <w:r>
        <w:instrText xml:space="preserve"> REF expectedvalueeqtn \h </w:instrText>
      </w:r>
      <w:r>
        <w:fldChar w:fldCharType="separate"/>
      </w:r>
      <w:r w:rsidR="00ED384B">
        <w:t>(</w:t>
      </w:r>
      <w:r w:rsidR="00ED384B">
        <w:rPr>
          <w:noProof/>
        </w:rPr>
        <w:t>26</w:t>
      </w:r>
      <w:r w:rsidR="00ED384B">
        <w:t>)</w:t>
      </w:r>
      <w:r>
        <w:fldChar w:fldCharType="end"/>
      </w:r>
      <w:r w:rsidR="00ED384B">
        <w:t xml:space="preserve"> and</w:t>
      </w:r>
      <w:r>
        <w:t xml:space="preserve"> </w:t>
      </w:r>
      <w:r>
        <w:fldChar w:fldCharType="begin"/>
      </w:r>
      <w:r>
        <w:instrText xml:space="preserve"> REF expectedvalueeqtn_sigma \h </w:instrText>
      </w:r>
      <w:r>
        <w:fldChar w:fldCharType="separate"/>
      </w:r>
      <w:r w:rsidR="00ED384B">
        <w:t>(</w:t>
      </w:r>
      <w:r w:rsidR="00ED384B">
        <w:rPr>
          <w:noProof/>
        </w:rPr>
        <w:t>27</w:t>
      </w:r>
      <w:r w:rsidR="00ED384B">
        <w:t>)</w:t>
      </w:r>
      <w:r>
        <w:fldChar w:fldCharType="end"/>
      </w:r>
      <w:r>
        <w:t xml:space="preserve"> </w:t>
      </w:r>
      <w:r w:rsidR="00DC177E">
        <w:t xml:space="preserve">can be applied to </w:t>
      </w:r>
      <m:oMath>
        <m:sSub>
          <m:sSubPr>
            <m:ctrlPr>
              <w:rPr>
                <w:rFonts w:ascii="Cambria Math" w:hAnsi="Cambria Math"/>
                <w:i/>
              </w:rPr>
            </m:ctrlPr>
          </m:sSubPr>
          <m:e>
            <m:r>
              <w:rPr>
                <w:rFonts w:ascii="Cambria Math" w:hAnsi="Cambria Math"/>
              </w:rPr>
              <m:t>p</m:t>
            </m:r>
          </m:e>
          <m:sub>
            <m:r>
              <w:rPr>
                <w:rFonts w:ascii="Cambria Math" w:hAnsi="Cambria Math"/>
              </w:rPr>
              <m:t>REAL</m:t>
            </m:r>
          </m:sub>
        </m:sSub>
        <m:d>
          <m:dPr>
            <m:ctrlPr>
              <w:rPr>
                <w:rFonts w:ascii="Cambria Math" w:hAnsi="Cambria Math"/>
                <w:i/>
              </w:rPr>
            </m:ctrlPr>
          </m:dPr>
          <m:e>
            <m:r>
              <w:rPr>
                <w:rFonts w:ascii="Cambria Math" w:hAnsi="Cambria Math"/>
              </w:rPr>
              <m:t>∆T</m:t>
            </m:r>
          </m:e>
        </m:d>
      </m:oMath>
      <w:r w:rsidR="00DC177E">
        <w:t xml:space="preserve"> and </w:t>
      </w:r>
      <m:oMath>
        <m:sSub>
          <m:sSubPr>
            <m:ctrlPr>
              <w:rPr>
                <w:rFonts w:ascii="Cambria Math" w:hAnsi="Cambria Math"/>
                <w:i/>
              </w:rPr>
            </m:ctrlPr>
          </m:sSubPr>
          <m:e>
            <m:r>
              <w:rPr>
                <w:rFonts w:ascii="Cambria Math" w:hAnsi="Cambria Math"/>
              </w:rPr>
              <m:t>p</m:t>
            </m:r>
          </m:e>
          <m:sub>
            <m:r>
              <w:rPr>
                <w:rFonts w:ascii="Cambria Math" w:hAnsi="Cambria Math"/>
              </w:rPr>
              <m:t>OBS</m:t>
            </m:r>
          </m:sub>
        </m:sSub>
        <m:d>
          <m:dPr>
            <m:ctrlPr>
              <w:rPr>
                <w:rFonts w:ascii="Cambria Math" w:hAnsi="Cambria Math"/>
                <w:i/>
              </w:rPr>
            </m:ctrlPr>
          </m:dPr>
          <m:e>
            <m:r>
              <w:rPr>
                <w:rFonts w:ascii="Cambria Math" w:hAnsi="Cambria Math"/>
              </w:rPr>
              <m:t>∆T</m:t>
            </m:r>
          </m:e>
        </m:d>
      </m:oMath>
      <w:r w:rsidR="00DC177E">
        <w:t xml:space="preserve"> to gather </w:t>
      </w:r>
      <w:r w:rsidR="00AD124A">
        <w:t>statistical measures</w:t>
      </w:r>
      <w:r w:rsidR="00DC177E">
        <w:t xml:space="preserve"> for real and observable events</w:t>
      </w:r>
      <w:r w:rsidR="00E35ADD">
        <w:t>,</w:t>
      </w:r>
      <w:r w:rsidR="00DC177E">
        <w:t xml:space="preserve"> respectively.</w:t>
      </w:r>
    </w:p>
    <w:p w14:paraId="1E6DE23E" w14:textId="454A8930" w:rsidR="00DC177E" w:rsidRDefault="00DC177E" w:rsidP="0091027E">
      <w:pPr>
        <w:pStyle w:val="Heading3"/>
        <w:jc w:val="both"/>
      </w:pPr>
      <w:r>
        <w:t xml:space="preserve">Summative and formative outputs </w:t>
      </w:r>
    </w:p>
    <w:p w14:paraId="788D26D5" w14:textId="62128851" w:rsidR="00DC177E" w:rsidRDefault="00DC177E" w:rsidP="00D543B9">
      <w:pPr>
        <w:pStyle w:val="Paragraph"/>
      </w:pPr>
      <w:r>
        <w:t xml:space="preserve">As mentioned, the normalisation constants, </w:t>
      </w:r>
      <m:oMath>
        <m:sSub>
          <m:sSubPr>
            <m:ctrlPr>
              <w:rPr>
                <w:rFonts w:ascii="Cambria Math" w:hAnsi="Cambria Math"/>
                <w:i/>
              </w:rPr>
            </m:ctrlPr>
          </m:sSubPr>
          <m:e>
            <m:r>
              <w:rPr>
                <w:rFonts w:ascii="Cambria Math" w:hAnsi="Cambria Math"/>
              </w:rPr>
              <m:t>φ</m:t>
            </m:r>
          </m:e>
          <m:sub>
            <m:r>
              <w:rPr>
                <w:rFonts w:ascii="Cambria Math" w:hAnsi="Cambria Math"/>
              </w:rPr>
              <m:t xml:space="preserve">REAL </m:t>
            </m:r>
          </m:sub>
        </m:sSub>
      </m:oMath>
      <w:r w:rsidR="006D0B78">
        <w:t>and</w:t>
      </w:r>
      <m:oMath>
        <m:sSub>
          <m:sSubPr>
            <m:ctrlPr>
              <w:rPr>
                <w:rFonts w:ascii="Cambria Math" w:hAnsi="Cambria Math"/>
                <w:i/>
              </w:rPr>
            </m:ctrlPr>
          </m:sSubPr>
          <m:e>
            <m:r>
              <w:rPr>
                <w:rFonts w:ascii="Cambria Math" w:hAnsi="Cambria Math"/>
              </w:rPr>
              <m:t xml:space="preserve"> φ</m:t>
            </m:r>
          </m:e>
          <m:sub>
            <m:r>
              <w:rPr>
                <w:rFonts w:ascii="Cambria Math" w:hAnsi="Cambria Math"/>
              </w:rPr>
              <m:t>OBS</m:t>
            </m:r>
          </m:sub>
        </m:sSub>
      </m:oMath>
      <w:r>
        <w:t xml:space="preserve">, are required to ensure that the integral </w:t>
      </w:r>
      <m:oMath>
        <m:nary>
          <m:naryPr>
            <m:limLoc m:val="subSup"/>
            <m:ctrlPr>
              <w:rPr>
                <w:rFonts w:ascii="Cambria Math" w:hAnsi="Cambria Math"/>
                <w:i/>
              </w:rPr>
            </m:ctrlPr>
          </m:naryPr>
          <m:sub>
            <m:r>
              <w:rPr>
                <w:rFonts w:ascii="Cambria Math" w:hAnsi="Cambria Math"/>
              </w:rPr>
              <m:t>0</m:t>
            </m:r>
          </m:sub>
          <m:sup>
            <m:r>
              <w:rPr>
                <w:rFonts w:ascii="Cambria Math" w:hAnsi="Cambria Math"/>
              </w:rPr>
              <m:t>∞</m:t>
            </m:r>
          </m:sup>
          <m:e>
            <m:r>
              <w:rPr>
                <w:rFonts w:ascii="Cambria Math" w:hAnsi="Cambria Math"/>
              </w:rPr>
              <m:t>p</m:t>
            </m:r>
            <m:d>
              <m:dPr>
                <m:ctrlPr>
                  <w:rPr>
                    <w:rFonts w:ascii="Cambria Math" w:hAnsi="Cambria Math"/>
                    <w:i/>
                  </w:rPr>
                </m:ctrlPr>
              </m:dPr>
              <m:e>
                <m:r>
                  <w:rPr>
                    <w:rFonts w:ascii="Cambria Math" w:hAnsi="Cambria Math"/>
                  </w:rPr>
                  <m:t>∆T</m:t>
                </m:r>
              </m:e>
            </m:d>
            <m:r>
              <w:rPr>
                <w:rFonts w:ascii="Cambria Math" w:hAnsi="Cambria Math"/>
              </w:rPr>
              <m:t>d</m:t>
            </m:r>
            <m:d>
              <m:dPr>
                <m:ctrlPr>
                  <w:rPr>
                    <w:rFonts w:ascii="Cambria Math" w:hAnsi="Cambria Math"/>
                    <w:i/>
                  </w:rPr>
                </m:ctrlPr>
              </m:dPr>
              <m:e>
                <m:r>
                  <w:rPr>
                    <w:rFonts w:ascii="Cambria Math" w:hAnsi="Cambria Math"/>
                  </w:rPr>
                  <m:t>∆T</m:t>
                </m:r>
              </m:e>
            </m:d>
          </m:e>
        </m:nary>
      </m:oMath>
      <w:r>
        <w:t xml:space="preserve"> equals unity. The normalisation process plays a key role in the interpretation of the preceding statistical analysis. Summative or final output data is provided by integrating to</w:t>
      </w:r>
      <w:r w:rsidR="006D0B78">
        <w:t xml:space="preserve"> infinity. Practically speaking, </w:t>
      </w:r>
      <w:r>
        <w:t xml:space="preserve">we need only integrate until solid fraction is approximately unity or when the nucleation rate is </w:t>
      </w:r>
      <w:r w:rsidR="006D0B78">
        <w:t>almost</w:t>
      </w:r>
      <w:r>
        <w:t xml:space="preserve"> zero. Hence to obtain overall or summative statistical data, we calculate the normalisation constants as follows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05"/>
        <w:gridCol w:w="810"/>
      </w:tblGrid>
      <w:tr w:rsidR="00DC177E" w14:paraId="40B4BBC0" w14:textId="77777777" w:rsidTr="00C9779B">
        <w:trPr>
          <w:jc w:val="center"/>
        </w:trPr>
        <w:tc>
          <w:tcPr>
            <w:tcW w:w="7905" w:type="dxa"/>
            <w:vAlign w:val="center"/>
          </w:tcPr>
          <w:p w14:paraId="5A17B010" w14:textId="15949EFF" w:rsidR="00DC177E" w:rsidRDefault="008F6ACD" w:rsidP="00C9779B">
            <w:pPr>
              <w:spacing w:line="360" w:lineRule="auto"/>
              <w:jc w:val="center"/>
            </w:pPr>
            <m:oMathPara>
              <m:oMath>
                <m:m>
                  <m:mPr>
                    <m:mcs>
                      <m:mc>
                        <m:mcPr>
                          <m:count m:val="2"/>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φ</m:t>
                          </m:r>
                        </m:e>
                        <m:sub>
                          <m:r>
                            <w:rPr>
                              <w:rFonts w:ascii="Cambria Math" w:hAnsi="Cambria Math"/>
                            </w:rPr>
                            <m:t>REAL</m:t>
                          </m:r>
                        </m:sub>
                      </m:sSub>
                      <m:r>
                        <m:rPr>
                          <m:sty m:val="p"/>
                        </m:rPr>
                        <w:rPr>
                          <w:rFonts w:ascii="Cambria Math" w:hAnsi="Cambria Math"/>
                        </w:rPr>
                        <m:t>=</m:t>
                      </m:r>
                      <m:func>
                        <m:funcPr>
                          <m:ctrlPr>
                            <w:rPr>
                              <w:rFonts w:ascii="Cambria Math" w:hAnsi="Cambria Math"/>
                            </w:rPr>
                          </m:ctrlPr>
                        </m:funcPr>
                        <m:fName>
                          <m:limLow>
                            <m:limLowPr>
                              <m:ctrlPr>
                                <w:rPr>
                                  <w:rFonts w:ascii="Cambria Math" w:hAnsi="Cambria Math"/>
                                </w:rPr>
                              </m:ctrlPr>
                            </m:limLowPr>
                            <m:e>
                              <m:r>
                                <m:rPr>
                                  <m:sty m:val="p"/>
                                </m:rPr>
                                <w:rPr>
                                  <w:rFonts w:ascii="Cambria Math" w:hAnsi="Cambria Math"/>
                                </w:rPr>
                                <m:t>lim</m:t>
                              </m:r>
                            </m:e>
                            <m:lim>
                              <m:r>
                                <w:rPr>
                                  <w:rFonts w:ascii="Cambria Math" w:hAnsi="Cambria Math"/>
                                </w:rPr>
                                <m:t>t→∞</m:t>
                              </m:r>
                            </m:lim>
                          </m:limLow>
                        </m:fName>
                        <m:e>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N</m:t>
                                  </m:r>
                                </m:e>
                                <m:sub>
                                  <m:r>
                                    <w:rPr>
                                      <w:rFonts w:ascii="Cambria Math" w:hAnsi="Cambria Math"/>
                                    </w:rPr>
                                    <m:t>REAL</m:t>
                                  </m:r>
                                </m:sub>
                              </m:sSub>
                              <m:d>
                                <m:dPr>
                                  <m:ctrlPr>
                                    <w:rPr>
                                      <w:rFonts w:ascii="Cambria Math" w:hAnsi="Cambria Math"/>
                                      <w:i/>
                                    </w:rPr>
                                  </m:ctrlPr>
                                </m:dPr>
                                <m:e>
                                  <m:r>
                                    <w:rPr>
                                      <w:rFonts w:ascii="Cambria Math" w:hAnsi="Cambria Math"/>
                                    </w:rPr>
                                    <m:t>t</m:t>
                                  </m:r>
                                </m:e>
                              </m:d>
                            </m:den>
                          </m:f>
                        </m:e>
                      </m:func>
                    </m:e>
                    <m:e>
                      <m:r>
                        <w:rPr>
                          <w:rFonts w:ascii="Cambria Math" w:hAnsi="Cambria Math"/>
                        </w:rPr>
                        <m:t>,</m:t>
                      </m:r>
                    </m:e>
                  </m:mr>
                </m:m>
              </m:oMath>
            </m:oMathPara>
          </w:p>
        </w:tc>
        <w:tc>
          <w:tcPr>
            <w:tcW w:w="810" w:type="dxa"/>
            <w:vAlign w:val="center"/>
          </w:tcPr>
          <w:p w14:paraId="59CA4B39" w14:textId="3A1A660A" w:rsidR="00DC177E" w:rsidRDefault="00DC177E" w:rsidP="00C9779B">
            <w:pPr>
              <w:pStyle w:val="Newparagraph"/>
              <w:ind w:firstLine="0"/>
              <w:contextualSpacing/>
              <w:jc w:val="center"/>
            </w:pPr>
            <w:bookmarkStart w:id="24" w:name="phi_real_summative"/>
            <w:r>
              <w:t>(</w:t>
            </w:r>
            <w:fldSimple w:instr=" SEQ Eqn \* MERGEFORMAT ">
              <w:r w:rsidR="00AD78C2">
                <w:rPr>
                  <w:noProof/>
                </w:rPr>
                <w:t>28</w:t>
              </w:r>
            </w:fldSimple>
            <w:r>
              <w:t>)</w:t>
            </w:r>
            <w:bookmarkEnd w:id="24"/>
          </w:p>
        </w:tc>
      </w:tr>
    </w:tbl>
    <w:p w14:paraId="709379C2" w14:textId="77777777" w:rsidR="00DC177E" w:rsidRDefault="00DC177E" w:rsidP="0091027E">
      <w:pPr>
        <w:pStyle w:val="Newparagraph"/>
        <w:ind w:firstLine="0"/>
        <w:jc w:val="both"/>
      </w:pPr>
      <w:r>
        <w:t>and</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05"/>
        <w:gridCol w:w="810"/>
      </w:tblGrid>
      <w:tr w:rsidR="00DC177E" w14:paraId="560AE42E" w14:textId="77777777" w:rsidTr="00C9779B">
        <w:trPr>
          <w:jc w:val="center"/>
        </w:trPr>
        <w:tc>
          <w:tcPr>
            <w:tcW w:w="7905" w:type="dxa"/>
            <w:vAlign w:val="center"/>
          </w:tcPr>
          <w:p w14:paraId="64B2EC7A" w14:textId="15AB5215" w:rsidR="00DC177E" w:rsidRDefault="008F6ACD" w:rsidP="00C9779B">
            <w:pPr>
              <w:spacing w:line="360" w:lineRule="auto"/>
              <w:jc w:val="center"/>
            </w:pPr>
            <m:oMathPara>
              <m:oMath>
                <m:m>
                  <m:mPr>
                    <m:mcs>
                      <m:mc>
                        <m:mcPr>
                          <m:count m:val="2"/>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φ</m:t>
                          </m:r>
                        </m:e>
                        <m:sub>
                          <m:r>
                            <w:rPr>
                              <w:rFonts w:ascii="Cambria Math" w:hAnsi="Cambria Math"/>
                            </w:rPr>
                            <m:t>OBS</m:t>
                          </m:r>
                        </m:sub>
                      </m:sSub>
                      <m:r>
                        <m:rPr>
                          <m:sty m:val="p"/>
                        </m:rPr>
                        <w:rPr>
                          <w:rFonts w:ascii="Cambria Math" w:hAnsi="Cambria Math"/>
                        </w:rPr>
                        <m:t>=</m:t>
                      </m:r>
                      <m:func>
                        <m:funcPr>
                          <m:ctrlPr>
                            <w:rPr>
                              <w:rFonts w:ascii="Cambria Math" w:hAnsi="Cambria Math"/>
                            </w:rPr>
                          </m:ctrlPr>
                        </m:funcPr>
                        <m:fName>
                          <m:limLow>
                            <m:limLowPr>
                              <m:ctrlPr>
                                <w:rPr>
                                  <w:rFonts w:ascii="Cambria Math" w:hAnsi="Cambria Math"/>
                                </w:rPr>
                              </m:ctrlPr>
                            </m:limLowPr>
                            <m:e>
                              <m:r>
                                <m:rPr>
                                  <m:sty m:val="p"/>
                                </m:rPr>
                                <w:rPr>
                                  <w:rFonts w:ascii="Cambria Math" w:hAnsi="Cambria Math"/>
                                </w:rPr>
                                <m:t>lim</m:t>
                              </m:r>
                            </m:e>
                            <m:lim>
                              <m:r>
                                <w:rPr>
                                  <w:rFonts w:ascii="Cambria Math" w:hAnsi="Cambria Math"/>
                                </w:rPr>
                                <m:t>t→∞</m:t>
                              </m:r>
                            </m:lim>
                          </m:limLow>
                        </m:fName>
                        <m:e>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N</m:t>
                                  </m:r>
                                </m:e>
                                <m:sub>
                                  <m:r>
                                    <w:rPr>
                                      <w:rFonts w:ascii="Cambria Math" w:hAnsi="Cambria Math"/>
                                    </w:rPr>
                                    <m:t>OBS</m:t>
                                  </m:r>
                                </m:sub>
                              </m:sSub>
                              <m:d>
                                <m:dPr>
                                  <m:ctrlPr>
                                    <w:rPr>
                                      <w:rFonts w:ascii="Cambria Math" w:hAnsi="Cambria Math"/>
                                      <w:i/>
                                    </w:rPr>
                                  </m:ctrlPr>
                                </m:dPr>
                                <m:e>
                                  <m:r>
                                    <w:rPr>
                                      <w:rFonts w:ascii="Cambria Math" w:hAnsi="Cambria Math"/>
                                    </w:rPr>
                                    <m:t>t</m:t>
                                  </m:r>
                                </m:e>
                              </m:d>
                            </m:den>
                          </m:f>
                        </m:e>
                      </m:func>
                    </m:e>
                    <m:e>
                      <m:r>
                        <w:rPr>
                          <w:rFonts w:ascii="Cambria Math" w:hAnsi="Cambria Math"/>
                        </w:rPr>
                        <m:t>.</m:t>
                      </m:r>
                    </m:e>
                  </m:mr>
                </m:m>
              </m:oMath>
            </m:oMathPara>
          </w:p>
        </w:tc>
        <w:tc>
          <w:tcPr>
            <w:tcW w:w="810" w:type="dxa"/>
            <w:vAlign w:val="center"/>
          </w:tcPr>
          <w:p w14:paraId="3F26FED4" w14:textId="3993C00F" w:rsidR="00DC177E" w:rsidRDefault="00DC177E" w:rsidP="00C9779B">
            <w:pPr>
              <w:pStyle w:val="Newparagraph"/>
              <w:ind w:firstLine="0"/>
              <w:contextualSpacing/>
              <w:jc w:val="center"/>
            </w:pPr>
            <w:bookmarkStart w:id="25" w:name="phi_obs_summative"/>
            <w:r>
              <w:t>(</w:t>
            </w:r>
            <w:fldSimple w:instr=" SEQ Eqn \* MERGEFORMAT ">
              <w:r w:rsidR="00AD78C2">
                <w:rPr>
                  <w:noProof/>
                </w:rPr>
                <w:t>29</w:t>
              </w:r>
            </w:fldSimple>
            <w:r>
              <w:t>)</w:t>
            </w:r>
            <w:bookmarkEnd w:id="25"/>
          </w:p>
        </w:tc>
      </w:tr>
    </w:tbl>
    <w:p w14:paraId="7AE09864" w14:textId="5193A1FD" w:rsidR="00DC177E" w:rsidRDefault="00DC177E" w:rsidP="00D543B9">
      <w:pPr>
        <w:pStyle w:val="Newparagraph"/>
        <w:ind w:firstLine="0"/>
      </w:pPr>
      <w:r>
        <w:t>However, if formative or running statistical data is required, then the normalisation process must use the current value density as follows</w:t>
      </w:r>
      <w:r w:rsidR="00D543B9">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05"/>
        <w:gridCol w:w="810"/>
      </w:tblGrid>
      <w:tr w:rsidR="00DC177E" w14:paraId="1685B02C" w14:textId="77777777" w:rsidTr="00C9779B">
        <w:trPr>
          <w:jc w:val="center"/>
        </w:trPr>
        <w:tc>
          <w:tcPr>
            <w:tcW w:w="7905" w:type="dxa"/>
            <w:vAlign w:val="center"/>
          </w:tcPr>
          <w:p w14:paraId="154332CF" w14:textId="547CE6D4" w:rsidR="00DC177E" w:rsidRDefault="008F6ACD" w:rsidP="00C9779B">
            <w:pPr>
              <w:spacing w:line="360" w:lineRule="auto"/>
              <w:jc w:val="center"/>
            </w:pPr>
            <m:oMathPara>
              <m:oMath>
                <m:m>
                  <m:mPr>
                    <m:mcs>
                      <m:mc>
                        <m:mcPr>
                          <m:count m:val="2"/>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φ</m:t>
                          </m:r>
                        </m:e>
                        <m:sub>
                          <m:r>
                            <w:rPr>
                              <w:rFonts w:ascii="Cambria Math" w:hAnsi="Cambria Math"/>
                            </w:rPr>
                            <m:t>REAL</m:t>
                          </m:r>
                        </m:sub>
                      </m:sSub>
                      <m:r>
                        <m:rPr>
                          <m:sty m:val="p"/>
                        </m:rP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N</m:t>
                              </m:r>
                            </m:e>
                            <m:sub>
                              <m:r>
                                <w:rPr>
                                  <w:rFonts w:ascii="Cambria Math" w:hAnsi="Cambria Math"/>
                                </w:rPr>
                                <m:t>REAL</m:t>
                              </m:r>
                            </m:sub>
                          </m:sSub>
                          <m:d>
                            <m:dPr>
                              <m:ctrlPr>
                                <w:rPr>
                                  <w:rFonts w:ascii="Cambria Math" w:hAnsi="Cambria Math"/>
                                  <w:i/>
                                </w:rPr>
                              </m:ctrlPr>
                            </m:dPr>
                            <m:e>
                              <m:r>
                                <w:rPr>
                                  <w:rFonts w:ascii="Cambria Math" w:hAnsi="Cambria Math"/>
                                </w:rPr>
                                <m:t>t</m:t>
                              </m:r>
                            </m:e>
                          </m:d>
                        </m:den>
                      </m:f>
                    </m:e>
                    <m:e>
                      <m:r>
                        <w:rPr>
                          <w:rFonts w:ascii="Cambria Math" w:hAnsi="Cambria Math"/>
                        </w:rPr>
                        <m:t>,</m:t>
                      </m:r>
                    </m:e>
                  </m:mr>
                </m:m>
              </m:oMath>
            </m:oMathPara>
          </w:p>
        </w:tc>
        <w:tc>
          <w:tcPr>
            <w:tcW w:w="810" w:type="dxa"/>
            <w:vAlign w:val="center"/>
          </w:tcPr>
          <w:p w14:paraId="4E00FA0D" w14:textId="7B817E05" w:rsidR="00DC177E" w:rsidRDefault="00DC177E" w:rsidP="00C9779B">
            <w:pPr>
              <w:pStyle w:val="Newparagraph"/>
              <w:ind w:firstLine="0"/>
              <w:contextualSpacing/>
              <w:jc w:val="center"/>
            </w:pPr>
            <w:bookmarkStart w:id="26" w:name="phi_real_formative"/>
            <w:r>
              <w:t>(</w:t>
            </w:r>
            <w:fldSimple w:instr=" SEQ Eqn \* MERGEFORMAT ">
              <w:r w:rsidR="00AD78C2">
                <w:rPr>
                  <w:noProof/>
                </w:rPr>
                <w:t>30</w:t>
              </w:r>
            </w:fldSimple>
            <w:r>
              <w:t>)</w:t>
            </w:r>
            <w:bookmarkEnd w:id="26"/>
          </w:p>
        </w:tc>
      </w:tr>
    </w:tbl>
    <w:p w14:paraId="21C44D98" w14:textId="77777777" w:rsidR="00DC177E" w:rsidRDefault="00DC177E" w:rsidP="0091027E">
      <w:pPr>
        <w:pStyle w:val="Newparagraph"/>
        <w:ind w:firstLine="0"/>
        <w:jc w:val="both"/>
      </w:pPr>
      <w:r>
        <w:t>and</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05"/>
        <w:gridCol w:w="810"/>
      </w:tblGrid>
      <w:tr w:rsidR="00DC177E" w14:paraId="75DC65F9" w14:textId="77777777" w:rsidTr="00C9779B">
        <w:trPr>
          <w:jc w:val="center"/>
        </w:trPr>
        <w:tc>
          <w:tcPr>
            <w:tcW w:w="7905" w:type="dxa"/>
            <w:vAlign w:val="center"/>
          </w:tcPr>
          <w:p w14:paraId="02E1903F" w14:textId="56B026EF" w:rsidR="00DC177E" w:rsidRDefault="008F6ACD" w:rsidP="00C9779B">
            <w:pPr>
              <w:spacing w:line="360" w:lineRule="auto"/>
              <w:jc w:val="center"/>
            </w:pPr>
            <m:oMathPara>
              <m:oMath>
                <m:m>
                  <m:mPr>
                    <m:mcs>
                      <m:mc>
                        <m:mcPr>
                          <m:count m:val="2"/>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φ</m:t>
                          </m:r>
                        </m:e>
                        <m:sub>
                          <m:r>
                            <w:rPr>
                              <w:rFonts w:ascii="Cambria Math" w:hAnsi="Cambria Math"/>
                            </w:rPr>
                            <m:t>OBS</m:t>
                          </m:r>
                        </m:sub>
                      </m:sSub>
                      <m:r>
                        <m:rPr>
                          <m:sty m:val="p"/>
                        </m:rP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N</m:t>
                              </m:r>
                            </m:e>
                            <m:sub>
                              <m:r>
                                <w:rPr>
                                  <w:rFonts w:ascii="Cambria Math" w:hAnsi="Cambria Math"/>
                                </w:rPr>
                                <m:t>OBS</m:t>
                              </m:r>
                            </m:sub>
                          </m:sSub>
                          <m:d>
                            <m:dPr>
                              <m:ctrlPr>
                                <w:rPr>
                                  <w:rFonts w:ascii="Cambria Math" w:hAnsi="Cambria Math"/>
                                  <w:i/>
                                </w:rPr>
                              </m:ctrlPr>
                            </m:dPr>
                            <m:e>
                              <m:r>
                                <w:rPr>
                                  <w:rFonts w:ascii="Cambria Math" w:hAnsi="Cambria Math"/>
                                </w:rPr>
                                <m:t>t</m:t>
                              </m:r>
                            </m:e>
                          </m:d>
                        </m:den>
                      </m:f>
                    </m:e>
                    <m:e>
                      <m:r>
                        <w:rPr>
                          <w:rFonts w:ascii="Cambria Math" w:hAnsi="Cambria Math"/>
                        </w:rPr>
                        <m:t>,</m:t>
                      </m:r>
                    </m:e>
                  </m:mr>
                </m:m>
              </m:oMath>
            </m:oMathPara>
          </w:p>
        </w:tc>
        <w:tc>
          <w:tcPr>
            <w:tcW w:w="810" w:type="dxa"/>
            <w:vAlign w:val="center"/>
          </w:tcPr>
          <w:p w14:paraId="22677411" w14:textId="0E80E127" w:rsidR="00DC177E" w:rsidRDefault="00DC177E" w:rsidP="00C9779B">
            <w:pPr>
              <w:pStyle w:val="Newparagraph"/>
              <w:ind w:firstLine="0"/>
              <w:contextualSpacing/>
              <w:jc w:val="center"/>
            </w:pPr>
            <w:bookmarkStart w:id="27" w:name="phi_obs_formative"/>
            <w:r>
              <w:t>(</w:t>
            </w:r>
            <w:fldSimple w:instr=" SEQ Eqn \* MERGEFORMAT ">
              <w:r w:rsidR="00AD78C2">
                <w:rPr>
                  <w:noProof/>
                </w:rPr>
                <w:t>31</w:t>
              </w:r>
            </w:fldSimple>
            <w:r>
              <w:t>)</w:t>
            </w:r>
            <w:bookmarkEnd w:id="27"/>
          </w:p>
        </w:tc>
      </w:tr>
    </w:tbl>
    <w:p w14:paraId="23410256" w14:textId="274A4A0C" w:rsidR="00DC177E" w:rsidRDefault="00DC177E" w:rsidP="00D543B9">
      <w:pPr>
        <w:pStyle w:val="Newparagraph"/>
        <w:ind w:firstLine="0"/>
      </w:pPr>
      <w:r>
        <w:t xml:space="preserve">When applying </w:t>
      </w:r>
      <w:r w:rsidR="00D543B9">
        <w:t>equations</w:t>
      </w:r>
      <w:r>
        <w:t xml:space="preserve"> </w:t>
      </w:r>
      <w:r w:rsidR="00D543B9">
        <w:fldChar w:fldCharType="begin"/>
      </w:r>
      <w:r w:rsidR="00D543B9">
        <w:instrText xml:space="preserve"> REF expectedvalueeqtn \h </w:instrText>
      </w:r>
      <w:r w:rsidR="00D543B9">
        <w:fldChar w:fldCharType="separate"/>
      </w:r>
      <w:r w:rsidR="00AD78C2">
        <w:t>(</w:t>
      </w:r>
      <w:r w:rsidR="00AD78C2">
        <w:rPr>
          <w:noProof/>
        </w:rPr>
        <w:t>26</w:t>
      </w:r>
      <w:r w:rsidR="00AD78C2">
        <w:t>)</w:t>
      </w:r>
      <w:r w:rsidR="00D543B9">
        <w:fldChar w:fldCharType="end"/>
      </w:r>
      <w:r w:rsidR="00D543B9">
        <w:t xml:space="preserve"> </w:t>
      </w:r>
      <w:r w:rsidR="00570386">
        <w:t>and (27)</w:t>
      </w:r>
      <w:r w:rsidR="00D543B9">
        <w:t xml:space="preserve"> in the</w:t>
      </w:r>
      <w:r>
        <w:t xml:space="preserve"> formative </w:t>
      </w:r>
      <w:r w:rsidR="00D543B9">
        <w:t>case</w:t>
      </w:r>
      <w:r>
        <w:t xml:space="preserve">, we use normalization constant </w:t>
      </w:r>
      <w:r w:rsidR="008F2D74">
        <w:t xml:space="preserve">equations </w:t>
      </w:r>
      <w:r w:rsidR="008F2D74">
        <w:fldChar w:fldCharType="begin"/>
      </w:r>
      <w:r w:rsidR="008F2D74">
        <w:instrText xml:space="preserve"> REF phi_real_formative \h </w:instrText>
      </w:r>
      <w:r w:rsidR="008F2D74">
        <w:fldChar w:fldCharType="separate"/>
      </w:r>
      <w:r w:rsidR="00AD78C2">
        <w:t>(</w:t>
      </w:r>
      <w:r w:rsidR="00AD78C2">
        <w:rPr>
          <w:noProof/>
        </w:rPr>
        <w:t>30</w:t>
      </w:r>
      <w:r w:rsidR="00AD78C2">
        <w:t>)</w:t>
      </w:r>
      <w:r w:rsidR="008F2D74">
        <w:fldChar w:fldCharType="end"/>
      </w:r>
      <w:r w:rsidR="008F2D74">
        <w:t xml:space="preserve"> or </w:t>
      </w:r>
      <w:r w:rsidR="008F2D74">
        <w:fldChar w:fldCharType="begin"/>
      </w:r>
      <w:r w:rsidR="008F2D74">
        <w:instrText xml:space="preserve"> REF phi_obs_formative \h </w:instrText>
      </w:r>
      <w:r w:rsidR="008F2D74">
        <w:fldChar w:fldCharType="separate"/>
      </w:r>
      <w:r w:rsidR="00AD78C2">
        <w:t>(</w:t>
      </w:r>
      <w:r w:rsidR="00AD78C2">
        <w:rPr>
          <w:noProof/>
        </w:rPr>
        <w:t>31</w:t>
      </w:r>
      <w:r w:rsidR="00AD78C2">
        <w:t>)</w:t>
      </w:r>
      <w:r w:rsidR="008F2D74">
        <w:fldChar w:fldCharType="end"/>
      </w:r>
      <w:r w:rsidR="008F2D74">
        <w:t>.</w:t>
      </w:r>
    </w:p>
    <w:p w14:paraId="6CA95894" w14:textId="1C0C289E" w:rsidR="00DC177E" w:rsidRDefault="00DC177E" w:rsidP="0091027E">
      <w:pPr>
        <w:pStyle w:val="Heading2"/>
        <w:jc w:val="both"/>
      </w:pPr>
      <w:r>
        <w:t>Thermal model</w:t>
      </w:r>
    </w:p>
    <w:p w14:paraId="37B81DBA" w14:textId="77777777" w:rsidR="00DC177E" w:rsidRDefault="00DC177E" w:rsidP="00900417">
      <w:pPr>
        <w:pStyle w:val="Paragraph"/>
      </w:pPr>
      <w:r>
        <w:t xml:space="preserve">The heat equation for a solidification process under diffusive conditions is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05"/>
        <w:gridCol w:w="810"/>
      </w:tblGrid>
      <w:tr w:rsidR="00DC177E" w14:paraId="3953AD08" w14:textId="77777777" w:rsidTr="00C9779B">
        <w:trPr>
          <w:jc w:val="center"/>
        </w:trPr>
        <w:tc>
          <w:tcPr>
            <w:tcW w:w="7905" w:type="dxa"/>
            <w:vAlign w:val="center"/>
          </w:tcPr>
          <w:p w14:paraId="2D593B11" w14:textId="25B03363" w:rsidR="00DC177E" w:rsidRDefault="008F6ACD" w:rsidP="00C9779B">
            <w:pPr>
              <w:spacing w:line="360" w:lineRule="auto"/>
              <w:jc w:val="center"/>
            </w:pPr>
            <m:oMathPara>
              <m:oMath>
                <m:m>
                  <m:mPr>
                    <m:mcs>
                      <m:mc>
                        <m:mcPr>
                          <m:count m:val="2"/>
                          <m:mcJc m:val="center"/>
                        </m:mcPr>
                      </m:mc>
                    </m:mcs>
                    <m:ctrlPr>
                      <w:rPr>
                        <w:rFonts w:ascii="Cambria Math" w:hAnsi="Cambria Math"/>
                        <w:i/>
                      </w:rPr>
                    </m:ctrlPr>
                  </m:mPr>
                  <m:mr>
                    <m:e>
                      <m:f>
                        <m:fPr>
                          <m:ctrlPr>
                            <w:rPr>
                              <w:rFonts w:ascii="Cambria Math" w:hAnsi="Cambria Math"/>
                              <w:i/>
                            </w:rPr>
                          </m:ctrlPr>
                        </m:fPr>
                        <m:num>
                          <m:r>
                            <w:rPr>
                              <w:rFonts w:ascii="Cambria Math" w:hAnsi="Cambria Math"/>
                            </w:rPr>
                            <m:t>∂</m:t>
                          </m:r>
                          <m:d>
                            <m:dPr>
                              <m:ctrlPr>
                                <w:rPr>
                                  <w:rFonts w:ascii="Cambria Math" w:hAnsi="Cambria Math"/>
                                  <w:i/>
                                </w:rPr>
                              </m:ctrlPr>
                            </m:dPr>
                            <m:e>
                              <m:r>
                                <w:rPr>
                                  <w:rFonts w:ascii="Cambria Math" w:hAnsi="Cambria Math"/>
                                </w:rPr>
                                <m:t>ρ</m:t>
                              </m:r>
                              <m:sSub>
                                <m:sSubPr>
                                  <m:ctrlPr>
                                    <w:rPr>
                                      <w:rFonts w:ascii="Cambria Math" w:hAnsi="Cambria Math"/>
                                      <w:i/>
                                    </w:rPr>
                                  </m:ctrlPr>
                                </m:sSubPr>
                                <m:e>
                                  <m:r>
                                    <w:rPr>
                                      <w:rFonts w:ascii="Cambria Math" w:hAnsi="Cambria Math"/>
                                    </w:rPr>
                                    <m:t>c</m:t>
                                  </m:r>
                                </m:e>
                                <m:sub>
                                  <m:r>
                                    <w:rPr>
                                      <w:rFonts w:ascii="Cambria Math" w:hAnsi="Cambria Math"/>
                                    </w:rPr>
                                    <m:t>p</m:t>
                                  </m:r>
                                </m:sub>
                              </m:sSub>
                              <m:r>
                                <w:rPr>
                                  <w:rFonts w:ascii="Cambria Math" w:hAnsi="Cambria Math"/>
                                </w:rPr>
                                <m:t>T</m:t>
                              </m:r>
                            </m:e>
                          </m:d>
                        </m:num>
                        <m:den>
                          <m:r>
                            <w:rPr>
                              <w:rFonts w:ascii="Cambria Math" w:hAnsi="Cambria Math"/>
                            </w:rPr>
                            <m:t>∂t</m:t>
                          </m:r>
                        </m:den>
                      </m:f>
                      <m:r>
                        <m:rPr>
                          <m:sty m:val="p"/>
                        </m:rPr>
                        <w:rPr>
                          <w:rFonts w:ascii="Cambria Math" w:hAnsi="Cambria Math"/>
                        </w:rPr>
                        <m:t>=∇</m:t>
                      </m:r>
                      <m:r>
                        <w:rPr>
                          <w:rFonts w:ascii="Cambria Math" w:hAnsi="Cambria Math"/>
                        </w:rPr>
                        <m:t>∙</m:t>
                      </m:r>
                      <m:d>
                        <m:dPr>
                          <m:ctrlPr>
                            <w:rPr>
                              <w:rFonts w:ascii="Cambria Math" w:hAnsi="Cambria Math"/>
                              <w:i/>
                            </w:rPr>
                          </m:ctrlPr>
                        </m:dPr>
                        <m:e>
                          <m:r>
                            <w:rPr>
                              <w:rFonts w:ascii="Cambria Math" w:hAnsi="Cambria Math"/>
                            </w:rPr>
                            <m:t>k</m:t>
                          </m:r>
                          <m:r>
                            <m:rPr>
                              <m:sty m:val="p"/>
                            </m:rPr>
                            <w:rPr>
                              <w:rFonts w:ascii="Cambria Math" w:hAnsi="Cambria Math"/>
                            </w:rPr>
                            <m:t>∇</m:t>
                          </m:r>
                          <m:r>
                            <w:rPr>
                              <w:rFonts w:ascii="Cambria Math" w:hAnsi="Cambria Math"/>
                            </w:rPr>
                            <m:t>T</m:t>
                          </m:r>
                        </m:e>
                      </m:d>
                      <m:r>
                        <w:rPr>
                          <w:rFonts w:ascii="Cambria Math" w:hAnsi="Cambria Math"/>
                        </w:rPr>
                        <m:t>+ρL</m:t>
                      </m:r>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s</m:t>
                              </m:r>
                            </m:sub>
                          </m:sSub>
                        </m:num>
                        <m:den>
                          <m:r>
                            <w:rPr>
                              <w:rFonts w:ascii="Cambria Math" w:hAnsi="Cambria Math"/>
                            </w:rPr>
                            <m:t>∂t</m:t>
                          </m:r>
                        </m:den>
                      </m:f>
                    </m:e>
                    <m:e>
                      <m:r>
                        <w:rPr>
                          <w:rFonts w:ascii="Cambria Math" w:hAnsi="Cambria Math"/>
                        </w:rPr>
                        <m:t>,</m:t>
                      </m:r>
                    </m:e>
                  </m:mr>
                </m:m>
              </m:oMath>
            </m:oMathPara>
          </w:p>
        </w:tc>
        <w:tc>
          <w:tcPr>
            <w:tcW w:w="810" w:type="dxa"/>
            <w:vAlign w:val="center"/>
          </w:tcPr>
          <w:p w14:paraId="533BD47D" w14:textId="572E80BB" w:rsidR="00DC177E" w:rsidRDefault="00DC177E" w:rsidP="00C9779B">
            <w:pPr>
              <w:pStyle w:val="Newparagraph"/>
              <w:ind w:firstLine="0"/>
              <w:contextualSpacing/>
              <w:jc w:val="center"/>
            </w:pPr>
            <w:bookmarkStart w:id="28" w:name="heat_equation"/>
            <w:r>
              <w:t>(</w:t>
            </w:r>
            <w:fldSimple w:instr=" SEQ Eqn \* MERGEFORMAT ">
              <w:r w:rsidR="00AD78C2">
                <w:rPr>
                  <w:noProof/>
                </w:rPr>
                <w:t>32</w:t>
              </w:r>
            </w:fldSimple>
            <w:r>
              <w:t>)</w:t>
            </w:r>
            <w:bookmarkEnd w:id="28"/>
          </w:p>
        </w:tc>
      </w:tr>
    </w:tbl>
    <w:p w14:paraId="5A21DBC7" w14:textId="1E1DADDB" w:rsidR="00DC177E" w:rsidRDefault="00900417" w:rsidP="00900417">
      <w:pPr>
        <w:pStyle w:val="Newparagraph"/>
        <w:ind w:firstLine="0"/>
      </w:pPr>
      <w:r>
        <w:t>where,</w:t>
      </w:r>
      <w:r w:rsidR="00DC177E">
        <w:t xml:space="preserve"> </w:t>
      </w:r>
      <w:r w:rsidR="00DC177E" w:rsidRPr="00677911">
        <w:rPr>
          <w:rFonts w:ascii="Symbol" w:hAnsi="Symbol"/>
          <w:i/>
        </w:rPr>
        <w:t></w:t>
      </w:r>
      <w:r w:rsidR="00DC177E">
        <w:t xml:space="preserve"> is density, </w:t>
      </w:r>
      <w:r w:rsidR="00DC177E">
        <w:rPr>
          <w:i/>
        </w:rPr>
        <w:t>c</w:t>
      </w:r>
      <w:r w:rsidR="00DC177E" w:rsidRPr="00677911">
        <w:rPr>
          <w:i/>
          <w:vertAlign w:val="subscript"/>
        </w:rPr>
        <w:t>p</w:t>
      </w:r>
      <w:r w:rsidR="00DC177E">
        <w:t xml:space="preserve"> is the specific heat capacity, </w:t>
      </w:r>
      <w:r w:rsidR="00DC177E" w:rsidRPr="00677911">
        <w:rPr>
          <w:i/>
        </w:rPr>
        <w:t>k</w:t>
      </w:r>
      <w:r w:rsidR="00DC177E">
        <w:t xml:space="preserve"> is the thermal conductivity, </w:t>
      </w:r>
      <w:r w:rsidR="00DC177E" w:rsidRPr="00677911">
        <w:rPr>
          <w:i/>
        </w:rPr>
        <w:t>L</w:t>
      </w:r>
      <w:r w:rsidR="00DC177E">
        <w:t xml:space="preserve"> is the latent heat of fusion per unit mass, and </w:t>
      </w:r>
      <w:r w:rsidR="00DC177E" w:rsidRPr="00677911">
        <w:rPr>
          <w:i/>
        </w:rPr>
        <w:t>f</w:t>
      </w:r>
      <w:r w:rsidR="00DC177E" w:rsidRPr="00677911">
        <w:rPr>
          <w:i/>
          <w:vertAlign w:val="subscript"/>
        </w:rPr>
        <w:t>s</w:t>
      </w:r>
      <w:r w:rsidR="00DC177E">
        <w:t xml:space="preserve"> is the solid fraction. </w:t>
      </w:r>
    </w:p>
    <w:p w14:paraId="5FF95342" w14:textId="37DC68BB" w:rsidR="00DC177E" w:rsidRDefault="00900417" w:rsidP="00900417">
      <w:pPr>
        <w:pStyle w:val="Newparagraph"/>
        <w:keepNext/>
        <w:jc w:val="center"/>
      </w:pPr>
      <w:r>
        <w:rPr>
          <w:noProof/>
        </w:rPr>
        <w:drawing>
          <wp:inline distT="0" distB="0" distL="0" distR="0" wp14:anchorId="1DAAAF7E" wp14:editId="17479AAD">
            <wp:extent cx="2160000" cy="1166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e4_Mush-03.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60000" cy="1166400"/>
                    </a:xfrm>
                    <a:prstGeom prst="rect">
                      <a:avLst/>
                    </a:prstGeom>
                  </pic:spPr>
                </pic:pic>
              </a:graphicData>
            </a:graphic>
          </wp:inline>
        </w:drawing>
      </w:r>
    </w:p>
    <w:p w14:paraId="7AFBEF61" w14:textId="6BBB5638" w:rsidR="00DC177E" w:rsidRPr="00FA1D4C" w:rsidRDefault="00DC177E" w:rsidP="00900417">
      <w:pPr>
        <w:pStyle w:val="Caption"/>
        <w:jc w:val="center"/>
      </w:pPr>
      <w:bookmarkStart w:id="29" w:name="_Ref496276345"/>
      <w:r w:rsidRPr="00FA1D4C">
        <w:t xml:space="preserve">Figure </w:t>
      </w:r>
      <w:r w:rsidR="00AD5590">
        <w:fldChar w:fldCharType="begin"/>
      </w:r>
      <w:r w:rsidR="00AD5590">
        <w:instrText xml:space="preserve"> SEQ Figure \* ARABIC </w:instrText>
      </w:r>
      <w:r w:rsidR="00AD5590">
        <w:fldChar w:fldCharType="separate"/>
      </w:r>
      <w:r w:rsidR="002637FB">
        <w:rPr>
          <w:noProof/>
        </w:rPr>
        <w:t>4</w:t>
      </w:r>
      <w:r w:rsidR="00AD5590">
        <w:rPr>
          <w:noProof/>
        </w:rPr>
        <w:fldChar w:fldCharType="end"/>
      </w:r>
      <w:bookmarkEnd w:id="29"/>
      <w:r w:rsidRPr="00FA1D4C">
        <w:t>: Equiaxed mushy envelope growing within a control volume</w:t>
      </w:r>
      <w:r w:rsidR="00024A8E">
        <w:t xml:space="preserve"> </w:t>
      </w:r>
      <w:r w:rsidR="006C6552">
        <w:t>V</w:t>
      </w:r>
      <w:r w:rsidR="00024A8E" w:rsidRPr="00157872">
        <w:rPr>
          <w:vertAlign w:val="subscript"/>
        </w:rPr>
        <w:t>CV</w:t>
      </w:r>
      <w:r w:rsidRPr="00FA1D4C">
        <w:t>.</w:t>
      </w:r>
    </w:p>
    <w:p w14:paraId="6740D4A1" w14:textId="0AD3D48F" w:rsidR="00DC177E" w:rsidRDefault="00DC177E" w:rsidP="00353315">
      <w:pPr>
        <w:pStyle w:val="Newparagraph"/>
        <w:ind w:firstLine="0"/>
      </w:pPr>
      <w:r>
        <w:t xml:space="preserve">In a CV formulation the </w:t>
      </w:r>
      <w:r w:rsidRPr="009524C6">
        <w:t xml:space="preserve">solid fraction </w:t>
      </w:r>
      <w:r w:rsidR="00353315">
        <w:t>is</w:t>
      </w:r>
      <m:oMath>
        <m:r>
          <w:rPr>
            <w:rFonts w:ascii="Cambria Math" w:hAnsi="Cambria Math"/>
          </w:rPr>
          <m:t xml:space="preserve"> </m:t>
        </m:r>
        <m:sSub>
          <m:sSubPr>
            <m:ctrlPr>
              <w:rPr>
                <w:rFonts w:ascii="Cambria Math" w:hAnsi="Cambria Math"/>
              </w:rPr>
            </m:ctrlPr>
          </m:sSubPr>
          <m:e>
            <m:sSub>
              <m:sSubPr>
                <m:ctrlPr>
                  <w:rPr>
                    <w:rFonts w:ascii="Cambria Math" w:hAnsi="Cambria Math"/>
                    <w:i/>
                  </w:rPr>
                </m:ctrlPr>
              </m:sSubPr>
              <m:e>
                <m:r>
                  <w:rPr>
                    <w:rFonts w:ascii="Cambria Math" w:hAnsi="Cambria Math"/>
                  </w:rPr>
                  <m:t>f</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s</m:t>
                </m:r>
              </m:sub>
            </m:sSub>
            <m:r>
              <w:rPr>
                <w:rFonts w:ascii="Cambria Math" w:hAnsi="Cambria Math"/>
              </w:rPr>
              <m:t>ζ</m:t>
            </m:r>
          </m:e>
          <m:sub>
            <m:r>
              <w:rPr>
                <w:rFonts w:ascii="Cambria Math" w:hAnsi="Cambria Math"/>
              </w:rPr>
              <m:t>V</m:t>
            </m:r>
          </m:sub>
        </m:sSub>
      </m:oMath>
      <w:r>
        <w:t xml:space="preserve">, where </w:t>
      </w:r>
      <m:oMath>
        <m:sSub>
          <m:sSubPr>
            <m:ctrlPr>
              <w:rPr>
                <w:rFonts w:ascii="Cambria Math" w:hAnsi="Cambria Math"/>
                <w:i/>
              </w:rPr>
            </m:ctrlPr>
          </m:sSubPr>
          <m:e>
            <m:r>
              <w:rPr>
                <w:rFonts w:ascii="Cambria Math" w:hAnsi="Cambria Math"/>
              </w:rPr>
              <m:t>g</m:t>
            </m:r>
          </m:e>
          <m:sub>
            <m:r>
              <w:rPr>
                <w:rFonts w:ascii="Cambria Math" w:hAnsi="Cambria Math"/>
              </w:rPr>
              <m:t>s</m:t>
            </m:r>
          </m:sub>
        </m:sSub>
      </m:oMath>
      <w:r w:rsidR="00807452">
        <w:t xml:space="preserve"> </w:t>
      </w:r>
      <w:r w:rsidR="009715A5">
        <w:t>i</w:t>
      </w:r>
      <w:r>
        <w:t xml:space="preserve">s </w:t>
      </w:r>
      <w:r w:rsidR="00353315">
        <w:t xml:space="preserve">the </w:t>
      </w:r>
      <w:r>
        <w:t xml:space="preserve">local solid fraction within the mush. </w:t>
      </w:r>
      <w:r w:rsidR="00353315">
        <w:fldChar w:fldCharType="begin"/>
      </w:r>
      <w:r w:rsidR="00353315">
        <w:instrText xml:space="preserve"> REF _Ref496276345 \h  \* MERGEFORMAT </w:instrText>
      </w:r>
      <w:r w:rsidR="00353315">
        <w:fldChar w:fldCharType="separate"/>
      </w:r>
      <w:r w:rsidR="002637FB" w:rsidRPr="00FA1D4C">
        <w:t xml:space="preserve">Figure </w:t>
      </w:r>
      <w:r w:rsidR="002637FB">
        <w:rPr>
          <w:noProof/>
        </w:rPr>
        <w:t>4</w:t>
      </w:r>
      <w:r w:rsidR="00353315">
        <w:fldChar w:fldCharType="end"/>
      </w:r>
      <w:r w:rsidR="00353315">
        <w:t xml:space="preserve"> </w:t>
      </w:r>
      <w:r>
        <w:t>shows the scenario for a single equiaxed e</w:t>
      </w:r>
      <w:r w:rsidR="00353315">
        <w:t xml:space="preserve">nvelope within a control volume where </w:t>
      </w:r>
      <m:oMath>
        <m:sSub>
          <m:sSubPr>
            <m:ctrlPr>
              <w:rPr>
                <w:rFonts w:ascii="Cambria Math" w:hAnsi="Cambria Math"/>
                <w:i/>
              </w:rPr>
            </m:ctrlPr>
          </m:sSubPr>
          <m:e>
            <m:r>
              <w:rPr>
                <w:rFonts w:ascii="Cambria Math" w:hAnsi="Cambria Math"/>
              </w:rPr>
              <m:t>g</m:t>
            </m:r>
          </m:e>
          <m:sub>
            <m:r>
              <w:rPr>
                <w:rFonts w:ascii="Cambria Math" w:hAnsi="Cambria Math"/>
              </w:rPr>
              <m:t>s</m:t>
            </m:r>
          </m:sub>
        </m:sSub>
        <m:r>
          <w:rPr>
            <w:rFonts w:ascii="Cambria Math" w:hAnsi="Cambria Math"/>
          </w:rPr>
          <m:t>=</m:t>
        </m:r>
        <m:f>
          <m:fPr>
            <m:type m:val="lin"/>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s</m:t>
                </m:r>
              </m:sub>
            </m:sSub>
          </m:num>
          <m:den>
            <m:sSub>
              <m:sSubPr>
                <m:ctrlPr>
                  <w:rPr>
                    <w:rFonts w:ascii="Cambria Math" w:hAnsi="Cambria Math"/>
                    <w:i/>
                  </w:rPr>
                </m:ctrlPr>
              </m:sSubPr>
              <m:e>
                <m:r>
                  <w:rPr>
                    <w:rFonts w:ascii="Cambria Math" w:hAnsi="Cambria Math"/>
                  </w:rPr>
                  <m:t>V</m:t>
                </m:r>
              </m:e>
              <m:sub>
                <m:r>
                  <w:rPr>
                    <w:rFonts w:ascii="Cambria Math" w:hAnsi="Cambria Math"/>
                  </w:rPr>
                  <m:t>m</m:t>
                </m:r>
              </m:sub>
            </m:sSub>
          </m:den>
        </m:f>
      </m:oMath>
      <w:r>
        <w:t xml:space="preserve"> and </w:t>
      </w:r>
      <w:r w:rsidR="00353315">
        <w:t xml:space="preserve">the </w:t>
      </w:r>
      <w:r>
        <w:t>volumetric fraction of mush</w:t>
      </w:r>
      <w:r w:rsidR="00353315">
        <w:t xml:space="preserve"> is, </w:t>
      </w:r>
      <m:oMath>
        <m:sSub>
          <m:sSubPr>
            <m:ctrlPr>
              <w:rPr>
                <w:rFonts w:ascii="Cambria Math" w:hAnsi="Cambria Math"/>
              </w:rPr>
            </m:ctrlPr>
          </m:sSubPr>
          <m:e>
            <m:r>
              <w:rPr>
                <w:rFonts w:ascii="Cambria Math" w:hAnsi="Cambria Math"/>
              </w:rPr>
              <m:t>ζ</m:t>
            </m:r>
          </m:e>
          <m:sub>
            <m:r>
              <w:rPr>
                <w:rFonts w:ascii="Cambria Math" w:hAnsi="Cambria Math"/>
              </w:rPr>
              <m:t>V</m:t>
            </m:r>
          </m:sub>
        </m:sSub>
        <m:r>
          <w:rPr>
            <w:rFonts w:ascii="Cambria Math" w:hAnsi="Cambria Math"/>
          </w:rPr>
          <m:t>=</m:t>
        </m:r>
        <m:f>
          <m:fPr>
            <m:type m:val="lin"/>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m</m:t>
                </m:r>
              </m:sub>
            </m:sSub>
          </m:num>
          <m:den>
            <m:sSub>
              <m:sSubPr>
                <m:ctrlPr>
                  <w:rPr>
                    <w:rFonts w:ascii="Cambria Math" w:hAnsi="Cambria Math"/>
                    <w:i/>
                  </w:rPr>
                </m:ctrlPr>
              </m:sSubPr>
              <m:e>
                <m:r>
                  <w:rPr>
                    <w:rFonts w:ascii="Cambria Math" w:hAnsi="Cambria Math"/>
                  </w:rPr>
                  <m:t>V</m:t>
                </m:r>
              </m:e>
              <m:sub>
                <m:r>
                  <w:rPr>
                    <w:rFonts w:ascii="Cambria Math" w:hAnsi="Cambria Math"/>
                  </w:rPr>
                  <m:t>CV</m:t>
                </m:r>
              </m:sub>
            </m:sSub>
          </m:den>
        </m:f>
      </m:oMath>
      <w:r w:rsidR="00353315">
        <w:t>.</w:t>
      </w:r>
      <w:r>
        <w:t xml:space="preserve"> </w:t>
      </w:r>
      <m:oMath>
        <m:sSub>
          <m:sSubPr>
            <m:ctrlPr>
              <w:rPr>
                <w:rFonts w:ascii="Cambria Math" w:hAnsi="Cambria Math"/>
                <w:i/>
              </w:rPr>
            </m:ctrlPr>
          </m:sSubPr>
          <m:e>
            <m:r>
              <w:rPr>
                <w:rFonts w:ascii="Cambria Math" w:hAnsi="Cambria Math"/>
              </w:rPr>
              <m:t>V</m:t>
            </m:r>
          </m:e>
          <m:sub>
            <m:r>
              <w:rPr>
                <w:rFonts w:ascii="Cambria Math" w:hAnsi="Cambria Math"/>
              </w:rPr>
              <m:t>s</m:t>
            </m:r>
          </m:sub>
        </m:sSub>
      </m:oMath>
      <w:r>
        <w:t xml:space="preserve"> is the volume of solid formed within the mushy volume</w:t>
      </w:r>
      <w:r w:rsidR="00807452">
        <w:t xml:space="preserve"> </w:t>
      </w:r>
      <m:oMath>
        <m:sSub>
          <m:sSubPr>
            <m:ctrlPr>
              <w:rPr>
                <w:rFonts w:ascii="Cambria Math" w:hAnsi="Cambria Math"/>
                <w:i/>
              </w:rPr>
            </m:ctrlPr>
          </m:sSubPr>
          <m:e>
            <m:r>
              <w:rPr>
                <w:rFonts w:ascii="Cambria Math" w:hAnsi="Cambria Math"/>
              </w:rPr>
              <m:t>V</m:t>
            </m:r>
          </m:e>
          <m:sub>
            <m:r>
              <w:rPr>
                <w:rFonts w:ascii="Cambria Math" w:hAnsi="Cambria Math"/>
              </w:rPr>
              <m:t>m</m:t>
            </m:r>
          </m:sub>
        </m:sSub>
      </m:oMath>
      <w:r>
        <w:t xml:space="preserve">, and </w:t>
      </w:r>
      <m:oMath>
        <m:sSub>
          <m:sSubPr>
            <m:ctrlPr>
              <w:rPr>
                <w:rFonts w:ascii="Cambria Math" w:hAnsi="Cambria Math"/>
                <w:i/>
              </w:rPr>
            </m:ctrlPr>
          </m:sSubPr>
          <m:e>
            <m:r>
              <w:rPr>
                <w:rFonts w:ascii="Cambria Math" w:hAnsi="Cambria Math"/>
              </w:rPr>
              <m:t>V</m:t>
            </m:r>
          </m:e>
          <m:sub>
            <m:r>
              <w:rPr>
                <w:rFonts w:ascii="Cambria Math" w:hAnsi="Cambria Math"/>
              </w:rPr>
              <m:t xml:space="preserve">CV </m:t>
            </m:r>
          </m:sub>
        </m:sSub>
      </m:oMath>
      <w:r>
        <w:t xml:space="preserve">is the volume of the </w:t>
      </w:r>
      <w:r w:rsidR="00570386">
        <w:t>Control Volume (</w:t>
      </w:r>
      <w:r>
        <w:t>CV</w:t>
      </w:r>
      <w:r w:rsidR="00570386">
        <w:t>)</w:t>
      </w:r>
      <w:r w:rsidR="00024A8E">
        <w:t xml:space="preserve"> and </w:t>
      </w:r>
      <m:oMath>
        <m:sSub>
          <m:sSubPr>
            <m:ctrlPr>
              <w:rPr>
                <w:rFonts w:ascii="Cambria Math" w:hAnsi="Cambria Math"/>
                <w:i/>
              </w:rPr>
            </m:ctrlPr>
          </m:sSubPr>
          <m:e>
            <m:r>
              <w:rPr>
                <w:rFonts w:ascii="Cambria Math" w:hAnsi="Cambria Math"/>
              </w:rPr>
              <m:t>v</m:t>
            </m:r>
          </m:e>
          <m:sub>
            <m:r>
              <w:rPr>
                <w:rFonts w:ascii="Cambria Math" w:hAnsi="Cambria Math"/>
              </w:rPr>
              <m:t>t</m:t>
            </m:r>
          </m:sub>
        </m:sSub>
      </m:oMath>
      <w:r w:rsidR="00024A8E">
        <w:t xml:space="preserve"> is the equiaxed tip velocity</w:t>
      </w:r>
      <w:r>
        <w:t>.</w:t>
      </w:r>
      <w:r w:rsidRPr="003B7272">
        <w:t xml:space="preserve"> </w:t>
      </w:r>
      <w:r>
        <w:t xml:space="preserve">The concept extends to multiple envelopes within a </w:t>
      </w:r>
      <w:r w:rsidR="00353315">
        <w:t>CV</w:t>
      </w:r>
      <w:r>
        <w:t xml:space="preserve">. Substituting and expanding the latent heat term in </w:t>
      </w:r>
      <w:r w:rsidR="00353315">
        <w:t xml:space="preserve">equation </w:t>
      </w:r>
      <w:r w:rsidR="00353315">
        <w:fldChar w:fldCharType="begin"/>
      </w:r>
      <w:r w:rsidR="00353315">
        <w:instrText xml:space="preserve"> REF heat_equation \h </w:instrText>
      </w:r>
      <w:r w:rsidR="00353315">
        <w:fldChar w:fldCharType="separate"/>
      </w:r>
      <w:r w:rsidR="00AD78C2">
        <w:t>(</w:t>
      </w:r>
      <w:r w:rsidR="00AD78C2">
        <w:rPr>
          <w:noProof/>
        </w:rPr>
        <w:t>32</w:t>
      </w:r>
      <w:r w:rsidR="00AD78C2">
        <w:t>)</w:t>
      </w:r>
      <w:r w:rsidR="00353315">
        <w:fldChar w:fldCharType="end"/>
      </w:r>
      <w:r>
        <w:t xml:space="preserve"> gives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05"/>
        <w:gridCol w:w="810"/>
      </w:tblGrid>
      <w:tr w:rsidR="00DC177E" w14:paraId="2F457081" w14:textId="77777777" w:rsidTr="00C9779B">
        <w:trPr>
          <w:jc w:val="center"/>
        </w:trPr>
        <w:tc>
          <w:tcPr>
            <w:tcW w:w="7905" w:type="dxa"/>
            <w:vAlign w:val="center"/>
          </w:tcPr>
          <w:p w14:paraId="3D2A0825" w14:textId="246F14A0" w:rsidR="00DC177E" w:rsidRDefault="008F6ACD" w:rsidP="00C9779B">
            <w:pPr>
              <w:spacing w:line="360" w:lineRule="auto"/>
              <w:jc w:val="center"/>
            </w:pPr>
            <m:oMathPara>
              <m:oMath>
                <m:m>
                  <m:mPr>
                    <m:mcs>
                      <m:mc>
                        <m:mcPr>
                          <m:count m:val="2"/>
                          <m:mcJc m:val="center"/>
                        </m:mcPr>
                      </m:mc>
                    </m:mcs>
                    <m:ctrlPr>
                      <w:rPr>
                        <w:rFonts w:ascii="Cambria Math" w:hAnsi="Cambria Math"/>
                        <w:i/>
                      </w:rPr>
                    </m:ctrlPr>
                  </m:mPr>
                  <m:mr>
                    <m:e>
                      <m:f>
                        <m:fPr>
                          <m:ctrlPr>
                            <w:rPr>
                              <w:rFonts w:ascii="Cambria Math" w:hAnsi="Cambria Math"/>
                              <w:i/>
                            </w:rPr>
                          </m:ctrlPr>
                        </m:fPr>
                        <m:num>
                          <m:r>
                            <w:rPr>
                              <w:rFonts w:ascii="Cambria Math" w:hAnsi="Cambria Math"/>
                            </w:rPr>
                            <m:t>∂</m:t>
                          </m:r>
                          <m:d>
                            <m:dPr>
                              <m:ctrlPr>
                                <w:rPr>
                                  <w:rFonts w:ascii="Cambria Math" w:hAnsi="Cambria Math"/>
                                  <w:i/>
                                </w:rPr>
                              </m:ctrlPr>
                            </m:dPr>
                            <m:e>
                              <m:r>
                                <w:rPr>
                                  <w:rFonts w:ascii="Cambria Math" w:hAnsi="Cambria Math"/>
                                </w:rPr>
                                <m:t>ρ</m:t>
                              </m:r>
                              <m:sSub>
                                <m:sSubPr>
                                  <m:ctrlPr>
                                    <w:rPr>
                                      <w:rFonts w:ascii="Cambria Math" w:hAnsi="Cambria Math"/>
                                      <w:i/>
                                    </w:rPr>
                                  </m:ctrlPr>
                                </m:sSubPr>
                                <m:e>
                                  <m:r>
                                    <w:rPr>
                                      <w:rFonts w:ascii="Cambria Math" w:hAnsi="Cambria Math"/>
                                    </w:rPr>
                                    <m:t>c</m:t>
                                  </m:r>
                                </m:e>
                                <m:sub>
                                  <m:r>
                                    <w:rPr>
                                      <w:rFonts w:ascii="Cambria Math" w:hAnsi="Cambria Math"/>
                                    </w:rPr>
                                    <m:t>p</m:t>
                                  </m:r>
                                </m:sub>
                              </m:sSub>
                              <m:r>
                                <w:rPr>
                                  <w:rFonts w:ascii="Cambria Math" w:hAnsi="Cambria Math"/>
                                </w:rPr>
                                <m:t>T</m:t>
                              </m:r>
                            </m:e>
                          </m:d>
                        </m:num>
                        <m:den>
                          <m:r>
                            <w:rPr>
                              <w:rFonts w:ascii="Cambria Math" w:hAnsi="Cambria Math"/>
                            </w:rPr>
                            <m:t>∂t</m:t>
                          </m:r>
                        </m:den>
                      </m:f>
                      <m:r>
                        <m:rPr>
                          <m:sty m:val="p"/>
                        </m:rPr>
                        <w:rPr>
                          <w:rFonts w:ascii="Cambria Math" w:hAnsi="Cambria Math"/>
                        </w:rPr>
                        <m:t>=∇</m:t>
                      </m:r>
                      <m:r>
                        <w:rPr>
                          <w:rFonts w:ascii="Cambria Math" w:hAnsi="Cambria Math"/>
                        </w:rPr>
                        <m:t>∙</m:t>
                      </m:r>
                      <m:d>
                        <m:dPr>
                          <m:ctrlPr>
                            <w:rPr>
                              <w:rFonts w:ascii="Cambria Math" w:hAnsi="Cambria Math"/>
                              <w:i/>
                            </w:rPr>
                          </m:ctrlPr>
                        </m:dPr>
                        <m:e>
                          <m:r>
                            <w:rPr>
                              <w:rFonts w:ascii="Cambria Math" w:hAnsi="Cambria Math"/>
                            </w:rPr>
                            <m:t>k</m:t>
                          </m:r>
                          <m:r>
                            <m:rPr>
                              <m:sty m:val="p"/>
                            </m:rPr>
                            <w:rPr>
                              <w:rFonts w:ascii="Cambria Math" w:hAnsi="Cambria Math"/>
                            </w:rPr>
                            <m:t>∇</m:t>
                          </m:r>
                          <m:r>
                            <w:rPr>
                              <w:rFonts w:ascii="Cambria Math" w:hAnsi="Cambria Math"/>
                            </w:rPr>
                            <m:t>T</m:t>
                          </m:r>
                        </m:e>
                      </m:d>
                      <m:r>
                        <w:rPr>
                          <w:rFonts w:ascii="Cambria Math" w:hAnsi="Cambria Math"/>
                        </w:rPr>
                        <m:t>+ρL</m:t>
                      </m:r>
                      <m:sSub>
                        <m:sSubPr>
                          <m:ctrlPr>
                            <w:rPr>
                              <w:rFonts w:ascii="Cambria Math" w:hAnsi="Cambria Math"/>
                              <w:i/>
                            </w:rPr>
                          </m:ctrlPr>
                        </m:sSubPr>
                        <m:e>
                          <m:r>
                            <w:rPr>
                              <w:rFonts w:ascii="Cambria Math" w:hAnsi="Cambria Math"/>
                            </w:rPr>
                            <m:t>ζ</m:t>
                          </m:r>
                        </m:e>
                        <m:sub>
                          <m:r>
                            <w:rPr>
                              <w:rFonts w:ascii="Cambria Math" w:hAnsi="Cambria Math"/>
                            </w:rPr>
                            <m:t>V</m:t>
                          </m:r>
                        </m:sub>
                      </m:sSub>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s</m:t>
                              </m:r>
                            </m:sub>
                          </m:sSub>
                        </m:num>
                        <m:den>
                          <m:r>
                            <w:rPr>
                              <w:rFonts w:ascii="Cambria Math" w:hAnsi="Cambria Math"/>
                            </w:rPr>
                            <m:t>∂t</m:t>
                          </m:r>
                        </m:den>
                      </m:f>
                      <m:r>
                        <w:rPr>
                          <w:rFonts w:ascii="Cambria Math" w:hAnsi="Cambria Math"/>
                        </w:rPr>
                        <m:t>+ρL</m:t>
                      </m:r>
                      <m:sSub>
                        <m:sSubPr>
                          <m:ctrlPr>
                            <w:rPr>
                              <w:rFonts w:ascii="Cambria Math" w:hAnsi="Cambria Math"/>
                              <w:i/>
                            </w:rPr>
                          </m:ctrlPr>
                        </m:sSubPr>
                        <m:e>
                          <m:r>
                            <w:rPr>
                              <w:rFonts w:ascii="Cambria Math" w:hAnsi="Cambria Math"/>
                            </w:rPr>
                            <m:t>g</m:t>
                          </m:r>
                        </m:e>
                        <m:sub>
                          <m:r>
                            <w:rPr>
                              <w:rFonts w:ascii="Cambria Math" w:hAnsi="Cambria Math"/>
                            </w:rPr>
                            <m:t>s</m:t>
                          </m:r>
                        </m:sub>
                      </m:sSub>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ζ</m:t>
                              </m:r>
                            </m:e>
                            <m:sub>
                              <m:r>
                                <w:rPr>
                                  <w:rFonts w:ascii="Cambria Math" w:hAnsi="Cambria Math"/>
                                </w:rPr>
                                <m:t>V</m:t>
                              </m:r>
                            </m:sub>
                          </m:sSub>
                        </m:num>
                        <m:den>
                          <m:r>
                            <w:rPr>
                              <w:rFonts w:ascii="Cambria Math" w:hAnsi="Cambria Math"/>
                            </w:rPr>
                            <m:t>∂t</m:t>
                          </m:r>
                        </m:den>
                      </m:f>
                    </m:e>
                    <m:e>
                      <m:r>
                        <w:rPr>
                          <w:rFonts w:ascii="Cambria Math" w:hAnsi="Cambria Math"/>
                        </w:rPr>
                        <m:t>.</m:t>
                      </m:r>
                    </m:e>
                  </m:mr>
                </m:m>
              </m:oMath>
            </m:oMathPara>
          </w:p>
        </w:tc>
        <w:tc>
          <w:tcPr>
            <w:tcW w:w="810" w:type="dxa"/>
            <w:vAlign w:val="center"/>
          </w:tcPr>
          <w:p w14:paraId="10873D40" w14:textId="20386F60" w:rsidR="00DC177E" w:rsidRDefault="00DC177E" w:rsidP="00C9779B">
            <w:pPr>
              <w:pStyle w:val="Newparagraph"/>
              <w:ind w:firstLine="0"/>
              <w:contextualSpacing/>
              <w:jc w:val="center"/>
            </w:pPr>
            <w:bookmarkStart w:id="30" w:name="heat_equation_expanded"/>
            <w:r>
              <w:t>(</w:t>
            </w:r>
            <w:fldSimple w:instr=" SEQ Eqn \* MERGEFORMAT ">
              <w:r w:rsidR="00AD78C2">
                <w:rPr>
                  <w:noProof/>
                </w:rPr>
                <w:t>33</w:t>
              </w:r>
            </w:fldSimple>
            <w:r>
              <w:t>)</w:t>
            </w:r>
            <w:bookmarkEnd w:id="30"/>
          </w:p>
        </w:tc>
      </w:tr>
    </w:tbl>
    <w:p w14:paraId="38995666" w14:textId="77777777" w:rsidR="000E13D3" w:rsidRDefault="00DC177E" w:rsidP="000E13D3">
      <w:pPr>
        <w:pStyle w:val="Newparagraph"/>
        <w:ind w:firstLine="0"/>
      </w:pPr>
      <w:r>
        <w:t xml:space="preserve">The second term on the right hand side represents the latent heat due to thickening of the mushy zone, while the last term represents the latent heat due to growth of the mushy volumes in the </w:t>
      </w:r>
      <w:r w:rsidR="000E13D3">
        <w:t>CV</w:t>
      </w:r>
      <w:r>
        <w:t>.</w:t>
      </w:r>
    </w:p>
    <w:p w14:paraId="2DBEF29E" w14:textId="37FF942C" w:rsidR="000114FA" w:rsidRDefault="0013413C" w:rsidP="000E13D3">
      <w:pPr>
        <w:pStyle w:val="Newparagraph"/>
      </w:pPr>
      <w:r>
        <w:lastRenderedPageBreak/>
        <w:t xml:space="preserve">Extensive details of the thermal model and its application for the </w:t>
      </w:r>
      <w:r w:rsidR="00FA48E7">
        <w:t xml:space="preserve">full </w:t>
      </w:r>
      <w:r>
        <w:t xml:space="preserve">thermal characterisation of the MEDI experiment are presented </w:t>
      </w:r>
      <w:r w:rsidR="00FA48E7">
        <w:t xml:space="preserve">by the authors </w:t>
      </w:r>
      <w:r>
        <w:t xml:space="preserve">elsewhere </w:t>
      </w:r>
      <w:r>
        <w:fldChar w:fldCharType="begin" w:fldLock="1"/>
      </w:r>
      <w:r w:rsidR="009049F4">
        <w:instrText>ADDIN CSL_CITATION { "citationItems" : [ { "id" : "ITEM-1", "itemData" : { "DOI" : "10.1016/J.IJTHERMALSCI.2017.11.032", "ISSN" : "1290-0729", "abstract" : "The Multiple Equiaxed Dendrite Interaction (MEDI) experiment was launched on the MASER-13 sounding rocket campaign to investigate polycrystalline equiaxed solidification in the transparent phase change material Neopentylgycol-30wt.%(d)Camphor. This material is of interest as an energy-storage material and as a transparent analogue system of solidification in hypoeutectic metal alloys with a Face Centred Cubic lattice. The liquid sample was cooled under a controlled rate of 0.75\u00a0K/min with sufficient time to allow semi-solid conditions to develop under microgravity conditions with the absence of gravity-driven convection. This manuscript provides details on the experimental apparatus and procedures. In addition, the experimental method has been augmented with a numerical model to assist with the characterisation of the essential thermal aspects of the experiment. The model followed a volume-averaging, continuum approach for mushy-zone development. A fast algorithm for computing non-isothermal crystallisation kinetics was applied to the case of binary alloy solidification. To build confidence, a formal numerical verification procedure was performed. The model converged sufficiently with second order accuracy as expected. Application of the model gave close agreement between experimental thermocouple readings and numerical simulation data with a Root Mean Square of 0.2\u00a0K for the error. A 2D thermal model is sufficient with a suitable heat loss coefficient at the sample-viewing window boundary. Thermal gradients within the sample and along the growth direction were uniform and approximately 0.3\u00a0K/mm. Lateral thermal gradients in the sample ranged from zero at the median plane to 0.3\u00a0K/mm at the boundary with the containing structure. However, temperature variation in the lateral direction was predicted to be less than 0.22\u00a0K.", "author" : [ { "dropping-particle" : "", "family" : "Mooney", "given" : "Robin P.", "non-dropping-particle" : "", "parse-names" : false, "suffix" : "" }, { "dropping-particle" : "", "family" : "Sturz", "given" : "Laszlo", "non-dropping-particle" : "", "parse-names" : false, "suffix" : "" }, { "dropping-particle" : "", "family" : "Zimmermann", "given" : "Gerhard", "non-dropping-particle" : "", "parse-names" : false, "suffix" : "" }, { "dropping-particle" : "", "family" : "McFadden", "given" : "Shaun", "non-dropping-particle" : "", "parse-names" : false, "suffix" : "" } ], "container-title" : "International Journal of Thermal Sciences", "id" : "ITEM-1", "issued" : { "date-parts" : [ [ "2018", "3", "1" ] ] }, "page" : "283-292", "publisher" : "Elsevier Masson", "title" : "Thermal characterisation with modelling for a microgravity experiment into polycrystalline equiaxed dendritic solidification with in-situ observation", "type" : "article-journal", "volume" : "125" }, "uris" : [ "http://www.mendeley.com/documents/?uuid=450b8cb6-8509-330d-8318-bc3d351d5cd4" ] } ], "mendeley" : { "formattedCitation" : "[32]", "plainTextFormattedCitation" : "[32]", "previouslyFormattedCitation" : "[32]" }, "properties" : {  }, "schema" : "https://github.com/citation-style-language/schema/raw/master/csl-citation.json" }</w:instrText>
      </w:r>
      <w:r>
        <w:fldChar w:fldCharType="separate"/>
      </w:r>
      <w:r w:rsidRPr="0013413C">
        <w:rPr>
          <w:noProof/>
        </w:rPr>
        <w:t>[32]</w:t>
      </w:r>
      <w:r>
        <w:fldChar w:fldCharType="end"/>
      </w:r>
      <w:r>
        <w:t xml:space="preserve">. Two established approaches to solid fraction evolution (namely, a Scheil-based approach </w:t>
      </w:r>
      <w:r>
        <w:fldChar w:fldCharType="begin" w:fldLock="1"/>
      </w:r>
      <w:r>
        <w:instrText>ADDIN CSL_CITATION { "citationItems" : [ { "id" : "ITEM-1", "itemData" : { "abstract" : "The solidified grain structure (macrostructure) of castings is predicted by process simulation using a newly extended front-tracking technique which models the growth of solid dendritic fronts through undercooled liquid during metallic alloy solidification. Such fronts are either constrained, as is the case with directed columnar growth from mould walls, or unconstrained, as is the case for multiple equiaxed growth from individual nucleating particles distributed throughout the liquid. Non-linear latent heat evolution is treated by incorporating the Scheil equation. Thermal conductivity changes with the solid fraction. A log-normal distribution of activation undercooling to initiate free growth from equiaxed nuclei is used, and the routines to deal with such growth followed by impingement of dendritic grains upon one another are verified by comparison with the results of analytical studies of simplified systems. The extensions to the model enable the predictions of equiaxed grain structure and, importantly, the columnar to equiaxed transition in inoculated alloy castings. The model is validated via comparison with experimental results. The front-tracking method is proposed as a suitable formulation for modelling alloy castings that solidify with a dendritic structure, either columnar, equiaxed, or both. ?? 2008 Elsevier Inc. All rights reserved.", "author" : [ { "dropping-particle" : "", "family" : "McFadden", "given" : "S.", "non-dropping-particle" : "", "parse-names" : false, "suffix" : "" }, { "dropping-particle" : "", "family" : "Browne", "given" : "D. J.", "non-dropping-particle" : "", "parse-names" : false, "suffix" : "" } ], "container-title" : "Applied Mathematical Modelling", "id" : "ITEM-1", "issue" : "3", "issued" : { "date-parts" : [ [ "2009" ] ] }, "page" : "1397-1416", "title" : "A front-tracking model to predict solidification macrostructures and columnar to equiaxed transitions in alloy castings", "type" : "article-journal", "volume" : "33" }, "uris" : [ "http://www.mendeley.com/documents/?uuid=db3d1764-b75f-480f-8009-a6fdad6ef87f" ] } ], "mendeley" : { "formattedCitation" : "[33]", "plainTextFormattedCitation" : "[33]", "previouslyFormattedCitation" : "[33]" }, "properties" : {  }, "schema" : "https://github.com/citation-style-language/schema/raw/master/csl-citation.json" }</w:instrText>
      </w:r>
      <w:r>
        <w:fldChar w:fldCharType="separate"/>
      </w:r>
      <w:r w:rsidRPr="0013413C">
        <w:rPr>
          <w:noProof/>
        </w:rPr>
        <w:t>[33]</w:t>
      </w:r>
      <w:r>
        <w:fldChar w:fldCharType="end"/>
      </w:r>
      <w:r>
        <w:t xml:space="preserve"> and a Rappaz-Thevoz approach </w:t>
      </w:r>
      <w:r>
        <w:fldChar w:fldCharType="begin" w:fldLock="1"/>
      </w:r>
      <w:r>
        <w:instrText>ADDIN CSL_CITATION { "citationItems" : [ { "id" : "ITEM-1", "itemData" : { "DOI" : "10.1016/0001-6160(87)90292-6", "ISSN" : "0001-6160", "abstract" : "An analytical approach to equiaxed dendritic solidification is proposed. Assuming that microstructure formation in metallic alloys is controlled mainly by solute diffusion, simple relationships are deduced from a solute balance made at the scale of a single dendritic grain. When the interdendritic liquid region is approximated by a spherical envelope, it is found that the internal volume fraction of solid, \u0192 \u0192i, within the envelope is given by \u0192 \u0192i=\u03a9\u00b7-g(Pe), where \u03a9 is the supersaturation and g(Pe) is a function of the P\u00e9clet number of the grain. Furthermore, the solute layer thickness, \u03b4, outside of this envelope of complete mixing is the same as that for a planar front, i.e. \u03b4 = 2\u00b7Dv, where v is the growth rate of the dendrite tips and D is the solute diffusivity. Coupling the relationships for \u0192 \u0192i and \u03b4 to a thermal balance and to a kinetics law then permits a full description of equiaxed dendritic solidification. The results are compared with more precise, but also more tedious numerical calculations, which have recently been published.", "author" : [ { "dropping-particle" : "", "family" : "M.Rappaz", "given" : "", "non-dropping-particle" : "", "parse-names" : false, "suffix" : "" }, { "dropping-particle" : "", "family" : "P.H.Th\u00e9voz", "given" : "", "non-dropping-particle" : "", "parse-names" : false, "suffix" : "" } ], "container-title" : "Acta Metallurgica", "id" : "ITEM-1", "issue" : "12", "issued" : { "date-parts" : [ [ "1987", "12" ] ] }, "page" : "2929-2933", "publisher" : "Pergamon", "title" : "Solute diffusion model for equiaxed dendritic growth: Analytical solution", "type" : "article-journal", "volume" : "35" }, "uris" : [ "http://www.mendeley.com/documents/?uuid=2f144720-8421-43b1-b7ff-ca922833630b" ] } ], "mendeley" : { "formattedCitation" : "[34]", "plainTextFormattedCitation" : "[34]", "previouslyFormattedCitation" : "[34]" }, "properties" : {  }, "schema" : "https://github.com/citation-style-language/schema/raw/master/csl-citation.json" }</w:instrText>
      </w:r>
      <w:r>
        <w:fldChar w:fldCharType="separate"/>
      </w:r>
      <w:r w:rsidRPr="0013413C">
        <w:rPr>
          <w:noProof/>
        </w:rPr>
        <w:t>[34]</w:t>
      </w:r>
      <w:r>
        <w:fldChar w:fldCharType="end"/>
      </w:r>
      <w:r w:rsidR="005E160E">
        <w:t xml:space="preserve">) were reported in </w:t>
      </w:r>
      <w:r w:rsidR="005E160E">
        <w:fldChar w:fldCharType="begin" w:fldLock="1"/>
      </w:r>
      <w:r w:rsidR="009049F4">
        <w:instrText>ADDIN CSL_CITATION { "citationItems" : [ { "id" : "ITEM-1", "itemData" : { "DOI" : "10.1016/J.IJTHERMALSCI.2017.11.032", "ISSN" : "1290-0729", "abstract" : "The Multiple Equiaxed Dendrite Interaction (MEDI) experiment was launched on the MASER-13 sounding rocket campaign to investigate polycrystalline equiaxed solidification in the transparent phase change material Neopentylgycol-30wt.%(d)Camphor. This material is of interest as an energy-storage material and as a transparent analogue system of solidification in hypoeutectic metal alloys with a Face Centred Cubic lattice. The liquid sample was cooled under a controlled rate of 0.75\u00a0K/min with sufficient time to allow semi-solid conditions to develop under microgravity conditions with the absence of gravity-driven convection. This manuscript provides details on the experimental apparatus and procedures. In addition, the experimental method has been augmented with a numerical model to assist with the characterisation of the essential thermal aspects of the experiment. The model followed a volume-averaging, continuum approach for mushy-zone development. A fast algorithm for computing non-isothermal crystallisation kinetics was applied to the case of binary alloy solidification. To build confidence, a formal numerical verification procedure was performed. The model converged sufficiently with second order accuracy as expected. Application of the model gave close agreement between experimental thermocouple readings and numerical simulation data with a Root Mean Square of 0.2\u00a0K for the error. A 2D thermal model is sufficient with a suitable heat loss coefficient at the sample-viewing window boundary. Thermal gradients within the sample and along the growth direction were uniform and approximately 0.3\u00a0K/mm. Lateral thermal gradients in the sample ranged from zero at the median plane to 0.3\u00a0K/mm at the boundary with the containing structure. However, temperature variation in the lateral direction was predicted to be less than 0.22\u00a0K.", "author" : [ { "dropping-particle" : "", "family" : "Mooney", "given" : "Robin P.", "non-dropping-particle" : "", "parse-names" : false, "suffix" : "" }, { "dropping-particle" : "", "family" : "Sturz", "given" : "Laszlo", "non-dropping-particle" : "", "parse-names" : false, "suffix" : "" }, { "dropping-particle" : "", "family" : "Zimmermann", "given" : "Gerhard", "non-dropping-particle" : "", "parse-names" : false, "suffix" : "" }, { "dropping-particle" : "", "family" : "McFadden", "given" : "Shaun", "non-dropping-particle" : "", "parse-names" : false, "suffix" : "" } ], "container-title" : "International Journal of Thermal Sciences", "id" : "ITEM-1", "issued" : { "date-parts" : [ [ "2018", "3", "1" ] ] }, "page" : "283-292", "publisher" : "Elsevier Masson", "title" : "Thermal characterisation with modelling for a microgravity experiment into polycrystalline equiaxed dendritic solidification with in-situ observation", "type" : "article-journal", "volume" : "125" }, "uris" : [ "http://www.mendeley.com/documents/?uuid=450b8cb6-8509-330d-8318-bc3d351d5cd4" ] } ], "mendeley" : { "formattedCitation" : "[32]", "plainTextFormattedCitation" : "[32]", "previouslyFormattedCitation" : "[32]" }, "properties" : {  }, "schema" : "https://github.com/citation-style-language/schema/raw/master/csl-citation.json" }</w:instrText>
      </w:r>
      <w:r w:rsidR="005E160E">
        <w:fldChar w:fldCharType="separate"/>
      </w:r>
      <w:r w:rsidR="005E160E" w:rsidRPr="005E160E">
        <w:rPr>
          <w:noProof/>
        </w:rPr>
        <w:t>[32]</w:t>
      </w:r>
      <w:r w:rsidR="005E160E">
        <w:fldChar w:fldCharType="end"/>
      </w:r>
      <w:r>
        <w:t>. In th</w:t>
      </w:r>
      <w:r w:rsidR="005E160E">
        <w:t>e</w:t>
      </w:r>
      <w:r>
        <w:t xml:space="preserve"> </w:t>
      </w:r>
      <w:r w:rsidR="005E160E">
        <w:t xml:space="preserve">specific </w:t>
      </w:r>
      <w:r>
        <w:t xml:space="preserve">case </w:t>
      </w:r>
      <w:r w:rsidR="005E160E">
        <w:t xml:space="preserve">of selected alloy, </w:t>
      </w:r>
      <w:r>
        <w:t xml:space="preserve">the differences between the </w:t>
      </w:r>
      <w:r w:rsidR="005E160E">
        <w:t xml:space="preserve">two </w:t>
      </w:r>
      <w:r>
        <w:t xml:space="preserve">approaches were </w:t>
      </w:r>
      <w:r w:rsidR="005E160E">
        <w:t xml:space="preserve">found to be </w:t>
      </w:r>
      <w:r>
        <w:t>minimal. Hence, in this manuscript, t</w:t>
      </w:r>
      <w:r w:rsidR="000114FA">
        <w:t xml:space="preserve">he local solid fraction (within the mush) is </w:t>
      </w:r>
      <w:r w:rsidR="005E160E">
        <w:t>reported</w:t>
      </w:r>
      <w:r w:rsidR="000114FA">
        <w:t xml:space="preserve"> using the Scheil microsegregation equation for hypoeutectic alloys, </w:t>
      </w:r>
      <w:r>
        <w:t>as described in</w:t>
      </w:r>
      <w:r w:rsidR="000114FA">
        <w:t xml:space="preserve"> </w:t>
      </w:r>
      <w:r w:rsidR="000114FA">
        <w:fldChar w:fldCharType="begin" w:fldLock="1"/>
      </w:r>
      <w:r>
        <w:instrText>ADDIN CSL_CITATION { "citationItems" : [ { "id" : "ITEM-1", "itemData" : { "abstract" : "The solidified grain structure (macrostructure) of castings is predicted by process simulation using a newly extended front-tracking technique which models the growth of solid dendritic fronts through undercooled liquid during metallic alloy solidification. Such fronts are either constrained, as is the case with directed columnar growth from mould walls, or unconstrained, as is the case for multiple equiaxed growth from individual nucleating particles distributed throughout the liquid. Non-linear latent heat evolution is treated by incorporating the Scheil equation. Thermal conductivity changes with the solid fraction. A log-normal distribution of activation undercooling to initiate free growth from equiaxed nuclei is used, and the routines to deal with such growth followed by impingement of dendritic grains upon one another are verified by comparison with the results of analytical studies of simplified systems. The extensions to the model enable the predictions of equiaxed grain structure and, importantly, the columnar to equiaxed transition in inoculated alloy castings. The model is validated via comparison with experimental results. The front-tracking method is proposed as a suitable formulation for modelling alloy castings that solidify with a dendritic structure, either columnar, equiaxed, or both. ?? 2008 Elsevier Inc. All rights reserved.", "author" : [ { "dropping-particle" : "", "family" : "McFadden", "given" : "S.", "non-dropping-particle" : "", "parse-names" : false, "suffix" : "" }, { "dropping-particle" : "", "family" : "Browne", "given" : "D. J.", "non-dropping-particle" : "", "parse-names" : false, "suffix" : "" } ], "container-title" : "Applied Mathematical Modelling", "id" : "ITEM-1", "issue" : "3", "issued" : { "date-parts" : [ [ "2009" ] ] }, "page" : "1397-1416", "title" : "A front-tracking model to predict solidification macrostructures and columnar to equiaxed transitions in alloy castings", "type" : "article-journal", "volume" : "33" }, "uris" : [ "http://www.mendeley.com/documents/?uuid=db3d1764-b75f-480f-8009-a6fdad6ef87f" ] } ], "mendeley" : { "formattedCitation" : "[33]", "plainTextFormattedCitation" : "[33]", "previouslyFormattedCitation" : "[33]" }, "properties" : {  }, "schema" : "https://github.com/citation-style-language/schema/raw/master/csl-citation.json" }</w:instrText>
      </w:r>
      <w:r w:rsidR="000114FA">
        <w:fldChar w:fldCharType="separate"/>
      </w:r>
      <w:r w:rsidRPr="0013413C">
        <w:rPr>
          <w:noProof/>
        </w:rPr>
        <w:t>[33]</w:t>
      </w:r>
      <w:r w:rsidR="000114FA">
        <w:fldChar w:fldCharType="end"/>
      </w:r>
      <w:r w:rsidR="000114FA">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05"/>
        <w:gridCol w:w="810"/>
      </w:tblGrid>
      <w:tr w:rsidR="000114FA" w14:paraId="5AE37339" w14:textId="77777777" w:rsidTr="00C9779B">
        <w:trPr>
          <w:jc w:val="center"/>
        </w:trPr>
        <w:tc>
          <w:tcPr>
            <w:tcW w:w="7905" w:type="dxa"/>
            <w:vAlign w:val="center"/>
          </w:tcPr>
          <w:p w14:paraId="116E5584" w14:textId="6E141F5E" w:rsidR="000114FA" w:rsidRDefault="008F6ACD" w:rsidP="00A334EF">
            <w:pPr>
              <w:spacing w:line="360" w:lineRule="auto"/>
              <w:jc w:val="center"/>
            </w:pPr>
            <m:oMathPara>
              <m:oMath>
                <m:m>
                  <m:mPr>
                    <m:mcs>
                      <m:mc>
                        <m:mcPr>
                          <m:count m:val="2"/>
                          <m:mcJc m:val="center"/>
                        </m:mcPr>
                      </m:mc>
                    </m:mcs>
                    <m:ctrlPr>
                      <w:rPr>
                        <w:rFonts w:ascii="Cambria Math" w:hAnsi="Cambria Math"/>
                        <w:i/>
                      </w:rPr>
                    </m:ctrlPr>
                  </m:mPr>
                  <m:mr>
                    <m:e>
                      <m:m>
                        <m:mPr>
                          <m:mcs>
                            <m:mc>
                              <m:mcPr>
                                <m:count m:val="3"/>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g</m:t>
                                </m:r>
                              </m:e>
                              <m:sub>
                                <m:r>
                                  <w:rPr>
                                    <w:rFonts w:ascii="Cambria Math" w:hAnsi="Cambria Math"/>
                                  </w:rPr>
                                  <m:t>s</m:t>
                                </m:r>
                              </m:sub>
                            </m:sSub>
                            <m:r>
                              <w:rPr>
                                <w:rFonts w:ascii="Cambria Math" w:hAnsi="Cambria Math"/>
                              </w:rPr>
                              <m:t>=1-</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M</m:t>
                                            </m:r>
                                          </m:sub>
                                        </m:sSub>
                                        <m:r>
                                          <w:rPr>
                                            <w:rFonts w:ascii="Cambria Math" w:hAnsi="Cambria Math"/>
                                          </w:rPr>
                                          <m:t>-T</m:t>
                                        </m:r>
                                      </m:num>
                                      <m:den>
                                        <m:sSub>
                                          <m:sSubPr>
                                            <m:ctrlPr>
                                              <w:rPr>
                                                <w:rFonts w:ascii="Cambria Math" w:hAnsi="Cambria Math"/>
                                                <w:i/>
                                              </w:rPr>
                                            </m:ctrlPr>
                                          </m:sSubPr>
                                          <m:e>
                                            <m:r>
                                              <w:rPr>
                                                <w:rFonts w:ascii="Cambria Math" w:hAnsi="Cambria Math"/>
                                              </w:rPr>
                                              <m:t>T</m:t>
                                            </m:r>
                                          </m:e>
                                          <m:sub>
                                            <m:r>
                                              <w:rPr>
                                                <w:rFonts w:ascii="Cambria Math" w:hAnsi="Cambria Math"/>
                                              </w:rPr>
                                              <m:t>M</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L</m:t>
                                            </m:r>
                                          </m:sub>
                                        </m:sSub>
                                      </m:den>
                                    </m:f>
                                  </m:e>
                                </m:d>
                              </m:e>
                              <m:sup>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k</m:t>
                                        </m:r>
                                      </m:e>
                                      <m:sub>
                                        <m:r>
                                          <w:rPr>
                                            <w:rFonts w:ascii="Cambria Math" w:hAnsi="Cambria Math"/>
                                          </w:rPr>
                                          <m:t>part</m:t>
                                        </m:r>
                                      </m:sub>
                                    </m:sSub>
                                    <m:r>
                                      <w:rPr>
                                        <w:rFonts w:ascii="Cambria Math" w:hAnsi="Cambria Math"/>
                                      </w:rPr>
                                      <m:t>-1</m:t>
                                    </m:r>
                                  </m:den>
                                </m:f>
                              </m:sup>
                            </m:sSup>
                          </m:e>
                          <m:e>
                            <m:r>
                              <w:rPr>
                                <w:rFonts w:ascii="Cambria Math" w:hAnsi="Cambria Math"/>
                              </w:rPr>
                              <m:t>∀</m:t>
                            </m:r>
                          </m:e>
                          <m:e>
                            <m:sSub>
                              <m:sSubPr>
                                <m:ctrlPr>
                                  <w:rPr>
                                    <w:rFonts w:ascii="Cambria Math" w:hAnsi="Cambria Math"/>
                                    <w:i/>
                                  </w:rPr>
                                </m:ctrlPr>
                              </m:sSubPr>
                              <m:e>
                                <m:r>
                                  <w:rPr>
                                    <w:rFonts w:ascii="Cambria Math" w:hAnsi="Cambria Math"/>
                                  </w:rPr>
                                  <m:t>T</m:t>
                                </m:r>
                              </m:e>
                              <m:sub>
                                <m:r>
                                  <w:rPr>
                                    <w:rFonts w:ascii="Cambria Math" w:hAnsi="Cambria Math"/>
                                  </w:rPr>
                                  <m:t>E</m:t>
                                </m:r>
                              </m:sub>
                            </m:sSub>
                            <m:r>
                              <w:rPr>
                                <w:rFonts w:ascii="Cambria Math" w:hAnsi="Cambria Math"/>
                              </w:rPr>
                              <m:t>&lt;T&lt;</m:t>
                            </m:r>
                            <m:sSub>
                              <m:sSubPr>
                                <m:ctrlPr>
                                  <w:rPr>
                                    <w:rFonts w:ascii="Cambria Math" w:hAnsi="Cambria Math"/>
                                    <w:i/>
                                  </w:rPr>
                                </m:ctrlPr>
                              </m:sSubPr>
                              <m:e>
                                <m:r>
                                  <w:rPr>
                                    <w:rFonts w:ascii="Cambria Math" w:hAnsi="Cambria Math"/>
                                  </w:rPr>
                                  <m:t>T</m:t>
                                </m:r>
                              </m:e>
                              <m:sub>
                                <m:r>
                                  <w:rPr>
                                    <w:rFonts w:ascii="Cambria Math" w:hAnsi="Cambria Math"/>
                                  </w:rPr>
                                  <m:t>L</m:t>
                                </m:r>
                              </m:sub>
                            </m:sSub>
                          </m:e>
                        </m:mr>
                      </m:m>
                    </m:e>
                    <m:e>
                      <m:r>
                        <w:rPr>
                          <w:rFonts w:ascii="Cambria Math" w:hAnsi="Cambria Math"/>
                        </w:rPr>
                        <m:t>,</m:t>
                      </m:r>
                    </m:e>
                  </m:mr>
                </m:m>
              </m:oMath>
            </m:oMathPara>
          </w:p>
        </w:tc>
        <w:tc>
          <w:tcPr>
            <w:tcW w:w="810" w:type="dxa"/>
            <w:vAlign w:val="center"/>
          </w:tcPr>
          <w:p w14:paraId="50D372AF" w14:textId="25A92495" w:rsidR="000114FA" w:rsidRDefault="000114FA" w:rsidP="00C9779B">
            <w:pPr>
              <w:pStyle w:val="Newparagraph"/>
              <w:ind w:firstLine="0"/>
              <w:contextualSpacing/>
              <w:jc w:val="center"/>
            </w:pPr>
            <w:r>
              <w:t>(</w:t>
            </w:r>
            <w:fldSimple w:instr=" SEQ Eqn \* MERGEFORMAT ">
              <w:r w:rsidR="00AE6B98">
                <w:rPr>
                  <w:noProof/>
                </w:rPr>
                <w:t>34</w:t>
              </w:r>
            </w:fldSimple>
            <w:r>
              <w:t>)</w:t>
            </w:r>
          </w:p>
        </w:tc>
      </w:tr>
    </w:tbl>
    <w:p w14:paraId="62C82EC4" w14:textId="0C38527B" w:rsidR="000114FA" w:rsidRDefault="000114FA" w:rsidP="000E13D3">
      <w:pPr>
        <w:pStyle w:val="Paragraph"/>
      </w:pPr>
      <w:r>
        <w:t xml:space="preserve">where </w:t>
      </w:r>
      <w:r w:rsidRPr="003F0C60">
        <w:rPr>
          <w:i/>
        </w:rPr>
        <w:t>T</w:t>
      </w:r>
      <w:r w:rsidRPr="003F0C60">
        <w:rPr>
          <w:i/>
          <w:vertAlign w:val="subscript"/>
        </w:rPr>
        <w:t>M</w:t>
      </w:r>
      <w:r>
        <w:t xml:space="preserve"> melting point of the solvent, </w:t>
      </w:r>
      <w:r w:rsidRPr="00C13244">
        <w:rPr>
          <w:i/>
        </w:rPr>
        <w:t>T</w:t>
      </w:r>
      <w:r w:rsidRPr="00C13244">
        <w:rPr>
          <w:i/>
          <w:vertAlign w:val="subscript"/>
        </w:rPr>
        <w:t>E</w:t>
      </w:r>
      <w:r>
        <w:t xml:space="preserve"> is the equilibrium eutectic temperature, </w:t>
      </w:r>
      <w:r w:rsidRPr="003F0C60">
        <w:rPr>
          <w:i/>
        </w:rPr>
        <w:t>k</w:t>
      </w:r>
      <w:r w:rsidR="00A334EF">
        <w:rPr>
          <w:i/>
          <w:vertAlign w:val="subscript"/>
        </w:rPr>
        <w:t>part</w:t>
      </w:r>
      <w:r>
        <w:t xml:space="preserve"> is the parti</w:t>
      </w:r>
      <w:r w:rsidR="00A334EF">
        <w:t>tion coefficient</w:t>
      </w:r>
      <w:r>
        <w:t xml:space="preserve">. </w:t>
      </w:r>
    </w:p>
    <w:p w14:paraId="34B705F9" w14:textId="7CD1A05F" w:rsidR="000114FA" w:rsidRDefault="00865C8C" w:rsidP="000E13D3">
      <w:pPr>
        <w:pStyle w:val="Newparagraph"/>
      </w:pPr>
      <w:r>
        <w:t xml:space="preserve">The NPF approach is applied to obtain the volume fraction of mush through application of </w:t>
      </w:r>
      <w:r w:rsidR="000E13D3">
        <w:t>equation</w:t>
      </w:r>
      <w:r w:rsidR="00C54806">
        <w:t xml:space="preserve"> </w:t>
      </w:r>
      <w:r w:rsidR="00C54806">
        <w:fldChar w:fldCharType="begin"/>
      </w:r>
      <w:r w:rsidR="00C54806">
        <w:instrText xml:space="preserve"> REF Zeta_V \h </w:instrText>
      </w:r>
      <w:r w:rsidR="00C54806">
        <w:fldChar w:fldCharType="separate"/>
      </w:r>
      <w:r w:rsidR="00AE6B98">
        <w:t>(</w:t>
      </w:r>
      <w:r w:rsidR="00AE6B98">
        <w:rPr>
          <w:noProof/>
        </w:rPr>
        <w:t>13</w:t>
      </w:r>
      <w:r w:rsidR="00AE6B98">
        <w:t>)</w:t>
      </w:r>
      <w:r w:rsidR="00C54806">
        <w:fldChar w:fldCharType="end"/>
      </w:r>
      <w:r w:rsidR="000E13D3">
        <w:t xml:space="preserve">. </w:t>
      </w:r>
      <w:r>
        <w:t xml:space="preserve">Hence all of the output information associated with NPF approach and described in </w:t>
      </w:r>
      <w:r w:rsidR="000E13D3">
        <w:t xml:space="preserve">Section </w:t>
      </w:r>
      <w:r w:rsidR="000E13D3">
        <w:fldChar w:fldCharType="begin"/>
      </w:r>
      <w:r w:rsidR="000E13D3">
        <w:instrText xml:space="preserve"> REF _Ref496276980 \r \h </w:instrText>
      </w:r>
      <w:r w:rsidR="000E13D3">
        <w:fldChar w:fldCharType="separate"/>
      </w:r>
      <w:r w:rsidR="002637FB">
        <w:t>2.1</w:t>
      </w:r>
      <w:r w:rsidR="000E13D3">
        <w:fldChar w:fldCharType="end"/>
      </w:r>
      <w:r w:rsidR="000E13D3">
        <w:t xml:space="preserve"> </w:t>
      </w:r>
      <w:r>
        <w:t>is obtainable from the transient thermal model both in formative and summative formats.</w:t>
      </w:r>
    </w:p>
    <w:p w14:paraId="6C6CE318" w14:textId="29F4C8C9" w:rsidR="00865C8C" w:rsidRDefault="00865C8C" w:rsidP="000E13D3">
      <w:pPr>
        <w:pStyle w:val="Newparagraph"/>
      </w:pPr>
      <w:r>
        <w:t xml:space="preserve">The </w:t>
      </w:r>
      <w:r w:rsidR="003C324E">
        <w:t xml:space="preserve">equiaxed </w:t>
      </w:r>
      <w:r>
        <w:t>dendrite tip growth rate is required for the calculat</w:t>
      </w:r>
      <w:r w:rsidR="00C54806">
        <w:t xml:space="preserve">ion of extended volume fraction, </w:t>
      </w:r>
      <w:r w:rsidR="003C324E">
        <w:t xml:space="preserve">in equation </w:t>
      </w:r>
      <w:r w:rsidR="003C324E">
        <w:fldChar w:fldCharType="begin"/>
      </w:r>
      <w:r w:rsidR="003C324E">
        <w:instrText xml:space="preserve"> REF Zeta_V_EX \h </w:instrText>
      </w:r>
      <w:r w:rsidR="003C324E">
        <w:fldChar w:fldCharType="separate"/>
      </w:r>
      <w:r w:rsidR="005E160E">
        <w:t>(</w:t>
      </w:r>
      <w:r w:rsidR="005E160E">
        <w:rPr>
          <w:noProof/>
        </w:rPr>
        <w:t>14</w:t>
      </w:r>
      <w:r w:rsidR="005E160E">
        <w:t>)</w:t>
      </w:r>
      <w:r w:rsidR="003C324E">
        <w:fldChar w:fldCharType="end"/>
      </w:r>
      <w:r w:rsidR="002A4C15">
        <w:t xml:space="preserve">; </w:t>
      </w:r>
      <w:r w:rsidR="00C54806">
        <w:t>the growth rate</w:t>
      </w:r>
      <w:r w:rsidR="002A4C15">
        <w:t xml:space="preserve"> </w:t>
      </w:r>
      <w:r>
        <w:t xml:space="preserve">is </w:t>
      </w:r>
      <w:r w:rsidR="00FA1D4C">
        <w:t>assumed</w:t>
      </w:r>
      <w:r>
        <w:t xml:space="preserve"> t</w:t>
      </w:r>
      <w:r w:rsidR="003C324E">
        <w:t>o be a function of undercooling</w:t>
      </w:r>
      <w:r w:rsidR="002A4C15">
        <w:t>, as follows</w:t>
      </w:r>
      <w:r w:rsidR="003C324E">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05"/>
        <w:gridCol w:w="810"/>
      </w:tblGrid>
      <w:tr w:rsidR="00865C8C" w14:paraId="1EFF3277" w14:textId="77777777" w:rsidTr="00C9779B">
        <w:trPr>
          <w:jc w:val="center"/>
        </w:trPr>
        <w:tc>
          <w:tcPr>
            <w:tcW w:w="7905" w:type="dxa"/>
            <w:vAlign w:val="center"/>
          </w:tcPr>
          <w:p w14:paraId="2850EE0E" w14:textId="758A8C7D" w:rsidR="00865C8C" w:rsidRDefault="008F6ACD" w:rsidP="00C9779B">
            <w:pPr>
              <w:spacing w:line="360" w:lineRule="auto"/>
              <w:jc w:val="center"/>
            </w:pPr>
            <m:oMathPara>
              <m:oMath>
                <m:m>
                  <m:mPr>
                    <m:mcs>
                      <m:mc>
                        <m:mcPr>
                          <m:count m:val="2"/>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v</m:t>
                          </m:r>
                        </m:e>
                        <m:sub>
                          <m:r>
                            <w:rPr>
                              <w:rFonts w:ascii="Cambria Math" w:hAnsi="Cambria Math"/>
                            </w:rPr>
                            <m:t>t</m:t>
                          </m:r>
                        </m:sub>
                      </m:sSub>
                      <m:r>
                        <m:rPr>
                          <m:sty m:val="p"/>
                        </m:rP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t</m:t>
                          </m:r>
                        </m:sub>
                      </m:sSub>
                      <m:r>
                        <w:rPr>
                          <w:rFonts w:ascii="Cambria Math" w:hAnsi="Cambria Math"/>
                        </w:rPr>
                        <m:t>∆</m:t>
                      </m:r>
                      <m:sSup>
                        <m:sSupPr>
                          <m:ctrlPr>
                            <w:rPr>
                              <w:rFonts w:ascii="Cambria Math" w:hAnsi="Cambria Math"/>
                              <w:i/>
                            </w:rPr>
                          </m:ctrlPr>
                        </m:sSupPr>
                        <m:e>
                          <m:r>
                            <w:rPr>
                              <w:rFonts w:ascii="Cambria Math" w:hAnsi="Cambria Math"/>
                            </w:rPr>
                            <m:t>T</m:t>
                          </m:r>
                        </m:e>
                        <m:sup>
                          <m:r>
                            <w:rPr>
                              <w:rFonts w:ascii="Cambria Math" w:hAnsi="Cambria Math"/>
                            </w:rPr>
                            <m:t>b</m:t>
                          </m:r>
                        </m:sup>
                      </m:sSup>
                    </m:e>
                    <m:e>
                      <m:r>
                        <w:rPr>
                          <w:rFonts w:ascii="Cambria Math" w:hAnsi="Cambria Math"/>
                        </w:rPr>
                        <m:t>.</m:t>
                      </m:r>
                    </m:e>
                  </m:mr>
                </m:m>
              </m:oMath>
            </m:oMathPara>
          </w:p>
        </w:tc>
        <w:tc>
          <w:tcPr>
            <w:tcW w:w="810" w:type="dxa"/>
            <w:vAlign w:val="center"/>
          </w:tcPr>
          <w:p w14:paraId="43C95CF0" w14:textId="0A512ACD" w:rsidR="00865C8C" w:rsidRDefault="00865C8C" w:rsidP="00C9779B">
            <w:pPr>
              <w:pStyle w:val="Newparagraph"/>
              <w:ind w:firstLine="0"/>
              <w:contextualSpacing/>
              <w:jc w:val="center"/>
            </w:pPr>
            <w:r>
              <w:t>(</w:t>
            </w:r>
            <w:fldSimple w:instr=" SEQ Eqn \* MERGEFORMAT ">
              <w:r w:rsidR="00AE6B98">
                <w:rPr>
                  <w:noProof/>
                </w:rPr>
                <w:t>35</w:t>
              </w:r>
            </w:fldSimple>
            <w:r>
              <w:t>)</w:t>
            </w:r>
          </w:p>
        </w:tc>
      </w:tr>
    </w:tbl>
    <w:p w14:paraId="3F3FB973" w14:textId="5E550CFD" w:rsidR="001343F9" w:rsidRDefault="000114FA" w:rsidP="003C324E">
      <w:pPr>
        <w:pStyle w:val="Newparagraph"/>
        <w:ind w:firstLine="0"/>
      </w:pPr>
      <w:r>
        <w:t xml:space="preserve">Finally, thermophysical properties </w:t>
      </w:r>
      <w:r w:rsidR="00865C8C">
        <w:t xml:space="preserve">are permitted to </w:t>
      </w:r>
      <w:r w:rsidR="00A65273">
        <w:t>vary</w:t>
      </w:r>
      <w:r w:rsidR="00865C8C">
        <w:t xml:space="preserve"> as a function of temperature</w:t>
      </w:r>
      <w:r w:rsidR="002A4C15">
        <w:t>,</w:t>
      </w:r>
      <w:r w:rsidR="00865C8C">
        <w:t xml:space="preserve"> and </w:t>
      </w:r>
      <w:r w:rsidR="00A65273">
        <w:t>for</w:t>
      </w:r>
      <w:r>
        <w:t xml:space="preserve"> mush-containing CVs </w:t>
      </w:r>
      <w:r w:rsidR="00A65273">
        <w:t>properties are</w:t>
      </w:r>
      <w:r w:rsidR="00865C8C">
        <w:t xml:space="preserve"> </w:t>
      </w:r>
      <w:r>
        <w:t xml:space="preserve">estimated as per reference </w:t>
      </w:r>
      <w:r>
        <w:fldChar w:fldCharType="begin" w:fldLock="1"/>
      </w:r>
      <w:r w:rsidR="0013413C">
        <w:instrText>ADDIN CSL_CITATION { "citationItems" : [ { "id" : "ITEM-1", "itemData" : { "abstract" : "The solidified grain structure (macrostructure) of castings is predicted by process simulation using a newly extended front-tracking technique which models the growth of solid dendritic fronts through undercooled liquid during metallic alloy solidification. Such fronts are either constrained, as is the case with directed columnar growth from mould walls, or unconstrained, as is the case for multiple equiaxed growth from individual nucleating particles distributed throughout the liquid. Non-linear latent heat evolution is treated by incorporating the Scheil equation. Thermal conductivity changes with the solid fraction. A log-normal distribution of activation undercooling to initiate free growth from equiaxed nuclei is used, and the routines to deal with such growth followed by impingement of dendritic grains upon one another are verified by comparison with the results of analytical studies of simplified systems. The extensions to the model enable the predictions of equiaxed grain structure and, importantly, the columnar to equiaxed transition in inoculated alloy castings. The model is validated via comparison with experimental results. The front-tracking method is proposed as a suitable formulation for modelling alloy castings that solidify with a dendritic structure, either columnar, equiaxed, or both. ?? 2008 Elsevier Inc. All rights reserved.", "author" : [ { "dropping-particle" : "", "family" : "McFadden", "given" : "S.", "non-dropping-particle" : "", "parse-names" : false, "suffix" : "" }, { "dropping-particle" : "", "family" : "Browne", "given" : "D. J.", "non-dropping-particle" : "", "parse-names" : false, "suffix" : "" } ], "container-title" : "Applied Mathematical Modelling", "id" : "ITEM-1", "issue" : "3", "issued" : { "date-parts" : [ [ "2009" ] ] }, "page" : "1397-1416", "title" : "A front-tracking model to predict solidification macrostructures and columnar to equiaxed transitions in alloy castings", "type" : "article-journal", "volume" : "33" }, "uris" : [ "http://www.mendeley.com/documents/?uuid=db3d1764-b75f-480f-8009-a6fdad6ef87f" ] } ], "mendeley" : { "formattedCitation" : "[33]", "plainTextFormattedCitation" : "[33]", "previouslyFormattedCitation" : "[33]" }, "properties" : {  }, "schema" : "https://github.com/citation-style-language/schema/raw/master/csl-citation.json" }</w:instrText>
      </w:r>
      <w:r>
        <w:fldChar w:fldCharType="separate"/>
      </w:r>
      <w:r w:rsidR="0013413C" w:rsidRPr="0013413C">
        <w:rPr>
          <w:noProof/>
        </w:rPr>
        <w:t>[33]</w:t>
      </w:r>
      <w:r>
        <w:fldChar w:fldCharType="end"/>
      </w:r>
      <w:r>
        <w:t>.</w:t>
      </w:r>
    </w:p>
    <w:p w14:paraId="0ABA4FCA" w14:textId="77777777" w:rsidR="00A65273" w:rsidRDefault="00A65273" w:rsidP="0091027E">
      <w:pPr>
        <w:pStyle w:val="Heading1"/>
        <w:jc w:val="both"/>
      </w:pPr>
      <w:r>
        <w:t>Experimental materials and methods</w:t>
      </w:r>
    </w:p>
    <w:p w14:paraId="2893B826" w14:textId="77777777" w:rsidR="00A65273" w:rsidRDefault="00A65273" w:rsidP="0091027E">
      <w:pPr>
        <w:pStyle w:val="Heading2"/>
        <w:jc w:val="both"/>
      </w:pPr>
      <w:r>
        <w:t>Physical apparatus and procedures</w:t>
      </w:r>
    </w:p>
    <w:p w14:paraId="460C5362" w14:textId="79366AF9" w:rsidR="006554A8" w:rsidRDefault="00FA48E7" w:rsidP="00F3549D">
      <w:pPr>
        <w:pStyle w:val="Paragraph"/>
      </w:pPr>
      <w:r>
        <w:t>T</w:t>
      </w:r>
      <w:r w:rsidR="00F3549D">
        <w:t xml:space="preserve">he physical apparatus and </w:t>
      </w:r>
      <w:r>
        <w:t xml:space="preserve">outline </w:t>
      </w:r>
      <w:r w:rsidR="00F3549D">
        <w:t xml:space="preserve">operation </w:t>
      </w:r>
      <w:r>
        <w:t xml:space="preserve">procedures for </w:t>
      </w:r>
      <w:r w:rsidR="00F3549D">
        <w:t xml:space="preserve">the MEDI experiment are presented elsewhere </w:t>
      </w:r>
      <w:r w:rsidR="00F3549D">
        <w:fldChar w:fldCharType="begin" w:fldLock="1"/>
      </w:r>
      <w:r w:rsidR="0013413C">
        <w:instrText>ADDIN CSL_CITATION { "citationItems" : [ { "id" : "ITEM-1", "itemData" : { "author" : [ { "dropping-particle" : "", "family" : "Sturz", "given" : "Laszlo", "non-dropping-particle" : "", "parse-names" : false, "suffix" : "" }, { "dropping-particle" : "", "family" : "Hamacher", "given" : "Martin", "non-dropping-particle" : "", "parse-names" : false, "suffix" : "" }, { "dropping-particle" : "", "family" : "Zimmermann", "given" : "Gerhard", "non-dropping-particle" : "", "parse-names" : false, "suffix" : "" } ], "container-title" : "6th Decennial International Conference on Solidification Processing", "editor" : [ { "dropping-particle" : "", "family" : "Fan", "given" : "Z.", "non-dropping-particle" : "", "parse-names" : false, "suffix" : "" } ], "id" : "ITEM-1", "issued" : { "date-parts" : [ [ "2017" ] ] }, "page" : "300-303", "title" : "In-situ observation of equiaxed dendritic growth and interaction in microgravity", "type" : "paper-conference" }, "uris" : [ "http://www.mendeley.com/documents/?uuid=10dfd52c-c54b-47fe-8d21-23f33109a4c4" ] } ], "mendeley" : { "formattedCitation" : "[25]", "plainTextFormattedCitation" : "[25]", "previouslyFormattedCitation" : "[25]" }, "properties" : {  }, "schema" : "https://github.com/citation-style-language/schema/raw/master/csl-citation.json" }</w:instrText>
      </w:r>
      <w:r w:rsidR="00F3549D">
        <w:fldChar w:fldCharType="separate"/>
      </w:r>
      <w:r w:rsidR="00F3549D" w:rsidRPr="00F3549D">
        <w:rPr>
          <w:noProof/>
        </w:rPr>
        <w:t>[25]</w:t>
      </w:r>
      <w:r w:rsidR="00F3549D">
        <w:fldChar w:fldCharType="end"/>
      </w:r>
      <w:r w:rsidR="00F3549D">
        <w:t xml:space="preserve">, but a summary is provided. </w:t>
      </w:r>
    </w:p>
    <w:p w14:paraId="61E7BEAD" w14:textId="5A44C1AF" w:rsidR="006554A8" w:rsidRDefault="00AD3D8C" w:rsidP="00FA1D4C">
      <w:pPr>
        <w:pStyle w:val="Newparagraph"/>
        <w:keepNext/>
        <w:jc w:val="center"/>
      </w:pPr>
      <w:r>
        <w:rPr>
          <w:noProof/>
        </w:rPr>
        <w:drawing>
          <wp:inline distT="0" distB="0" distL="0" distR="0" wp14:anchorId="1AC72FBE" wp14:editId="1805E8EB">
            <wp:extent cx="3240024" cy="1572768"/>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5_MEDI experiment cell-06.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40024" cy="1572768"/>
                    </a:xfrm>
                    <a:prstGeom prst="rect">
                      <a:avLst/>
                    </a:prstGeom>
                  </pic:spPr>
                </pic:pic>
              </a:graphicData>
            </a:graphic>
          </wp:inline>
        </w:drawing>
      </w:r>
    </w:p>
    <w:p w14:paraId="128AD827" w14:textId="53FF76E4" w:rsidR="006554A8" w:rsidRPr="00FA1D4C" w:rsidRDefault="006554A8" w:rsidP="00C54806">
      <w:pPr>
        <w:pStyle w:val="Caption"/>
        <w:jc w:val="center"/>
      </w:pPr>
      <w:bookmarkStart w:id="31" w:name="_Ref496279099"/>
      <w:r w:rsidRPr="00FA1D4C">
        <w:t xml:space="preserve">Figure </w:t>
      </w:r>
      <w:r w:rsidR="00AD5590">
        <w:fldChar w:fldCharType="begin"/>
      </w:r>
      <w:r w:rsidR="00AD5590">
        <w:instrText xml:space="preserve"> SEQ Figure \* ARABIC </w:instrText>
      </w:r>
      <w:r w:rsidR="00AD5590">
        <w:fldChar w:fldCharType="separate"/>
      </w:r>
      <w:r w:rsidR="002637FB">
        <w:rPr>
          <w:noProof/>
        </w:rPr>
        <w:t>5</w:t>
      </w:r>
      <w:r w:rsidR="00AD5590">
        <w:rPr>
          <w:noProof/>
        </w:rPr>
        <w:fldChar w:fldCharType="end"/>
      </w:r>
      <w:bookmarkEnd w:id="31"/>
      <w:r w:rsidRPr="00FA1D4C">
        <w:t xml:space="preserve">: Schematic diagram of </w:t>
      </w:r>
      <w:r w:rsidR="0032317E">
        <w:t xml:space="preserve">the MEDI experiment </w:t>
      </w:r>
      <w:r w:rsidRPr="00FA1D4C">
        <w:t>test cell</w:t>
      </w:r>
      <w:r w:rsidR="0032317E">
        <w:t>.</w:t>
      </w:r>
    </w:p>
    <w:p w14:paraId="6D527C55" w14:textId="3CAE3A89" w:rsidR="00343EC0" w:rsidRPr="00343EC0" w:rsidRDefault="00CE09BF" w:rsidP="00343EC0">
      <w:pPr>
        <w:pStyle w:val="Newparagraph"/>
        <w:ind w:firstLine="0"/>
      </w:pPr>
      <w:r>
        <w:lastRenderedPageBreak/>
        <w:fldChar w:fldCharType="begin"/>
      </w:r>
      <w:r>
        <w:instrText xml:space="preserve"> REF _Ref496279099 \h </w:instrText>
      </w:r>
      <w:r>
        <w:fldChar w:fldCharType="separate"/>
      </w:r>
      <w:r w:rsidR="002637FB" w:rsidRPr="00FA1D4C">
        <w:t xml:space="preserve">Figure </w:t>
      </w:r>
      <w:r w:rsidR="002637FB">
        <w:rPr>
          <w:noProof/>
        </w:rPr>
        <w:t>5</w:t>
      </w:r>
      <w:r>
        <w:fldChar w:fldCharType="end"/>
      </w:r>
      <w:r>
        <w:t xml:space="preserve"> </w:t>
      </w:r>
      <w:r w:rsidR="006554A8">
        <w:t>provides</w:t>
      </w:r>
      <w:r w:rsidR="00F3549D">
        <w:t xml:space="preserve"> an isometric </w:t>
      </w:r>
      <w:r w:rsidR="006554A8">
        <w:t>view</w:t>
      </w:r>
      <w:r w:rsidR="00F3549D">
        <w:t xml:space="preserve"> </w:t>
      </w:r>
      <w:r w:rsidR="006554A8">
        <w:t xml:space="preserve">and sectional detail </w:t>
      </w:r>
      <w:r w:rsidR="00F3549D">
        <w:t xml:space="preserve">of the test cell that contained the alloy </w:t>
      </w:r>
      <w:r w:rsidR="00F3549D" w:rsidRPr="00FE4887">
        <w:t>Neopentylgycol-30wt.%(d)Camphor</w:t>
      </w:r>
      <w:r w:rsidR="00F3549D">
        <w:t xml:space="preserve">. The alloy was contained in a central chamber and was viewed through a quartz window. This allowed for </w:t>
      </w:r>
      <w:r w:rsidR="006554A8">
        <w:t xml:space="preserve">image recording </w:t>
      </w:r>
      <w:r w:rsidR="006D0AC3">
        <w:t>at the macro</w:t>
      </w:r>
      <w:r w:rsidR="00F3549D">
        <w:t>scale of the sample window</w:t>
      </w:r>
      <w:r w:rsidR="006554A8">
        <w:t>. The nominal dimension</w:t>
      </w:r>
      <w:r w:rsidR="006D0AC3">
        <w:t>s</w:t>
      </w:r>
      <w:r w:rsidR="006554A8">
        <w:t xml:space="preserve"> of the cell chamber </w:t>
      </w:r>
      <w:r w:rsidR="007166AD">
        <w:t>were</w:t>
      </w:r>
      <w:r w:rsidR="006554A8">
        <w:t xml:space="preserve"> 10</w:t>
      </w:r>
      <w:r>
        <w:t xml:space="preserve"> </w:t>
      </w:r>
      <w:r w:rsidR="006554A8">
        <w:t xml:space="preserve">mm in the </w:t>
      </w:r>
      <w:r w:rsidR="006554A8" w:rsidRPr="00CE09BF">
        <w:rPr>
          <w:i/>
        </w:rPr>
        <w:t>x</w:t>
      </w:r>
      <w:r w:rsidR="006554A8">
        <w:t>-direction, 13</w:t>
      </w:r>
      <w:r>
        <w:t xml:space="preserve"> </w:t>
      </w:r>
      <w:r w:rsidR="006554A8">
        <w:t xml:space="preserve">mm in the </w:t>
      </w:r>
      <w:r w:rsidR="006554A8" w:rsidRPr="00CE09BF">
        <w:rPr>
          <w:i/>
        </w:rPr>
        <w:t>z</w:t>
      </w:r>
      <w:r w:rsidR="006554A8">
        <w:t>-direction, and 3</w:t>
      </w:r>
      <w:r>
        <w:t xml:space="preserve"> </w:t>
      </w:r>
      <w:r w:rsidR="006554A8">
        <w:t xml:space="preserve">mm in depth in the </w:t>
      </w:r>
      <w:r w:rsidR="006554A8" w:rsidRPr="00CE09BF">
        <w:rPr>
          <w:i/>
        </w:rPr>
        <w:t>y</w:t>
      </w:r>
      <w:r w:rsidR="006554A8">
        <w:t xml:space="preserve">-direction. The optical arrangement had a sufficient depth of field to capture nucleation events at all </w:t>
      </w:r>
      <w:r w:rsidR="00343EC0">
        <w:t>depths</w:t>
      </w:r>
      <w:r w:rsidR="006554A8">
        <w:t xml:space="preserve"> in the central chamber. </w:t>
      </w:r>
      <w:r w:rsidR="006D0AC3">
        <w:t xml:space="preserve">A </w:t>
      </w:r>
      <w:r w:rsidR="006554A8">
        <w:t xml:space="preserve">Peltier </w:t>
      </w:r>
      <w:r w:rsidR="00522521">
        <w:t>Element (PE) d</w:t>
      </w:r>
      <w:r w:rsidR="006554A8">
        <w:t>evice</w:t>
      </w:r>
      <w:r w:rsidR="006D0AC3">
        <w:t>,</w:t>
      </w:r>
      <w:r w:rsidR="006554A8">
        <w:t xml:space="preserve"> </w:t>
      </w:r>
      <w:r w:rsidR="00522521">
        <w:t xml:space="preserve">or </w:t>
      </w:r>
      <w:r w:rsidR="006554A8">
        <w:t>heating element</w:t>
      </w:r>
      <w:r w:rsidR="006D0AC3">
        <w:t>,</w:t>
      </w:r>
      <w:r w:rsidR="006554A8">
        <w:t xml:space="preserve"> </w:t>
      </w:r>
      <w:r w:rsidR="006D0AC3">
        <w:t>was</w:t>
      </w:r>
      <w:r w:rsidR="006554A8">
        <w:t xml:space="preserve"> installed</w:t>
      </w:r>
      <w:r w:rsidR="006D0AC3">
        <w:t xml:space="preserve"> at the top (hot side) and bottom (cold side) of the test cell creating a temperature gradient in the </w:t>
      </w:r>
      <w:r w:rsidR="006D0AC3" w:rsidRPr="006D0AC3">
        <w:rPr>
          <w:i/>
        </w:rPr>
        <w:t>x</w:t>
      </w:r>
      <w:r w:rsidR="006D0AC3">
        <w:t>-direction.</w:t>
      </w:r>
      <w:r w:rsidR="006554A8">
        <w:t xml:space="preserve"> </w:t>
      </w:r>
      <w:r w:rsidR="00343EC0">
        <w:t>A</w:t>
      </w:r>
      <w:r w:rsidR="006554A8">
        <w:t xml:space="preserve"> </w:t>
      </w:r>
      <w:r w:rsidR="00343EC0">
        <w:t xml:space="preserve">controlled </w:t>
      </w:r>
      <w:r w:rsidR="006554A8">
        <w:t xml:space="preserve">temperature difference </w:t>
      </w:r>
      <w:r w:rsidR="00343EC0">
        <w:t xml:space="preserve">was maintained between </w:t>
      </w:r>
      <w:r w:rsidR="006554A8">
        <w:t xml:space="preserve">the two </w:t>
      </w:r>
      <w:r w:rsidR="00522521">
        <w:t>PE devices</w:t>
      </w:r>
      <w:r w:rsidR="006554A8">
        <w:t xml:space="preserve"> </w:t>
      </w:r>
      <w:r w:rsidR="00EA77C1">
        <w:t xml:space="preserve">that gave a </w:t>
      </w:r>
      <w:r w:rsidR="006554A8">
        <w:t>thermal gradient</w:t>
      </w:r>
      <w:r w:rsidR="00EA77C1">
        <w:t xml:space="preserve"> of approximately, </w:t>
      </w:r>
      <w:r w:rsidR="00EA77C1">
        <w:rPr>
          <w:i/>
        </w:rPr>
        <w:t>G</w:t>
      </w:r>
      <w:r w:rsidR="00EA77C1">
        <w:rPr>
          <w:i/>
          <w:vertAlign w:val="subscript"/>
        </w:rPr>
        <w:t>x</w:t>
      </w:r>
      <w:r w:rsidR="00EA77C1">
        <w:t>=</w:t>
      </w:r>
      <w:r w:rsidR="006554A8">
        <w:t xml:space="preserve">0.3 </w:t>
      </w:r>
      <m:oMath>
        <m:r>
          <w:rPr>
            <w:rFonts w:ascii="Cambria Math" w:hAnsi="Cambria Math"/>
          </w:rPr>
          <m:t>±</m:t>
        </m:r>
      </m:oMath>
      <w:r w:rsidR="00343EC0">
        <w:t xml:space="preserve"> 0.1 </w:t>
      </w:r>
      <w:r w:rsidR="006554A8">
        <w:t xml:space="preserve">K/mm. </w:t>
      </w:r>
      <w:r w:rsidR="00343EC0">
        <w:t xml:space="preserve">Three Ni-CrNi thermocouples with diameter 0.25 mm were installed in the </w:t>
      </w:r>
      <w:r w:rsidR="00343EC0">
        <w:rPr>
          <w:i/>
        </w:rPr>
        <w:t>x-z</w:t>
      </w:r>
      <w:r w:rsidR="00343EC0">
        <w:t xml:space="preserve"> median plane </w:t>
      </w:r>
      <w:r w:rsidR="00343EC0" w:rsidRPr="007C383F">
        <w:t xml:space="preserve">of the cell </w:t>
      </w:r>
      <w:r w:rsidR="00343EC0" w:rsidRPr="00CF789F">
        <w:t xml:space="preserve">at positions </w:t>
      </w:r>
      <w:r w:rsidR="00343EC0" w:rsidRPr="00CF789F">
        <w:rPr>
          <w:i/>
        </w:rPr>
        <w:t>x</w:t>
      </w:r>
      <w:r w:rsidR="00343EC0" w:rsidRPr="00CF789F">
        <w:t>=1.4 mm, 4.9 mm, and 8.2 mm relative to the bottom of the cell</w:t>
      </w:r>
      <w:r w:rsidR="00EA77C1">
        <w:t xml:space="preserve"> chamber</w:t>
      </w:r>
      <w:r w:rsidR="00343EC0" w:rsidRPr="00CF789F">
        <w:t xml:space="preserve"> (</w:t>
      </w:r>
      <w:r w:rsidR="00343EC0" w:rsidRPr="00CF789F">
        <w:rPr>
          <w:i/>
        </w:rPr>
        <w:t>x=</w:t>
      </w:r>
      <w:r w:rsidR="00343EC0" w:rsidRPr="00CF789F">
        <w:t>0</w:t>
      </w:r>
      <w:r w:rsidR="00343EC0">
        <w:t xml:space="preserve"> mm</w:t>
      </w:r>
      <w:r w:rsidR="00343EC0" w:rsidRPr="00CF789F">
        <w:t xml:space="preserve">) </w:t>
      </w:r>
      <w:r w:rsidR="00343EC0" w:rsidRPr="007C383F">
        <w:t xml:space="preserve">and were </w:t>
      </w:r>
      <w:r w:rsidR="00343EC0">
        <w:t xml:space="preserve">directly in contact with the </w:t>
      </w:r>
      <w:r w:rsidR="00522521">
        <w:t xml:space="preserve">sample </w:t>
      </w:r>
      <w:r w:rsidR="00343EC0">
        <w:t xml:space="preserve">alloy material. </w:t>
      </w:r>
      <w:r w:rsidR="00522521">
        <w:t xml:space="preserve">The PE devices were cooled at a controlled rate of 0.75 K/min starting at approximately </w:t>
      </w:r>
      <w:r w:rsidR="00EA77C1" w:rsidRPr="00EA77C1">
        <w:rPr>
          <w:i/>
        </w:rPr>
        <w:t>t=</w:t>
      </w:r>
      <w:r w:rsidR="00522521">
        <w:t xml:space="preserve">220 s before rocket lift-off </w:t>
      </w:r>
      <w:r w:rsidR="00EA77C1">
        <w:t>(</w:t>
      </w:r>
      <w:r w:rsidR="00FA48E7">
        <w:t xml:space="preserve">defined as </w:t>
      </w:r>
      <w:r w:rsidR="00EA77C1" w:rsidRPr="00343EC0">
        <w:rPr>
          <w:i/>
        </w:rPr>
        <w:t>t</w:t>
      </w:r>
      <w:r w:rsidR="00EA77C1">
        <w:t xml:space="preserve"> = 0 s) which was</w:t>
      </w:r>
      <w:r w:rsidR="00522521">
        <w:t xml:space="preserve"> maintained </w:t>
      </w:r>
      <w:r w:rsidR="00EA77C1">
        <w:t>throughout</w:t>
      </w:r>
      <w:r w:rsidR="00522521">
        <w:t xml:space="preserve"> the microgravity phase of the flight. </w:t>
      </w:r>
      <w:r w:rsidR="00343EC0">
        <w:t>The microgravity period l</w:t>
      </w:r>
      <w:r w:rsidR="00EA77C1">
        <w:t>asted approximately 6 minutes</w:t>
      </w:r>
      <w:r w:rsidR="00343EC0">
        <w:t xml:space="preserve">, </w:t>
      </w:r>
      <w:r w:rsidR="00343EC0" w:rsidRPr="00F9026C">
        <w:t xml:space="preserve">from </w:t>
      </w:r>
      <w:r w:rsidR="00343EC0" w:rsidRPr="00F9026C">
        <w:rPr>
          <w:i/>
        </w:rPr>
        <w:t>t=</w:t>
      </w:r>
      <w:r w:rsidR="00343EC0" w:rsidRPr="00F9026C">
        <w:t xml:space="preserve">89 s to </w:t>
      </w:r>
      <w:r w:rsidR="00343EC0" w:rsidRPr="00F9026C">
        <w:rPr>
          <w:i/>
        </w:rPr>
        <w:t>t=</w:t>
      </w:r>
      <w:r w:rsidR="00343EC0" w:rsidRPr="00F9026C">
        <w:t>468 s</w:t>
      </w:r>
      <w:r w:rsidR="00EA77C1">
        <w:t xml:space="preserve">. </w:t>
      </w:r>
      <w:r w:rsidR="00343EC0">
        <w:t xml:space="preserve">The first nucleation event </w:t>
      </w:r>
      <w:r w:rsidR="00FA48E7">
        <w:t xml:space="preserve">was observed </w:t>
      </w:r>
      <w:r w:rsidR="00343EC0">
        <w:t xml:space="preserve">shortly after the </w:t>
      </w:r>
      <w:r w:rsidR="00EA77C1">
        <w:t>beginning of the microgravity period.</w:t>
      </w:r>
    </w:p>
    <w:p w14:paraId="1078AA37" w14:textId="77777777" w:rsidR="00A65273" w:rsidRDefault="00A65273" w:rsidP="0091027E">
      <w:pPr>
        <w:pStyle w:val="Heading2"/>
        <w:jc w:val="both"/>
      </w:pPr>
      <w:r>
        <w:t>Image data post-processing and characterisation</w:t>
      </w:r>
    </w:p>
    <w:p w14:paraId="677A6447" w14:textId="17B520FC" w:rsidR="00522521" w:rsidRDefault="00522521" w:rsidP="00BF091E">
      <w:pPr>
        <w:pStyle w:val="Newparagraph"/>
        <w:ind w:firstLine="0"/>
      </w:pPr>
      <w:r>
        <w:t xml:space="preserve">The overview digital images were captured with a field of view (FoV) 13.6 mm wide by 10.9 mm high (1280 × 1024 pixels in size, giving an optical resolution of 10.625 </w:t>
      </w:r>
      <w:r w:rsidRPr="0098543D">
        <w:rPr>
          <w:rFonts w:ascii="Symbol" w:hAnsi="Symbol"/>
        </w:rPr>
        <w:t></w:t>
      </w:r>
      <w:r>
        <w:t>m/pixel). Images were recorded in 8-bit grayscale and at 10 frames per second.</w:t>
      </w:r>
      <w:r w:rsidRPr="00343EC0">
        <w:t xml:space="preserve"> </w:t>
      </w:r>
      <w:r>
        <w:t>The optical arr</w:t>
      </w:r>
      <w:r w:rsidR="00BF091E">
        <w:t>angement had a sufficient depth-of-</w:t>
      </w:r>
      <w:r>
        <w:t>field to capture nucleation events at all depths</w:t>
      </w:r>
      <w:r w:rsidR="00BF091E">
        <w:t xml:space="preserve"> (3mm) in the central chamber. </w:t>
      </w:r>
      <w:r>
        <w:t xml:space="preserve">A second optical arrangement was installed to provide higher magnification </w:t>
      </w:r>
      <w:r w:rsidRPr="00702398">
        <w:rPr>
          <w:i/>
        </w:rPr>
        <w:t>in-situ</w:t>
      </w:r>
      <w:r>
        <w:t xml:space="preserve"> microscopic detail at the scale of individual dendrites. </w:t>
      </w:r>
      <w:r w:rsidR="007166AD">
        <w:t>Specific outputs from</w:t>
      </w:r>
      <w:r>
        <w:t xml:space="preserve"> this </w:t>
      </w:r>
      <w:r w:rsidR="007166AD">
        <w:t xml:space="preserve">higher magnification </w:t>
      </w:r>
      <w:r>
        <w:t xml:space="preserve">arrangement </w:t>
      </w:r>
      <w:r w:rsidR="007166AD">
        <w:t>are</w:t>
      </w:r>
      <w:r>
        <w:t xml:space="preserve"> reported </w:t>
      </w:r>
      <w:r w:rsidR="007166AD">
        <w:t>in reference</w:t>
      </w:r>
      <w:r>
        <w:t xml:space="preserve"> </w:t>
      </w:r>
      <w:r>
        <w:fldChar w:fldCharType="begin" w:fldLock="1"/>
      </w:r>
      <w:r w:rsidR="0013413C">
        <w:instrText>ADDIN CSL_CITATION { "citationItems" : [ { "id" : "ITEM-1", "itemData" : { "author" : [ { "dropping-particle" : "", "family" : "Sturz", "given" : "Laszlo", "non-dropping-particle" : "", "parse-names" : false, "suffix" : "" }, { "dropping-particle" : "", "family" : "Hamacher", "given" : "Martin", "non-dropping-particle" : "", "parse-names" : false, "suffix" : "" }, { "dropping-particle" : "", "family" : "Zimmermann", "given" : "Gerhard", "non-dropping-particle" : "", "parse-names" : false, "suffix" : "" } ], "container-title" : "6th Decennial International Conference on Solidification Processing", "editor" : [ { "dropping-particle" : "", "family" : "Fan", "given" : "Z.", "non-dropping-particle" : "", "parse-names" : false, "suffix" : "" } ], "id" : "ITEM-1", "issued" : { "date-parts" : [ [ "2017" ] ] }, "page" : "300-303", "title" : "In-situ observation of equiaxed dendritic growth and interaction in microgravity", "type" : "paper-conference" }, "uris" : [ "http://www.mendeley.com/documents/?uuid=10dfd52c-c54b-47fe-8d21-23f33109a4c4" ] } ], "mendeley" : { "formattedCitation" : "[25]", "plainTextFormattedCitation" : "[25]", "previouslyFormattedCitation" : "[25]" }, "properties" : {  }, "schema" : "https://github.com/citation-style-language/schema/raw/master/csl-citation.json" }</w:instrText>
      </w:r>
      <w:r>
        <w:fldChar w:fldCharType="separate"/>
      </w:r>
      <w:r w:rsidRPr="00343EC0">
        <w:rPr>
          <w:noProof/>
        </w:rPr>
        <w:t>[25]</w:t>
      </w:r>
      <w:r>
        <w:fldChar w:fldCharType="end"/>
      </w:r>
      <w:r>
        <w:t>.</w:t>
      </w:r>
    </w:p>
    <w:p w14:paraId="2969AE68" w14:textId="634BCDA7" w:rsidR="00702398" w:rsidRDefault="005F2A0B" w:rsidP="00121A5F">
      <w:pPr>
        <w:pStyle w:val="Paragraph"/>
        <w:keepNext/>
        <w:jc w:val="center"/>
      </w:pPr>
      <w:r>
        <w:rPr>
          <w:noProof/>
          <w:sz w:val="16"/>
          <w:szCs w:val="16"/>
        </w:rPr>
        <w:drawing>
          <wp:inline distT="0" distB="0" distL="0" distR="0" wp14:anchorId="6E1D7082" wp14:editId="0663CA75">
            <wp:extent cx="5760720" cy="1524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igure6_t270s-t370-t460.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1524000"/>
                    </a:xfrm>
                    <a:prstGeom prst="rect">
                      <a:avLst/>
                    </a:prstGeom>
                  </pic:spPr>
                </pic:pic>
              </a:graphicData>
            </a:graphic>
          </wp:inline>
        </w:drawing>
      </w:r>
    </w:p>
    <w:p w14:paraId="56549A88" w14:textId="053142E2" w:rsidR="00702398" w:rsidRPr="00FA1D4C" w:rsidRDefault="00702398" w:rsidP="00121A5F">
      <w:pPr>
        <w:pStyle w:val="Caption"/>
        <w:jc w:val="center"/>
      </w:pPr>
      <w:bookmarkStart w:id="32" w:name="_Ref496280132"/>
      <w:r w:rsidRPr="00FA1D4C">
        <w:t xml:space="preserve">Figure </w:t>
      </w:r>
      <w:r w:rsidR="00AD5590">
        <w:fldChar w:fldCharType="begin"/>
      </w:r>
      <w:r w:rsidR="00AD5590">
        <w:instrText xml:space="preserve"> SEQ Figure \* ARABIC </w:instrText>
      </w:r>
      <w:r w:rsidR="00AD5590">
        <w:fldChar w:fldCharType="separate"/>
      </w:r>
      <w:r w:rsidR="002637FB">
        <w:rPr>
          <w:noProof/>
        </w:rPr>
        <w:t>6</w:t>
      </w:r>
      <w:r w:rsidR="00AD5590">
        <w:rPr>
          <w:noProof/>
        </w:rPr>
        <w:fldChar w:fldCharType="end"/>
      </w:r>
      <w:bookmarkEnd w:id="32"/>
      <w:r w:rsidRPr="00FA1D4C">
        <w:t>: Polycrystalline Equiaxed nucleation</w:t>
      </w:r>
      <w:r w:rsidR="00121A5F">
        <w:t xml:space="preserve"> at 270 s, 370 s and 460 </w:t>
      </w:r>
      <w:r w:rsidR="003F714E">
        <w:t>s after lift-off</w:t>
      </w:r>
      <w:r w:rsidR="00121A5F">
        <w:t xml:space="preserve">, from left-to-right, </w:t>
      </w:r>
      <w:r w:rsidR="003F714E">
        <w:t>respectively</w:t>
      </w:r>
      <w:r w:rsidR="005F2A0B">
        <w:t>.</w:t>
      </w:r>
    </w:p>
    <w:p w14:paraId="547956BD" w14:textId="19EEC3A4" w:rsidR="00A03E42" w:rsidRPr="00BC4933" w:rsidRDefault="00A03E42" w:rsidP="00A03E42">
      <w:pPr>
        <w:pStyle w:val="Newparagraph"/>
      </w:pPr>
      <w:r>
        <w:lastRenderedPageBreak/>
        <w:fldChar w:fldCharType="begin"/>
      </w:r>
      <w:r>
        <w:instrText xml:space="preserve"> REF _Ref496280132 \h </w:instrText>
      </w:r>
      <w:r>
        <w:fldChar w:fldCharType="separate"/>
      </w:r>
      <w:r w:rsidR="002637FB" w:rsidRPr="00FA1D4C">
        <w:t xml:space="preserve">Figure </w:t>
      </w:r>
      <w:r w:rsidR="002637FB">
        <w:rPr>
          <w:noProof/>
        </w:rPr>
        <w:t>6</w:t>
      </w:r>
      <w:r>
        <w:fldChar w:fldCharType="end"/>
      </w:r>
      <w:r>
        <w:t xml:space="preserve"> shows three images recorded at different times during in the microgravity phase of the experimental flight. Polycrystalline equiaxed nucleation and growth </w:t>
      </w:r>
      <w:r w:rsidR="007166AD">
        <w:t>wa</w:t>
      </w:r>
      <w:r>
        <w:t xml:space="preserve">s observed, starting at the cold end and progressing towards the hot end of the sample in the </w:t>
      </w:r>
      <w:r w:rsidRPr="00AF2057">
        <w:rPr>
          <w:i/>
        </w:rPr>
        <w:t>x</w:t>
      </w:r>
      <w:r>
        <w:t xml:space="preserve">-direction. The solid black items to the right of each image are the thermocouples. No thermocouple data on the lateral temperature gradient </w:t>
      </w:r>
      <w:r>
        <w:rPr>
          <w:i/>
        </w:rPr>
        <w:t>G</w:t>
      </w:r>
      <w:r>
        <w:rPr>
          <w:i/>
          <w:vertAlign w:val="subscript"/>
        </w:rPr>
        <w:t>z</w:t>
      </w:r>
      <w:r>
        <w:t xml:space="preserve"> was obtainable; however, the images showed uniform nucleation progressing in the </w:t>
      </w:r>
      <w:r w:rsidRPr="00AF2057">
        <w:rPr>
          <w:i/>
        </w:rPr>
        <w:t>x</w:t>
      </w:r>
      <w:r>
        <w:t xml:space="preserve">-direction. Hence, it was assumed that </w:t>
      </w:r>
      <w:r>
        <w:rPr>
          <w:i/>
        </w:rPr>
        <w:t>G</w:t>
      </w:r>
      <w:r>
        <w:rPr>
          <w:i/>
          <w:vertAlign w:val="subscript"/>
        </w:rPr>
        <w:t>z</w:t>
      </w:r>
      <w:r>
        <w:rPr>
          <w:i/>
        </w:rPr>
        <w:t xml:space="preserve"> </w:t>
      </w:r>
      <w:r>
        <w:t>was negligible and could be ignored.</w:t>
      </w:r>
    </w:p>
    <w:p w14:paraId="06B92994" w14:textId="4DA831F3" w:rsidR="00702398" w:rsidRDefault="00522521" w:rsidP="00A03E42">
      <w:pPr>
        <w:pStyle w:val="Newparagraph"/>
      </w:pPr>
      <w:r>
        <w:t>The time</w:t>
      </w:r>
      <w:r w:rsidR="00BC4933">
        <w:t>s</w:t>
      </w:r>
      <w:r>
        <w:t xml:space="preserve"> and location</w:t>
      </w:r>
      <w:r w:rsidR="00BC4933">
        <w:t>s</w:t>
      </w:r>
      <w:r>
        <w:t xml:space="preserve"> of the appearance </w:t>
      </w:r>
      <w:r w:rsidR="00BC4933">
        <w:t>(</w:t>
      </w:r>
      <w:r w:rsidR="00397EDD">
        <w:t xml:space="preserve">i.e., </w:t>
      </w:r>
      <w:r w:rsidR="00BC4933">
        <w:t xml:space="preserve">the </w:t>
      </w:r>
      <w:r w:rsidR="00397EDD">
        <w:t xml:space="preserve">observed </w:t>
      </w:r>
      <w:r w:rsidR="00BC4933">
        <w:t>nucleation event) of</w:t>
      </w:r>
      <w:r>
        <w:t xml:space="preserve"> each equiaxed </w:t>
      </w:r>
      <w:r w:rsidR="00BC4933">
        <w:t>crystal</w:t>
      </w:r>
      <w:r>
        <w:t xml:space="preserve"> w</w:t>
      </w:r>
      <w:r w:rsidR="008B5FBE">
        <w:t>ere</w:t>
      </w:r>
      <w:r>
        <w:t xml:space="preserve"> recorded. The temperature </w:t>
      </w:r>
      <w:r w:rsidR="00397EDD">
        <w:t>for</w:t>
      </w:r>
      <w:r>
        <w:t xml:space="preserve"> each nucleation event, </w:t>
      </w:r>
      <w:r w:rsidRPr="00430150">
        <w:rPr>
          <w:i/>
        </w:rPr>
        <w:t>T</w:t>
      </w:r>
      <w:r>
        <w:rPr>
          <w:i/>
          <w:vertAlign w:val="subscript"/>
        </w:rPr>
        <w:t>event</w:t>
      </w:r>
      <w:r>
        <w:t xml:space="preserve">, was estimated by linear interpolation (or extrapolation) of the temperatures measured at the two nearest thermocouples to the event </w:t>
      </w:r>
      <w:r w:rsidR="008B5FBE">
        <w:t>location</w:t>
      </w:r>
      <w:r>
        <w:t xml:space="preserve">; either TC1 and TC2 for events occurring in the upper half of the window, or TC2 and TC3 for events occurring in the lower half of the window. The corresponding </w:t>
      </w:r>
      <w:r w:rsidRPr="00CF789F">
        <w:t>nucleation undercooling</w:t>
      </w:r>
      <w:r>
        <w:t xml:space="preserve"> was given by: </w:t>
      </w:r>
      <w:r w:rsidRPr="001A72A2">
        <w:rPr>
          <w:rFonts w:ascii="Symbol" w:hAnsi="Symbol"/>
        </w:rPr>
        <w:t></w:t>
      </w:r>
      <w:r w:rsidRPr="00430150">
        <w:rPr>
          <w:i/>
        </w:rPr>
        <w:t>T</w:t>
      </w:r>
      <w:r w:rsidRPr="00430150">
        <w:rPr>
          <w:i/>
          <w:vertAlign w:val="subscript"/>
        </w:rPr>
        <w:t>nuc</w:t>
      </w:r>
      <w:r>
        <w:t>=</w:t>
      </w:r>
      <w:r w:rsidRPr="00CF789F">
        <w:rPr>
          <w:i/>
        </w:rPr>
        <w:t>T</w:t>
      </w:r>
      <w:r w:rsidRPr="00CF789F">
        <w:rPr>
          <w:i/>
          <w:vertAlign w:val="subscript"/>
        </w:rPr>
        <w:t>L</w:t>
      </w:r>
      <w:r>
        <w:t>–</w:t>
      </w:r>
      <w:r w:rsidRPr="00430150">
        <w:rPr>
          <w:i/>
        </w:rPr>
        <w:t>T</w:t>
      </w:r>
      <w:r>
        <w:rPr>
          <w:i/>
          <w:vertAlign w:val="subscript"/>
        </w:rPr>
        <w:t>event</w:t>
      </w:r>
      <w:r>
        <w:t>.</w:t>
      </w:r>
      <w:r w:rsidRPr="00CF789F">
        <w:t xml:space="preserve"> </w:t>
      </w:r>
    </w:p>
    <w:p w14:paraId="087CC1E6" w14:textId="0C3C7539" w:rsidR="00E075F2" w:rsidRDefault="004C465E" w:rsidP="003D5B81">
      <w:pPr>
        <w:pStyle w:val="Newparagraph"/>
        <w:keepNext/>
        <w:ind w:firstLine="0"/>
        <w:jc w:val="center"/>
      </w:pPr>
      <w:r>
        <w:rPr>
          <w:noProof/>
        </w:rPr>
        <w:drawing>
          <wp:inline distT="0" distB="0" distL="0" distR="0" wp14:anchorId="0669C5B5" wp14:editId="0E9E7E40">
            <wp:extent cx="3240024" cy="2584704"/>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7_thresholding-01.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40024" cy="2584704"/>
                    </a:xfrm>
                    <a:prstGeom prst="rect">
                      <a:avLst/>
                    </a:prstGeom>
                  </pic:spPr>
                </pic:pic>
              </a:graphicData>
            </a:graphic>
          </wp:inline>
        </w:drawing>
      </w:r>
    </w:p>
    <w:p w14:paraId="352751B2" w14:textId="2B3C2DF2" w:rsidR="00BC4933" w:rsidRPr="00FA1D4C" w:rsidRDefault="00E075F2" w:rsidP="003D5B81">
      <w:pPr>
        <w:pStyle w:val="Caption"/>
        <w:jc w:val="center"/>
      </w:pPr>
      <w:bookmarkStart w:id="33" w:name="_Ref496282204"/>
      <w:r w:rsidRPr="00FA1D4C">
        <w:t xml:space="preserve">Figure </w:t>
      </w:r>
      <w:r w:rsidR="00AD5590">
        <w:fldChar w:fldCharType="begin"/>
      </w:r>
      <w:r w:rsidR="00AD5590">
        <w:instrText xml:space="preserve"> SEQ Figure \* ARABIC </w:instrText>
      </w:r>
      <w:r w:rsidR="00AD5590">
        <w:fldChar w:fldCharType="separate"/>
      </w:r>
      <w:r w:rsidR="002637FB">
        <w:rPr>
          <w:noProof/>
        </w:rPr>
        <w:t>7</w:t>
      </w:r>
      <w:r w:rsidR="00AD5590">
        <w:rPr>
          <w:noProof/>
        </w:rPr>
        <w:fldChar w:fldCharType="end"/>
      </w:r>
      <w:bookmarkEnd w:id="33"/>
      <w:r w:rsidRPr="00FA1D4C">
        <w:t>: Colour mapped image in preparation for threshold analysis and area fraction calculation</w:t>
      </w:r>
      <w:r w:rsidR="003D5B81">
        <w:t>.</w:t>
      </w:r>
    </w:p>
    <w:p w14:paraId="094D5F0E" w14:textId="4D1C6400" w:rsidR="00E075F2" w:rsidRDefault="00E075F2" w:rsidP="00397EDD">
      <w:pPr>
        <w:pStyle w:val="Newparagraph"/>
        <w:ind w:firstLine="0"/>
      </w:pPr>
      <w:r>
        <w:t>Projected area of the crystal growth was determined</w:t>
      </w:r>
      <w:r w:rsidRPr="009F0C34">
        <w:t xml:space="preserve"> </w:t>
      </w:r>
      <w:r w:rsidR="003D5B81">
        <w:t>in</w:t>
      </w:r>
      <w:r>
        <w:t xml:space="preserve"> </w:t>
      </w:r>
      <w:r w:rsidR="003D5B81">
        <w:t xml:space="preserve">frame-by-frame </w:t>
      </w:r>
      <w:r>
        <w:t xml:space="preserve">post-processing </w:t>
      </w:r>
      <w:r w:rsidR="003D5B81">
        <w:t>of recorded</w:t>
      </w:r>
      <w:r w:rsidRPr="009F0C34">
        <w:t xml:space="preserve"> images</w:t>
      </w:r>
      <w:r>
        <w:t xml:space="preserve">. </w:t>
      </w:r>
      <w:r w:rsidR="003D5B81">
        <w:t>T</w:t>
      </w:r>
      <w:r>
        <w:t>hreshold</w:t>
      </w:r>
      <w:r w:rsidR="003D5B81">
        <w:t>ing image analysis</w:t>
      </w:r>
      <w:r>
        <w:t xml:space="preserve"> was </w:t>
      </w:r>
      <w:r w:rsidR="00EA253B">
        <w:t>used</w:t>
      </w:r>
      <w:r>
        <w:t xml:space="preserve"> </w:t>
      </w:r>
      <w:r w:rsidR="003D5B81">
        <w:t xml:space="preserve">to determine the area fraction; </w:t>
      </w:r>
      <w:r>
        <w:t>all observed equiaxed crystals were included in the area estimation.</w:t>
      </w:r>
      <w:r w:rsidR="00EA253B" w:rsidRPr="00EA253B">
        <w:t xml:space="preserve"> </w:t>
      </w:r>
      <w:r w:rsidR="003D5B81">
        <w:t>T</w:t>
      </w:r>
      <w:r w:rsidR="00EA253B">
        <w:t xml:space="preserve">he </w:t>
      </w:r>
      <w:r w:rsidR="003D5B81">
        <w:t xml:space="preserve">viewing window frame and </w:t>
      </w:r>
      <w:r w:rsidR="00EA253B">
        <w:t>thermocouples features</w:t>
      </w:r>
      <w:r w:rsidR="003D5B81">
        <w:t xml:space="preserve"> were excluded from this </w:t>
      </w:r>
      <w:r w:rsidR="00E12675">
        <w:t>estimation</w:t>
      </w:r>
      <w:r w:rsidR="00EA253B">
        <w:t>.</w:t>
      </w:r>
      <w:r>
        <w:t xml:space="preserve"> The global projected area of equiaxed mush, i.e., the total area of mush divided by the entire observation window</w:t>
      </w:r>
      <w:r w:rsidR="003D5B81">
        <w:t xml:space="preserve"> area</w:t>
      </w:r>
      <w:r>
        <w:t xml:space="preserve">, was then calculated </w:t>
      </w:r>
      <w:r w:rsidR="002F5E7F">
        <w:t xml:space="preserve">as an area fraction </w:t>
      </w:r>
      <w:r>
        <w:t xml:space="preserve">and plotted against time. </w:t>
      </w:r>
      <w:r w:rsidR="003D5B81">
        <w:fldChar w:fldCharType="begin"/>
      </w:r>
      <w:r w:rsidR="003D5B81">
        <w:instrText xml:space="preserve"> REF _Ref496282204 \h </w:instrText>
      </w:r>
      <w:r w:rsidR="003D5B81">
        <w:fldChar w:fldCharType="separate"/>
      </w:r>
      <w:r w:rsidR="002637FB" w:rsidRPr="00FA1D4C">
        <w:t xml:space="preserve">Figure </w:t>
      </w:r>
      <w:r w:rsidR="002637FB">
        <w:rPr>
          <w:noProof/>
        </w:rPr>
        <w:t>7</w:t>
      </w:r>
      <w:r w:rsidR="003D5B81">
        <w:fldChar w:fldCharType="end"/>
      </w:r>
      <w:r w:rsidR="003D5B81">
        <w:t xml:space="preserve"> </w:t>
      </w:r>
      <w:r>
        <w:t xml:space="preserve">shows an example of a frame image </w:t>
      </w:r>
      <w:r w:rsidR="00FA48E7">
        <w:t>used in the</w:t>
      </w:r>
      <w:r w:rsidR="007166AD">
        <w:t xml:space="preserve"> </w:t>
      </w:r>
      <w:r w:rsidR="005C40AB">
        <w:t>threshold</w:t>
      </w:r>
      <w:r w:rsidR="007166AD">
        <w:t xml:space="preserve"> operation</w:t>
      </w:r>
      <w:r>
        <w:t xml:space="preserve">. </w:t>
      </w:r>
      <w:r w:rsidR="0089092B">
        <w:t xml:space="preserve">Untransformed region is easily identified by its grey colour. </w:t>
      </w:r>
      <w:r>
        <w:t xml:space="preserve">The issue of over-projection is apparent </w:t>
      </w:r>
      <w:r w:rsidR="00F03E6B">
        <w:t>at the colder, lower region of the</w:t>
      </w:r>
      <w:r>
        <w:t xml:space="preserve"> sample</w:t>
      </w:r>
      <w:r w:rsidR="00F03E6B">
        <w:t xml:space="preserve"> </w:t>
      </w:r>
      <w:r w:rsidR="0089092B">
        <w:t>where,</w:t>
      </w:r>
      <w:r w:rsidR="00F03E6B">
        <w:t xml:space="preserve"> collectively, individual crystals present themselves as a coherent entity on the projected image</w:t>
      </w:r>
      <w:r>
        <w:t>.</w:t>
      </w:r>
    </w:p>
    <w:p w14:paraId="78444DE9" w14:textId="7C2B5BC9" w:rsidR="00A65273" w:rsidRDefault="00B328FB" w:rsidP="0091027E">
      <w:pPr>
        <w:pStyle w:val="Heading2"/>
        <w:jc w:val="both"/>
      </w:pPr>
      <w:r>
        <w:t>Thermal m</w:t>
      </w:r>
      <w:r w:rsidR="00A65273">
        <w:t xml:space="preserve">odel application </w:t>
      </w:r>
    </w:p>
    <w:p w14:paraId="6F6DDBD4" w14:textId="555D583E" w:rsidR="00290164" w:rsidRDefault="00290164" w:rsidP="00947142">
      <w:pPr>
        <w:pStyle w:val="Paragraph"/>
      </w:pPr>
      <w:r>
        <w:lastRenderedPageBreak/>
        <w:t>A</w:t>
      </w:r>
      <w:r w:rsidR="00F03E6B">
        <w:t>s mentioned, a</w:t>
      </w:r>
      <w:r>
        <w:t xml:space="preserve"> full thermal characterisation of the MEDI experiment with detailed </w:t>
      </w:r>
      <w:r w:rsidR="00DF329B">
        <w:t xml:space="preserve">numerical scheme </w:t>
      </w:r>
      <w:r>
        <w:t>verification was reported</w:t>
      </w:r>
      <w:r w:rsidR="0040729B">
        <w:t xml:space="preserve"> in </w:t>
      </w:r>
      <w:r w:rsidR="0040729B">
        <w:fldChar w:fldCharType="begin" w:fldLock="1"/>
      </w:r>
      <w:r w:rsidR="009049F4">
        <w:instrText>ADDIN CSL_CITATION { "citationItems" : [ { "id" : "ITEM-1", "itemData" : { "DOI" : "10.1016/J.IJTHERMALSCI.2017.11.032", "ISSN" : "1290-0729", "abstract" : "The Multiple Equiaxed Dendrite Interaction (MEDI) experiment was launched on the MASER-13 sounding rocket campaign to investigate polycrystalline equiaxed solidification in the transparent phase change material Neopentylgycol-30wt.%(d)Camphor. This material is of interest as an energy-storage material and as a transparent analogue system of solidification in hypoeutectic metal alloys with a Face Centred Cubic lattice. The liquid sample was cooled under a controlled rate of 0.75\u00a0K/min with sufficient time to allow semi-solid conditions to develop under microgravity conditions with the absence of gravity-driven convection. This manuscript provides details on the experimental apparatus and procedures. In addition, the experimental method has been augmented with a numerical model to assist with the characterisation of the essential thermal aspects of the experiment. The model followed a volume-averaging, continuum approach for mushy-zone development. A fast algorithm for computing non-isothermal crystallisation kinetics was applied to the case of binary alloy solidification. To build confidence, a formal numerical verification procedure was performed. The model converged sufficiently with second order accuracy as expected. Application of the model gave close agreement between experimental thermocouple readings and numerical simulation data with a Root Mean Square of 0.2\u00a0K for the error. A 2D thermal model is sufficient with a suitable heat loss coefficient at the sample-viewing window boundary. Thermal gradients within the sample and along the growth direction were uniform and approximately 0.3\u00a0K/mm. Lateral thermal gradients in the sample ranged from zero at the median plane to 0.3\u00a0K/mm at the boundary with the containing structure. However, temperature variation in the lateral direction was predicted to be less than 0.22\u00a0K.", "author" : [ { "dropping-particle" : "", "family" : "Mooney", "given" : "Robin P.", "non-dropping-particle" : "", "parse-names" : false, "suffix" : "" }, { "dropping-particle" : "", "family" : "Sturz", "given" : "Laszlo", "non-dropping-particle" : "", "parse-names" : false, "suffix" : "" }, { "dropping-particle" : "", "family" : "Zimmermann", "given" : "Gerhard", "non-dropping-particle" : "", "parse-names" : false, "suffix" : "" }, { "dropping-particle" : "", "family" : "McFadden", "given" : "Shaun", "non-dropping-particle" : "", "parse-names" : false, "suffix" : "" } ], "container-title" : "International Journal of Thermal Sciences", "id" : "ITEM-1", "issued" : { "date-parts" : [ [ "2018", "3", "1" ] ] }, "page" : "283-292", "publisher" : "Elsevier Masson", "title" : "Thermal characterisation with modelling for a microgravity experiment into polycrystalline equiaxed dendritic solidification with in-situ observation", "type" : "article-journal", "volume" : "125" }, "uris" : [ "http://www.mendeley.com/documents/?uuid=450b8cb6-8509-330d-8318-bc3d351d5cd4" ] } ], "mendeley" : { "formattedCitation" : "[32]", "plainTextFormattedCitation" : "[32]", "previouslyFormattedCitation" : "[32]" }, "properties" : {  }, "schema" : "https://github.com/citation-style-language/schema/raw/master/csl-citation.json" }</w:instrText>
      </w:r>
      <w:r w:rsidR="0040729B">
        <w:fldChar w:fldCharType="separate"/>
      </w:r>
      <w:r w:rsidR="0013413C" w:rsidRPr="0013413C">
        <w:rPr>
          <w:noProof/>
        </w:rPr>
        <w:t>[32]</w:t>
      </w:r>
      <w:r w:rsidR="0040729B">
        <w:fldChar w:fldCharType="end"/>
      </w:r>
      <w:r w:rsidR="0040729B">
        <w:t>.</w:t>
      </w:r>
      <w:r w:rsidR="00240D6B">
        <w:t xml:space="preserve"> In summary, equation</w:t>
      </w:r>
      <w:r>
        <w:t xml:space="preserve"> </w:t>
      </w:r>
      <w:r w:rsidR="00240D6B">
        <w:fldChar w:fldCharType="begin"/>
      </w:r>
      <w:r w:rsidR="00240D6B">
        <w:instrText xml:space="preserve"> REF heat_equation_expanded \h </w:instrText>
      </w:r>
      <w:r w:rsidR="00240D6B">
        <w:fldChar w:fldCharType="separate"/>
      </w:r>
      <w:r w:rsidR="00AE6B98">
        <w:t>(</w:t>
      </w:r>
      <w:r w:rsidR="00AE6B98">
        <w:rPr>
          <w:noProof/>
        </w:rPr>
        <w:t>33</w:t>
      </w:r>
      <w:r w:rsidR="00AE6B98">
        <w:t>)</w:t>
      </w:r>
      <w:r w:rsidR="00240D6B">
        <w:fldChar w:fldCharType="end"/>
      </w:r>
      <w:r w:rsidR="00240D6B">
        <w:t xml:space="preserve"> </w:t>
      </w:r>
      <w:r>
        <w:t xml:space="preserve">was applied to the </w:t>
      </w:r>
      <w:r w:rsidR="00240D6B">
        <w:t xml:space="preserve">sample domain in two dimensions </w:t>
      </w:r>
      <w:r w:rsidR="00655DD3">
        <w:t>(</w:t>
      </w:r>
      <w:r w:rsidR="00655DD3" w:rsidRPr="00240D6B">
        <w:rPr>
          <w:i/>
        </w:rPr>
        <w:t>x</w:t>
      </w:r>
      <w:r w:rsidR="00655DD3">
        <w:t xml:space="preserve"> and </w:t>
      </w:r>
      <w:r w:rsidR="00655DD3" w:rsidRPr="00240D6B">
        <w:rPr>
          <w:i/>
        </w:rPr>
        <w:t>y</w:t>
      </w:r>
      <w:r w:rsidR="00655DD3">
        <w:t>)</w:t>
      </w:r>
      <w:r>
        <w:t xml:space="preserve">. This allowed the temperature to vary in these directions, </w:t>
      </w:r>
      <w:r w:rsidR="00655DD3">
        <w:t>thereby</w:t>
      </w:r>
      <w:r>
        <w:t xml:space="preserve"> permitting temperature gradients in the </w:t>
      </w:r>
      <w:r w:rsidR="00655DD3">
        <w:t>initial analysis</w:t>
      </w:r>
      <w:r>
        <w:t xml:space="preserve">. </w:t>
      </w:r>
      <w:r w:rsidR="00240D6B">
        <w:t xml:space="preserve">Type I (Dirichlet) boundary conditions were </w:t>
      </w:r>
      <w:r w:rsidR="0089092B">
        <w:t>determined for</w:t>
      </w:r>
      <w:r w:rsidR="00240D6B">
        <w:t xml:space="preserve"> the top (</w:t>
      </w:r>
      <w:r w:rsidR="00240D6B" w:rsidRPr="00240D6B">
        <w:rPr>
          <w:i/>
        </w:rPr>
        <w:t>x=H</w:t>
      </w:r>
      <w:r w:rsidR="00240D6B">
        <w:t>) and bottom (</w:t>
      </w:r>
      <w:r w:rsidR="00240D6B" w:rsidRPr="00240D6B">
        <w:rPr>
          <w:i/>
        </w:rPr>
        <w:t>x=</w:t>
      </w:r>
      <w:r w:rsidR="00240D6B">
        <w:t xml:space="preserve">0) of the sample </w:t>
      </w:r>
      <w:r w:rsidR="00D83363">
        <w:t>domain and</w:t>
      </w:r>
      <w:r w:rsidR="00240D6B">
        <w:t xml:space="preserve"> T</w:t>
      </w:r>
      <w:r>
        <w:t xml:space="preserve">ype III </w:t>
      </w:r>
      <w:r w:rsidR="00240D6B">
        <w:t>(</w:t>
      </w:r>
      <w:r>
        <w:t>Robin</w:t>
      </w:r>
      <w:r w:rsidR="00240D6B">
        <w:t>)</w:t>
      </w:r>
      <w:r>
        <w:t xml:space="preserve"> boundary conditions </w:t>
      </w:r>
      <w:r w:rsidR="00D83363">
        <w:t>were</w:t>
      </w:r>
      <w:r>
        <w:t xml:space="preserve"> </w:t>
      </w:r>
      <w:r w:rsidR="0089092B">
        <w:t>determined for</w:t>
      </w:r>
      <w:r w:rsidR="00240D6B">
        <w:t xml:space="preserve"> the </w:t>
      </w:r>
      <w:r w:rsidR="00D83363">
        <w:t xml:space="preserve">domain </w:t>
      </w:r>
      <w:r w:rsidR="00240D6B">
        <w:t>interface with the quartz-glass window (</w:t>
      </w:r>
      <w:r w:rsidR="00240D6B" w:rsidRPr="00240D6B">
        <w:rPr>
          <w:i/>
        </w:rPr>
        <w:t>y=D</w:t>
      </w:r>
      <w:r w:rsidR="00240D6B">
        <w:t>/2)</w:t>
      </w:r>
      <w:r w:rsidR="00DF329B">
        <w:t xml:space="preserve">. </w:t>
      </w:r>
      <w:r w:rsidR="0089092B">
        <w:t>Assuming</w:t>
      </w:r>
      <w:r w:rsidR="00DF329B">
        <w:t xml:space="preserve"> symmetry of the sample in the median </w:t>
      </w:r>
      <w:r w:rsidR="00DF329B" w:rsidRPr="00DB2F82">
        <w:rPr>
          <w:i/>
        </w:rPr>
        <w:t>x-z</w:t>
      </w:r>
      <w:r w:rsidR="00AD3D8C">
        <w:t xml:space="preserve"> plane</w:t>
      </w:r>
      <w:r w:rsidR="00DF329B">
        <w:t xml:space="preserve">, </w:t>
      </w:r>
      <w:r w:rsidR="00DB2F82">
        <w:t>a</w:t>
      </w:r>
      <w:r w:rsidR="00DF329B">
        <w:t>n adiabatic boundary condition was applied at</w:t>
      </w:r>
      <w:r w:rsidR="00DB2F82">
        <w:t xml:space="preserve"> the cell centre (</w:t>
      </w:r>
      <w:r w:rsidR="00DB2F82" w:rsidRPr="00DB2F82">
        <w:rPr>
          <w:i/>
        </w:rPr>
        <w:t>y=</w:t>
      </w:r>
      <w:r w:rsidR="00DB2F82">
        <w:t>0)</w:t>
      </w:r>
      <w:r w:rsidR="00DF329B">
        <w:t xml:space="preserve">. </w:t>
      </w:r>
      <w:r>
        <w:t xml:space="preserve">Heat loss through the viewing pane was shown to </w:t>
      </w:r>
      <w:r w:rsidR="00B328FB">
        <w:t>cause temperature gradients</w:t>
      </w:r>
      <w:r w:rsidR="00D83363" w:rsidRPr="00D83363">
        <w:t xml:space="preserve"> </w:t>
      </w:r>
      <w:r w:rsidR="00D83363">
        <w:t xml:space="preserve">in the </w:t>
      </w:r>
      <w:r w:rsidR="00D83363" w:rsidRPr="00D83363">
        <w:rPr>
          <w:i/>
        </w:rPr>
        <w:t>y-</w:t>
      </w:r>
      <w:r w:rsidR="00D83363">
        <w:t>direction</w:t>
      </w:r>
      <w:r w:rsidR="00B328FB">
        <w:t xml:space="preserve">, </w:t>
      </w:r>
      <w:r w:rsidR="00B328FB">
        <w:rPr>
          <w:i/>
        </w:rPr>
        <w:t>G</w:t>
      </w:r>
      <w:r w:rsidR="00B328FB">
        <w:rPr>
          <w:i/>
          <w:vertAlign w:val="subscript"/>
        </w:rPr>
        <w:t>y</w:t>
      </w:r>
      <w:r w:rsidR="00B328FB">
        <w:t xml:space="preserve">. The gradient </w:t>
      </w:r>
      <w:r w:rsidR="00B328FB" w:rsidRPr="00B328FB">
        <w:rPr>
          <w:i/>
        </w:rPr>
        <w:t>G</w:t>
      </w:r>
      <w:r w:rsidR="00B328FB" w:rsidRPr="00B328FB">
        <w:rPr>
          <w:i/>
          <w:vertAlign w:val="subscript"/>
        </w:rPr>
        <w:t>y</w:t>
      </w:r>
      <w:r w:rsidR="00B328FB">
        <w:t xml:space="preserve"> was zero </w:t>
      </w:r>
      <w:r w:rsidR="008B5FBE">
        <w:t>on</w:t>
      </w:r>
      <w:r w:rsidR="00B328FB">
        <w:t xml:space="preserve"> the </w:t>
      </w:r>
      <w:r w:rsidR="00DF329B" w:rsidRPr="00DF329B">
        <w:rPr>
          <w:i/>
        </w:rPr>
        <w:t>x-y</w:t>
      </w:r>
      <w:r w:rsidR="00DF329B">
        <w:t xml:space="preserve"> </w:t>
      </w:r>
      <w:r w:rsidR="00B328FB">
        <w:t xml:space="preserve">median plane but </w:t>
      </w:r>
      <w:r w:rsidR="00655DD3">
        <w:t>reach</w:t>
      </w:r>
      <w:r w:rsidR="008B5FBE">
        <w:t>ed</w:t>
      </w:r>
      <w:r w:rsidR="00655DD3">
        <w:t xml:space="preserve"> </w:t>
      </w:r>
      <w:r w:rsidR="00B328FB">
        <w:t>0.3 K/mm at the glass interface with the sample. However, a</w:t>
      </w:r>
      <w:r w:rsidR="00655DD3">
        <w:t>s</w:t>
      </w:r>
      <w:r w:rsidR="00B328FB">
        <w:t xml:space="preserve"> </w:t>
      </w:r>
      <w:r w:rsidR="00655DD3">
        <w:t>report</w:t>
      </w:r>
      <w:r w:rsidR="00D83363">
        <w:t>ed</w:t>
      </w:r>
      <w:r w:rsidR="00655DD3">
        <w:t xml:space="preserve"> in </w:t>
      </w:r>
      <w:r w:rsidR="0040729B">
        <w:fldChar w:fldCharType="begin" w:fldLock="1"/>
      </w:r>
      <w:r w:rsidR="009049F4">
        <w:instrText>ADDIN CSL_CITATION { "citationItems" : [ { "id" : "ITEM-1", "itemData" : { "DOI" : "10.1016/J.IJTHERMALSCI.2017.11.032", "ISSN" : "1290-0729", "abstract" : "The Multiple Equiaxed Dendrite Interaction (MEDI) experiment was launched on the MASER-13 sounding rocket campaign to investigate polycrystalline equiaxed solidification in the transparent phase change material Neopentylgycol-30wt.%(d)Camphor. This material is of interest as an energy-storage material and as a transparent analogue system of solidification in hypoeutectic metal alloys with a Face Centred Cubic lattice. The liquid sample was cooled under a controlled rate of 0.75\u00a0K/min with sufficient time to allow semi-solid conditions to develop under microgravity conditions with the absence of gravity-driven convection. This manuscript provides details on the experimental apparatus and procedures. In addition, the experimental method has been augmented with a numerical model to assist with the characterisation of the essential thermal aspects of the experiment. The model followed a volume-averaging, continuum approach for mushy-zone development. A fast algorithm for computing non-isothermal crystallisation kinetics was applied to the case of binary alloy solidification. To build confidence, a formal numerical verification procedure was performed. The model converged sufficiently with second order accuracy as expected. Application of the model gave close agreement between experimental thermocouple readings and numerical simulation data with a Root Mean Square of 0.2\u00a0K for the error. A 2D thermal model is sufficient with a suitable heat loss coefficient at the sample-viewing window boundary. Thermal gradients within the sample and along the growth direction were uniform and approximately 0.3\u00a0K/mm. Lateral thermal gradients in the sample ranged from zero at the median plane to 0.3\u00a0K/mm at the boundary with the containing structure. However, temperature variation in the lateral direction was predicted to be less than 0.22\u00a0K.", "author" : [ { "dropping-particle" : "", "family" : "Mooney", "given" : "Robin P.", "non-dropping-particle" : "", "parse-names" : false, "suffix" : "" }, { "dropping-particle" : "", "family" : "Sturz", "given" : "Laszlo", "non-dropping-particle" : "", "parse-names" : false, "suffix" : "" }, { "dropping-particle" : "", "family" : "Zimmermann", "given" : "Gerhard", "non-dropping-particle" : "", "parse-names" : false, "suffix" : "" }, { "dropping-particle" : "", "family" : "McFadden", "given" : "Shaun", "non-dropping-particle" : "", "parse-names" : false, "suffix" : "" } ], "container-title" : "International Journal of Thermal Sciences", "id" : "ITEM-1", "issued" : { "date-parts" : [ [ "2018", "3", "1" ] ] }, "page" : "283-292", "publisher" : "Elsevier Masson", "title" : "Thermal characterisation with modelling for a microgravity experiment into polycrystalline equiaxed dendritic solidification with in-situ observation", "type" : "article-journal", "volume" : "125" }, "uris" : [ "http://www.mendeley.com/documents/?uuid=450b8cb6-8509-330d-8318-bc3d351d5cd4" ] } ], "mendeley" : { "formattedCitation" : "[32]", "plainTextFormattedCitation" : "[32]", "previouslyFormattedCitation" : "[32]" }, "properties" : {  }, "schema" : "https://github.com/citation-style-language/schema/raw/master/csl-citation.json" }</w:instrText>
      </w:r>
      <w:r w:rsidR="0040729B">
        <w:fldChar w:fldCharType="separate"/>
      </w:r>
      <w:r w:rsidR="0013413C" w:rsidRPr="0013413C">
        <w:rPr>
          <w:noProof/>
        </w:rPr>
        <w:t>[32]</w:t>
      </w:r>
      <w:r w:rsidR="0040729B">
        <w:fldChar w:fldCharType="end"/>
      </w:r>
      <w:r w:rsidR="0040729B">
        <w:t xml:space="preserve"> </w:t>
      </w:r>
      <w:r w:rsidR="00713334">
        <w:t xml:space="preserve">due to the </w:t>
      </w:r>
      <w:r w:rsidR="00E8019B">
        <w:t>dimensions</w:t>
      </w:r>
      <w:r w:rsidR="00713334">
        <w:t xml:space="preserve"> of the sample, the </w:t>
      </w:r>
      <w:r w:rsidR="00B328FB">
        <w:t>overall temperature difference across the sam</w:t>
      </w:r>
      <w:r w:rsidR="00D83363">
        <w:t xml:space="preserve">ple in the </w:t>
      </w:r>
      <w:r w:rsidR="00D83363" w:rsidRPr="00D83363">
        <w:rPr>
          <w:i/>
        </w:rPr>
        <w:t>y-</w:t>
      </w:r>
      <w:r w:rsidR="00B328FB">
        <w:t xml:space="preserve">direction </w:t>
      </w:r>
      <w:r w:rsidR="00D83363">
        <w:t>did not exceed</w:t>
      </w:r>
      <w:r w:rsidR="00B328FB">
        <w:t xml:space="preserve"> 0.22</w:t>
      </w:r>
      <w:r w:rsidR="00D83363">
        <w:t xml:space="preserve"> </w:t>
      </w:r>
      <w:r w:rsidR="00B328FB">
        <w:t xml:space="preserve">K at any </w:t>
      </w:r>
      <w:r w:rsidR="00655DD3">
        <w:t>time</w:t>
      </w:r>
      <w:r w:rsidR="00B328FB">
        <w:t xml:space="preserve"> in the simulation. Hence, </w:t>
      </w:r>
      <w:r w:rsidR="00713334">
        <w:t>in</w:t>
      </w:r>
      <w:r w:rsidR="00B328FB">
        <w:t xml:space="preserve"> th</w:t>
      </w:r>
      <w:r w:rsidR="008B5FBE">
        <w:t>is study,</w:t>
      </w:r>
      <w:r w:rsidR="00B328FB">
        <w:t xml:space="preserve"> temperature variation in the </w:t>
      </w:r>
      <w:r w:rsidR="00B328FB" w:rsidRPr="00D83363">
        <w:rPr>
          <w:i/>
        </w:rPr>
        <w:t>y-</w:t>
      </w:r>
      <w:r w:rsidR="00B328FB">
        <w:t xml:space="preserve">direction </w:t>
      </w:r>
      <w:r w:rsidR="00F03E6B">
        <w:t>i</w:t>
      </w:r>
      <w:r w:rsidR="00B328FB">
        <w:t xml:space="preserve">s </w:t>
      </w:r>
      <w:r w:rsidR="00655DD3">
        <w:t xml:space="preserve">assumed </w:t>
      </w:r>
      <w:r w:rsidR="00B328FB">
        <w:t xml:space="preserve">negligible. </w:t>
      </w:r>
      <w:r w:rsidR="002404A5">
        <w:t>T</w:t>
      </w:r>
      <w:r w:rsidR="00B328FB">
        <w:t xml:space="preserve">he </w:t>
      </w:r>
      <w:r w:rsidR="002404A5">
        <w:t xml:space="preserve">simulated </w:t>
      </w:r>
      <w:r w:rsidR="00B328FB">
        <w:t xml:space="preserve">temperatures on the median plane </w:t>
      </w:r>
      <w:r w:rsidR="00F03E6B">
        <w:t>a</w:t>
      </w:r>
      <w:r w:rsidR="00B328FB">
        <w:t xml:space="preserve">re </w:t>
      </w:r>
      <w:r w:rsidR="00655DD3">
        <w:t xml:space="preserve">taken as being </w:t>
      </w:r>
      <w:r w:rsidR="00B328FB">
        <w:t>representative</w:t>
      </w:r>
      <w:r w:rsidR="00655DD3">
        <w:t xml:space="preserve"> of </w:t>
      </w:r>
      <w:r w:rsidR="002404A5">
        <w:t xml:space="preserve">the sample </w:t>
      </w:r>
      <w:r w:rsidR="00655DD3">
        <w:t xml:space="preserve">temperatures along the </w:t>
      </w:r>
      <w:r w:rsidR="00655DD3" w:rsidRPr="00713334">
        <w:rPr>
          <w:i/>
        </w:rPr>
        <w:t>x-</w:t>
      </w:r>
      <w:r w:rsidR="002404A5">
        <w:t>axis</w:t>
      </w:r>
      <w:r w:rsidR="00B328FB">
        <w:t>.</w:t>
      </w:r>
      <w:r w:rsidR="008B5FBE">
        <w:t xml:space="preserve"> </w:t>
      </w:r>
      <w:r w:rsidR="00F03E6B">
        <w:t>Because t</w:t>
      </w:r>
      <w:r w:rsidR="00713334">
        <w:t>he t</w:t>
      </w:r>
      <w:r w:rsidR="008B5FBE">
        <w:t>hermocouples</w:t>
      </w:r>
      <w:r w:rsidR="00713334">
        <w:t xml:space="preserve"> (TC1, TC2, and TC3)</w:t>
      </w:r>
      <w:r w:rsidR="008B5FBE">
        <w:t xml:space="preserve"> </w:t>
      </w:r>
      <w:r w:rsidR="002404A5">
        <w:t xml:space="preserve">were </w:t>
      </w:r>
      <w:r w:rsidR="008B5FBE">
        <w:t>situated on the median plane</w:t>
      </w:r>
      <w:r w:rsidR="0089092B">
        <w:t xml:space="preserve">, </w:t>
      </w:r>
      <w:r w:rsidR="00F03E6B">
        <w:t>t</w:t>
      </w:r>
      <w:r w:rsidR="008B5FBE">
        <w:t>he experimental interpolation procedure</w:t>
      </w:r>
      <w:r w:rsidR="002404A5">
        <w:t xml:space="preserve"> </w:t>
      </w:r>
      <w:r w:rsidR="008B5FBE">
        <w:t xml:space="preserve">for estimating nucleation undercooling </w:t>
      </w:r>
      <w:r w:rsidR="00F03E6B">
        <w:t>was also bas</w:t>
      </w:r>
      <w:r w:rsidR="008B5FBE">
        <w:t xml:space="preserve">ed the assumption of </w:t>
      </w:r>
      <w:r w:rsidR="00F03E6B">
        <w:t>negligible</w:t>
      </w:r>
      <w:r w:rsidR="008B5FBE">
        <w:t xml:space="preserve"> lateral gradients.</w:t>
      </w:r>
      <w:r w:rsidR="002404A5">
        <w:t xml:space="preserve"> Hence, direct comparisons between simulated and experimental data are </w:t>
      </w:r>
      <w:r w:rsidR="0089092B">
        <w:t>permissible</w:t>
      </w:r>
      <w:r w:rsidR="002404A5">
        <w:t>.</w:t>
      </w:r>
      <w:r w:rsidR="008B5FBE">
        <w:t xml:space="preserve"> </w:t>
      </w:r>
    </w:p>
    <w:p w14:paraId="0E19A0AD" w14:textId="47FB587A" w:rsidR="00E6781B" w:rsidRDefault="004F2109" w:rsidP="00E6781B">
      <w:pPr>
        <w:pStyle w:val="Newparagraph"/>
        <w:keepNext/>
        <w:jc w:val="center"/>
      </w:pPr>
      <w:r>
        <w:rPr>
          <w:noProof/>
        </w:rPr>
        <w:drawing>
          <wp:inline distT="0" distB="0" distL="0" distR="0" wp14:anchorId="107E2879" wp14:editId="1ECE9D22">
            <wp:extent cx="3240024" cy="158191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8-02.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40024" cy="1581912"/>
                    </a:xfrm>
                    <a:prstGeom prst="rect">
                      <a:avLst/>
                    </a:prstGeom>
                  </pic:spPr>
                </pic:pic>
              </a:graphicData>
            </a:graphic>
          </wp:inline>
        </w:drawing>
      </w:r>
    </w:p>
    <w:p w14:paraId="7DA57489" w14:textId="3C39B7E4" w:rsidR="00E6781B" w:rsidRPr="00E6781B" w:rsidRDefault="00E6781B" w:rsidP="00E6781B">
      <w:pPr>
        <w:pStyle w:val="Caption"/>
        <w:jc w:val="center"/>
      </w:pPr>
      <w:bookmarkStart w:id="34" w:name="_Ref497835673"/>
      <w:r>
        <w:t xml:space="preserve">Figure </w:t>
      </w:r>
      <w:r>
        <w:fldChar w:fldCharType="begin"/>
      </w:r>
      <w:r>
        <w:instrText xml:space="preserve"> SEQ Figure \* ARABIC </w:instrText>
      </w:r>
      <w:r>
        <w:fldChar w:fldCharType="separate"/>
      </w:r>
      <w:r w:rsidR="002637FB">
        <w:rPr>
          <w:noProof/>
        </w:rPr>
        <w:t>8</w:t>
      </w:r>
      <w:r>
        <w:fldChar w:fldCharType="end"/>
      </w:r>
      <w:bookmarkEnd w:id="34"/>
      <w:r w:rsidR="00903FE6">
        <w:t xml:space="preserve"> Sample domain divided into discrete </w:t>
      </w:r>
      <w:r w:rsidR="0017002A">
        <w:t>volumes in the x-direction.</w:t>
      </w:r>
    </w:p>
    <w:p w14:paraId="54217DDF" w14:textId="77777777" w:rsidR="00F03E6B" w:rsidRDefault="00A4448C" w:rsidP="00A4448C">
      <w:pPr>
        <w:pStyle w:val="Newparagraph"/>
        <w:ind w:firstLine="0"/>
      </w:pPr>
      <w:r>
        <w:fldChar w:fldCharType="begin"/>
      </w:r>
      <w:r>
        <w:instrText xml:space="preserve"> REF _Ref497835673 \h </w:instrText>
      </w:r>
      <w:r>
        <w:fldChar w:fldCharType="separate"/>
      </w:r>
      <w:r w:rsidR="002637FB">
        <w:t xml:space="preserve">Figure </w:t>
      </w:r>
      <w:r w:rsidR="002637FB">
        <w:rPr>
          <w:noProof/>
        </w:rPr>
        <w:t>8</w:t>
      </w:r>
      <w:r>
        <w:fldChar w:fldCharType="end"/>
      </w:r>
      <w:r>
        <w:t xml:space="preserve"> </w:t>
      </w:r>
      <w:r w:rsidR="002404A5">
        <w:t>shows the entire sample domain</w:t>
      </w:r>
      <w:r w:rsidR="00AD3D8C">
        <w:t xml:space="preserve"> (through the full depth of the sample)</w:t>
      </w:r>
      <w:r w:rsidR="002404A5">
        <w:t xml:space="preserve"> divided into elemental volumes. </w:t>
      </w:r>
    </w:p>
    <w:p w14:paraId="73926B36" w14:textId="375B16F1" w:rsidR="00807452" w:rsidRDefault="002404A5" w:rsidP="00A4448C">
      <w:pPr>
        <w:pStyle w:val="Newparagraph"/>
        <w:ind w:firstLine="0"/>
      </w:pPr>
      <w:r>
        <w:t xml:space="preserve">The </w:t>
      </w:r>
      <w:r w:rsidR="00A8129D">
        <w:t xml:space="preserve">imposed </w:t>
      </w:r>
      <w:r>
        <w:t>temperature gradient</w:t>
      </w:r>
      <w:r w:rsidR="00A8129D">
        <w:t>,</w:t>
      </w:r>
      <w:r>
        <w:t xml:space="preserve"> </w:t>
      </w:r>
      <w:r>
        <w:rPr>
          <w:i/>
        </w:rPr>
        <w:t>G</w:t>
      </w:r>
      <w:r>
        <w:rPr>
          <w:i/>
          <w:vertAlign w:val="subscript"/>
        </w:rPr>
        <w:t>x</w:t>
      </w:r>
      <w:r w:rsidR="00A8129D">
        <w:t>,</w:t>
      </w:r>
      <w:r>
        <w:t xml:space="preserve"> </w:t>
      </w:r>
      <w:r w:rsidR="00A8129D">
        <w:t>of</w:t>
      </w:r>
      <w:r>
        <w:t xml:space="preserve"> 0.3</w:t>
      </w:r>
      <w:r w:rsidR="00A4448C">
        <w:t xml:space="preserve"> </w:t>
      </w:r>
      <w:r>
        <w:t xml:space="preserve">K/mm caused significant </w:t>
      </w:r>
      <w:r w:rsidR="00713334">
        <w:t xml:space="preserve">temperature variation in the </w:t>
      </w:r>
      <w:r w:rsidR="00713334" w:rsidRPr="00713334">
        <w:rPr>
          <w:i/>
        </w:rPr>
        <w:t>x-</w:t>
      </w:r>
      <w:r>
        <w:t>direction.</w:t>
      </w:r>
      <w:r w:rsidR="00A8129D">
        <w:t xml:space="preserve"> This had to be accounted for in the thermal analysis and in the presentation of overall global data</w:t>
      </w:r>
      <w:r w:rsidR="00AD3D8C">
        <w:t xml:space="preserve"> (i.e., for the entire </w:t>
      </w:r>
      <w:r w:rsidR="00F03E6B">
        <w:t xml:space="preserve">sample </w:t>
      </w:r>
      <w:r w:rsidR="00AD3D8C">
        <w:t>cell).</w:t>
      </w:r>
      <w:r w:rsidR="00A8129D">
        <w:t xml:space="preserve"> Each elemental volume </w:t>
      </w:r>
      <w:r w:rsidR="00F03E6B">
        <w:t>is</w:t>
      </w:r>
      <w:r w:rsidR="00A8129D">
        <w:t xml:space="preserve"> considered as having independent statistical output data locally within the cell, for example, cell </w:t>
      </w:r>
      <w:r w:rsidR="00ED2C4D">
        <w:t>‘j’</w:t>
      </w:r>
      <w:r w:rsidR="00A8129D">
        <w:t xml:space="preserve"> has a local mean undercooling value of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∆T</m:t>
                </m:r>
              </m:e>
            </m:acc>
          </m:e>
          <m:sub>
            <m:r>
              <w:rPr>
                <w:rFonts w:ascii="Cambria Math" w:hAnsi="Cambria Math"/>
              </w:rPr>
              <m:t>j</m:t>
            </m:r>
          </m:sub>
        </m:sSub>
      </m:oMath>
      <w:r w:rsidR="00A8129D">
        <w:t xml:space="preserve"> and a local standard deviation of </w:t>
      </w:r>
      <m:oMath>
        <m:sSub>
          <m:sSubPr>
            <m:ctrlPr>
              <w:rPr>
                <w:rFonts w:ascii="Cambria Math" w:hAnsi="Cambria Math"/>
                <w:i/>
              </w:rPr>
            </m:ctrlPr>
          </m:sSubPr>
          <m:e>
            <m:r>
              <w:rPr>
                <w:rFonts w:ascii="Cambria Math" w:hAnsi="Cambria Math"/>
              </w:rPr>
              <m:t>σ</m:t>
            </m:r>
          </m:e>
          <m:sub>
            <m:r>
              <w:rPr>
                <w:rFonts w:ascii="Cambria Math" w:hAnsi="Cambria Math"/>
              </w:rPr>
              <m:t>∆T,j</m:t>
            </m:r>
          </m:sub>
        </m:sSub>
      </m:oMath>
      <w:r w:rsidR="00ED2C4D">
        <w:t xml:space="preserve">, as given by equations </w:t>
      </w:r>
      <w:r w:rsidR="00ED2C4D">
        <w:fldChar w:fldCharType="begin"/>
      </w:r>
      <w:r w:rsidR="00ED2C4D">
        <w:instrText xml:space="preserve"> REF expectedvalueeqtn \h </w:instrText>
      </w:r>
      <w:r w:rsidR="00ED2C4D">
        <w:fldChar w:fldCharType="separate"/>
      </w:r>
      <w:r w:rsidR="00AE6B98">
        <w:t>(</w:t>
      </w:r>
      <w:r w:rsidR="00AE6B98">
        <w:rPr>
          <w:noProof/>
        </w:rPr>
        <w:t>26</w:t>
      </w:r>
      <w:r w:rsidR="00AE6B98">
        <w:t>)</w:t>
      </w:r>
      <w:r w:rsidR="00ED2C4D">
        <w:fldChar w:fldCharType="end"/>
      </w:r>
      <w:r w:rsidR="00ED2C4D">
        <w:t xml:space="preserve"> and </w:t>
      </w:r>
      <w:r w:rsidR="00ED2C4D">
        <w:fldChar w:fldCharType="begin"/>
      </w:r>
      <w:r w:rsidR="00ED2C4D">
        <w:instrText xml:space="preserve"> REF expectedvalueeqtn_sigma \h </w:instrText>
      </w:r>
      <w:r w:rsidR="00ED2C4D">
        <w:fldChar w:fldCharType="separate"/>
      </w:r>
      <w:r w:rsidR="00AE6B98">
        <w:t>(</w:t>
      </w:r>
      <w:r w:rsidR="00AE6B98">
        <w:rPr>
          <w:noProof/>
        </w:rPr>
        <w:t>27</w:t>
      </w:r>
      <w:r w:rsidR="00AE6B98">
        <w:t>)</w:t>
      </w:r>
      <w:r w:rsidR="00ED2C4D">
        <w:fldChar w:fldCharType="end"/>
      </w:r>
      <w:r w:rsidR="00ED2C4D">
        <w:t>, respectively.</w:t>
      </w:r>
      <w:r w:rsidR="00A8129D">
        <w:t xml:space="preserve"> But, to get the overall (global) statistical data </w:t>
      </w:r>
      <w:r w:rsidR="0014629D">
        <w:t>for ca</w:t>
      </w:r>
      <w:r w:rsidR="00903FE6">
        <w:t xml:space="preserve">ses with a temperature </w:t>
      </w:r>
      <w:r w:rsidR="00903FE6">
        <w:lastRenderedPageBreak/>
        <w:t>gradient</w:t>
      </w:r>
      <w:r w:rsidR="00ED2C4D">
        <w:t>, i.e., across the entire sample,</w:t>
      </w:r>
      <w:r w:rsidR="00903FE6">
        <w:t xml:space="preserve"> </w:t>
      </w:r>
      <w:r w:rsidR="00A8129D">
        <w:t xml:space="preserve">we </w:t>
      </w:r>
      <w:r w:rsidR="0014629D">
        <w:t>applied</w:t>
      </w:r>
      <w:r w:rsidR="00A8129D">
        <w:t xml:space="preserve"> </w:t>
      </w:r>
      <w:r w:rsidR="000D703E">
        <w:t xml:space="preserve">the </w:t>
      </w:r>
      <w:r w:rsidR="0089092B">
        <w:t>combined</w:t>
      </w:r>
      <w:r w:rsidR="00A8129D">
        <w:t xml:space="preserve"> mean and variance </w:t>
      </w:r>
      <w:r w:rsidR="00DC31DC">
        <w:t>equations as follows</w:t>
      </w:r>
      <w:r w:rsidR="00903FE6">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05"/>
        <w:gridCol w:w="810"/>
      </w:tblGrid>
      <w:tr w:rsidR="00DC31DC" w14:paraId="38640744" w14:textId="77777777" w:rsidTr="00C9779B">
        <w:trPr>
          <w:jc w:val="center"/>
        </w:trPr>
        <w:tc>
          <w:tcPr>
            <w:tcW w:w="7905" w:type="dxa"/>
            <w:vAlign w:val="center"/>
          </w:tcPr>
          <w:p w14:paraId="18CC6508" w14:textId="17FDE786" w:rsidR="00DC31DC" w:rsidRDefault="008F6ACD" w:rsidP="00807452">
            <w:pPr>
              <w:spacing w:line="360" w:lineRule="auto"/>
              <w:jc w:val="center"/>
            </w:pPr>
            <m:oMathPara>
              <m:oMath>
                <m:m>
                  <m:mPr>
                    <m:mcs>
                      <m:mc>
                        <m:mcPr>
                          <m:count m:val="2"/>
                          <m:mcJc m:val="center"/>
                        </m:mcPr>
                      </m:mc>
                    </m:mcs>
                    <m:ctrlPr>
                      <w:rPr>
                        <w:rFonts w:ascii="Cambria Math" w:hAnsi="Cambria Math"/>
                        <w:i/>
                      </w:rPr>
                    </m:ctrlPr>
                  </m:mPr>
                  <m:mr>
                    <m:e>
                      <m:sSub>
                        <m:sSubPr>
                          <m:ctrlPr>
                            <w:rPr>
                              <w:rFonts w:ascii="Cambria Math" w:hAnsi="Cambria Math"/>
                              <w:i/>
                            </w:rPr>
                          </m:ctrlPr>
                        </m:sSubPr>
                        <m:e>
                          <m:acc>
                            <m:accPr>
                              <m:chr m:val="̅"/>
                              <m:ctrlPr>
                                <w:rPr>
                                  <w:rFonts w:ascii="Cambria Math" w:hAnsi="Cambria Math"/>
                                  <w:i/>
                                </w:rPr>
                              </m:ctrlPr>
                            </m:accPr>
                            <m:e>
                              <m:r>
                                <w:rPr>
                                  <w:rFonts w:ascii="Cambria Math" w:hAnsi="Cambria Math"/>
                                </w:rPr>
                                <m:t>∆T</m:t>
                              </m:r>
                            </m:e>
                          </m:acc>
                        </m:e>
                        <m:sub>
                          <m:r>
                            <w:rPr>
                              <w:rFonts w:ascii="Cambria Math" w:hAnsi="Cambria Math"/>
                            </w:rPr>
                            <m:t>REAL</m:t>
                          </m:r>
                        </m:sub>
                      </m:sSub>
                      <m:r>
                        <m:rPr>
                          <m:sty m:val="p"/>
                        </m:rPr>
                        <w:rPr>
                          <w:rFonts w:ascii="Cambria Math" w:hAnsi="Cambria Math"/>
                        </w:rPr>
                        <m:t>=</m:t>
                      </m:r>
                      <m:f>
                        <m:fPr>
                          <m:ctrlPr>
                            <w:rPr>
                              <w:rFonts w:ascii="Cambria Math" w:hAnsi="Cambria Math"/>
                            </w:rPr>
                          </m:ctrlPr>
                        </m:fPr>
                        <m:num>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N</m:t>
                                  </m:r>
                                </m:e>
                                <m:sub>
                                  <m:r>
                                    <w:rPr>
                                      <w:rFonts w:ascii="Cambria Math" w:hAnsi="Cambria Math"/>
                                    </w:rPr>
                                    <m:t>REAL,j</m:t>
                                  </m:r>
                                </m:sub>
                              </m:sSub>
                              <m:r>
                                <w:rPr>
                                  <w:rFonts w:ascii="Cambria Math" w:hAnsi="Cambria Math"/>
                                </w:rPr>
                                <m:t xml:space="preserve"> </m:t>
                              </m:r>
                              <m:acc>
                                <m:accPr>
                                  <m:chr m:val="̅"/>
                                  <m:ctrlPr>
                                    <w:rPr>
                                      <w:rFonts w:ascii="Cambria Math" w:hAnsi="Cambria Math"/>
                                      <w:i/>
                                    </w:rPr>
                                  </m:ctrlPr>
                                </m:accPr>
                                <m:e>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j</m:t>
                                      </m:r>
                                    </m:sub>
                                  </m:sSub>
                                </m:e>
                              </m:acc>
                            </m:e>
                          </m:nary>
                        </m:num>
                        <m:den>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N</m:t>
                                  </m:r>
                                </m:e>
                                <m:sub>
                                  <m:r>
                                    <w:rPr>
                                      <w:rFonts w:ascii="Cambria Math" w:hAnsi="Cambria Math"/>
                                    </w:rPr>
                                    <m:t>REAL,j</m:t>
                                  </m:r>
                                </m:sub>
                              </m:sSub>
                            </m:e>
                          </m:nary>
                        </m:den>
                      </m:f>
                    </m:e>
                    <m:e>
                      <m:r>
                        <w:rPr>
                          <w:rFonts w:ascii="Cambria Math" w:hAnsi="Cambria Math"/>
                        </w:rPr>
                        <m:t>,</m:t>
                      </m:r>
                    </m:e>
                  </m:mr>
                </m:m>
              </m:oMath>
            </m:oMathPara>
          </w:p>
        </w:tc>
        <w:tc>
          <w:tcPr>
            <w:tcW w:w="810" w:type="dxa"/>
            <w:vAlign w:val="center"/>
          </w:tcPr>
          <w:p w14:paraId="744C9103" w14:textId="5A38C22E" w:rsidR="00DC31DC" w:rsidRDefault="00DC31DC" w:rsidP="00C9779B">
            <w:pPr>
              <w:pStyle w:val="Newparagraph"/>
              <w:ind w:firstLine="0"/>
              <w:contextualSpacing/>
              <w:jc w:val="center"/>
            </w:pPr>
            <w:bookmarkStart w:id="35" w:name="DeltaTbar_real_global"/>
            <w:r>
              <w:t>(</w:t>
            </w:r>
            <w:fldSimple w:instr=" SEQ Eqn \* MERGEFORMAT ">
              <w:r w:rsidR="00AE6B98">
                <w:rPr>
                  <w:noProof/>
                </w:rPr>
                <w:t>36</w:t>
              </w:r>
            </w:fldSimple>
            <w:r>
              <w:t>)</w:t>
            </w:r>
            <w:bookmarkEnd w:id="35"/>
          </w:p>
        </w:tc>
      </w:tr>
    </w:tbl>
    <w:p w14:paraId="70779A2F" w14:textId="65BCF5DB" w:rsidR="00DC31DC" w:rsidRDefault="00AE4526" w:rsidP="002404A5">
      <w:pPr>
        <w:pStyle w:val="Newparagraph"/>
        <w:ind w:firstLine="0"/>
      </w:pPr>
      <w:r>
        <w:t>a</w:t>
      </w:r>
      <w:r w:rsidR="00DC31DC">
        <w:t>nd</w:t>
      </w:r>
      <w: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05"/>
        <w:gridCol w:w="810"/>
      </w:tblGrid>
      <w:tr w:rsidR="00DC31DC" w14:paraId="07642BE4" w14:textId="77777777" w:rsidTr="00C9779B">
        <w:trPr>
          <w:jc w:val="center"/>
        </w:trPr>
        <w:tc>
          <w:tcPr>
            <w:tcW w:w="7905" w:type="dxa"/>
            <w:vAlign w:val="center"/>
          </w:tcPr>
          <w:p w14:paraId="3762FF27" w14:textId="70BFFAF3" w:rsidR="00DC31DC" w:rsidRDefault="008F6ACD" w:rsidP="000D703E">
            <w:pPr>
              <w:spacing w:line="360" w:lineRule="auto"/>
              <w:jc w:val="center"/>
            </w:pPr>
            <m:oMathPara>
              <m:oMath>
                <m:m>
                  <m:mPr>
                    <m:mcs>
                      <m:mc>
                        <m:mcPr>
                          <m:count m:val="2"/>
                          <m:mcJc m:val="center"/>
                        </m:mcPr>
                      </m:mc>
                    </m:mcs>
                    <m:ctrlPr>
                      <w:rPr>
                        <w:rFonts w:ascii="Cambria Math" w:hAnsi="Cambria Math"/>
                      </w:rPr>
                    </m:ctrlPr>
                  </m:mPr>
                  <m:mr>
                    <m:e>
                      <m:sSub>
                        <m:sSubPr>
                          <m:ctrlPr>
                            <w:rPr>
                              <w:rFonts w:ascii="Cambria Math" w:hAnsi="Cambria Math"/>
                            </w:rPr>
                          </m:ctrlPr>
                        </m:sSubPr>
                        <m:e>
                          <m:r>
                            <w:rPr>
                              <w:rFonts w:ascii="Cambria Math" w:hAnsi="Cambria Math"/>
                            </w:rPr>
                            <m:t>σ</m:t>
                          </m:r>
                        </m:e>
                        <m:sub>
                          <m:r>
                            <w:rPr>
                              <w:rFonts w:ascii="Cambria Math" w:hAnsi="Cambria Math"/>
                            </w:rPr>
                            <m:t>∆T(REAL)</m:t>
                          </m:r>
                        </m:sub>
                      </m:sSub>
                      <m:r>
                        <m:rPr>
                          <m:sty m:val="p"/>
                        </m:rPr>
                        <w:rPr>
                          <w:rFonts w:ascii="Cambria Math" w:hAnsi="Cambria Math"/>
                        </w:rPr>
                        <m:t>=</m:t>
                      </m:r>
                      <m:rad>
                        <m:radPr>
                          <m:degHide m:val="1"/>
                          <m:ctrlPr>
                            <w:rPr>
                              <w:rFonts w:ascii="Cambria Math" w:hAnsi="Cambria Math"/>
                            </w:rPr>
                          </m:ctrlPr>
                        </m:radPr>
                        <m:deg/>
                        <m:e>
                          <m:f>
                            <m:fPr>
                              <m:ctrlPr>
                                <w:rPr>
                                  <w:rFonts w:ascii="Cambria Math" w:hAnsi="Cambria Math"/>
                                </w:rPr>
                              </m:ctrlPr>
                            </m:fPr>
                            <m:num>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N</m:t>
                                      </m:r>
                                    </m:e>
                                    <m:sub>
                                      <m:r>
                                        <w:rPr>
                                          <w:rFonts w:ascii="Cambria Math" w:hAnsi="Cambria Math"/>
                                        </w:rPr>
                                        <m:t>REAL,j</m:t>
                                      </m:r>
                                    </m:sub>
                                  </m:sSub>
                                  <m:sSubSup>
                                    <m:sSubSupPr>
                                      <m:ctrlPr>
                                        <w:rPr>
                                          <w:rFonts w:ascii="Cambria Math" w:hAnsi="Cambria Math"/>
                                          <w:i/>
                                        </w:rPr>
                                      </m:ctrlPr>
                                    </m:sSubSupPr>
                                    <m:e>
                                      <m:r>
                                        <w:rPr>
                                          <w:rFonts w:ascii="Cambria Math" w:hAnsi="Cambria Math"/>
                                        </w:rPr>
                                        <m:t>∙σ</m:t>
                                      </m:r>
                                    </m:e>
                                    <m:sub>
                                      <m:r>
                                        <w:rPr>
                                          <w:rFonts w:ascii="Cambria Math" w:hAnsi="Cambria Math"/>
                                        </w:rPr>
                                        <m:t>∆T,j</m:t>
                                      </m:r>
                                    </m:sub>
                                    <m:sup>
                                      <m:r>
                                        <w:rPr>
                                          <w:rFonts w:ascii="Cambria Math" w:hAnsi="Cambria Math"/>
                                        </w:rPr>
                                        <m:t>2</m:t>
                                      </m:r>
                                    </m:sup>
                                  </m:sSubSup>
                                </m:e>
                              </m:nary>
                              <m:r>
                                <w:rPr>
                                  <w:rFonts w:ascii="Cambria Math" w:hAnsi="Cambria Math"/>
                                </w:rPr>
                                <m:t>+</m:t>
                              </m:r>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N</m:t>
                                      </m:r>
                                    </m:e>
                                    <m:sub>
                                      <m:r>
                                        <w:rPr>
                                          <w:rFonts w:ascii="Cambria Math" w:hAnsi="Cambria Math"/>
                                        </w:rPr>
                                        <m:t>REAL,j</m:t>
                                      </m:r>
                                    </m:sub>
                                  </m:sSub>
                                  <m:r>
                                    <w:rPr>
                                      <w:rFonts w:ascii="Cambria Math" w:hAnsi="Cambria Math"/>
                                    </w:rPr>
                                    <m:t>∙</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acc>
                                                <m:accPr>
                                                  <m:chr m:val="̅"/>
                                                  <m:ctrlPr>
                                                    <w:rPr>
                                                      <w:rFonts w:ascii="Cambria Math" w:hAnsi="Cambria Math"/>
                                                      <w:i/>
                                                    </w:rPr>
                                                  </m:ctrlPr>
                                                </m:accPr>
                                                <m:e>
                                                  <m:r>
                                                    <w:rPr>
                                                      <w:rFonts w:ascii="Cambria Math" w:hAnsi="Cambria Math"/>
                                                    </w:rPr>
                                                    <m:t>∆T</m:t>
                                                  </m:r>
                                                </m:e>
                                              </m:acc>
                                            </m:e>
                                            <m:sub>
                                              <m:r>
                                                <w:rPr>
                                                  <w:rFonts w:ascii="Cambria Math" w:hAnsi="Cambria Math"/>
                                                </w:rPr>
                                                <m:t>j</m:t>
                                              </m:r>
                                            </m:sub>
                                          </m:sSub>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∆T</m:t>
                                                  </m:r>
                                                </m:e>
                                              </m:acc>
                                            </m:e>
                                            <m:sub>
                                              <m:r>
                                                <w:rPr>
                                                  <w:rFonts w:ascii="Cambria Math" w:hAnsi="Cambria Math"/>
                                                </w:rPr>
                                                <m:t>REAL</m:t>
                                              </m:r>
                                            </m:sub>
                                          </m:sSub>
                                        </m:e>
                                      </m:d>
                                    </m:e>
                                    <m:sup>
                                      <m:r>
                                        <w:rPr>
                                          <w:rFonts w:ascii="Cambria Math" w:hAnsi="Cambria Math"/>
                                        </w:rPr>
                                        <m:t>2</m:t>
                                      </m:r>
                                    </m:sup>
                                  </m:sSup>
                                </m:e>
                              </m:nary>
                            </m:num>
                            <m:den>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N</m:t>
                                      </m:r>
                                    </m:e>
                                    <m:sub>
                                      <m:r>
                                        <w:rPr>
                                          <w:rFonts w:ascii="Cambria Math" w:hAnsi="Cambria Math"/>
                                        </w:rPr>
                                        <m:t>REAL,j</m:t>
                                      </m:r>
                                    </m:sub>
                                  </m:sSub>
                                </m:e>
                              </m:nary>
                            </m:den>
                          </m:f>
                        </m:e>
                      </m:rad>
                    </m:e>
                    <m:e>
                      <m:r>
                        <w:rPr>
                          <w:rFonts w:ascii="Cambria Math" w:hAnsi="Cambria Math"/>
                        </w:rPr>
                        <m:t>.</m:t>
                      </m:r>
                    </m:e>
                  </m:mr>
                </m:m>
              </m:oMath>
            </m:oMathPara>
          </w:p>
        </w:tc>
        <w:tc>
          <w:tcPr>
            <w:tcW w:w="810" w:type="dxa"/>
            <w:vAlign w:val="center"/>
          </w:tcPr>
          <w:p w14:paraId="6BE33B3B" w14:textId="0F137FAC" w:rsidR="00DC31DC" w:rsidRDefault="00DC31DC" w:rsidP="00C9779B">
            <w:pPr>
              <w:pStyle w:val="Newparagraph"/>
              <w:ind w:firstLine="0"/>
              <w:contextualSpacing/>
              <w:jc w:val="center"/>
            </w:pPr>
            <w:bookmarkStart w:id="36" w:name="sigma_DeltaT_global"/>
            <w:r>
              <w:t>(</w:t>
            </w:r>
            <w:fldSimple w:instr=" SEQ Eqn \* MERGEFORMAT ">
              <w:r w:rsidR="00AE6B98">
                <w:rPr>
                  <w:noProof/>
                </w:rPr>
                <w:t>37</w:t>
              </w:r>
            </w:fldSimple>
            <w:r>
              <w:t>)</w:t>
            </w:r>
            <w:bookmarkEnd w:id="36"/>
          </w:p>
        </w:tc>
      </w:tr>
    </w:tbl>
    <w:p w14:paraId="4057BFEB" w14:textId="214E518B" w:rsidR="005E1F3D" w:rsidRDefault="00DC31DC" w:rsidP="00A4448C">
      <w:pPr>
        <w:pStyle w:val="Newparagraph"/>
        <w:ind w:firstLine="0"/>
      </w:pPr>
      <w:r>
        <w:t xml:space="preserve">Equations </w:t>
      </w:r>
      <w:r w:rsidR="00A4448C">
        <w:fldChar w:fldCharType="begin"/>
      </w:r>
      <w:r w:rsidR="00A4448C">
        <w:instrText xml:space="preserve"> REF DeltaTbar_real_global \h </w:instrText>
      </w:r>
      <w:r w:rsidR="00A4448C">
        <w:fldChar w:fldCharType="separate"/>
      </w:r>
      <w:r w:rsidR="00AE6B98">
        <w:t>(</w:t>
      </w:r>
      <w:r w:rsidR="00AE6B98">
        <w:rPr>
          <w:noProof/>
        </w:rPr>
        <w:t>36</w:t>
      </w:r>
      <w:r w:rsidR="00AE6B98">
        <w:t>)</w:t>
      </w:r>
      <w:r w:rsidR="00A4448C">
        <w:fldChar w:fldCharType="end"/>
      </w:r>
      <w:r w:rsidR="00B622CC">
        <w:t xml:space="preserve"> </w:t>
      </w:r>
      <w:r w:rsidR="00A4448C">
        <w:t xml:space="preserve">and </w:t>
      </w:r>
      <w:r w:rsidR="00A4448C">
        <w:fldChar w:fldCharType="begin"/>
      </w:r>
      <w:r w:rsidR="00A4448C">
        <w:instrText xml:space="preserve"> REF sigma_DeltaT_global \h </w:instrText>
      </w:r>
      <w:r w:rsidR="00A4448C">
        <w:fldChar w:fldCharType="separate"/>
      </w:r>
      <w:r w:rsidR="00AE6B98">
        <w:t>(</w:t>
      </w:r>
      <w:r w:rsidR="00AE6B98">
        <w:rPr>
          <w:noProof/>
        </w:rPr>
        <w:t>37</w:t>
      </w:r>
      <w:r w:rsidR="00AE6B98">
        <w:t>)</w:t>
      </w:r>
      <w:r w:rsidR="00A4448C">
        <w:fldChar w:fldCharType="end"/>
      </w:r>
      <w:r w:rsidR="00A4448C">
        <w:t xml:space="preserve"> </w:t>
      </w:r>
      <w:r>
        <w:t xml:space="preserve">are shown </w:t>
      </w:r>
      <w:r w:rsidR="0014629D">
        <w:t xml:space="preserve">based on volumetric (3D) information; however, areal or 2D observed information is obtained by suitably replacing volumetric information with areal information (replace subscript </w:t>
      </w:r>
      <w:r w:rsidR="00B622CC">
        <w:t>‘</w:t>
      </w:r>
      <w:r w:rsidR="0014629D" w:rsidRPr="0014629D">
        <w:rPr>
          <w:i/>
        </w:rPr>
        <w:t>REAL</w:t>
      </w:r>
      <w:r w:rsidR="00B622CC" w:rsidRPr="00B622CC">
        <w:t>’</w:t>
      </w:r>
      <w:r w:rsidR="0014629D" w:rsidRPr="00B622CC">
        <w:t xml:space="preserve"> </w:t>
      </w:r>
      <w:r w:rsidR="0014629D">
        <w:t xml:space="preserve">with </w:t>
      </w:r>
      <w:r w:rsidR="00B622CC">
        <w:t>‘</w:t>
      </w:r>
      <w:r w:rsidR="0014629D" w:rsidRPr="0014629D">
        <w:rPr>
          <w:i/>
        </w:rPr>
        <w:t>OBS</w:t>
      </w:r>
      <w:r w:rsidR="00B622CC">
        <w:t xml:space="preserve">’ </w:t>
      </w:r>
      <w:r w:rsidR="0014629D">
        <w:t xml:space="preserve">throughout). Equations </w:t>
      </w:r>
      <w:r w:rsidR="00B622CC">
        <w:fldChar w:fldCharType="begin"/>
      </w:r>
      <w:r w:rsidR="00B622CC">
        <w:instrText xml:space="preserve"> REF DeltaTbar_real_global \h </w:instrText>
      </w:r>
      <w:r w:rsidR="00B622CC">
        <w:fldChar w:fldCharType="separate"/>
      </w:r>
      <w:r w:rsidR="00AE6B98">
        <w:t>(</w:t>
      </w:r>
      <w:r w:rsidR="00AE6B98">
        <w:rPr>
          <w:noProof/>
        </w:rPr>
        <w:t>36</w:t>
      </w:r>
      <w:r w:rsidR="00AE6B98">
        <w:t>)</w:t>
      </w:r>
      <w:r w:rsidR="00B622CC">
        <w:fldChar w:fldCharType="end"/>
      </w:r>
      <w:r w:rsidR="00B622CC">
        <w:t xml:space="preserve"> and </w:t>
      </w:r>
      <w:r w:rsidR="00B622CC">
        <w:fldChar w:fldCharType="begin"/>
      </w:r>
      <w:r w:rsidR="00B622CC">
        <w:instrText xml:space="preserve"> REF sigma_DeltaT_global \h </w:instrText>
      </w:r>
      <w:r w:rsidR="00B622CC">
        <w:fldChar w:fldCharType="separate"/>
      </w:r>
      <w:r w:rsidR="00AE6B98">
        <w:t>(</w:t>
      </w:r>
      <w:r w:rsidR="00AE6B98">
        <w:rPr>
          <w:noProof/>
        </w:rPr>
        <w:t>37</w:t>
      </w:r>
      <w:r w:rsidR="00AE6B98">
        <w:t>)</w:t>
      </w:r>
      <w:r w:rsidR="00B622CC">
        <w:fldChar w:fldCharType="end"/>
      </w:r>
      <w:r w:rsidR="00B622CC">
        <w:t xml:space="preserve"> </w:t>
      </w:r>
      <w:r w:rsidR="0014629D">
        <w:t>can be used in a formative or summative mode as defined previously.</w:t>
      </w:r>
    </w:p>
    <w:p w14:paraId="05420FE2" w14:textId="07B0941E" w:rsidR="00F03E6B" w:rsidRDefault="00C46E77" w:rsidP="00342B98">
      <w:pPr>
        <w:pStyle w:val="Newparagraph"/>
      </w:pPr>
      <w:r>
        <w:t>T</w:t>
      </w:r>
      <w:r w:rsidR="00B8584F">
        <w:t>he</w:t>
      </w:r>
      <w:r w:rsidR="00CA5245">
        <w:t xml:space="preserve"> </w:t>
      </w:r>
      <w:r>
        <w:t xml:space="preserve">overall </w:t>
      </w:r>
      <w:r w:rsidR="00CA5245">
        <w:t xml:space="preserve">PDF of </w:t>
      </w:r>
      <w:r w:rsidR="002637FB">
        <w:t xml:space="preserve">nucleation </w:t>
      </w:r>
      <w:r w:rsidR="00B8584F">
        <w:t>undercooling</w:t>
      </w:r>
      <w:r w:rsidR="00CA5245">
        <w:t xml:space="preserve"> across the entire domain</w:t>
      </w:r>
      <w:r w:rsidR="00342B98">
        <w:t xml:space="preserve"> </w:t>
      </w:r>
      <w:r w:rsidR="00107475">
        <w:t xml:space="preserve">at a given time </w:t>
      </w:r>
      <w:r>
        <w:t>(accounting for temperature gradient) is</w:t>
      </w:r>
      <w:r w:rsidR="00342B98">
        <w:t xml:space="preserve"> obtai</w:t>
      </w:r>
      <w:r w:rsidR="002637FB">
        <w:t xml:space="preserve">ned </w:t>
      </w:r>
      <w:r>
        <w:t xml:space="preserve">through </w:t>
      </w:r>
      <w:r w:rsidR="002637FB">
        <w:t xml:space="preserve">the </w:t>
      </w:r>
      <w:r>
        <w:t>convolution o</w:t>
      </w:r>
      <w:r w:rsidR="00CA5245">
        <w:t xml:space="preserve">f </w:t>
      </w:r>
      <w:r>
        <w:t xml:space="preserve">individual </w:t>
      </w:r>
      <w:r w:rsidR="00B8584F">
        <w:t xml:space="preserve">PDFs from </w:t>
      </w:r>
      <w:r w:rsidR="00F03E6B">
        <w:t>all CVs</w:t>
      </w:r>
      <w:r>
        <w:t xml:space="preserve"> that are undercooled. Assuming that </w:t>
      </w:r>
      <w:r w:rsidR="00107475">
        <w:t xml:space="preserve">control volumes from </w:t>
      </w:r>
      <w:r w:rsidR="00107475">
        <w:rPr>
          <w:i/>
        </w:rPr>
        <w:t xml:space="preserve">j </w:t>
      </w:r>
      <w:r w:rsidR="00107475">
        <w:t>=</w:t>
      </w:r>
      <w:r w:rsidR="00107475">
        <w:rPr>
          <w:i/>
        </w:rPr>
        <w:t xml:space="preserve"> </w:t>
      </w:r>
      <w:r w:rsidR="00107475">
        <w:t xml:space="preserve">1, </w:t>
      </w:r>
      <w:r w:rsidR="00107475">
        <w:rPr>
          <w:i/>
        </w:rPr>
        <w:t>n</w:t>
      </w:r>
      <w:r>
        <w:t xml:space="preserve"> </w:t>
      </w:r>
      <w:r w:rsidR="00107475">
        <w:t>are undercooled, then</w:t>
      </w:r>
    </w:p>
    <w:tbl>
      <w:tblPr>
        <w:tblStyle w:val="TableGrid"/>
        <w:tblW w:w="0" w:type="auto"/>
        <w:tblInd w:w="6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05"/>
        <w:gridCol w:w="810"/>
      </w:tblGrid>
      <w:tr w:rsidR="002637FB" w14:paraId="47A885DD" w14:textId="77777777" w:rsidTr="00C46E77">
        <w:tc>
          <w:tcPr>
            <w:tcW w:w="7905" w:type="dxa"/>
            <w:vAlign w:val="center"/>
          </w:tcPr>
          <w:p w14:paraId="13B2C8EB" w14:textId="0CF58ADB" w:rsidR="002637FB" w:rsidRDefault="008F6ACD" w:rsidP="00C46E77">
            <w:pPr>
              <w:spacing w:line="360" w:lineRule="auto"/>
              <w:jc w:val="center"/>
            </w:pPr>
            <m:oMathPara>
              <m:oMath>
                <m:m>
                  <m:mPr>
                    <m:mcs>
                      <m:mc>
                        <m:mcPr>
                          <m:count m:val="2"/>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p</m:t>
                          </m:r>
                        </m:e>
                        <m:sub>
                          <m:r>
                            <w:rPr>
                              <w:rFonts w:ascii="Cambria Math" w:hAnsi="Cambria Math"/>
                            </w:rPr>
                            <m:t>global</m:t>
                          </m:r>
                        </m:sub>
                      </m:sSub>
                      <m:d>
                        <m:dPr>
                          <m:ctrlPr>
                            <w:rPr>
                              <w:rFonts w:ascii="Cambria Math" w:hAnsi="Cambria Math"/>
                            </w:rPr>
                          </m:ctrlPr>
                        </m:dPr>
                        <m:e>
                          <m:r>
                            <m:rPr>
                              <m:sty m:val="p"/>
                            </m:rPr>
                            <w:rPr>
                              <w:rFonts w:ascii="Cambria Math" w:hAnsi="Cambria Math"/>
                            </w:rPr>
                            <m:t>∆T</m:t>
                          </m:r>
                        </m:e>
                      </m:d>
                      <m:r>
                        <m:rPr>
                          <m:sty m:val="p"/>
                        </m:rP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1</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2</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n</m:t>
                          </m:r>
                        </m:sub>
                      </m:sSub>
                      <m:d>
                        <m:dPr>
                          <m:ctrlPr>
                            <w:rPr>
                              <w:rFonts w:ascii="Cambria Math" w:hAnsi="Cambria Math"/>
                              <w:i/>
                            </w:rPr>
                          </m:ctrlPr>
                        </m:dPr>
                        <m:e>
                          <m:r>
                            <w:rPr>
                              <w:rFonts w:ascii="Cambria Math" w:hAnsi="Cambria Math"/>
                            </w:rPr>
                            <m:t>∆T</m:t>
                          </m:r>
                        </m:e>
                      </m:d>
                    </m:e>
                    <m:e>
                      <m:r>
                        <w:rPr>
                          <w:rFonts w:ascii="Cambria Math" w:hAnsi="Cambria Math"/>
                        </w:rPr>
                        <m:t>,</m:t>
                      </m:r>
                    </m:e>
                  </m:mr>
                </m:m>
              </m:oMath>
            </m:oMathPara>
          </w:p>
        </w:tc>
        <w:tc>
          <w:tcPr>
            <w:tcW w:w="810" w:type="dxa"/>
            <w:vAlign w:val="center"/>
          </w:tcPr>
          <w:p w14:paraId="4CD2A248" w14:textId="37910323" w:rsidR="002637FB" w:rsidRDefault="002637FB" w:rsidP="00D70A1F">
            <w:pPr>
              <w:pStyle w:val="Newparagraph"/>
              <w:ind w:firstLine="0"/>
              <w:contextualSpacing/>
              <w:jc w:val="center"/>
            </w:pPr>
            <w:bookmarkStart w:id="37" w:name="PDF1convPDF2"/>
            <w:r>
              <w:t>(</w:t>
            </w:r>
            <w:fldSimple w:instr=" SEQ Eqn \* MERGEFORMAT ">
              <w:r w:rsidR="00AE6B98">
                <w:rPr>
                  <w:noProof/>
                </w:rPr>
                <w:t>38</w:t>
              </w:r>
            </w:fldSimple>
            <w:r>
              <w:t>)</w:t>
            </w:r>
            <w:bookmarkEnd w:id="37"/>
          </w:p>
        </w:tc>
      </w:tr>
    </w:tbl>
    <w:p w14:paraId="205B4538" w14:textId="084FBBA8" w:rsidR="002637FB" w:rsidRPr="00461156" w:rsidRDefault="00107475" w:rsidP="002637FB">
      <w:pPr>
        <w:pStyle w:val="Newparagraph"/>
        <w:ind w:firstLine="0"/>
      </w:pPr>
      <w:r>
        <w:t xml:space="preserve">Where the operator </w:t>
      </w:r>
      <m:oMath>
        <m:r>
          <w:rPr>
            <w:rFonts w:ascii="Cambria Math" w:hAnsi="Cambria Math"/>
          </w:rPr>
          <m:t>⊗</m:t>
        </m:r>
      </m:oMath>
      <w:r>
        <w:t xml:space="preserve"> represents the standard convolution process. Since the convolution process is both commutative and associative, the </w:t>
      </w:r>
      <w:r w:rsidR="00A17E49">
        <w:t>PDF for the entire domain</w:t>
      </w:r>
      <w:r w:rsidR="00372B0D">
        <w:t xml:space="preserve"> (</w:t>
      </w:r>
      <w:r w:rsidR="00372B0D" w:rsidRPr="00372B0D">
        <w:rPr>
          <w:i/>
        </w:rPr>
        <w:t>p</w:t>
      </w:r>
      <w:r>
        <w:rPr>
          <w:i/>
          <w:vertAlign w:val="subscript"/>
        </w:rPr>
        <w:t>global</w:t>
      </w:r>
      <w:r w:rsidR="00372B0D">
        <w:t>)</w:t>
      </w:r>
      <w:r w:rsidR="00A17E49">
        <w:t xml:space="preserve"> </w:t>
      </w:r>
      <w:r w:rsidR="00461156">
        <w:t xml:space="preserve">may be </w:t>
      </w:r>
      <w:r w:rsidR="00A17E49">
        <w:t xml:space="preserve">calculated by </w:t>
      </w:r>
      <w:r w:rsidR="009960B1">
        <w:t>convolving</w:t>
      </w:r>
      <w:r w:rsidR="00A17E49">
        <w:t xml:space="preserve"> </w:t>
      </w:r>
      <w:r w:rsidR="009960B1">
        <w:t xml:space="preserve">the PDF </w:t>
      </w:r>
      <w:r>
        <w:t>from</w:t>
      </w:r>
      <w:r w:rsidR="00372B0D">
        <w:t xml:space="preserve"> the </w:t>
      </w:r>
      <w:r>
        <w:t xml:space="preserve">first CV to the PDF of the second CV and then convolving that result with PDF of the third </w:t>
      </w:r>
      <w:r w:rsidR="00372B0D">
        <w:t xml:space="preserve">CV </w:t>
      </w:r>
      <w:r w:rsidR="009960B1">
        <w:t xml:space="preserve">and so on, until all </w:t>
      </w:r>
      <w:r>
        <w:rPr>
          <w:i/>
        </w:rPr>
        <w:t>n</w:t>
      </w:r>
      <w:r>
        <w:t xml:space="preserve"> </w:t>
      </w:r>
      <w:r w:rsidR="00461156">
        <w:t xml:space="preserve">undercooled </w:t>
      </w:r>
      <w:r>
        <w:t xml:space="preserve">CVs are </w:t>
      </w:r>
      <w:r w:rsidR="009960B1">
        <w:t>accounted for.</w:t>
      </w:r>
      <w:r w:rsidR="00A17E49">
        <w:t xml:space="preserve"> </w:t>
      </w:r>
      <w:r w:rsidR="00461156">
        <w:t xml:space="preserve">Again, the subscript </w:t>
      </w:r>
      <w:r w:rsidR="00461156">
        <w:rPr>
          <w:i/>
        </w:rPr>
        <w:t>global</w:t>
      </w:r>
      <w:r w:rsidR="00461156">
        <w:t xml:space="preserve"> is a generic term, specifically, the analysis may be applied to the 3D or 2D cases by consistently replacing the subscript </w:t>
      </w:r>
      <w:r w:rsidR="00461156">
        <w:rPr>
          <w:i/>
        </w:rPr>
        <w:t xml:space="preserve">global </w:t>
      </w:r>
      <w:r w:rsidR="00461156">
        <w:t xml:space="preserve">with the appropriate subscripts </w:t>
      </w:r>
      <w:r w:rsidR="00461156">
        <w:rPr>
          <w:i/>
        </w:rPr>
        <w:t>REAL</w:t>
      </w:r>
      <w:r w:rsidR="00461156">
        <w:t xml:space="preserve"> or </w:t>
      </w:r>
      <w:r w:rsidR="00461156">
        <w:rPr>
          <w:i/>
        </w:rPr>
        <w:t>OBS</w:t>
      </w:r>
      <w:r w:rsidR="00461156">
        <w:t>.</w:t>
      </w:r>
    </w:p>
    <w:p w14:paraId="1F4A0260" w14:textId="2D2E9177" w:rsidR="00107475" w:rsidRPr="002404A5" w:rsidRDefault="00107475" w:rsidP="00107475">
      <w:pPr>
        <w:pStyle w:val="Heading3"/>
      </w:pPr>
      <w:r>
        <w:t>Simulation input data</w:t>
      </w:r>
    </w:p>
    <w:p w14:paraId="46276EA1" w14:textId="741A4DF4" w:rsidR="00B328FB" w:rsidRDefault="00B328FB" w:rsidP="00AE4526">
      <w:pPr>
        <w:pStyle w:val="Newparagraph"/>
      </w:pPr>
      <w:r>
        <w:t>All of the thermophysical and simulation data used in this analysis</w:t>
      </w:r>
      <w:r w:rsidR="00342B98">
        <w:t xml:space="preserve"> </w:t>
      </w:r>
      <w:r w:rsidR="00903FE6">
        <w:t>are</w:t>
      </w:r>
      <w:r w:rsidR="002F401C">
        <w:t xml:space="preserve"> </w:t>
      </w:r>
      <w:r w:rsidR="00107475">
        <w:t xml:space="preserve">summarised </w:t>
      </w:r>
      <w:r w:rsidR="002F401C">
        <w:t xml:space="preserve">here </w:t>
      </w:r>
      <w:r w:rsidR="004C2B00">
        <w:t xml:space="preserve">in </w:t>
      </w:r>
      <w:r w:rsidR="00AE4526">
        <w:fldChar w:fldCharType="begin"/>
      </w:r>
      <w:r w:rsidR="00AE4526">
        <w:instrText xml:space="preserve"> REF _Ref497836172 \h </w:instrText>
      </w:r>
      <w:r w:rsidR="00AE4526">
        <w:fldChar w:fldCharType="separate"/>
      </w:r>
      <w:r w:rsidR="002637FB" w:rsidRPr="004C2B00">
        <w:t xml:space="preserve">Table </w:t>
      </w:r>
      <w:r w:rsidR="002637FB">
        <w:rPr>
          <w:noProof/>
        </w:rPr>
        <w:t>1</w:t>
      </w:r>
      <w:r w:rsidR="00AE4526">
        <w:fldChar w:fldCharType="end"/>
      </w:r>
      <w:r w:rsidR="00903FE6">
        <w:t xml:space="preserve"> </w:t>
      </w:r>
      <w:r w:rsidR="00AE4526">
        <w:t xml:space="preserve">and </w:t>
      </w:r>
      <w:r w:rsidR="00AE4526">
        <w:fldChar w:fldCharType="begin"/>
      </w:r>
      <w:r w:rsidR="00AE4526">
        <w:instrText xml:space="preserve"> REF _Ref497836173 \h </w:instrText>
      </w:r>
      <w:r w:rsidR="00AE4526">
        <w:fldChar w:fldCharType="separate"/>
      </w:r>
      <w:r w:rsidR="002637FB" w:rsidRPr="004C2B00">
        <w:t xml:space="preserve">Table </w:t>
      </w:r>
      <w:r w:rsidR="002637FB">
        <w:rPr>
          <w:noProof/>
        </w:rPr>
        <w:t>2</w:t>
      </w:r>
      <w:r w:rsidR="00AE4526">
        <w:fldChar w:fldCharType="end"/>
      </w:r>
      <w:r w:rsidR="002F401C">
        <w:t>.</w:t>
      </w:r>
    </w:p>
    <w:p w14:paraId="71CBF02D" w14:textId="65E544AA" w:rsidR="004C2B00" w:rsidRPr="004C2B00" w:rsidRDefault="004C2B00" w:rsidP="000F7390">
      <w:pPr>
        <w:pStyle w:val="Caption"/>
      </w:pPr>
      <w:bookmarkStart w:id="38" w:name="_Ref497836172"/>
      <w:r w:rsidRPr="004C2B00">
        <w:t xml:space="preserve">Table </w:t>
      </w:r>
      <w:r w:rsidR="00AD5590">
        <w:fldChar w:fldCharType="begin"/>
      </w:r>
      <w:r w:rsidR="00AD5590">
        <w:instrText xml:space="preserve"> SEQ Table \* ARABIC </w:instrText>
      </w:r>
      <w:r w:rsidR="00AD5590">
        <w:fldChar w:fldCharType="separate"/>
      </w:r>
      <w:r w:rsidR="002637FB">
        <w:rPr>
          <w:noProof/>
        </w:rPr>
        <w:t>1</w:t>
      </w:r>
      <w:r w:rsidR="00AD5590">
        <w:rPr>
          <w:noProof/>
        </w:rPr>
        <w:fldChar w:fldCharType="end"/>
      </w:r>
      <w:bookmarkEnd w:id="38"/>
      <w:r w:rsidRPr="004C2B00">
        <w:t>: Thermophysical properties of Neopentylgyc</w:t>
      </w:r>
      <w:r w:rsidR="00B34F79">
        <w:t xml:space="preserve">ol-30wt.%(d)Camphor (after </w:t>
      </w:r>
      <w:r w:rsidR="00B34F79">
        <w:fldChar w:fldCharType="begin" w:fldLock="1"/>
      </w:r>
      <w:r w:rsidR="009049F4">
        <w:instrText>ADDIN CSL_CITATION { "citationItems" : [ { "id" : "ITEM-1", "itemData" : { "DOI" : "10.1016/J.IJTHERMALSCI.2017.11.032", "ISSN" : "1290-0729", "abstract" : "The Multiple Equiaxed Dendrite Interaction (MEDI) experiment was launched on the MASER-13 sounding rocket campaign to investigate polycrystalline equiaxed solidification in the transparent phase change material Neopentylgycol-30wt.%(d)Camphor. This material is of interest as an energy-storage material and as a transparent analogue system of solidification in hypoeutectic metal alloys with a Face Centred Cubic lattice. The liquid sample was cooled under a controlled rate of 0.75\u00a0K/min with sufficient time to allow semi-solid conditions to develop under microgravity conditions with the absence of gravity-driven convection. This manuscript provides details on the experimental apparatus and procedures. In addition, the experimental method has been augmented with a numerical model to assist with the characterisation of the essential thermal aspects of the experiment. The model followed a volume-averaging, continuum approach for mushy-zone development. A fast algorithm for computing non-isothermal crystallisation kinetics was applied to the case of binary alloy solidification. To build confidence, a formal numerical verification procedure was performed. The model converged sufficiently with second order accuracy as expected. Application of the model gave close agreement between experimental thermocouple readings and numerical simulation data with a Root Mean Square of 0.2\u00a0K for the error. A 2D thermal model is sufficient with a suitable heat loss coefficient at the sample-viewing window boundary. Thermal gradients within the sample and along the growth direction were uniform and approximately 0.3\u00a0K/mm. Lateral thermal gradients in the sample ranged from zero at the median plane to 0.3\u00a0K/mm at the boundary with the containing structure. However, temperature variation in the lateral direction was predicted to be less than 0.22\u00a0K.", "author" : [ { "dropping-particle" : "", "family" : "Mooney", "given" : "Robin P.", "non-dropping-particle" : "", "parse-names" : false, "suffix" : "" }, { "dropping-particle" : "", "family" : "Sturz", "given" : "Laszlo", "non-dropping-particle" : "", "parse-names" : false, "suffix" : "" }, { "dropping-particle" : "", "family" : "Zimmermann", "given" : "Gerhard", "non-dropping-particle" : "", "parse-names" : false, "suffix" : "" }, { "dropping-particle" : "", "family" : "McFadden", "given" : "Shaun", "non-dropping-particle" : "", "parse-names" : false, "suffix" : "" } ], "container-title" : "International Journal of Thermal Sciences", "id" : "ITEM-1", "issued" : { "date-parts" : [ [ "2018", "3", "1" ] ] }, "page" : "283-292", "publisher" : "Elsevier Masson", "title" : "Thermal characterisation with modelling for a microgravity experiment into polycrystalline equiaxed dendritic solidification with in-situ observation", "type" : "article-journal", "volume" : "125" }, "uris" : [ "http://www.mendeley.com/documents/?uuid=450b8cb6-8509-330d-8318-bc3d351d5cd4" ] } ], "mendeley" : { "formattedCitation" : "[32]", "plainTextFormattedCitation" : "[32]", "previouslyFormattedCitation" : "[32]" }, "properties" : {  }, "schema" : "https://github.com/citation-style-language/schema/raw/master/csl-citation.json" }</w:instrText>
      </w:r>
      <w:r w:rsidR="00B34F79">
        <w:fldChar w:fldCharType="separate"/>
      </w:r>
      <w:r w:rsidR="0013413C" w:rsidRPr="0013413C">
        <w:rPr>
          <w:i w:val="0"/>
          <w:noProof/>
        </w:rPr>
        <w:t>[32]</w:t>
      </w:r>
      <w:r w:rsidR="00B34F79">
        <w:fldChar w:fldCharType="end"/>
      </w:r>
      <w:r w:rsidR="00AE4526">
        <w:t>)</w:t>
      </w:r>
    </w:p>
    <w:tbl>
      <w:tblPr>
        <w:tblW w:w="8109" w:type="dxa"/>
        <w:tblInd w:w="-34" w:type="dxa"/>
        <w:tblBorders>
          <w:top w:val="single" w:sz="4" w:space="0" w:color="auto"/>
          <w:bottom w:val="single" w:sz="4" w:space="0" w:color="auto"/>
        </w:tblBorders>
        <w:tblLayout w:type="fixed"/>
        <w:tblLook w:val="04A0" w:firstRow="1" w:lastRow="0" w:firstColumn="1" w:lastColumn="0" w:noHBand="0" w:noVBand="1"/>
      </w:tblPr>
      <w:tblGrid>
        <w:gridCol w:w="3573"/>
        <w:gridCol w:w="992"/>
        <w:gridCol w:w="2412"/>
        <w:gridCol w:w="1132"/>
      </w:tblGrid>
      <w:tr w:rsidR="004C2B00" w14:paraId="17F29CF6" w14:textId="77777777" w:rsidTr="004C2B00">
        <w:tc>
          <w:tcPr>
            <w:tcW w:w="3573" w:type="dxa"/>
            <w:tcBorders>
              <w:top w:val="single" w:sz="4" w:space="0" w:color="auto"/>
              <w:bottom w:val="single" w:sz="4" w:space="0" w:color="auto"/>
            </w:tcBorders>
            <w:shd w:val="clear" w:color="auto" w:fill="auto"/>
          </w:tcPr>
          <w:p w14:paraId="37C9D872" w14:textId="77777777" w:rsidR="004C2B00" w:rsidRDefault="004C2B00" w:rsidP="00A36041">
            <w:pPr>
              <w:pStyle w:val="Paragraph"/>
              <w:spacing w:before="0" w:line="240" w:lineRule="auto"/>
              <w:contextualSpacing/>
            </w:pPr>
            <w:r>
              <w:t>Property</w:t>
            </w:r>
          </w:p>
        </w:tc>
        <w:tc>
          <w:tcPr>
            <w:tcW w:w="992" w:type="dxa"/>
            <w:tcBorders>
              <w:top w:val="single" w:sz="4" w:space="0" w:color="auto"/>
              <w:bottom w:val="single" w:sz="4" w:space="0" w:color="auto"/>
            </w:tcBorders>
            <w:shd w:val="clear" w:color="auto" w:fill="auto"/>
          </w:tcPr>
          <w:p w14:paraId="55816F0B" w14:textId="77777777" w:rsidR="004C2B00" w:rsidRPr="00B678DB" w:rsidRDefault="004C2B00" w:rsidP="00A36041">
            <w:pPr>
              <w:pStyle w:val="Paragraph"/>
              <w:spacing w:before="0" w:line="240" w:lineRule="auto"/>
              <w:contextualSpacing/>
              <w:jc w:val="center"/>
            </w:pPr>
            <w:r w:rsidRPr="00B678DB">
              <w:t>Symbol</w:t>
            </w:r>
          </w:p>
        </w:tc>
        <w:tc>
          <w:tcPr>
            <w:tcW w:w="2412" w:type="dxa"/>
            <w:tcBorders>
              <w:top w:val="single" w:sz="4" w:space="0" w:color="auto"/>
              <w:bottom w:val="single" w:sz="4" w:space="0" w:color="auto"/>
            </w:tcBorders>
            <w:shd w:val="clear" w:color="auto" w:fill="auto"/>
          </w:tcPr>
          <w:p w14:paraId="618DECD5" w14:textId="77777777" w:rsidR="004C2B00" w:rsidRDefault="004C2B00" w:rsidP="00A36041">
            <w:pPr>
              <w:pStyle w:val="Paragraph"/>
              <w:spacing w:before="0" w:line="240" w:lineRule="auto"/>
              <w:contextualSpacing/>
              <w:jc w:val="center"/>
            </w:pPr>
            <w:r>
              <w:t>Value</w:t>
            </w:r>
          </w:p>
        </w:tc>
        <w:tc>
          <w:tcPr>
            <w:tcW w:w="1132" w:type="dxa"/>
            <w:tcBorders>
              <w:top w:val="single" w:sz="4" w:space="0" w:color="auto"/>
              <w:bottom w:val="single" w:sz="4" w:space="0" w:color="auto"/>
            </w:tcBorders>
            <w:shd w:val="clear" w:color="auto" w:fill="auto"/>
          </w:tcPr>
          <w:p w14:paraId="1CC3A08A" w14:textId="77777777" w:rsidR="004C2B00" w:rsidRDefault="004C2B00" w:rsidP="00A36041">
            <w:pPr>
              <w:pStyle w:val="Paragraph"/>
              <w:spacing w:before="0" w:line="240" w:lineRule="auto"/>
              <w:contextualSpacing/>
              <w:jc w:val="center"/>
            </w:pPr>
            <w:r>
              <w:t>Units</w:t>
            </w:r>
          </w:p>
        </w:tc>
      </w:tr>
      <w:tr w:rsidR="004C2B00" w14:paraId="0DE1E748" w14:textId="77777777" w:rsidTr="004C2B00">
        <w:tc>
          <w:tcPr>
            <w:tcW w:w="3573" w:type="dxa"/>
            <w:tcBorders>
              <w:top w:val="single" w:sz="4" w:space="0" w:color="auto"/>
            </w:tcBorders>
            <w:shd w:val="clear" w:color="auto" w:fill="auto"/>
          </w:tcPr>
          <w:p w14:paraId="517C4024" w14:textId="77777777" w:rsidR="004C2B00" w:rsidRDefault="004C2B00" w:rsidP="00A36041">
            <w:pPr>
              <w:pStyle w:val="Paragraph"/>
              <w:spacing w:before="0" w:line="240" w:lineRule="auto"/>
              <w:contextualSpacing/>
            </w:pPr>
            <w:r>
              <w:t>Thermal</w:t>
            </w:r>
            <w:r w:rsidRPr="00900D92">
              <w:t xml:space="preserve"> conductivity of liq</w:t>
            </w:r>
            <w:r>
              <w:t xml:space="preserve">uid </w:t>
            </w:r>
          </w:p>
        </w:tc>
        <w:tc>
          <w:tcPr>
            <w:tcW w:w="992" w:type="dxa"/>
            <w:tcBorders>
              <w:top w:val="single" w:sz="4" w:space="0" w:color="auto"/>
            </w:tcBorders>
            <w:shd w:val="clear" w:color="auto" w:fill="auto"/>
          </w:tcPr>
          <w:p w14:paraId="26B57674" w14:textId="77777777" w:rsidR="004C2B00" w:rsidRPr="006D169F" w:rsidRDefault="004C2B00" w:rsidP="004C2B00">
            <w:pPr>
              <w:pStyle w:val="Paragraph"/>
              <w:spacing w:before="0" w:line="240" w:lineRule="auto"/>
              <w:contextualSpacing/>
              <w:jc w:val="center"/>
              <w:rPr>
                <w:i/>
              </w:rPr>
            </w:pPr>
            <w:r w:rsidRPr="006D169F">
              <w:rPr>
                <w:i/>
              </w:rPr>
              <w:t>k</w:t>
            </w:r>
          </w:p>
        </w:tc>
        <w:tc>
          <w:tcPr>
            <w:tcW w:w="2412" w:type="dxa"/>
            <w:tcBorders>
              <w:top w:val="single" w:sz="4" w:space="0" w:color="auto"/>
            </w:tcBorders>
            <w:shd w:val="clear" w:color="auto" w:fill="auto"/>
          </w:tcPr>
          <w:p w14:paraId="1A8DFDA9" w14:textId="77777777" w:rsidR="004C2B00" w:rsidRDefault="004C2B00" w:rsidP="00A36041">
            <w:pPr>
              <w:pStyle w:val="Paragraph"/>
              <w:spacing w:before="0" w:line="240" w:lineRule="auto"/>
              <w:contextualSpacing/>
              <w:jc w:val="center"/>
            </w:pPr>
            <w:r w:rsidRPr="006D169F">
              <w:rPr>
                <w:lang w:val="en-IE"/>
              </w:rPr>
              <w:t>0.12</w:t>
            </w:r>
          </w:p>
        </w:tc>
        <w:tc>
          <w:tcPr>
            <w:tcW w:w="1132" w:type="dxa"/>
            <w:tcBorders>
              <w:top w:val="single" w:sz="4" w:space="0" w:color="auto"/>
            </w:tcBorders>
            <w:shd w:val="clear" w:color="auto" w:fill="auto"/>
          </w:tcPr>
          <w:p w14:paraId="5448F4BD" w14:textId="77777777" w:rsidR="004C2B00" w:rsidRDefault="004C2B00" w:rsidP="00A36041">
            <w:pPr>
              <w:pStyle w:val="Paragraph"/>
              <w:spacing w:before="0" w:line="240" w:lineRule="auto"/>
              <w:contextualSpacing/>
              <w:jc w:val="center"/>
            </w:pPr>
            <w:r w:rsidRPr="006D169F">
              <w:rPr>
                <w:lang w:val="en-IE"/>
              </w:rPr>
              <w:t>[W/m</w:t>
            </w:r>
            <w:r>
              <w:rPr>
                <w:lang w:val="en-IE"/>
              </w:rPr>
              <w:t>K</w:t>
            </w:r>
            <w:r w:rsidRPr="006D169F">
              <w:rPr>
                <w:lang w:val="en-IE"/>
              </w:rPr>
              <w:t>]</w:t>
            </w:r>
          </w:p>
        </w:tc>
      </w:tr>
      <w:tr w:rsidR="004C2B00" w14:paraId="3CF76F10" w14:textId="77777777" w:rsidTr="004C2B00">
        <w:tc>
          <w:tcPr>
            <w:tcW w:w="3573" w:type="dxa"/>
            <w:shd w:val="clear" w:color="auto" w:fill="auto"/>
          </w:tcPr>
          <w:p w14:paraId="2E7268DC" w14:textId="77777777" w:rsidR="004C2B00" w:rsidRDefault="004C2B00" w:rsidP="00A36041">
            <w:pPr>
              <w:pStyle w:val="Paragraph"/>
              <w:spacing w:before="0" w:line="240" w:lineRule="auto"/>
              <w:contextualSpacing/>
            </w:pPr>
            <w:r>
              <w:t>Thermal</w:t>
            </w:r>
            <w:r w:rsidRPr="00900D92">
              <w:t xml:space="preserve"> conductivity of </w:t>
            </w:r>
            <w:r>
              <w:t xml:space="preserve">solid </w:t>
            </w:r>
          </w:p>
        </w:tc>
        <w:tc>
          <w:tcPr>
            <w:tcW w:w="992" w:type="dxa"/>
            <w:shd w:val="clear" w:color="auto" w:fill="auto"/>
          </w:tcPr>
          <w:p w14:paraId="762D8022" w14:textId="77777777" w:rsidR="004C2B00" w:rsidRPr="006D169F" w:rsidRDefault="004C2B00" w:rsidP="004C2B00">
            <w:pPr>
              <w:pStyle w:val="Paragraph"/>
              <w:spacing w:before="0" w:line="240" w:lineRule="auto"/>
              <w:contextualSpacing/>
              <w:jc w:val="center"/>
              <w:rPr>
                <w:i/>
              </w:rPr>
            </w:pPr>
            <w:r w:rsidRPr="006D169F">
              <w:rPr>
                <w:i/>
              </w:rPr>
              <w:t>k</w:t>
            </w:r>
          </w:p>
        </w:tc>
        <w:tc>
          <w:tcPr>
            <w:tcW w:w="2412" w:type="dxa"/>
            <w:shd w:val="clear" w:color="auto" w:fill="auto"/>
          </w:tcPr>
          <w:p w14:paraId="4A998BBE" w14:textId="77777777" w:rsidR="004C2B00" w:rsidRDefault="004C2B00" w:rsidP="00A36041">
            <w:pPr>
              <w:pStyle w:val="Paragraph"/>
              <w:spacing w:before="0" w:line="240" w:lineRule="auto"/>
              <w:contextualSpacing/>
              <w:jc w:val="center"/>
            </w:pPr>
            <w:r>
              <w:t>0.27</w:t>
            </w:r>
          </w:p>
        </w:tc>
        <w:tc>
          <w:tcPr>
            <w:tcW w:w="1132" w:type="dxa"/>
            <w:shd w:val="clear" w:color="auto" w:fill="auto"/>
          </w:tcPr>
          <w:p w14:paraId="7F92C75E" w14:textId="77777777" w:rsidR="004C2B00" w:rsidRDefault="004C2B00" w:rsidP="00A36041">
            <w:pPr>
              <w:pStyle w:val="Paragraph"/>
              <w:spacing w:before="0" w:line="240" w:lineRule="auto"/>
              <w:contextualSpacing/>
              <w:jc w:val="center"/>
            </w:pPr>
            <w:r w:rsidRPr="006D169F">
              <w:rPr>
                <w:lang w:val="en-IE"/>
              </w:rPr>
              <w:t>[W/m</w:t>
            </w:r>
            <w:r>
              <w:rPr>
                <w:lang w:val="en-IE"/>
              </w:rPr>
              <w:t>K</w:t>
            </w:r>
            <w:r w:rsidRPr="006D169F">
              <w:rPr>
                <w:lang w:val="en-IE"/>
              </w:rPr>
              <w:t>]</w:t>
            </w:r>
          </w:p>
        </w:tc>
      </w:tr>
      <w:tr w:rsidR="004C2B00" w14:paraId="29F383E0" w14:textId="77777777" w:rsidTr="004C2B00">
        <w:tc>
          <w:tcPr>
            <w:tcW w:w="3573" w:type="dxa"/>
            <w:shd w:val="clear" w:color="auto" w:fill="auto"/>
          </w:tcPr>
          <w:p w14:paraId="7B6C93D9" w14:textId="77777777" w:rsidR="004C2B00" w:rsidRDefault="004C2B00" w:rsidP="00A36041">
            <w:pPr>
              <w:pStyle w:val="Paragraph"/>
              <w:spacing w:before="0" w:line="240" w:lineRule="auto"/>
              <w:contextualSpacing/>
            </w:pPr>
            <w:r>
              <w:t>Density of liquid or solid</w:t>
            </w:r>
          </w:p>
        </w:tc>
        <w:tc>
          <w:tcPr>
            <w:tcW w:w="992" w:type="dxa"/>
            <w:shd w:val="clear" w:color="auto" w:fill="auto"/>
          </w:tcPr>
          <w:p w14:paraId="0F70E046" w14:textId="77777777" w:rsidR="004C2B00" w:rsidRPr="006D169F" w:rsidRDefault="004C2B00" w:rsidP="00A36041">
            <w:pPr>
              <w:pStyle w:val="Paragraph"/>
              <w:spacing w:before="0" w:line="240" w:lineRule="auto"/>
              <w:contextualSpacing/>
              <w:jc w:val="center"/>
              <w:rPr>
                <w:rFonts w:ascii="Symbol" w:hAnsi="Symbol"/>
                <w:i/>
              </w:rPr>
            </w:pPr>
            <w:r w:rsidRPr="006D169F">
              <w:rPr>
                <w:rFonts w:ascii="Symbol" w:hAnsi="Symbol"/>
                <w:i/>
              </w:rPr>
              <w:t></w:t>
            </w:r>
          </w:p>
        </w:tc>
        <w:tc>
          <w:tcPr>
            <w:tcW w:w="2412" w:type="dxa"/>
            <w:shd w:val="clear" w:color="auto" w:fill="auto"/>
          </w:tcPr>
          <w:p w14:paraId="78589B64" w14:textId="77777777" w:rsidR="004C2B00" w:rsidRDefault="004C2B00" w:rsidP="00A36041">
            <w:pPr>
              <w:pStyle w:val="Paragraph"/>
              <w:spacing w:before="0" w:line="240" w:lineRule="auto"/>
              <w:contextualSpacing/>
              <w:jc w:val="center"/>
            </w:pPr>
            <w:r>
              <w:t>960</w:t>
            </w:r>
          </w:p>
        </w:tc>
        <w:tc>
          <w:tcPr>
            <w:tcW w:w="1132" w:type="dxa"/>
            <w:shd w:val="clear" w:color="auto" w:fill="auto"/>
          </w:tcPr>
          <w:p w14:paraId="7A4E53D8" w14:textId="77777777" w:rsidR="004C2B00" w:rsidRDefault="004C2B00" w:rsidP="00A36041">
            <w:pPr>
              <w:pStyle w:val="Paragraph"/>
              <w:spacing w:before="0" w:line="240" w:lineRule="auto"/>
              <w:contextualSpacing/>
              <w:jc w:val="center"/>
            </w:pPr>
            <w:r w:rsidRPr="006D169F">
              <w:rPr>
                <w:lang w:val="en-IE"/>
              </w:rPr>
              <w:t>[kg/m</w:t>
            </w:r>
            <w:r w:rsidRPr="006D169F">
              <w:rPr>
                <w:vertAlign w:val="superscript"/>
                <w:lang w:val="en-IE"/>
              </w:rPr>
              <w:t>3</w:t>
            </w:r>
            <w:r w:rsidRPr="006D169F">
              <w:rPr>
                <w:lang w:val="en-IE"/>
              </w:rPr>
              <w:t>]</w:t>
            </w:r>
          </w:p>
        </w:tc>
      </w:tr>
      <w:tr w:rsidR="004C2B00" w14:paraId="6AAA8335" w14:textId="77777777" w:rsidTr="004C2B00">
        <w:tc>
          <w:tcPr>
            <w:tcW w:w="3573" w:type="dxa"/>
            <w:shd w:val="clear" w:color="auto" w:fill="auto"/>
          </w:tcPr>
          <w:p w14:paraId="7E16EC55" w14:textId="77777777" w:rsidR="004C2B00" w:rsidRDefault="004C2B00" w:rsidP="00A36041">
            <w:pPr>
              <w:pStyle w:val="Paragraph"/>
              <w:spacing w:before="0" w:line="240" w:lineRule="auto"/>
              <w:contextualSpacing/>
            </w:pPr>
            <w:r w:rsidRPr="006D169F">
              <w:rPr>
                <w:lang w:val="en-IE"/>
              </w:rPr>
              <w:t xml:space="preserve">Specific heat capacity of liquid </w:t>
            </w:r>
          </w:p>
        </w:tc>
        <w:tc>
          <w:tcPr>
            <w:tcW w:w="992" w:type="dxa"/>
            <w:shd w:val="clear" w:color="auto" w:fill="auto"/>
          </w:tcPr>
          <w:p w14:paraId="50756F6A" w14:textId="77777777" w:rsidR="004C2B00" w:rsidRPr="006D169F" w:rsidRDefault="004C2B00" w:rsidP="004C2B00">
            <w:pPr>
              <w:pStyle w:val="Paragraph"/>
              <w:spacing w:before="0" w:line="240" w:lineRule="auto"/>
              <w:contextualSpacing/>
              <w:jc w:val="center"/>
              <w:rPr>
                <w:i/>
              </w:rPr>
            </w:pPr>
            <w:r>
              <w:rPr>
                <w:i/>
              </w:rPr>
              <w:t>c</w:t>
            </w:r>
            <w:r w:rsidRPr="00344D0E">
              <w:rPr>
                <w:i/>
                <w:vertAlign w:val="subscript"/>
              </w:rPr>
              <w:t>p</w:t>
            </w:r>
          </w:p>
        </w:tc>
        <w:tc>
          <w:tcPr>
            <w:tcW w:w="3544" w:type="dxa"/>
            <w:gridSpan w:val="2"/>
            <w:shd w:val="clear" w:color="auto" w:fill="auto"/>
          </w:tcPr>
          <w:p w14:paraId="44401D22" w14:textId="616AC3B7" w:rsidR="004C2B00" w:rsidRDefault="004C2B00" w:rsidP="00A36041">
            <w:pPr>
              <w:pStyle w:val="Paragraph"/>
              <w:spacing w:before="0" w:line="240" w:lineRule="auto"/>
              <w:contextualSpacing/>
              <w:jc w:val="center"/>
            </w:pPr>
            <w:r>
              <w:t>211[J/kgK]+6.4[J/kgK</w:t>
            </w:r>
            <w:r w:rsidRPr="007B42A1">
              <w:rPr>
                <w:vertAlign w:val="superscript"/>
              </w:rPr>
              <w:t>2</w:t>
            </w:r>
            <w:r>
              <w:t>]</w:t>
            </w:r>
            <w:r w:rsidRPr="006D169F">
              <w:rPr>
                <w:i/>
              </w:rPr>
              <w:t>T</w:t>
            </w:r>
          </w:p>
        </w:tc>
      </w:tr>
      <w:tr w:rsidR="004C2B00" w14:paraId="28ED9D30" w14:textId="77777777" w:rsidTr="004C2B00">
        <w:tc>
          <w:tcPr>
            <w:tcW w:w="3573" w:type="dxa"/>
            <w:shd w:val="clear" w:color="auto" w:fill="auto"/>
          </w:tcPr>
          <w:p w14:paraId="2A786AA3" w14:textId="77777777" w:rsidR="004C2B00" w:rsidRDefault="004C2B00" w:rsidP="00A36041">
            <w:pPr>
              <w:pStyle w:val="Paragraph"/>
              <w:spacing w:before="0" w:line="240" w:lineRule="auto"/>
              <w:contextualSpacing/>
            </w:pPr>
            <w:r w:rsidRPr="006D169F">
              <w:rPr>
                <w:lang w:val="en-IE"/>
              </w:rPr>
              <w:t xml:space="preserve">Specific heat capacity of solid </w:t>
            </w:r>
          </w:p>
        </w:tc>
        <w:tc>
          <w:tcPr>
            <w:tcW w:w="992" w:type="dxa"/>
            <w:shd w:val="clear" w:color="auto" w:fill="auto"/>
          </w:tcPr>
          <w:p w14:paraId="689FB5A5" w14:textId="77777777" w:rsidR="004C2B00" w:rsidRPr="006D169F" w:rsidRDefault="004C2B00" w:rsidP="004C2B00">
            <w:pPr>
              <w:pStyle w:val="Paragraph"/>
              <w:spacing w:before="0" w:line="240" w:lineRule="auto"/>
              <w:contextualSpacing/>
              <w:jc w:val="center"/>
              <w:rPr>
                <w:i/>
              </w:rPr>
            </w:pPr>
            <w:r>
              <w:rPr>
                <w:i/>
              </w:rPr>
              <w:t>c</w:t>
            </w:r>
            <w:r w:rsidRPr="00344D0E">
              <w:rPr>
                <w:i/>
                <w:vertAlign w:val="subscript"/>
              </w:rPr>
              <w:t>p</w:t>
            </w:r>
          </w:p>
        </w:tc>
        <w:tc>
          <w:tcPr>
            <w:tcW w:w="3544" w:type="dxa"/>
            <w:gridSpan w:val="2"/>
            <w:shd w:val="clear" w:color="auto" w:fill="auto"/>
          </w:tcPr>
          <w:p w14:paraId="52087141" w14:textId="77777777" w:rsidR="004C2B00" w:rsidRDefault="004C2B00" w:rsidP="00A36041">
            <w:pPr>
              <w:pStyle w:val="Paragraph"/>
              <w:spacing w:before="0" w:line="240" w:lineRule="auto"/>
              <w:contextualSpacing/>
              <w:jc w:val="center"/>
            </w:pPr>
            <w:r>
              <w:t>940[J/kgK]+4.2[J/kgK</w:t>
            </w:r>
            <w:r w:rsidRPr="00136AF3">
              <w:rPr>
                <w:vertAlign w:val="superscript"/>
              </w:rPr>
              <w:t>2</w:t>
            </w:r>
            <w:r>
              <w:t>]</w:t>
            </w:r>
            <w:r w:rsidRPr="006D169F">
              <w:rPr>
                <w:i/>
              </w:rPr>
              <w:t>T</w:t>
            </w:r>
          </w:p>
        </w:tc>
      </w:tr>
      <w:tr w:rsidR="004C2B00" w14:paraId="123B0A79" w14:textId="77777777" w:rsidTr="004C2B00">
        <w:tc>
          <w:tcPr>
            <w:tcW w:w="3573" w:type="dxa"/>
            <w:shd w:val="clear" w:color="auto" w:fill="auto"/>
          </w:tcPr>
          <w:p w14:paraId="3EB3F45C" w14:textId="77777777" w:rsidR="004C2B00" w:rsidRDefault="004C2B00" w:rsidP="004C2B00">
            <w:pPr>
              <w:pStyle w:val="Paragraph"/>
              <w:spacing w:before="0" w:line="240" w:lineRule="auto"/>
              <w:contextualSpacing/>
            </w:pPr>
            <w:r w:rsidRPr="006D169F">
              <w:rPr>
                <w:lang w:val="en-IE"/>
              </w:rPr>
              <w:t xml:space="preserve">Latent heat of fusion </w:t>
            </w:r>
          </w:p>
        </w:tc>
        <w:tc>
          <w:tcPr>
            <w:tcW w:w="992" w:type="dxa"/>
            <w:shd w:val="clear" w:color="auto" w:fill="auto"/>
          </w:tcPr>
          <w:p w14:paraId="18B2308F" w14:textId="77777777" w:rsidR="004C2B00" w:rsidRPr="006D169F" w:rsidRDefault="004C2B00" w:rsidP="00A36041">
            <w:pPr>
              <w:pStyle w:val="Paragraph"/>
              <w:spacing w:before="0" w:line="240" w:lineRule="auto"/>
              <w:contextualSpacing/>
              <w:jc w:val="center"/>
              <w:rPr>
                <w:i/>
              </w:rPr>
            </w:pPr>
            <w:r w:rsidRPr="006D169F">
              <w:rPr>
                <w:i/>
              </w:rPr>
              <w:t>L</w:t>
            </w:r>
          </w:p>
        </w:tc>
        <w:tc>
          <w:tcPr>
            <w:tcW w:w="2412" w:type="dxa"/>
            <w:shd w:val="clear" w:color="auto" w:fill="auto"/>
          </w:tcPr>
          <w:p w14:paraId="06FDAE34" w14:textId="77777777" w:rsidR="004C2B00" w:rsidRDefault="004C2B00" w:rsidP="00A36041">
            <w:pPr>
              <w:pStyle w:val="Paragraph"/>
              <w:spacing w:before="0" w:line="240" w:lineRule="auto"/>
              <w:contextualSpacing/>
              <w:jc w:val="center"/>
            </w:pPr>
            <w:r w:rsidRPr="006D169F">
              <w:rPr>
                <w:lang w:val="en-IE"/>
              </w:rPr>
              <w:t>23900</w:t>
            </w:r>
          </w:p>
        </w:tc>
        <w:tc>
          <w:tcPr>
            <w:tcW w:w="1132" w:type="dxa"/>
            <w:shd w:val="clear" w:color="auto" w:fill="auto"/>
          </w:tcPr>
          <w:p w14:paraId="4D10A29C" w14:textId="77777777" w:rsidR="004C2B00" w:rsidRDefault="004C2B00" w:rsidP="00A36041">
            <w:pPr>
              <w:pStyle w:val="Paragraph"/>
              <w:spacing w:before="0" w:line="240" w:lineRule="auto"/>
              <w:contextualSpacing/>
              <w:jc w:val="center"/>
            </w:pPr>
            <w:r w:rsidRPr="006D169F">
              <w:rPr>
                <w:lang w:val="en-IE"/>
              </w:rPr>
              <w:t>[J/kg]</w:t>
            </w:r>
          </w:p>
        </w:tc>
      </w:tr>
      <w:tr w:rsidR="004C2B00" w14:paraId="5DE78AB5" w14:textId="77777777" w:rsidTr="004C2B00">
        <w:tc>
          <w:tcPr>
            <w:tcW w:w="3573" w:type="dxa"/>
            <w:shd w:val="clear" w:color="auto" w:fill="auto"/>
          </w:tcPr>
          <w:p w14:paraId="7E0D8896" w14:textId="77777777" w:rsidR="004C2B00" w:rsidRDefault="004C2B00" w:rsidP="00A36041">
            <w:pPr>
              <w:pStyle w:val="Paragraph"/>
              <w:spacing w:before="0" w:line="240" w:lineRule="auto"/>
              <w:contextualSpacing/>
            </w:pPr>
            <w:r w:rsidRPr="006D169F">
              <w:rPr>
                <w:lang w:val="en-IE"/>
              </w:rPr>
              <w:t>Equilibrium liquidus temperature</w:t>
            </w:r>
          </w:p>
        </w:tc>
        <w:tc>
          <w:tcPr>
            <w:tcW w:w="992" w:type="dxa"/>
            <w:shd w:val="clear" w:color="auto" w:fill="auto"/>
          </w:tcPr>
          <w:p w14:paraId="683DF161" w14:textId="77777777" w:rsidR="004C2B00" w:rsidRPr="006D169F" w:rsidRDefault="004C2B00" w:rsidP="00A36041">
            <w:pPr>
              <w:pStyle w:val="Paragraph"/>
              <w:spacing w:before="0" w:line="240" w:lineRule="auto"/>
              <w:contextualSpacing/>
              <w:jc w:val="center"/>
              <w:rPr>
                <w:i/>
              </w:rPr>
            </w:pPr>
            <w:r w:rsidRPr="006D169F">
              <w:rPr>
                <w:i/>
              </w:rPr>
              <w:t>T</w:t>
            </w:r>
            <w:r w:rsidRPr="006D169F">
              <w:rPr>
                <w:i/>
                <w:vertAlign w:val="subscript"/>
              </w:rPr>
              <w:t>L</w:t>
            </w:r>
          </w:p>
        </w:tc>
        <w:tc>
          <w:tcPr>
            <w:tcW w:w="2412" w:type="dxa"/>
            <w:shd w:val="clear" w:color="auto" w:fill="auto"/>
          </w:tcPr>
          <w:p w14:paraId="2B61FF11" w14:textId="77777777" w:rsidR="004C2B00" w:rsidRDefault="004C2B00" w:rsidP="00A36041">
            <w:pPr>
              <w:pStyle w:val="Paragraph"/>
              <w:spacing w:before="0" w:line="240" w:lineRule="auto"/>
              <w:contextualSpacing/>
              <w:jc w:val="center"/>
            </w:pPr>
            <w:r>
              <w:t>352.45</w:t>
            </w:r>
          </w:p>
        </w:tc>
        <w:tc>
          <w:tcPr>
            <w:tcW w:w="1132" w:type="dxa"/>
            <w:shd w:val="clear" w:color="auto" w:fill="auto"/>
          </w:tcPr>
          <w:p w14:paraId="6982E712" w14:textId="77777777" w:rsidR="004C2B00" w:rsidRDefault="004C2B00" w:rsidP="00A36041">
            <w:pPr>
              <w:pStyle w:val="Paragraph"/>
              <w:spacing w:before="0" w:line="240" w:lineRule="auto"/>
              <w:contextualSpacing/>
              <w:jc w:val="center"/>
            </w:pPr>
            <w:r w:rsidRPr="006D169F">
              <w:rPr>
                <w:lang w:val="en-IE"/>
              </w:rPr>
              <w:t>[</w:t>
            </w:r>
            <w:r>
              <w:rPr>
                <w:lang w:val="en-IE"/>
              </w:rPr>
              <w:t>K</w:t>
            </w:r>
            <w:r w:rsidRPr="006D169F">
              <w:rPr>
                <w:lang w:val="en-IE"/>
              </w:rPr>
              <w:t>]</w:t>
            </w:r>
          </w:p>
        </w:tc>
      </w:tr>
      <w:tr w:rsidR="004C2B00" w14:paraId="044E23AC" w14:textId="77777777" w:rsidTr="004C2B00">
        <w:tc>
          <w:tcPr>
            <w:tcW w:w="3573" w:type="dxa"/>
            <w:shd w:val="clear" w:color="auto" w:fill="auto"/>
          </w:tcPr>
          <w:p w14:paraId="16C1348C" w14:textId="77777777" w:rsidR="004C2B00" w:rsidRDefault="004C2B00" w:rsidP="00A36041">
            <w:pPr>
              <w:pStyle w:val="Paragraph"/>
              <w:spacing w:before="0" w:line="240" w:lineRule="auto"/>
              <w:contextualSpacing/>
            </w:pPr>
            <w:r w:rsidRPr="006D169F">
              <w:rPr>
                <w:lang w:val="en-IE"/>
              </w:rPr>
              <w:t xml:space="preserve">Equilibrium </w:t>
            </w:r>
            <w:r>
              <w:rPr>
                <w:lang w:val="en-IE"/>
              </w:rPr>
              <w:t>eutectic</w:t>
            </w:r>
            <w:r w:rsidRPr="006D169F">
              <w:rPr>
                <w:lang w:val="en-IE"/>
              </w:rPr>
              <w:t xml:space="preserve"> temperature</w:t>
            </w:r>
          </w:p>
        </w:tc>
        <w:tc>
          <w:tcPr>
            <w:tcW w:w="992" w:type="dxa"/>
            <w:shd w:val="clear" w:color="auto" w:fill="auto"/>
          </w:tcPr>
          <w:p w14:paraId="0D099CD4" w14:textId="77777777" w:rsidR="004C2B00" w:rsidRPr="006D169F" w:rsidRDefault="004C2B00" w:rsidP="00A36041">
            <w:pPr>
              <w:pStyle w:val="Paragraph"/>
              <w:spacing w:before="0" w:line="240" w:lineRule="auto"/>
              <w:contextualSpacing/>
              <w:jc w:val="center"/>
              <w:rPr>
                <w:i/>
              </w:rPr>
            </w:pPr>
            <w:r w:rsidRPr="006D169F">
              <w:rPr>
                <w:i/>
              </w:rPr>
              <w:t>T</w:t>
            </w:r>
            <w:r>
              <w:rPr>
                <w:i/>
                <w:vertAlign w:val="subscript"/>
              </w:rPr>
              <w:t>E</w:t>
            </w:r>
          </w:p>
        </w:tc>
        <w:tc>
          <w:tcPr>
            <w:tcW w:w="2412" w:type="dxa"/>
            <w:shd w:val="clear" w:color="auto" w:fill="auto"/>
          </w:tcPr>
          <w:p w14:paraId="44D22CCF" w14:textId="77777777" w:rsidR="004C2B00" w:rsidRDefault="004C2B00" w:rsidP="00A36041">
            <w:pPr>
              <w:pStyle w:val="Paragraph"/>
              <w:spacing w:before="0" w:line="240" w:lineRule="auto"/>
              <w:contextualSpacing/>
              <w:jc w:val="center"/>
            </w:pPr>
            <w:r>
              <w:t>326.05</w:t>
            </w:r>
          </w:p>
        </w:tc>
        <w:tc>
          <w:tcPr>
            <w:tcW w:w="1132" w:type="dxa"/>
            <w:shd w:val="clear" w:color="auto" w:fill="auto"/>
          </w:tcPr>
          <w:p w14:paraId="4E0DD917" w14:textId="77777777" w:rsidR="004C2B00" w:rsidRDefault="004C2B00" w:rsidP="00A36041">
            <w:pPr>
              <w:pStyle w:val="Paragraph"/>
              <w:spacing w:before="0" w:line="240" w:lineRule="auto"/>
              <w:contextualSpacing/>
              <w:jc w:val="center"/>
            </w:pPr>
            <w:r w:rsidRPr="006D169F">
              <w:rPr>
                <w:lang w:val="en-IE"/>
              </w:rPr>
              <w:t>[</w:t>
            </w:r>
            <w:r>
              <w:rPr>
                <w:lang w:val="en-IE"/>
              </w:rPr>
              <w:t>K</w:t>
            </w:r>
            <w:r w:rsidRPr="006D169F">
              <w:rPr>
                <w:lang w:val="en-IE"/>
              </w:rPr>
              <w:t>]</w:t>
            </w:r>
          </w:p>
        </w:tc>
      </w:tr>
      <w:tr w:rsidR="004C2B00" w14:paraId="513C0835" w14:textId="77777777" w:rsidTr="004C2B00">
        <w:tc>
          <w:tcPr>
            <w:tcW w:w="3573" w:type="dxa"/>
            <w:shd w:val="clear" w:color="auto" w:fill="auto"/>
          </w:tcPr>
          <w:p w14:paraId="44BB2891" w14:textId="77777777" w:rsidR="004C2B00" w:rsidRDefault="004C2B00" w:rsidP="00A36041">
            <w:pPr>
              <w:pStyle w:val="Paragraph"/>
              <w:spacing w:before="0" w:line="240" w:lineRule="auto"/>
              <w:contextualSpacing/>
            </w:pPr>
            <w:r w:rsidRPr="006D169F">
              <w:rPr>
                <w:lang w:val="en-IE"/>
              </w:rPr>
              <w:t xml:space="preserve">Melting temperature of pure </w:t>
            </w:r>
            <w:r>
              <w:rPr>
                <w:lang w:val="en-IE"/>
              </w:rPr>
              <w:t>NPG</w:t>
            </w:r>
          </w:p>
        </w:tc>
        <w:tc>
          <w:tcPr>
            <w:tcW w:w="992" w:type="dxa"/>
            <w:shd w:val="clear" w:color="auto" w:fill="auto"/>
          </w:tcPr>
          <w:p w14:paraId="5B102D86" w14:textId="77777777" w:rsidR="004C2B00" w:rsidRDefault="004C2B00" w:rsidP="00A36041">
            <w:pPr>
              <w:pStyle w:val="Paragraph"/>
              <w:spacing w:before="0" w:line="240" w:lineRule="auto"/>
              <w:contextualSpacing/>
              <w:jc w:val="center"/>
            </w:pPr>
            <w:r w:rsidRPr="006D169F">
              <w:rPr>
                <w:i/>
              </w:rPr>
              <w:t>T</w:t>
            </w:r>
            <w:r w:rsidRPr="006D169F">
              <w:rPr>
                <w:i/>
                <w:vertAlign w:val="subscript"/>
              </w:rPr>
              <w:t>M</w:t>
            </w:r>
          </w:p>
        </w:tc>
        <w:tc>
          <w:tcPr>
            <w:tcW w:w="2412" w:type="dxa"/>
            <w:shd w:val="clear" w:color="auto" w:fill="auto"/>
          </w:tcPr>
          <w:p w14:paraId="16AF4845" w14:textId="77777777" w:rsidR="004C2B00" w:rsidRDefault="004C2B00" w:rsidP="00A36041">
            <w:pPr>
              <w:pStyle w:val="Paragraph"/>
              <w:spacing w:before="0" w:line="240" w:lineRule="auto"/>
              <w:contextualSpacing/>
              <w:jc w:val="center"/>
            </w:pPr>
            <w:r>
              <w:t>404.71</w:t>
            </w:r>
          </w:p>
        </w:tc>
        <w:tc>
          <w:tcPr>
            <w:tcW w:w="1132" w:type="dxa"/>
            <w:shd w:val="clear" w:color="auto" w:fill="auto"/>
          </w:tcPr>
          <w:p w14:paraId="5D7449B2" w14:textId="77777777" w:rsidR="004C2B00" w:rsidRDefault="004C2B00" w:rsidP="00A36041">
            <w:pPr>
              <w:pStyle w:val="Paragraph"/>
              <w:spacing w:before="0" w:line="240" w:lineRule="auto"/>
              <w:contextualSpacing/>
              <w:jc w:val="center"/>
            </w:pPr>
            <w:r w:rsidRPr="006D169F">
              <w:rPr>
                <w:lang w:val="en-IE"/>
              </w:rPr>
              <w:t>[</w:t>
            </w:r>
            <w:r>
              <w:rPr>
                <w:lang w:val="en-IE"/>
              </w:rPr>
              <w:t>K</w:t>
            </w:r>
            <w:r w:rsidRPr="006D169F">
              <w:rPr>
                <w:lang w:val="en-IE"/>
              </w:rPr>
              <w:t>]</w:t>
            </w:r>
          </w:p>
        </w:tc>
      </w:tr>
      <w:tr w:rsidR="004C2B00" w14:paraId="4B7FD78C" w14:textId="77777777" w:rsidTr="004C2B00">
        <w:tc>
          <w:tcPr>
            <w:tcW w:w="3573" w:type="dxa"/>
            <w:shd w:val="clear" w:color="auto" w:fill="auto"/>
          </w:tcPr>
          <w:p w14:paraId="0713AB3B" w14:textId="77777777" w:rsidR="004C2B00" w:rsidRDefault="004C2B00" w:rsidP="00A36041">
            <w:pPr>
              <w:pStyle w:val="Paragraph"/>
              <w:spacing w:before="0" w:line="240" w:lineRule="auto"/>
              <w:contextualSpacing/>
            </w:pPr>
            <w:r>
              <w:t xml:space="preserve">Partition coefficient </w:t>
            </w:r>
          </w:p>
        </w:tc>
        <w:tc>
          <w:tcPr>
            <w:tcW w:w="992" w:type="dxa"/>
            <w:shd w:val="clear" w:color="auto" w:fill="auto"/>
          </w:tcPr>
          <w:p w14:paraId="189C9EF9" w14:textId="3ECE6B13" w:rsidR="004C2B00" w:rsidRPr="006D169F" w:rsidRDefault="000D703E" w:rsidP="004C2B00">
            <w:pPr>
              <w:pStyle w:val="Paragraph"/>
              <w:spacing w:before="0" w:line="240" w:lineRule="auto"/>
              <w:contextualSpacing/>
              <w:jc w:val="center"/>
              <w:rPr>
                <w:i/>
              </w:rPr>
            </w:pPr>
            <w:r>
              <w:rPr>
                <w:i/>
              </w:rPr>
              <w:t>k</w:t>
            </w:r>
            <w:r>
              <w:rPr>
                <w:i/>
                <w:vertAlign w:val="subscript"/>
              </w:rPr>
              <w:t>part</w:t>
            </w:r>
          </w:p>
        </w:tc>
        <w:tc>
          <w:tcPr>
            <w:tcW w:w="2412" w:type="dxa"/>
            <w:shd w:val="clear" w:color="auto" w:fill="auto"/>
          </w:tcPr>
          <w:p w14:paraId="4B8B7433" w14:textId="77777777" w:rsidR="004C2B00" w:rsidRDefault="004C2B00" w:rsidP="00A36041">
            <w:pPr>
              <w:pStyle w:val="Paragraph"/>
              <w:spacing w:before="0" w:line="240" w:lineRule="auto"/>
              <w:contextualSpacing/>
              <w:jc w:val="center"/>
            </w:pPr>
            <w:r>
              <w:t>0.072</w:t>
            </w:r>
          </w:p>
        </w:tc>
        <w:tc>
          <w:tcPr>
            <w:tcW w:w="1132" w:type="dxa"/>
            <w:shd w:val="clear" w:color="auto" w:fill="auto"/>
          </w:tcPr>
          <w:p w14:paraId="3FF595C7" w14:textId="77777777" w:rsidR="004C2B00" w:rsidRDefault="004C2B00" w:rsidP="00A36041">
            <w:pPr>
              <w:pStyle w:val="Paragraph"/>
              <w:spacing w:before="0" w:line="240" w:lineRule="auto"/>
              <w:contextualSpacing/>
              <w:jc w:val="center"/>
            </w:pPr>
            <w:r>
              <w:t>[–]</w:t>
            </w:r>
          </w:p>
        </w:tc>
      </w:tr>
      <w:tr w:rsidR="000D703E" w14:paraId="5FDF29A1" w14:textId="77777777" w:rsidTr="004C2B00">
        <w:tc>
          <w:tcPr>
            <w:tcW w:w="3573" w:type="dxa"/>
            <w:shd w:val="clear" w:color="auto" w:fill="auto"/>
          </w:tcPr>
          <w:p w14:paraId="26302643" w14:textId="7078CCE3" w:rsidR="000D703E" w:rsidRDefault="000D703E" w:rsidP="00A36041">
            <w:pPr>
              <w:pStyle w:val="Paragraph"/>
              <w:spacing w:before="0" w:line="240" w:lineRule="auto"/>
              <w:contextualSpacing/>
            </w:pPr>
            <w:r>
              <w:lastRenderedPageBreak/>
              <w:t>Diffusivity of solute in liquid</w:t>
            </w:r>
          </w:p>
        </w:tc>
        <w:tc>
          <w:tcPr>
            <w:tcW w:w="992" w:type="dxa"/>
            <w:shd w:val="clear" w:color="auto" w:fill="auto"/>
          </w:tcPr>
          <w:p w14:paraId="20388FDD" w14:textId="655922C3" w:rsidR="000D703E" w:rsidRDefault="000D703E" w:rsidP="004C2B00">
            <w:pPr>
              <w:pStyle w:val="Paragraph"/>
              <w:spacing w:before="0" w:line="240" w:lineRule="auto"/>
              <w:contextualSpacing/>
              <w:jc w:val="center"/>
              <w:rPr>
                <w:i/>
              </w:rPr>
            </w:pPr>
            <w:r>
              <w:rPr>
                <w:i/>
              </w:rPr>
              <w:t>D</w:t>
            </w:r>
            <w:r w:rsidRPr="000D703E">
              <w:rPr>
                <w:i/>
                <w:vertAlign w:val="subscript"/>
              </w:rPr>
              <w:t>l</w:t>
            </w:r>
          </w:p>
        </w:tc>
        <w:tc>
          <w:tcPr>
            <w:tcW w:w="2412" w:type="dxa"/>
            <w:shd w:val="clear" w:color="auto" w:fill="auto"/>
          </w:tcPr>
          <w:p w14:paraId="34F3DB9D" w14:textId="27978E40" w:rsidR="000D703E" w:rsidRDefault="000D703E" w:rsidP="00A36041">
            <w:pPr>
              <w:pStyle w:val="Paragraph"/>
              <w:spacing w:before="0" w:line="240" w:lineRule="auto"/>
              <w:contextualSpacing/>
              <w:jc w:val="center"/>
            </w:pPr>
            <w:r>
              <w:t>97</w:t>
            </w:r>
          </w:p>
        </w:tc>
        <w:tc>
          <w:tcPr>
            <w:tcW w:w="1132" w:type="dxa"/>
            <w:shd w:val="clear" w:color="auto" w:fill="auto"/>
          </w:tcPr>
          <w:p w14:paraId="0A3CF712" w14:textId="2FF516A1" w:rsidR="000D703E" w:rsidRDefault="000D703E" w:rsidP="00857E54">
            <w:pPr>
              <w:pStyle w:val="Paragraph"/>
              <w:spacing w:before="0" w:line="240" w:lineRule="auto"/>
              <w:contextualSpacing/>
              <w:jc w:val="center"/>
            </w:pPr>
            <w:r>
              <w:t>[</w:t>
            </w:r>
            <w:r w:rsidRPr="000D703E">
              <w:rPr>
                <w:rFonts w:ascii="Symbol" w:hAnsi="Symbol"/>
              </w:rPr>
              <w:t></w:t>
            </w:r>
            <w:r>
              <w:t>m</w:t>
            </w:r>
            <w:r w:rsidR="00BF7437" w:rsidRPr="000D703E">
              <w:rPr>
                <w:vertAlign w:val="superscript"/>
              </w:rPr>
              <w:t>2</w:t>
            </w:r>
            <w:r>
              <w:t>/s]</w:t>
            </w:r>
          </w:p>
        </w:tc>
      </w:tr>
      <w:tr w:rsidR="004C2B00" w14:paraId="7F66A1C5" w14:textId="77777777" w:rsidTr="004C2B00">
        <w:tc>
          <w:tcPr>
            <w:tcW w:w="3573" w:type="dxa"/>
            <w:shd w:val="clear" w:color="auto" w:fill="auto"/>
          </w:tcPr>
          <w:p w14:paraId="027CF10D" w14:textId="77777777" w:rsidR="004C2B00" w:rsidRDefault="004C2B00" w:rsidP="00A36041">
            <w:pPr>
              <w:pStyle w:val="Paragraph"/>
              <w:spacing w:before="0" w:line="240" w:lineRule="auto"/>
              <w:contextualSpacing/>
            </w:pPr>
            <w:r>
              <w:t xml:space="preserve">Dendrite growth coefficient </w:t>
            </w:r>
          </w:p>
        </w:tc>
        <w:tc>
          <w:tcPr>
            <w:tcW w:w="992" w:type="dxa"/>
            <w:shd w:val="clear" w:color="auto" w:fill="auto"/>
          </w:tcPr>
          <w:p w14:paraId="0E383560" w14:textId="77777777" w:rsidR="004C2B00" w:rsidRPr="006D169F" w:rsidRDefault="004C2B00" w:rsidP="00A36041">
            <w:pPr>
              <w:pStyle w:val="Paragraph"/>
              <w:spacing w:before="0" w:line="240" w:lineRule="auto"/>
              <w:contextualSpacing/>
              <w:jc w:val="center"/>
              <w:rPr>
                <w:i/>
              </w:rPr>
            </w:pPr>
            <w:r w:rsidRPr="006D169F">
              <w:rPr>
                <w:bCs/>
                <w:i/>
                <w:iCs/>
                <w:lang w:val="en-IE"/>
              </w:rPr>
              <w:t>C</w:t>
            </w:r>
            <w:r w:rsidRPr="00344D0E">
              <w:rPr>
                <w:bCs/>
                <w:i/>
                <w:vertAlign w:val="subscript"/>
                <w:lang w:val="en-IE"/>
              </w:rPr>
              <w:t>t</w:t>
            </w:r>
          </w:p>
        </w:tc>
        <w:tc>
          <w:tcPr>
            <w:tcW w:w="2412" w:type="dxa"/>
            <w:shd w:val="clear" w:color="auto" w:fill="auto"/>
          </w:tcPr>
          <w:p w14:paraId="1D645974" w14:textId="77777777" w:rsidR="004C2B00" w:rsidRDefault="004C2B00" w:rsidP="00A36041">
            <w:pPr>
              <w:pStyle w:val="Paragraph"/>
              <w:spacing w:before="0" w:line="240" w:lineRule="auto"/>
              <w:contextualSpacing/>
              <w:jc w:val="center"/>
            </w:pPr>
            <w:r>
              <w:rPr>
                <w:lang w:val="en-IE"/>
              </w:rPr>
              <w:t>6.54469</w:t>
            </w:r>
            <w:r w:rsidRPr="006D169F">
              <w:rPr>
                <w:lang w:val="en-IE"/>
              </w:rPr>
              <w:t>×10</w:t>
            </w:r>
            <w:r>
              <w:rPr>
                <w:vertAlign w:val="superscript"/>
                <w:lang w:val="en-IE"/>
              </w:rPr>
              <w:t>-10</w:t>
            </w:r>
          </w:p>
        </w:tc>
        <w:tc>
          <w:tcPr>
            <w:tcW w:w="1132" w:type="dxa"/>
            <w:shd w:val="clear" w:color="auto" w:fill="auto"/>
          </w:tcPr>
          <w:p w14:paraId="2DC87CC0" w14:textId="77777777" w:rsidR="004C2B00" w:rsidRDefault="004C2B00" w:rsidP="00A36041">
            <w:pPr>
              <w:pStyle w:val="Paragraph"/>
              <w:spacing w:before="0" w:line="240" w:lineRule="auto"/>
              <w:contextualSpacing/>
              <w:jc w:val="center"/>
            </w:pPr>
            <w:r w:rsidRPr="006D169F">
              <w:rPr>
                <w:lang w:val="en-IE"/>
              </w:rPr>
              <w:t>[m/s</w:t>
            </w:r>
            <w:r>
              <w:rPr>
                <w:lang w:val="en-IE"/>
              </w:rPr>
              <w:t>/K</w:t>
            </w:r>
            <w:r>
              <w:rPr>
                <w:vertAlign w:val="superscript"/>
                <w:lang w:val="en-IE"/>
              </w:rPr>
              <w:t>4</w:t>
            </w:r>
            <w:r w:rsidRPr="006D169F">
              <w:rPr>
                <w:lang w:val="en-IE"/>
              </w:rPr>
              <w:t>]</w:t>
            </w:r>
          </w:p>
        </w:tc>
      </w:tr>
      <w:tr w:rsidR="004C2B00" w14:paraId="2405C742" w14:textId="77777777" w:rsidTr="004C2B00">
        <w:tc>
          <w:tcPr>
            <w:tcW w:w="3573" w:type="dxa"/>
            <w:shd w:val="clear" w:color="auto" w:fill="auto"/>
          </w:tcPr>
          <w:p w14:paraId="1F590279" w14:textId="77777777" w:rsidR="004C2B00" w:rsidRDefault="004C2B00" w:rsidP="00A36041">
            <w:pPr>
              <w:pStyle w:val="Paragraph"/>
              <w:spacing w:before="0" w:line="240" w:lineRule="auto"/>
              <w:contextualSpacing/>
            </w:pPr>
            <w:r>
              <w:t>Dendrite growth exponent</w:t>
            </w:r>
          </w:p>
        </w:tc>
        <w:tc>
          <w:tcPr>
            <w:tcW w:w="992" w:type="dxa"/>
            <w:shd w:val="clear" w:color="auto" w:fill="auto"/>
          </w:tcPr>
          <w:p w14:paraId="34C091D5" w14:textId="77777777" w:rsidR="004C2B00" w:rsidRPr="006D169F" w:rsidRDefault="004C2B00" w:rsidP="00A36041">
            <w:pPr>
              <w:pStyle w:val="Paragraph"/>
              <w:spacing w:before="0" w:line="240" w:lineRule="auto"/>
              <w:contextualSpacing/>
              <w:jc w:val="center"/>
              <w:rPr>
                <w:i/>
              </w:rPr>
            </w:pPr>
            <w:r>
              <w:rPr>
                <w:bCs/>
                <w:i/>
                <w:iCs/>
                <w:lang w:val="en-IE"/>
              </w:rPr>
              <w:t>b</w:t>
            </w:r>
          </w:p>
        </w:tc>
        <w:tc>
          <w:tcPr>
            <w:tcW w:w="2412" w:type="dxa"/>
            <w:shd w:val="clear" w:color="auto" w:fill="auto"/>
          </w:tcPr>
          <w:p w14:paraId="5AA762DB" w14:textId="77777777" w:rsidR="004C2B00" w:rsidRDefault="004C2B00" w:rsidP="00A36041">
            <w:pPr>
              <w:pStyle w:val="Paragraph"/>
              <w:spacing w:before="0" w:line="240" w:lineRule="auto"/>
              <w:contextualSpacing/>
              <w:jc w:val="center"/>
            </w:pPr>
            <w:r>
              <w:t>4</w:t>
            </w:r>
          </w:p>
        </w:tc>
        <w:tc>
          <w:tcPr>
            <w:tcW w:w="1132" w:type="dxa"/>
            <w:shd w:val="clear" w:color="auto" w:fill="auto"/>
          </w:tcPr>
          <w:p w14:paraId="62885A87" w14:textId="77777777" w:rsidR="004C2B00" w:rsidRDefault="004C2B00" w:rsidP="00A36041">
            <w:pPr>
              <w:pStyle w:val="Paragraph"/>
              <w:spacing w:before="0" w:line="240" w:lineRule="auto"/>
              <w:contextualSpacing/>
              <w:jc w:val="center"/>
            </w:pPr>
            <w:r>
              <w:t>[–]</w:t>
            </w:r>
          </w:p>
        </w:tc>
      </w:tr>
    </w:tbl>
    <w:p w14:paraId="0CB9FD21" w14:textId="77777777" w:rsidR="004C2B00" w:rsidRDefault="004C2B00" w:rsidP="00B328FB">
      <w:pPr>
        <w:pStyle w:val="Newparagraph"/>
        <w:jc w:val="both"/>
      </w:pPr>
    </w:p>
    <w:p w14:paraId="56309FC5" w14:textId="5A8B66BE" w:rsidR="004C2B00" w:rsidRPr="004C2B00" w:rsidRDefault="004C2B00" w:rsidP="000F7390">
      <w:pPr>
        <w:pStyle w:val="Caption"/>
      </w:pPr>
      <w:bookmarkStart w:id="39" w:name="_Ref497836173"/>
      <w:r w:rsidRPr="004C2B00">
        <w:t xml:space="preserve">Table </w:t>
      </w:r>
      <w:r w:rsidR="00AD5590">
        <w:fldChar w:fldCharType="begin"/>
      </w:r>
      <w:r w:rsidR="00AD5590">
        <w:instrText xml:space="preserve"> SEQ Table \* ARABIC </w:instrText>
      </w:r>
      <w:r w:rsidR="00AD5590">
        <w:fldChar w:fldCharType="separate"/>
      </w:r>
      <w:r w:rsidR="002637FB">
        <w:rPr>
          <w:noProof/>
        </w:rPr>
        <w:t>2</w:t>
      </w:r>
      <w:r w:rsidR="00AD5590">
        <w:rPr>
          <w:noProof/>
        </w:rPr>
        <w:fldChar w:fldCharType="end"/>
      </w:r>
      <w:bookmarkEnd w:id="39"/>
      <w:r w:rsidRPr="004C2B00">
        <w:t>: Simulation input data</w:t>
      </w:r>
      <w:r>
        <w:t xml:space="preserve"> – all times are provided relative to lift-off at t=0s</w:t>
      </w:r>
      <w:r w:rsidRPr="004C2B00">
        <w:t xml:space="preserve"> </w:t>
      </w:r>
      <w:r>
        <w:t>(after</w:t>
      </w:r>
      <w:r w:rsidRPr="004C2B00">
        <w:t xml:space="preserve"> </w:t>
      </w:r>
      <w:r w:rsidR="00107475">
        <w:fldChar w:fldCharType="begin" w:fldLock="1"/>
      </w:r>
      <w:r w:rsidR="009049F4">
        <w:instrText>ADDIN CSL_CITATION { "citationItems" : [ { "id" : "ITEM-1", "itemData" : { "DOI" : "10.1016/J.IJTHERMALSCI.2017.11.032", "ISSN" : "1290-0729", "abstract" : "The Multiple Equiaxed Dendrite Interaction (MEDI) experiment was launched on the MASER-13 sounding rocket campaign to investigate polycrystalline equiaxed solidification in the transparent phase change material Neopentylgycol-30wt.%(d)Camphor. This material is of interest as an energy-storage material and as a transparent analogue system of solidification in hypoeutectic metal alloys with a Face Centred Cubic lattice. The liquid sample was cooled under a controlled rate of 0.75\u00a0K/min with sufficient time to allow semi-solid conditions to develop under microgravity conditions with the absence of gravity-driven convection. This manuscript provides details on the experimental apparatus and procedures. In addition, the experimental method has been augmented with a numerical model to assist with the characterisation of the essential thermal aspects of the experiment. The model followed a volume-averaging, continuum approach for mushy-zone development. A fast algorithm for computing non-isothermal crystallisation kinetics was applied to the case of binary alloy solidification. To build confidence, a formal numerical verification procedure was performed. The model converged sufficiently with second order accuracy as expected. Application of the model gave close agreement between experimental thermocouple readings and numerical simulation data with a Root Mean Square of 0.2\u00a0K for the error. A 2D thermal model is sufficient with a suitable heat loss coefficient at the sample-viewing window boundary. Thermal gradients within the sample and along the growth direction were uniform and approximately 0.3\u00a0K/mm. Lateral thermal gradients in the sample ranged from zero at the median plane to 0.3\u00a0K/mm at the boundary with the containing structure. However, temperature variation in the lateral direction was predicted to be less than 0.22\u00a0K.", "author" : [ { "dropping-particle" : "", "family" : "Mooney", "given" : "Robin P.", "non-dropping-particle" : "", "parse-names" : false, "suffix" : "" }, { "dropping-particle" : "", "family" : "Sturz", "given" : "Laszlo", "non-dropping-particle" : "", "parse-names" : false, "suffix" : "" }, { "dropping-particle" : "", "family" : "Zimmermann", "given" : "Gerhard", "non-dropping-particle" : "", "parse-names" : false, "suffix" : "" }, { "dropping-particle" : "", "family" : "McFadden", "given" : "Shaun", "non-dropping-particle" : "", "parse-names" : false, "suffix" : "" } ], "container-title" : "International Journal of Thermal Sciences", "id" : "ITEM-1", "issued" : { "date-parts" : [ [ "2018", "3", "1" ] ] }, "page" : "283-292", "publisher" : "Elsevier Masson", "title" : "Thermal characterisation with modelling for a microgravity experiment into polycrystalline equiaxed dendritic solidification with in-situ observation", "type" : "article-journal", "volume" : "125" }, "uris" : [ "http://www.mendeley.com/documents/?uuid=450b8cb6-8509-330d-8318-bc3d351d5cd4" ] } ], "mendeley" : { "formattedCitation" : "[32]", "plainTextFormattedCitation" : "[32]", "previouslyFormattedCitation" : "[32]" }, "properties" : {  }, "schema" : "https://github.com/citation-style-language/schema/raw/master/csl-citation.json" }</w:instrText>
      </w:r>
      <w:r w:rsidR="00107475">
        <w:fldChar w:fldCharType="separate"/>
      </w:r>
      <w:r w:rsidR="00107475" w:rsidRPr="00107475">
        <w:rPr>
          <w:i w:val="0"/>
          <w:noProof/>
        </w:rPr>
        <w:t>[32]</w:t>
      </w:r>
      <w:r w:rsidR="00107475">
        <w:fldChar w:fldCharType="end"/>
      </w:r>
      <w:r w:rsidRPr="00107475">
        <w:rPr>
          <w:i w:val="0"/>
        </w:rPr>
        <w:t>)</w:t>
      </w:r>
    </w:p>
    <w:tbl>
      <w:tblPr>
        <w:tblW w:w="0" w:type="auto"/>
        <w:tblBorders>
          <w:top w:val="single" w:sz="4" w:space="0" w:color="auto"/>
          <w:bottom w:val="single" w:sz="4" w:space="0" w:color="auto"/>
        </w:tblBorders>
        <w:tblLayout w:type="fixed"/>
        <w:tblLook w:val="04A0" w:firstRow="1" w:lastRow="0" w:firstColumn="1" w:lastColumn="0" w:noHBand="0" w:noVBand="1"/>
      </w:tblPr>
      <w:tblGrid>
        <w:gridCol w:w="4536"/>
        <w:gridCol w:w="993"/>
        <w:gridCol w:w="1701"/>
        <w:gridCol w:w="1269"/>
      </w:tblGrid>
      <w:tr w:rsidR="004C2B00" w14:paraId="311A7C82" w14:textId="77777777" w:rsidTr="00A36041">
        <w:tc>
          <w:tcPr>
            <w:tcW w:w="4536" w:type="dxa"/>
            <w:tcBorders>
              <w:top w:val="single" w:sz="4" w:space="0" w:color="auto"/>
              <w:bottom w:val="single" w:sz="4" w:space="0" w:color="auto"/>
            </w:tcBorders>
            <w:shd w:val="clear" w:color="auto" w:fill="auto"/>
          </w:tcPr>
          <w:p w14:paraId="226E3F08" w14:textId="77777777" w:rsidR="004C2B00" w:rsidRDefault="004C2B00" w:rsidP="00A36041">
            <w:pPr>
              <w:pStyle w:val="Paragraph"/>
              <w:spacing w:before="0" w:line="240" w:lineRule="auto"/>
              <w:contextualSpacing/>
            </w:pPr>
            <w:r>
              <w:t>Input</w:t>
            </w:r>
          </w:p>
        </w:tc>
        <w:tc>
          <w:tcPr>
            <w:tcW w:w="993" w:type="dxa"/>
            <w:tcBorders>
              <w:top w:val="single" w:sz="4" w:space="0" w:color="auto"/>
              <w:bottom w:val="single" w:sz="4" w:space="0" w:color="auto"/>
            </w:tcBorders>
            <w:shd w:val="clear" w:color="auto" w:fill="auto"/>
          </w:tcPr>
          <w:p w14:paraId="7A74D00C" w14:textId="77777777" w:rsidR="004C2B00" w:rsidRDefault="004C2B00" w:rsidP="00A36041">
            <w:pPr>
              <w:pStyle w:val="Paragraph"/>
              <w:spacing w:before="0" w:line="240" w:lineRule="auto"/>
              <w:contextualSpacing/>
              <w:jc w:val="center"/>
            </w:pPr>
            <w:r>
              <w:t>Symbol</w:t>
            </w:r>
          </w:p>
        </w:tc>
        <w:tc>
          <w:tcPr>
            <w:tcW w:w="1701" w:type="dxa"/>
            <w:tcBorders>
              <w:top w:val="single" w:sz="4" w:space="0" w:color="auto"/>
              <w:bottom w:val="single" w:sz="4" w:space="0" w:color="auto"/>
            </w:tcBorders>
            <w:shd w:val="clear" w:color="auto" w:fill="auto"/>
          </w:tcPr>
          <w:p w14:paraId="6E5E5AC3" w14:textId="77777777" w:rsidR="004C2B00" w:rsidRDefault="004C2B00" w:rsidP="00A36041">
            <w:pPr>
              <w:pStyle w:val="Paragraph"/>
              <w:spacing w:before="0" w:line="240" w:lineRule="auto"/>
              <w:contextualSpacing/>
              <w:jc w:val="center"/>
            </w:pPr>
            <w:r>
              <w:t>Value</w:t>
            </w:r>
          </w:p>
        </w:tc>
        <w:tc>
          <w:tcPr>
            <w:tcW w:w="1269" w:type="dxa"/>
            <w:tcBorders>
              <w:top w:val="single" w:sz="4" w:space="0" w:color="auto"/>
              <w:bottom w:val="single" w:sz="4" w:space="0" w:color="auto"/>
            </w:tcBorders>
            <w:shd w:val="clear" w:color="auto" w:fill="auto"/>
          </w:tcPr>
          <w:p w14:paraId="34CCD52A" w14:textId="77777777" w:rsidR="004C2B00" w:rsidRDefault="004C2B00" w:rsidP="00A36041">
            <w:pPr>
              <w:pStyle w:val="Paragraph"/>
              <w:spacing w:before="0" w:line="240" w:lineRule="auto"/>
              <w:contextualSpacing/>
              <w:jc w:val="center"/>
            </w:pPr>
            <w:r>
              <w:t>Units</w:t>
            </w:r>
          </w:p>
        </w:tc>
      </w:tr>
      <w:tr w:rsidR="004C2B00" w14:paraId="18410221" w14:textId="77777777" w:rsidTr="00A36041">
        <w:tc>
          <w:tcPr>
            <w:tcW w:w="4536" w:type="dxa"/>
            <w:tcBorders>
              <w:top w:val="single" w:sz="4" w:space="0" w:color="auto"/>
            </w:tcBorders>
            <w:shd w:val="clear" w:color="auto" w:fill="auto"/>
          </w:tcPr>
          <w:p w14:paraId="60274F4E" w14:textId="77777777" w:rsidR="004C2B00" w:rsidRDefault="004C2B00" w:rsidP="004C2B00">
            <w:pPr>
              <w:pStyle w:val="Paragraph"/>
              <w:spacing w:before="0" w:line="240" w:lineRule="auto"/>
              <w:contextualSpacing/>
            </w:pPr>
            <w:r>
              <w:t xml:space="preserve">Simulation start time </w:t>
            </w:r>
          </w:p>
        </w:tc>
        <w:tc>
          <w:tcPr>
            <w:tcW w:w="993" w:type="dxa"/>
            <w:tcBorders>
              <w:top w:val="single" w:sz="4" w:space="0" w:color="auto"/>
            </w:tcBorders>
            <w:shd w:val="clear" w:color="auto" w:fill="auto"/>
          </w:tcPr>
          <w:p w14:paraId="5F1A597F" w14:textId="77777777" w:rsidR="004C2B00" w:rsidRDefault="004C2B00" w:rsidP="00A36041">
            <w:pPr>
              <w:pStyle w:val="Paragraph"/>
              <w:spacing w:before="0" w:line="240" w:lineRule="auto"/>
              <w:contextualSpacing/>
              <w:jc w:val="center"/>
            </w:pPr>
            <w:r w:rsidRPr="006D169F">
              <w:rPr>
                <w:i/>
              </w:rPr>
              <w:t>t</w:t>
            </w:r>
            <w:r w:rsidRPr="006D169F">
              <w:rPr>
                <w:vertAlign w:val="subscript"/>
              </w:rPr>
              <w:t>start</w:t>
            </w:r>
          </w:p>
        </w:tc>
        <w:tc>
          <w:tcPr>
            <w:tcW w:w="1701" w:type="dxa"/>
            <w:tcBorders>
              <w:top w:val="single" w:sz="4" w:space="0" w:color="auto"/>
            </w:tcBorders>
            <w:shd w:val="clear" w:color="auto" w:fill="auto"/>
          </w:tcPr>
          <w:p w14:paraId="10E84823" w14:textId="77777777" w:rsidR="004C2B00" w:rsidRDefault="004C2B00" w:rsidP="00A36041">
            <w:pPr>
              <w:pStyle w:val="Paragraph"/>
              <w:spacing w:before="0" w:line="240" w:lineRule="auto"/>
              <w:contextualSpacing/>
              <w:jc w:val="center"/>
            </w:pPr>
            <w:r>
              <w:t>–300</w:t>
            </w:r>
          </w:p>
        </w:tc>
        <w:tc>
          <w:tcPr>
            <w:tcW w:w="1269" w:type="dxa"/>
            <w:tcBorders>
              <w:top w:val="single" w:sz="4" w:space="0" w:color="auto"/>
            </w:tcBorders>
            <w:shd w:val="clear" w:color="auto" w:fill="auto"/>
          </w:tcPr>
          <w:p w14:paraId="3A2428E1" w14:textId="77777777" w:rsidR="004C2B00" w:rsidRDefault="004C2B00" w:rsidP="00A36041">
            <w:pPr>
              <w:pStyle w:val="Paragraph"/>
              <w:spacing w:before="0" w:line="240" w:lineRule="auto"/>
              <w:contextualSpacing/>
              <w:jc w:val="center"/>
            </w:pPr>
            <w:r>
              <w:t>[s]</w:t>
            </w:r>
          </w:p>
        </w:tc>
      </w:tr>
      <w:tr w:rsidR="004C2B00" w14:paraId="11F9854F" w14:textId="77777777" w:rsidTr="00A36041">
        <w:tc>
          <w:tcPr>
            <w:tcW w:w="4536" w:type="dxa"/>
            <w:shd w:val="clear" w:color="auto" w:fill="auto"/>
          </w:tcPr>
          <w:p w14:paraId="10FB5CEB" w14:textId="77777777" w:rsidR="004C2B00" w:rsidRDefault="004C2B00" w:rsidP="004C2B00">
            <w:pPr>
              <w:pStyle w:val="Paragraph"/>
              <w:spacing w:before="0" w:line="240" w:lineRule="auto"/>
              <w:contextualSpacing/>
            </w:pPr>
            <w:r>
              <w:t xml:space="preserve">Simulation end time </w:t>
            </w:r>
          </w:p>
        </w:tc>
        <w:tc>
          <w:tcPr>
            <w:tcW w:w="993" w:type="dxa"/>
            <w:shd w:val="clear" w:color="auto" w:fill="auto"/>
          </w:tcPr>
          <w:p w14:paraId="16286E4D" w14:textId="77777777" w:rsidR="004C2B00" w:rsidRDefault="004C2B00" w:rsidP="00A36041">
            <w:pPr>
              <w:pStyle w:val="Paragraph"/>
              <w:spacing w:before="0" w:line="240" w:lineRule="auto"/>
              <w:contextualSpacing/>
              <w:jc w:val="center"/>
            </w:pPr>
            <w:r w:rsidRPr="006D169F">
              <w:rPr>
                <w:i/>
              </w:rPr>
              <w:t>t</w:t>
            </w:r>
            <w:r w:rsidRPr="006D169F">
              <w:rPr>
                <w:vertAlign w:val="subscript"/>
              </w:rPr>
              <w:t>end</w:t>
            </w:r>
          </w:p>
        </w:tc>
        <w:tc>
          <w:tcPr>
            <w:tcW w:w="1701" w:type="dxa"/>
            <w:shd w:val="clear" w:color="auto" w:fill="auto"/>
          </w:tcPr>
          <w:p w14:paraId="281C4C07" w14:textId="77777777" w:rsidR="004C2B00" w:rsidRDefault="004C2B00" w:rsidP="00A36041">
            <w:pPr>
              <w:pStyle w:val="Paragraph"/>
              <w:spacing w:before="0" w:line="240" w:lineRule="auto"/>
              <w:contextualSpacing/>
              <w:jc w:val="center"/>
            </w:pPr>
            <w:r>
              <w:t>550</w:t>
            </w:r>
          </w:p>
        </w:tc>
        <w:tc>
          <w:tcPr>
            <w:tcW w:w="1269" w:type="dxa"/>
            <w:shd w:val="clear" w:color="auto" w:fill="auto"/>
          </w:tcPr>
          <w:p w14:paraId="609D6A07" w14:textId="77777777" w:rsidR="004C2B00" w:rsidRDefault="004C2B00" w:rsidP="00A36041">
            <w:pPr>
              <w:pStyle w:val="Paragraph"/>
              <w:spacing w:before="0" w:line="240" w:lineRule="auto"/>
              <w:contextualSpacing/>
              <w:jc w:val="center"/>
            </w:pPr>
            <w:r>
              <w:t>[s]</w:t>
            </w:r>
          </w:p>
        </w:tc>
      </w:tr>
      <w:tr w:rsidR="004C2B00" w14:paraId="28B6719E" w14:textId="77777777" w:rsidTr="00A36041">
        <w:tc>
          <w:tcPr>
            <w:tcW w:w="4536" w:type="dxa"/>
            <w:shd w:val="clear" w:color="auto" w:fill="auto"/>
          </w:tcPr>
          <w:p w14:paraId="2C7BD75B" w14:textId="5AD1C748" w:rsidR="004C2B00" w:rsidRDefault="001F4996" w:rsidP="001F4996">
            <w:pPr>
              <w:pStyle w:val="Paragraph"/>
              <w:spacing w:before="0" w:line="240" w:lineRule="auto"/>
              <w:contextualSpacing/>
            </w:pPr>
            <w:r>
              <w:rPr>
                <w:lang w:val="en-IE"/>
              </w:rPr>
              <w:t>Nominal c</w:t>
            </w:r>
            <w:r w:rsidR="004C2B00" w:rsidRPr="006D169F">
              <w:rPr>
                <w:lang w:val="en-IE"/>
              </w:rPr>
              <w:t xml:space="preserve">ooling rate (from </w:t>
            </w:r>
            <w:r w:rsidR="004C2B00" w:rsidRPr="006D169F">
              <w:rPr>
                <w:bCs/>
                <w:i/>
                <w:iCs/>
                <w:lang w:val="en-IE"/>
              </w:rPr>
              <w:t>t</w:t>
            </w:r>
            <w:r w:rsidR="004C2B00" w:rsidRPr="006D169F">
              <w:rPr>
                <w:bCs/>
                <w:lang w:val="en-IE"/>
              </w:rPr>
              <w:t>=</w:t>
            </w:r>
            <w:r w:rsidR="004C2B00">
              <w:rPr>
                <w:bCs/>
                <w:lang w:val="en-IE"/>
              </w:rPr>
              <w:t xml:space="preserve"> </w:t>
            </w:r>
            <w:r w:rsidR="004C2B00" w:rsidRPr="006D169F">
              <w:rPr>
                <w:bCs/>
                <w:lang w:val="en-IE"/>
              </w:rPr>
              <w:t>–235 s</w:t>
            </w:r>
            <w:r w:rsidR="004C2B00" w:rsidRPr="006D169F">
              <w:rPr>
                <w:lang w:val="en-IE"/>
              </w:rPr>
              <w:t>)</w:t>
            </w:r>
          </w:p>
        </w:tc>
        <w:tc>
          <w:tcPr>
            <w:tcW w:w="993" w:type="dxa"/>
            <w:shd w:val="clear" w:color="auto" w:fill="auto"/>
          </w:tcPr>
          <w:p w14:paraId="2601859E" w14:textId="77777777" w:rsidR="004C2B00" w:rsidRPr="009C3084" w:rsidRDefault="008F6ACD" w:rsidP="00A36041">
            <w:pPr>
              <w:pStyle w:val="Paragraph"/>
              <w:spacing w:before="0" w:line="240" w:lineRule="auto"/>
              <w:contextualSpacing/>
              <w:jc w:val="center"/>
            </w:pPr>
            <m:oMathPara>
              <m:oMath>
                <m:acc>
                  <m:accPr>
                    <m:chr m:val="̇"/>
                    <m:ctrlPr>
                      <w:rPr>
                        <w:rFonts w:ascii="Cambria Math" w:hAnsi="Cambria Math"/>
                        <w:bCs/>
                        <w:i/>
                        <w:iCs/>
                        <w:lang w:val="en-IE"/>
                      </w:rPr>
                    </m:ctrlPr>
                  </m:accPr>
                  <m:e>
                    <m:r>
                      <w:rPr>
                        <w:rFonts w:ascii="Cambria Math" w:hAnsi="Cambria Math"/>
                        <w:lang w:val="en-IE"/>
                      </w:rPr>
                      <m:t>T</m:t>
                    </m:r>
                  </m:e>
                </m:acc>
              </m:oMath>
            </m:oMathPara>
          </w:p>
        </w:tc>
        <w:tc>
          <w:tcPr>
            <w:tcW w:w="1701" w:type="dxa"/>
            <w:shd w:val="clear" w:color="auto" w:fill="auto"/>
          </w:tcPr>
          <w:p w14:paraId="236FC3C9" w14:textId="77777777" w:rsidR="004C2B00" w:rsidRDefault="004C2B00" w:rsidP="00A36041">
            <w:pPr>
              <w:pStyle w:val="Paragraph"/>
              <w:spacing w:before="0" w:line="240" w:lineRule="auto"/>
              <w:contextualSpacing/>
              <w:jc w:val="center"/>
            </w:pPr>
            <w:r>
              <w:t>–0.75</w:t>
            </w:r>
          </w:p>
        </w:tc>
        <w:tc>
          <w:tcPr>
            <w:tcW w:w="1269" w:type="dxa"/>
            <w:shd w:val="clear" w:color="auto" w:fill="auto"/>
          </w:tcPr>
          <w:p w14:paraId="11B6B124" w14:textId="77777777" w:rsidR="004C2B00" w:rsidRDefault="004C2B00" w:rsidP="00A36041">
            <w:pPr>
              <w:pStyle w:val="Paragraph"/>
              <w:spacing w:before="0" w:line="240" w:lineRule="auto"/>
              <w:contextualSpacing/>
              <w:jc w:val="center"/>
            </w:pPr>
            <w:r w:rsidRPr="006D169F">
              <w:rPr>
                <w:lang w:val="en-IE"/>
              </w:rPr>
              <w:t>[</w:t>
            </w:r>
            <w:r>
              <w:rPr>
                <w:lang w:val="en-IE"/>
              </w:rPr>
              <w:t>K</w:t>
            </w:r>
            <w:r w:rsidRPr="006D169F">
              <w:rPr>
                <w:lang w:val="en-IE"/>
              </w:rPr>
              <w:t>/min]</w:t>
            </w:r>
          </w:p>
        </w:tc>
      </w:tr>
      <w:tr w:rsidR="004C2B00" w14:paraId="7A2D292E" w14:textId="77777777" w:rsidTr="00A36041">
        <w:tc>
          <w:tcPr>
            <w:tcW w:w="4536" w:type="dxa"/>
            <w:shd w:val="clear" w:color="auto" w:fill="auto"/>
          </w:tcPr>
          <w:p w14:paraId="7A31956F" w14:textId="77777777" w:rsidR="004C2B00" w:rsidRPr="000554AB" w:rsidRDefault="004C2B00" w:rsidP="00A36041">
            <w:pPr>
              <w:pStyle w:val="Paragraph"/>
              <w:spacing w:before="0" w:line="240" w:lineRule="auto"/>
              <w:contextualSpacing/>
            </w:pPr>
            <w:r>
              <w:t xml:space="preserve">Grid size in </w:t>
            </w:r>
            <w:r w:rsidRPr="006D169F">
              <w:rPr>
                <w:i/>
              </w:rPr>
              <w:t>x</w:t>
            </w:r>
            <w:r>
              <w:t xml:space="preserve"> (ncols=33)</w:t>
            </w:r>
          </w:p>
        </w:tc>
        <w:tc>
          <w:tcPr>
            <w:tcW w:w="993" w:type="dxa"/>
            <w:shd w:val="clear" w:color="auto" w:fill="auto"/>
          </w:tcPr>
          <w:p w14:paraId="5B3EB7C3" w14:textId="77777777" w:rsidR="004C2B00" w:rsidRDefault="004C2B00" w:rsidP="00A36041">
            <w:pPr>
              <w:pStyle w:val="Paragraph"/>
              <w:spacing w:before="0" w:line="240" w:lineRule="auto"/>
              <w:contextualSpacing/>
              <w:jc w:val="center"/>
            </w:pPr>
            <w:r w:rsidRPr="006D169F">
              <w:rPr>
                <w:rFonts w:ascii="Symbol" w:hAnsi="Symbol"/>
              </w:rPr>
              <w:t></w:t>
            </w:r>
            <w:r w:rsidRPr="006D169F">
              <w:rPr>
                <w:i/>
              </w:rPr>
              <w:t>x</w:t>
            </w:r>
          </w:p>
        </w:tc>
        <w:tc>
          <w:tcPr>
            <w:tcW w:w="1701" w:type="dxa"/>
            <w:shd w:val="clear" w:color="auto" w:fill="auto"/>
          </w:tcPr>
          <w:p w14:paraId="101C982C" w14:textId="77777777" w:rsidR="004C2B00" w:rsidRDefault="004C2B00" w:rsidP="00A36041">
            <w:pPr>
              <w:pStyle w:val="Paragraph"/>
              <w:spacing w:before="0" w:line="240" w:lineRule="auto"/>
              <w:contextualSpacing/>
              <w:jc w:val="center"/>
            </w:pPr>
            <w:r>
              <w:t>0.3125</w:t>
            </w:r>
          </w:p>
        </w:tc>
        <w:tc>
          <w:tcPr>
            <w:tcW w:w="1269" w:type="dxa"/>
            <w:shd w:val="clear" w:color="auto" w:fill="auto"/>
          </w:tcPr>
          <w:p w14:paraId="34068BC7" w14:textId="77777777" w:rsidR="004C2B00" w:rsidRDefault="004C2B00" w:rsidP="00A36041">
            <w:pPr>
              <w:pStyle w:val="Paragraph"/>
              <w:spacing w:before="0" w:line="240" w:lineRule="auto"/>
              <w:contextualSpacing/>
              <w:jc w:val="center"/>
            </w:pPr>
            <w:r>
              <w:t>[mm]</w:t>
            </w:r>
          </w:p>
        </w:tc>
      </w:tr>
      <w:tr w:rsidR="004C2B00" w14:paraId="3D930FEA" w14:textId="77777777" w:rsidTr="00A36041">
        <w:tc>
          <w:tcPr>
            <w:tcW w:w="4536" w:type="dxa"/>
            <w:shd w:val="clear" w:color="auto" w:fill="auto"/>
          </w:tcPr>
          <w:p w14:paraId="3191CC63" w14:textId="77777777" w:rsidR="004C2B00" w:rsidRDefault="004C2B00" w:rsidP="00A36041">
            <w:pPr>
              <w:pStyle w:val="Paragraph"/>
              <w:spacing w:before="0" w:line="240" w:lineRule="auto"/>
              <w:contextualSpacing/>
            </w:pPr>
            <w:r>
              <w:t xml:space="preserve">Grid size in </w:t>
            </w:r>
            <w:r w:rsidRPr="006D169F">
              <w:rPr>
                <w:i/>
              </w:rPr>
              <w:t xml:space="preserve">y </w:t>
            </w:r>
            <w:r w:rsidRPr="000554AB">
              <w:t>(nrows=</w:t>
            </w:r>
            <w:r>
              <w:t>9</w:t>
            </w:r>
            <w:r w:rsidRPr="000554AB">
              <w:t>)</w:t>
            </w:r>
          </w:p>
        </w:tc>
        <w:tc>
          <w:tcPr>
            <w:tcW w:w="993" w:type="dxa"/>
            <w:shd w:val="clear" w:color="auto" w:fill="auto"/>
          </w:tcPr>
          <w:p w14:paraId="415AC36A" w14:textId="77777777" w:rsidR="004C2B00" w:rsidRDefault="004C2B00" w:rsidP="00A36041">
            <w:pPr>
              <w:pStyle w:val="Paragraph"/>
              <w:spacing w:before="0" w:line="240" w:lineRule="auto"/>
              <w:contextualSpacing/>
              <w:jc w:val="center"/>
            </w:pPr>
            <w:r w:rsidRPr="006D169F">
              <w:rPr>
                <w:rFonts w:ascii="Symbol" w:hAnsi="Symbol"/>
              </w:rPr>
              <w:t></w:t>
            </w:r>
            <w:r w:rsidRPr="006D169F">
              <w:rPr>
                <w:i/>
              </w:rPr>
              <w:t>y</w:t>
            </w:r>
          </w:p>
        </w:tc>
        <w:tc>
          <w:tcPr>
            <w:tcW w:w="1701" w:type="dxa"/>
            <w:shd w:val="clear" w:color="auto" w:fill="auto"/>
          </w:tcPr>
          <w:p w14:paraId="52077DFE" w14:textId="77777777" w:rsidR="004C2B00" w:rsidRDefault="004C2B00" w:rsidP="00A36041">
            <w:pPr>
              <w:pStyle w:val="Paragraph"/>
              <w:spacing w:before="0" w:line="240" w:lineRule="auto"/>
              <w:contextualSpacing/>
              <w:jc w:val="center"/>
            </w:pPr>
            <w:r>
              <w:t>0.1875</w:t>
            </w:r>
          </w:p>
        </w:tc>
        <w:tc>
          <w:tcPr>
            <w:tcW w:w="1269" w:type="dxa"/>
            <w:shd w:val="clear" w:color="auto" w:fill="auto"/>
          </w:tcPr>
          <w:p w14:paraId="047953DE" w14:textId="77777777" w:rsidR="004C2B00" w:rsidRDefault="004C2B00" w:rsidP="00A36041">
            <w:pPr>
              <w:pStyle w:val="Paragraph"/>
              <w:spacing w:before="0" w:line="240" w:lineRule="auto"/>
              <w:contextualSpacing/>
              <w:jc w:val="center"/>
            </w:pPr>
            <w:r>
              <w:t>[mm]</w:t>
            </w:r>
          </w:p>
        </w:tc>
      </w:tr>
      <w:tr w:rsidR="004C2B00" w14:paraId="4814379F" w14:textId="77777777" w:rsidTr="00A36041">
        <w:tc>
          <w:tcPr>
            <w:tcW w:w="4536" w:type="dxa"/>
            <w:shd w:val="clear" w:color="auto" w:fill="auto"/>
          </w:tcPr>
          <w:p w14:paraId="4DD65A8D" w14:textId="77777777" w:rsidR="004C2B00" w:rsidRDefault="004C2B00" w:rsidP="00A36041">
            <w:pPr>
              <w:pStyle w:val="Paragraph"/>
              <w:spacing w:before="0" w:line="240" w:lineRule="auto"/>
              <w:contextualSpacing/>
            </w:pPr>
            <w:r>
              <w:t>Numerical time step</w:t>
            </w:r>
          </w:p>
        </w:tc>
        <w:tc>
          <w:tcPr>
            <w:tcW w:w="993" w:type="dxa"/>
            <w:shd w:val="clear" w:color="auto" w:fill="auto"/>
          </w:tcPr>
          <w:p w14:paraId="335CA532" w14:textId="77777777" w:rsidR="004C2B00" w:rsidRDefault="004C2B00" w:rsidP="00A36041">
            <w:pPr>
              <w:pStyle w:val="Paragraph"/>
              <w:spacing w:before="0" w:line="240" w:lineRule="auto"/>
              <w:contextualSpacing/>
              <w:jc w:val="center"/>
            </w:pPr>
            <w:r w:rsidRPr="006D169F">
              <w:rPr>
                <w:rFonts w:ascii="Symbol" w:hAnsi="Symbol"/>
              </w:rPr>
              <w:t></w:t>
            </w:r>
            <w:r w:rsidRPr="006D169F">
              <w:rPr>
                <w:i/>
              </w:rPr>
              <w:t>t</w:t>
            </w:r>
          </w:p>
        </w:tc>
        <w:tc>
          <w:tcPr>
            <w:tcW w:w="1701" w:type="dxa"/>
            <w:shd w:val="clear" w:color="auto" w:fill="auto"/>
          </w:tcPr>
          <w:p w14:paraId="043A3E11" w14:textId="77777777" w:rsidR="004C2B00" w:rsidRDefault="004C2B00" w:rsidP="00A36041">
            <w:pPr>
              <w:pStyle w:val="Paragraph"/>
              <w:spacing w:before="0" w:line="240" w:lineRule="auto"/>
              <w:contextualSpacing/>
              <w:jc w:val="center"/>
            </w:pPr>
            <w:r>
              <w:rPr>
                <w:lang w:val="en-IE"/>
              </w:rPr>
              <w:t>0.05</w:t>
            </w:r>
          </w:p>
        </w:tc>
        <w:tc>
          <w:tcPr>
            <w:tcW w:w="1269" w:type="dxa"/>
            <w:shd w:val="clear" w:color="auto" w:fill="auto"/>
          </w:tcPr>
          <w:p w14:paraId="496BCFEB" w14:textId="77777777" w:rsidR="004C2B00" w:rsidRDefault="004C2B00" w:rsidP="00A36041">
            <w:pPr>
              <w:pStyle w:val="Paragraph"/>
              <w:spacing w:before="0" w:line="240" w:lineRule="auto"/>
              <w:contextualSpacing/>
              <w:jc w:val="center"/>
            </w:pPr>
            <w:r>
              <w:t>[s]</w:t>
            </w:r>
          </w:p>
        </w:tc>
      </w:tr>
      <w:tr w:rsidR="004C2B00" w14:paraId="09CEDAB8" w14:textId="77777777" w:rsidTr="00A36041">
        <w:tc>
          <w:tcPr>
            <w:tcW w:w="4536" w:type="dxa"/>
            <w:shd w:val="clear" w:color="auto" w:fill="auto"/>
          </w:tcPr>
          <w:p w14:paraId="4AA6B304" w14:textId="77777777" w:rsidR="004C2B00" w:rsidRPr="000554AB" w:rsidRDefault="004C2B00" w:rsidP="00A36041">
            <w:pPr>
              <w:pStyle w:val="Paragraph"/>
              <w:spacing w:before="0" w:line="240" w:lineRule="auto"/>
              <w:contextualSpacing/>
            </w:pPr>
            <w:r>
              <w:t xml:space="preserve">Heat transfer coefficient at </w:t>
            </w:r>
            <w:r w:rsidRPr="006D169F">
              <w:rPr>
                <w:i/>
              </w:rPr>
              <w:t>y</w:t>
            </w:r>
            <w:r>
              <w:t>=</w:t>
            </w:r>
            <w:r w:rsidRPr="006D169F">
              <w:rPr>
                <w:i/>
              </w:rPr>
              <w:t>D</w:t>
            </w:r>
            <w:r>
              <w:t>/2</w:t>
            </w:r>
          </w:p>
        </w:tc>
        <w:tc>
          <w:tcPr>
            <w:tcW w:w="993" w:type="dxa"/>
            <w:shd w:val="clear" w:color="auto" w:fill="auto"/>
          </w:tcPr>
          <w:p w14:paraId="782E7BA3" w14:textId="77777777" w:rsidR="004C2B00" w:rsidRDefault="004C2B00" w:rsidP="00A36041">
            <w:pPr>
              <w:pStyle w:val="Paragraph"/>
              <w:spacing w:before="0" w:line="240" w:lineRule="auto"/>
              <w:contextualSpacing/>
              <w:jc w:val="center"/>
            </w:pPr>
            <w:r w:rsidRPr="006D169F">
              <w:rPr>
                <w:i/>
              </w:rPr>
              <w:t>h</w:t>
            </w:r>
            <w:r w:rsidRPr="006D169F">
              <w:rPr>
                <w:i/>
                <w:vertAlign w:val="subscript"/>
              </w:rPr>
              <w:t>loss</w:t>
            </w:r>
          </w:p>
        </w:tc>
        <w:tc>
          <w:tcPr>
            <w:tcW w:w="1701" w:type="dxa"/>
            <w:shd w:val="clear" w:color="auto" w:fill="auto"/>
          </w:tcPr>
          <w:p w14:paraId="2A4A1E97" w14:textId="77777777" w:rsidR="004C2B00" w:rsidRDefault="004C2B00" w:rsidP="00A36041">
            <w:pPr>
              <w:pStyle w:val="Paragraph"/>
              <w:spacing w:before="0" w:line="240" w:lineRule="auto"/>
              <w:contextualSpacing/>
              <w:jc w:val="center"/>
            </w:pPr>
            <w:r>
              <w:t>0.85</w:t>
            </w:r>
          </w:p>
        </w:tc>
        <w:tc>
          <w:tcPr>
            <w:tcW w:w="1269" w:type="dxa"/>
            <w:shd w:val="clear" w:color="auto" w:fill="auto"/>
          </w:tcPr>
          <w:p w14:paraId="788462CA" w14:textId="77777777" w:rsidR="004C2B00" w:rsidRDefault="004C2B00" w:rsidP="00A36041">
            <w:pPr>
              <w:pStyle w:val="Paragraph"/>
              <w:spacing w:before="0" w:line="240" w:lineRule="auto"/>
              <w:contextualSpacing/>
              <w:jc w:val="center"/>
            </w:pPr>
            <w:r w:rsidRPr="006D169F">
              <w:rPr>
                <w:lang w:val="en-IE"/>
              </w:rPr>
              <w:t>[W/m</w:t>
            </w:r>
            <w:r w:rsidRPr="006D169F">
              <w:rPr>
                <w:vertAlign w:val="superscript"/>
                <w:lang w:val="en-IE"/>
              </w:rPr>
              <w:t>2</w:t>
            </w:r>
            <w:r>
              <w:rPr>
                <w:lang w:val="en-IE"/>
              </w:rPr>
              <w:t>K</w:t>
            </w:r>
            <w:r w:rsidRPr="006D169F">
              <w:rPr>
                <w:lang w:val="en-IE"/>
              </w:rPr>
              <w:t>]</w:t>
            </w:r>
          </w:p>
        </w:tc>
      </w:tr>
      <w:tr w:rsidR="004C2B00" w14:paraId="103B397A" w14:textId="77777777" w:rsidTr="00A36041">
        <w:tc>
          <w:tcPr>
            <w:tcW w:w="4536" w:type="dxa"/>
            <w:shd w:val="clear" w:color="auto" w:fill="auto"/>
          </w:tcPr>
          <w:p w14:paraId="4B73924A" w14:textId="77777777" w:rsidR="004C2B00" w:rsidRDefault="004C2B00" w:rsidP="00A36041">
            <w:pPr>
              <w:pStyle w:val="Paragraph"/>
              <w:spacing w:before="0" w:line="240" w:lineRule="auto"/>
              <w:contextualSpacing/>
            </w:pPr>
            <w:r>
              <w:t>Ambient environment temperature</w:t>
            </w:r>
          </w:p>
        </w:tc>
        <w:tc>
          <w:tcPr>
            <w:tcW w:w="993" w:type="dxa"/>
            <w:shd w:val="clear" w:color="auto" w:fill="auto"/>
          </w:tcPr>
          <w:p w14:paraId="2BC00C8E" w14:textId="77777777" w:rsidR="004C2B00" w:rsidRPr="006D169F" w:rsidRDefault="004C2B00" w:rsidP="00A36041">
            <w:pPr>
              <w:pStyle w:val="Paragraph"/>
              <w:spacing w:before="0" w:line="240" w:lineRule="auto"/>
              <w:contextualSpacing/>
              <w:jc w:val="center"/>
              <w:rPr>
                <w:i/>
              </w:rPr>
            </w:pPr>
            <w:r w:rsidRPr="006D169F">
              <w:rPr>
                <w:i/>
              </w:rPr>
              <w:t>T</w:t>
            </w:r>
            <w:r w:rsidRPr="006D169F">
              <w:rPr>
                <w:i/>
                <w:vertAlign w:val="subscript"/>
              </w:rPr>
              <w:t>∞</w:t>
            </w:r>
          </w:p>
        </w:tc>
        <w:tc>
          <w:tcPr>
            <w:tcW w:w="1701" w:type="dxa"/>
            <w:shd w:val="clear" w:color="auto" w:fill="auto"/>
          </w:tcPr>
          <w:p w14:paraId="01AE7E1A" w14:textId="77777777" w:rsidR="004C2B00" w:rsidRDefault="004C2B00" w:rsidP="00A36041">
            <w:pPr>
              <w:pStyle w:val="Paragraph"/>
              <w:spacing w:before="0" w:line="240" w:lineRule="auto"/>
              <w:contextualSpacing/>
              <w:jc w:val="center"/>
            </w:pPr>
            <w:r>
              <w:t>303.15</w:t>
            </w:r>
          </w:p>
        </w:tc>
        <w:tc>
          <w:tcPr>
            <w:tcW w:w="1269" w:type="dxa"/>
            <w:shd w:val="clear" w:color="auto" w:fill="auto"/>
          </w:tcPr>
          <w:p w14:paraId="1E286F1C" w14:textId="77777777" w:rsidR="004C2B00" w:rsidRPr="006D169F" w:rsidRDefault="004C2B00" w:rsidP="00A36041">
            <w:pPr>
              <w:pStyle w:val="Paragraph"/>
              <w:spacing w:before="0" w:line="240" w:lineRule="auto"/>
              <w:contextualSpacing/>
              <w:jc w:val="center"/>
              <w:rPr>
                <w:lang w:val="en-IE"/>
              </w:rPr>
            </w:pPr>
            <w:r w:rsidRPr="006D169F">
              <w:rPr>
                <w:lang w:val="en-IE"/>
              </w:rPr>
              <w:t>[</w:t>
            </w:r>
            <w:r>
              <w:rPr>
                <w:lang w:val="en-IE"/>
              </w:rPr>
              <w:t>K</w:t>
            </w:r>
            <w:r w:rsidRPr="006D169F">
              <w:rPr>
                <w:lang w:val="en-IE"/>
              </w:rPr>
              <w:t>]</w:t>
            </w:r>
          </w:p>
        </w:tc>
      </w:tr>
      <w:tr w:rsidR="004C2B00" w14:paraId="17E474F1" w14:textId="77777777" w:rsidTr="00A36041">
        <w:tc>
          <w:tcPr>
            <w:tcW w:w="4536" w:type="dxa"/>
            <w:shd w:val="clear" w:color="auto" w:fill="auto"/>
          </w:tcPr>
          <w:p w14:paraId="4B18BF8E" w14:textId="77777777" w:rsidR="004C2B00" w:rsidRDefault="004C2B00" w:rsidP="00A36041">
            <w:pPr>
              <w:pStyle w:val="Paragraph"/>
              <w:spacing w:before="0" w:line="240" w:lineRule="auto"/>
              <w:contextualSpacing/>
            </w:pPr>
            <w:r>
              <w:t>Nuclei density</w:t>
            </w:r>
          </w:p>
        </w:tc>
        <w:tc>
          <w:tcPr>
            <w:tcW w:w="993" w:type="dxa"/>
            <w:shd w:val="clear" w:color="auto" w:fill="auto"/>
          </w:tcPr>
          <w:p w14:paraId="0F799A4F" w14:textId="77777777" w:rsidR="004C2B00" w:rsidRPr="001B084E" w:rsidRDefault="004C2B00" w:rsidP="00A36041">
            <w:pPr>
              <w:pStyle w:val="Paragraph"/>
              <w:spacing w:before="0" w:line="240" w:lineRule="auto"/>
              <w:contextualSpacing/>
              <w:jc w:val="center"/>
            </w:pPr>
            <w:r w:rsidRPr="006D169F">
              <w:rPr>
                <w:bCs/>
                <w:i/>
                <w:iCs/>
                <w:lang w:val="en-IE"/>
              </w:rPr>
              <w:t>N</w:t>
            </w:r>
            <w:r w:rsidRPr="006D169F">
              <w:rPr>
                <w:bCs/>
                <w:vertAlign w:val="subscript"/>
                <w:lang w:val="en-IE"/>
              </w:rPr>
              <w:t>o</w:t>
            </w:r>
          </w:p>
        </w:tc>
        <w:tc>
          <w:tcPr>
            <w:tcW w:w="1701" w:type="dxa"/>
            <w:shd w:val="clear" w:color="auto" w:fill="auto"/>
          </w:tcPr>
          <w:p w14:paraId="47217582" w14:textId="77777777" w:rsidR="004C2B00" w:rsidRPr="00227C17" w:rsidRDefault="004C2B00" w:rsidP="00A36041">
            <w:pPr>
              <w:pStyle w:val="Paragraph"/>
              <w:spacing w:before="0" w:line="240" w:lineRule="auto"/>
              <w:contextualSpacing/>
              <w:jc w:val="center"/>
            </w:pPr>
            <w:r>
              <w:rPr>
                <w:lang w:val="en-IE"/>
              </w:rPr>
              <w:t>9</w:t>
            </w:r>
            <w:r w:rsidRPr="006D169F">
              <w:rPr>
                <w:lang w:val="en-IE"/>
              </w:rPr>
              <w:t>×10</w:t>
            </w:r>
            <w:r w:rsidRPr="006D169F">
              <w:rPr>
                <w:vertAlign w:val="superscript"/>
                <w:lang w:val="en-IE"/>
              </w:rPr>
              <w:t>9</w:t>
            </w:r>
          </w:p>
        </w:tc>
        <w:tc>
          <w:tcPr>
            <w:tcW w:w="1269" w:type="dxa"/>
            <w:shd w:val="clear" w:color="auto" w:fill="auto"/>
          </w:tcPr>
          <w:p w14:paraId="69A5C787" w14:textId="77777777" w:rsidR="004C2B00" w:rsidRDefault="004C2B00" w:rsidP="00A36041">
            <w:pPr>
              <w:pStyle w:val="Paragraph"/>
              <w:spacing w:before="0" w:line="240" w:lineRule="auto"/>
              <w:contextualSpacing/>
              <w:jc w:val="center"/>
            </w:pPr>
            <w:r w:rsidRPr="006D169F">
              <w:rPr>
                <w:lang w:val="en-IE"/>
              </w:rPr>
              <w:t>[/m</w:t>
            </w:r>
            <w:r w:rsidRPr="006D169F">
              <w:rPr>
                <w:vertAlign w:val="superscript"/>
                <w:lang w:val="en-IE"/>
              </w:rPr>
              <w:t>3</w:t>
            </w:r>
            <w:r w:rsidRPr="006D169F">
              <w:rPr>
                <w:lang w:val="en-IE"/>
              </w:rPr>
              <w:t>]</w:t>
            </w:r>
          </w:p>
        </w:tc>
      </w:tr>
      <w:tr w:rsidR="004C2B00" w14:paraId="380E21F1" w14:textId="77777777" w:rsidTr="00A36041">
        <w:tc>
          <w:tcPr>
            <w:tcW w:w="4536" w:type="dxa"/>
            <w:shd w:val="clear" w:color="auto" w:fill="auto"/>
          </w:tcPr>
          <w:p w14:paraId="3266EE6F" w14:textId="77777777" w:rsidR="004C2B00" w:rsidRDefault="004C2B00" w:rsidP="00A36041">
            <w:pPr>
              <w:pStyle w:val="Paragraph"/>
              <w:spacing w:before="0" w:line="240" w:lineRule="auto"/>
              <w:contextualSpacing/>
            </w:pPr>
            <w:r w:rsidRPr="001B084E">
              <w:t>Mean nucleation undercooling</w:t>
            </w:r>
          </w:p>
        </w:tc>
        <w:tc>
          <w:tcPr>
            <w:tcW w:w="993" w:type="dxa"/>
            <w:shd w:val="clear" w:color="auto" w:fill="auto"/>
          </w:tcPr>
          <w:p w14:paraId="31D5EA99" w14:textId="77777777" w:rsidR="004C2B00" w:rsidRPr="001B084E" w:rsidRDefault="004C2B00" w:rsidP="00A36041">
            <w:pPr>
              <w:pStyle w:val="Paragraph"/>
              <w:spacing w:before="0" w:line="240" w:lineRule="auto"/>
              <w:contextualSpacing/>
              <w:jc w:val="center"/>
            </w:pPr>
            <w:r w:rsidRPr="006D169F">
              <w:rPr>
                <w:rFonts w:ascii="Symbol" w:hAnsi="Symbol"/>
                <w:bCs/>
                <w:lang w:val="en-IE"/>
              </w:rPr>
              <w:t></w:t>
            </w:r>
            <w:r w:rsidRPr="006D169F">
              <w:rPr>
                <w:bCs/>
                <w:i/>
                <w:iCs/>
                <w:lang w:val="en-IE"/>
              </w:rPr>
              <w:t>T</w:t>
            </w:r>
            <w:r w:rsidRPr="006D169F">
              <w:rPr>
                <w:bCs/>
                <w:vertAlign w:val="subscript"/>
                <w:lang w:val="en-IE"/>
              </w:rPr>
              <w:t>o</w:t>
            </w:r>
          </w:p>
        </w:tc>
        <w:tc>
          <w:tcPr>
            <w:tcW w:w="1701" w:type="dxa"/>
            <w:shd w:val="clear" w:color="auto" w:fill="auto"/>
          </w:tcPr>
          <w:p w14:paraId="7695B3FD" w14:textId="57B0DA13" w:rsidR="004C2B00" w:rsidRPr="00227C17" w:rsidRDefault="004C2B00" w:rsidP="00A36041">
            <w:pPr>
              <w:pStyle w:val="Paragraph"/>
              <w:spacing w:before="0" w:line="240" w:lineRule="auto"/>
              <w:contextualSpacing/>
              <w:jc w:val="center"/>
            </w:pPr>
            <w:r>
              <w:t>9</w:t>
            </w:r>
            <w:r w:rsidRPr="00227C17">
              <w:t>.5</w:t>
            </w:r>
          </w:p>
        </w:tc>
        <w:tc>
          <w:tcPr>
            <w:tcW w:w="1269" w:type="dxa"/>
            <w:shd w:val="clear" w:color="auto" w:fill="auto"/>
          </w:tcPr>
          <w:p w14:paraId="6826EAE4" w14:textId="77777777" w:rsidR="004C2B00" w:rsidRDefault="004C2B00" w:rsidP="00A36041">
            <w:pPr>
              <w:pStyle w:val="Paragraph"/>
              <w:spacing w:before="0" w:line="240" w:lineRule="auto"/>
              <w:contextualSpacing/>
              <w:jc w:val="center"/>
            </w:pPr>
            <w:r w:rsidRPr="006D169F">
              <w:rPr>
                <w:lang w:val="en-IE"/>
              </w:rPr>
              <w:t>[</w:t>
            </w:r>
            <w:r>
              <w:rPr>
                <w:lang w:val="en-IE"/>
              </w:rPr>
              <w:t>K</w:t>
            </w:r>
            <w:r w:rsidRPr="006D169F">
              <w:rPr>
                <w:lang w:val="en-IE"/>
              </w:rPr>
              <w:t>]</w:t>
            </w:r>
          </w:p>
        </w:tc>
      </w:tr>
      <w:tr w:rsidR="004C2B00" w14:paraId="73DED741" w14:textId="77777777" w:rsidTr="00A36041">
        <w:tc>
          <w:tcPr>
            <w:tcW w:w="4536" w:type="dxa"/>
            <w:shd w:val="clear" w:color="auto" w:fill="auto"/>
          </w:tcPr>
          <w:p w14:paraId="1138F0B9" w14:textId="77777777" w:rsidR="004C2B00" w:rsidRDefault="004C2B00" w:rsidP="00A36041">
            <w:pPr>
              <w:pStyle w:val="Paragraph"/>
              <w:spacing w:before="0" w:line="240" w:lineRule="auto"/>
              <w:contextualSpacing/>
            </w:pPr>
            <w:r w:rsidRPr="006D169F">
              <w:rPr>
                <w:lang w:val="en-IE"/>
              </w:rPr>
              <w:t>Standard deviation of nuc. undercooling</w:t>
            </w:r>
          </w:p>
        </w:tc>
        <w:tc>
          <w:tcPr>
            <w:tcW w:w="993" w:type="dxa"/>
            <w:shd w:val="clear" w:color="auto" w:fill="auto"/>
          </w:tcPr>
          <w:p w14:paraId="50779856" w14:textId="77777777" w:rsidR="004C2B00" w:rsidRDefault="004C2B00" w:rsidP="00A36041">
            <w:pPr>
              <w:pStyle w:val="Paragraph"/>
              <w:spacing w:before="0" w:line="240" w:lineRule="auto"/>
              <w:contextualSpacing/>
              <w:jc w:val="center"/>
            </w:pPr>
            <w:r w:rsidRPr="006D169F">
              <w:rPr>
                <w:rFonts w:ascii="Symbol" w:hAnsi="Symbol"/>
                <w:bCs/>
                <w:lang w:val="en-IE"/>
              </w:rPr>
              <w:t></w:t>
            </w:r>
            <w:r w:rsidRPr="006D169F">
              <w:rPr>
                <w:bCs/>
                <w:i/>
                <w:iCs/>
                <w:lang w:val="en-IE"/>
              </w:rPr>
              <w:t>T</w:t>
            </w:r>
            <w:r w:rsidRPr="006D169F">
              <w:rPr>
                <w:rFonts w:ascii="Symbol" w:hAnsi="Symbol"/>
                <w:bCs/>
                <w:vertAlign w:val="subscript"/>
                <w:lang w:val="en-IE"/>
              </w:rPr>
              <w:t></w:t>
            </w:r>
          </w:p>
        </w:tc>
        <w:tc>
          <w:tcPr>
            <w:tcW w:w="1701" w:type="dxa"/>
            <w:shd w:val="clear" w:color="auto" w:fill="auto"/>
          </w:tcPr>
          <w:p w14:paraId="171BFEC0" w14:textId="35863602" w:rsidR="004C2B00" w:rsidRPr="00227C17" w:rsidRDefault="004C2B00" w:rsidP="001F4996">
            <w:pPr>
              <w:pStyle w:val="Paragraph"/>
              <w:spacing w:before="0" w:line="240" w:lineRule="auto"/>
              <w:contextualSpacing/>
              <w:jc w:val="center"/>
            </w:pPr>
            <w:r w:rsidRPr="00227C17">
              <w:t>0.</w:t>
            </w:r>
            <w:r w:rsidR="001F4996">
              <w:t>5</w:t>
            </w:r>
            <w:r>
              <w:t>5</w:t>
            </w:r>
          </w:p>
        </w:tc>
        <w:tc>
          <w:tcPr>
            <w:tcW w:w="1269" w:type="dxa"/>
            <w:shd w:val="clear" w:color="auto" w:fill="auto"/>
          </w:tcPr>
          <w:p w14:paraId="2808C79F" w14:textId="77777777" w:rsidR="004C2B00" w:rsidRDefault="004C2B00" w:rsidP="00A36041">
            <w:pPr>
              <w:pStyle w:val="Paragraph"/>
              <w:spacing w:before="0" w:line="240" w:lineRule="auto"/>
              <w:contextualSpacing/>
              <w:jc w:val="center"/>
            </w:pPr>
            <w:r w:rsidRPr="006D169F">
              <w:rPr>
                <w:lang w:val="en-IE"/>
              </w:rPr>
              <w:t>[</w:t>
            </w:r>
            <w:r>
              <w:rPr>
                <w:lang w:val="en-IE"/>
              </w:rPr>
              <w:t>K</w:t>
            </w:r>
            <w:r w:rsidRPr="006D169F">
              <w:rPr>
                <w:lang w:val="en-IE"/>
              </w:rPr>
              <w:t>]</w:t>
            </w:r>
          </w:p>
        </w:tc>
      </w:tr>
    </w:tbl>
    <w:p w14:paraId="39EF5E85" w14:textId="77777777" w:rsidR="001343F9" w:rsidRDefault="001343F9" w:rsidP="00B328FB">
      <w:pPr>
        <w:pStyle w:val="Heading1"/>
      </w:pPr>
      <w:r>
        <w:t>Results</w:t>
      </w:r>
    </w:p>
    <w:p w14:paraId="2F09DC40" w14:textId="77777777" w:rsidR="001343F9" w:rsidRDefault="001343F9" w:rsidP="0091027E">
      <w:pPr>
        <w:pStyle w:val="Heading2"/>
        <w:jc w:val="both"/>
      </w:pPr>
      <w:r>
        <w:t>Thermal results</w:t>
      </w:r>
    </w:p>
    <w:p w14:paraId="2853451D" w14:textId="0EE1E50D" w:rsidR="000F7390" w:rsidRPr="000F7390" w:rsidRDefault="00C248BD" w:rsidP="000F7390">
      <w:pPr>
        <w:pStyle w:val="Paragraph"/>
      </w:pPr>
      <w:r>
        <w:fldChar w:fldCharType="begin"/>
      </w:r>
      <w:r>
        <w:instrText xml:space="preserve"> REF _Ref498347389 \h </w:instrText>
      </w:r>
      <w:r>
        <w:fldChar w:fldCharType="separate"/>
      </w:r>
      <w:r w:rsidR="002637FB" w:rsidRPr="000F7390">
        <w:t xml:space="preserve">Figure </w:t>
      </w:r>
      <w:r w:rsidR="002637FB">
        <w:rPr>
          <w:noProof/>
        </w:rPr>
        <w:t>9</w:t>
      </w:r>
      <w:r>
        <w:fldChar w:fldCharType="end"/>
      </w:r>
      <w:r>
        <w:t xml:space="preserve"> </w:t>
      </w:r>
      <w:r w:rsidR="000F7390">
        <w:t xml:space="preserve">shows the simulated temperature data </w:t>
      </w:r>
      <w:r w:rsidR="007D4218">
        <w:t xml:space="preserve">(dashed lines) </w:t>
      </w:r>
      <w:r w:rsidR="000F7390">
        <w:t xml:space="preserve">against the measured data </w:t>
      </w:r>
      <w:r w:rsidR="007D4218">
        <w:t xml:space="preserve">(solid lines) </w:t>
      </w:r>
      <w:r w:rsidR="000F7390">
        <w:t>at the thermocouples</w:t>
      </w:r>
      <w:r w:rsidR="007D4218">
        <w:t xml:space="preserve"> TC1, TC2 and TC3, and at the hot side (T</w:t>
      </w:r>
      <w:r w:rsidR="007D4218" w:rsidRPr="00157872">
        <w:rPr>
          <w:vertAlign w:val="subscript"/>
        </w:rPr>
        <w:t>H</w:t>
      </w:r>
      <w:r w:rsidR="007D4218">
        <w:t>) and cool side (T</w:t>
      </w:r>
      <w:r w:rsidR="007D4218" w:rsidRPr="00157872">
        <w:rPr>
          <w:vertAlign w:val="subscript"/>
        </w:rPr>
        <w:t>C</w:t>
      </w:r>
      <w:r w:rsidR="007D4218">
        <w:t>)</w:t>
      </w:r>
      <w:r w:rsidR="000F7390">
        <w:t xml:space="preserve">. The simulated data is taken from the median plane at the locations of the thermocouples in each case. </w:t>
      </w:r>
      <w:r w:rsidR="00186F8C">
        <w:t xml:space="preserve">The agreement between the simulated and the measured data is </w:t>
      </w:r>
      <w:r w:rsidR="00B505D3">
        <w:t xml:space="preserve">within a Root Mean Square of 0.2 K which is deemed </w:t>
      </w:r>
      <w:r w:rsidR="00461156">
        <w:t xml:space="preserve">to be </w:t>
      </w:r>
      <w:r w:rsidR="00186F8C">
        <w:t>good</w:t>
      </w:r>
      <w:r w:rsidR="00B505D3">
        <w:t xml:space="preserve"> agreement</w:t>
      </w:r>
      <w:r w:rsidR="00186F8C">
        <w:t xml:space="preserve">. </w:t>
      </w:r>
      <w:r w:rsidR="00AE6B98">
        <w:t>As mentioned, d</w:t>
      </w:r>
      <w:r w:rsidR="00B505D3">
        <w:t xml:space="preserve">etailed discussion on the thermal characterisation is provided elsewhere </w:t>
      </w:r>
      <w:r w:rsidR="00B505D3">
        <w:fldChar w:fldCharType="begin" w:fldLock="1"/>
      </w:r>
      <w:r w:rsidR="009049F4">
        <w:instrText>ADDIN CSL_CITATION { "citationItems" : [ { "id" : "ITEM-1", "itemData" : { "DOI" : "10.1016/J.IJTHERMALSCI.2017.11.032", "ISSN" : "1290-0729", "abstract" : "The Multiple Equiaxed Dendrite Interaction (MEDI) experiment was launched on the MASER-13 sounding rocket campaign to investigate polycrystalline equiaxed solidification in the transparent phase change material Neopentylgycol-30wt.%(d)Camphor. This material is of interest as an energy-storage material and as a transparent analogue system of solidification in hypoeutectic metal alloys with a Face Centred Cubic lattice. The liquid sample was cooled under a controlled rate of 0.75\u00a0K/min with sufficient time to allow semi-solid conditions to develop under microgravity conditions with the absence of gravity-driven convection. This manuscript provides details on the experimental apparatus and procedures. In addition, the experimental method has been augmented with a numerical model to assist with the characterisation of the essential thermal aspects of the experiment. The model followed a volume-averaging, continuum approach for mushy-zone development. A fast algorithm for computing non-isothermal crystallisation kinetics was applied to the case of binary alloy solidification. To build confidence, a formal numerical verification procedure was performed. The model converged sufficiently with second order accuracy as expected. Application of the model gave close agreement between experimental thermocouple readings and numerical simulation data with a Root Mean Square of 0.2\u00a0K for the error. A 2D thermal model is sufficient with a suitable heat loss coefficient at the sample-viewing window boundary. Thermal gradients within the sample and along the growth direction were uniform and approximately 0.3\u00a0K/mm. Lateral thermal gradients in the sample ranged from zero at the median plane to 0.3\u00a0K/mm at the boundary with the containing structure. However, temperature variation in the lateral direction was predicted to be less than 0.22\u00a0K.", "author" : [ { "dropping-particle" : "", "family" : "Mooney", "given" : "Robin P.", "non-dropping-particle" : "", "parse-names" : false, "suffix" : "" }, { "dropping-particle" : "", "family" : "Sturz", "given" : "Laszlo", "non-dropping-particle" : "", "parse-names" : false, "suffix" : "" }, { "dropping-particle" : "", "family" : "Zimmermann", "given" : "Gerhard", "non-dropping-particle" : "", "parse-names" : false, "suffix" : "" }, { "dropping-particle" : "", "family" : "McFadden", "given" : "Shaun", "non-dropping-particle" : "", "parse-names" : false, "suffix" : "" } ], "container-title" : "International Journal of Thermal Sciences", "id" : "ITEM-1", "issued" : { "date-parts" : [ [ "2018", "3", "1" ] ] }, "page" : "283-292", "publisher" : "Elsevier Masson", "title" : "Thermal characterisation with modelling for a microgravity experiment into polycrystalline equiaxed dendritic solidification with in-situ observation", "type" : "article-journal", "volume" : "125" }, "uris" : [ "http://www.mendeley.com/documents/?uuid=450b8cb6-8509-330d-8318-bc3d351d5cd4" ] } ], "mendeley" : { "formattedCitation" : "[32]", "plainTextFormattedCitation" : "[32]", "previouslyFormattedCitation" : "[32]" }, "properties" : {  }, "schema" : "https://github.com/citation-style-language/schema/raw/master/csl-citation.json" }</w:instrText>
      </w:r>
      <w:r w:rsidR="00B505D3">
        <w:fldChar w:fldCharType="separate"/>
      </w:r>
      <w:r w:rsidR="00B505D3" w:rsidRPr="0013413C">
        <w:rPr>
          <w:noProof/>
        </w:rPr>
        <w:t>[32]</w:t>
      </w:r>
      <w:r w:rsidR="00B505D3">
        <w:fldChar w:fldCharType="end"/>
      </w:r>
      <w:r w:rsidR="00B505D3">
        <w:t xml:space="preserve">. </w:t>
      </w:r>
    </w:p>
    <w:p w14:paraId="1D8F366A" w14:textId="66A06090" w:rsidR="000F7390" w:rsidRDefault="00DB06AE" w:rsidP="000F7390">
      <w:pPr>
        <w:pStyle w:val="Paragraph"/>
        <w:keepNext/>
        <w:jc w:val="center"/>
      </w:pPr>
      <w:r w:rsidRPr="00DB06AE">
        <w:rPr>
          <w:noProof/>
        </w:rPr>
        <w:drawing>
          <wp:inline distT="0" distB="0" distL="0" distR="0" wp14:anchorId="1E4A9748" wp14:editId="49611993">
            <wp:extent cx="3676867" cy="2451100"/>
            <wp:effectExtent l="0" t="0" r="0" b="6350"/>
            <wp:docPr id="3" name="Picture 3" descr="C:\Users\shaun\Documents\Journal submissions\Acta Materialia\McFadden et al. 2017\First Submission\Figure9_MEDI_Temp_ACTAMAT_0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aun\Documents\Journal submissions\Acta Materialia\McFadden et al. 2017\First Submission\Figure9_MEDI_Temp_ACTAMAT_03.t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86343" cy="2457417"/>
                    </a:xfrm>
                    <a:prstGeom prst="rect">
                      <a:avLst/>
                    </a:prstGeom>
                    <a:noFill/>
                    <a:ln>
                      <a:noFill/>
                    </a:ln>
                  </pic:spPr>
                </pic:pic>
              </a:graphicData>
            </a:graphic>
          </wp:inline>
        </w:drawing>
      </w:r>
      <w:r w:rsidRPr="00DB06AE">
        <w:rPr>
          <w:noProof/>
        </w:rPr>
        <w:t xml:space="preserve"> </w:t>
      </w:r>
    </w:p>
    <w:p w14:paraId="1A2741EC" w14:textId="0AF8EC67" w:rsidR="000F7390" w:rsidRPr="000F7390" w:rsidRDefault="000F7390" w:rsidP="000F7390">
      <w:pPr>
        <w:pStyle w:val="Caption"/>
      </w:pPr>
      <w:bookmarkStart w:id="40" w:name="_Ref498347389"/>
      <w:r w:rsidRPr="000F7390">
        <w:t xml:space="preserve">Figure </w:t>
      </w:r>
      <w:r w:rsidR="00AD5590">
        <w:fldChar w:fldCharType="begin"/>
      </w:r>
      <w:r w:rsidR="00AD5590">
        <w:instrText xml:space="preserve"> SEQ Figure \* ARABIC </w:instrText>
      </w:r>
      <w:r w:rsidR="00AD5590">
        <w:fldChar w:fldCharType="separate"/>
      </w:r>
      <w:r w:rsidR="002637FB">
        <w:rPr>
          <w:noProof/>
        </w:rPr>
        <w:t>9</w:t>
      </w:r>
      <w:r w:rsidR="00AD5590">
        <w:rPr>
          <w:noProof/>
        </w:rPr>
        <w:fldChar w:fldCharType="end"/>
      </w:r>
      <w:bookmarkEnd w:id="40"/>
      <w:r w:rsidRPr="000F7390">
        <w:t>: Thermal data for the MEDI experiment: Simulated data (dashed lines) versus measured data from the thermocouples (solid lines)</w:t>
      </w:r>
      <w:r w:rsidR="00D552EA">
        <w:t>.</w:t>
      </w:r>
    </w:p>
    <w:p w14:paraId="6F18C429" w14:textId="77777777" w:rsidR="001343F9" w:rsidRDefault="001343F9" w:rsidP="0091027E">
      <w:pPr>
        <w:pStyle w:val="Heading2"/>
        <w:jc w:val="both"/>
      </w:pPr>
      <w:r>
        <w:lastRenderedPageBreak/>
        <w:t>Microstructural data and results</w:t>
      </w:r>
    </w:p>
    <w:p w14:paraId="242A5966" w14:textId="76E10110" w:rsidR="00357AAE" w:rsidRPr="00E71D8F" w:rsidRDefault="00D552EA" w:rsidP="00357AAE">
      <w:pPr>
        <w:pStyle w:val="Paragraph"/>
      </w:pPr>
      <w:r>
        <w:fldChar w:fldCharType="begin"/>
      </w:r>
      <w:r>
        <w:instrText xml:space="preserve"> REF _Ref496177834 \h </w:instrText>
      </w:r>
      <w:r>
        <w:fldChar w:fldCharType="separate"/>
      </w:r>
      <w:r w:rsidR="002637FB">
        <w:t xml:space="preserve">Figure </w:t>
      </w:r>
      <w:r w:rsidR="002637FB">
        <w:rPr>
          <w:noProof/>
        </w:rPr>
        <w:t>10</w:t>
      </w:r>
      <w:r>
        <w:fldChar w:fldCharType="end"/>
      </w:r>
      <w:r>
        <w:t xml:space="preserve"> </w:t>
      </w:r>
      <w:r w:rsidR="00357AAE">
        <w:t>provides experimental and modelling information related to the nucleation and growth during the microgravity stage of the experiment. Experimental measurements included the counting of nucleation events over time</w:t>
      </w:r>
      <w:r w:rsidR="00787E01">
        <w:t xml:space="preserve">, </w:t>
      </w:r>
      <m:oMath>
        <m:sSub>
          <m:sSubPr>
            <m:ctrlPr>
              <w:rPr>
                <w:rFonts w:ascii="Cambria Math" w:hAnsi="Cambria Math"/>
              </w:rPr>
            </m:ctrlPr>
          </m:sSubPr>
          <m:e>
            <m:r>
              <w:rPr>
                <w:rFonts w:ascii="Cambria Math" w:hAnsi="Cambria Math"/>
              </w:rPr>
              <m:t>n</m:t>
            </m:r>
          </m:e>
          <m:sub>
            <m:r>
              <w:rPr>
                <w:rFonts w:ascii="Cambria Math" w:hAnsi="Cambria Math"/>
              </w:rPr>
              <m:t>OBS(meas.)</m:t>
            </m:r>
          </m:sub>
        </m:sSub>
      </m:oMath>
      <w:r w:rsidR="00787E01">
        <w:t>,</w:t>
      </w:r>
      <w:r w:rsidR="00E71D8F">
        <w:t xml:space="preserve"> and</w:t>
      </w:r>
      <w:r w:rsidR="00787E01">
        <w:t xml:space="preserve"> the evolution of area fraction, </w:t>
      </w:r>
      <m:oMath>
        <m:sSub>
          <m:sSubPr>
            <m:ctrlPr>
              <w:rPr>
                <w:rFonts w:ascii="Cambria Math" w:hAnsi="Cambria Math"/>
              </w:rPr>
            </m:ctrlPr>
          </m:sSubPr>
          <m:e>
            <m:r>
              <w:rPr>
                <w:rFonts w:ascii="Cambria Math" w:hAnsi="Cambria Math"/>
              </w:rPr>
              <m:t>ζ</m:t>
            </m:r>
          </m:e>
          <m:sub>
            <m:r>
              <w:rPr>
                <w:rFonts w:ascii="Cambria Math" w:hAnsi="Cambria Math"/>
              </w:rPr>
              <m:t>A(meas.)</m:t>
            </m:r>
          </m:sub>
        </m:sSub>
      </m:oMath>
      <w:r w:rsidR="00357AAE">
        <w:t xml:space="preserve">. </w:t>
      </w:r>
      <w:r w:rsidR="00E71D8F">
        <w:t xml:space="preserve">These measurements were observed on the projection plane and are therefore defined as being 2D </w:t>
      </w:r>
      <w:r w:rsidR="00461156">
        <w:t>(</w:t>
      </w:r>
      <w:r w:rsidR="00E71D8F">
        <w:t>areal</w:t>
      </w:r>
      <w:r w:rsidR="00461156">
        <w:t>)</w:t>
      </w:r>
      <w:r w:rsidR="00E71D8F">
        <w:t xml:space="preserve"> information. For comparison, the model’s prediction </w:t>
      </w:r>
      <w:r w:rsidR="00393498">
        <w:t xml:space="preserve">of observable nucleation events, </w:t>
      </w:r>
      <m:oMath>
        <m:sSub>
          <m:sSubPr>
            <m:ctrlPr>
              <w:rPr>
                <w:rFonts w:ascii="Cambria Math" w:hAnsi="Cambria Math"/>
              </w:rPr>
            </m:ctrlPr>
          </m:sSubPr>
          <m:e>
            <m:r>
              <w:rPr>
                <w:rFonts w:ascii="Cambria Math" w:hAnsi="Cambria Math"/>
              </w:rPr>
              <m:t>n</m:t>
            </m:r>
          </m:e>
          <m:sub>
            <m:r>
              <w:rPr>
                <w:rFonts w:ascii="Cambria Math" w:hAnsi="Cambria Math"/>
              </w:rPr>
              <m:t>OBS(sim)</m:t>
            </m:r>
          </m:sub>
        </m:sSub>
      </m:oMath>
      <w:r w:rsidR="00393498">
        <w:t xml:space="preserve">, and area fraction, </w:t>
      </w:r>
      <m:oMath>
        <m:sSub>
          <m:sSubPr>
            <m:ctrlPr>
              <w:rPr>
                <w:rFonts w:ascii="Cambria Math" w:hAnsi="Cambria Math"/>
              </w:rPr>
            </m:ctrlPr>
          </m:sSubPr>
          <m:e>
            <m:r>
              <w:rPr>
                <w:rFonts w:ascii="Cambria Math" w:hAnsi="Cambria Math"/>
              </w:rPr>
              <m:t>ζ</m:t>
            </m:r>
          </m:e>
          <m:sub>
            <m:r>
              <w:rPr>
                <w:rFonts w:ascii="Cambria Math" w:hAnsi="Cambria Math"/>
              </w:rPr>
              <m:t>A</m:t>
            </m:r>
            <m:d>
              <m:dPr>
                <m:ctrlPr>
                  <w:rPr>
                    <w:rFonts w:ascii="Cambria Math" w:hAnsi="Cambria Math"/>
                    <w:i/>
                  </w:rPr>
                </m:ctrlPr>
              </m:dPr>
              <m:e>
                <m:r>
                  <w:rPr>
                    <w:rFonts w:ascii="Cambria Math" w:hAnsi="Cambria Math"/>
                  </w:rPr>
                  <m:t>sim</m:t>
                </m:r>
              </m:e>
            </m:d>
          </m:sub>
        </m:sSub>
      </m:oMath>
      <w:r w:rsidR="00393498">
        <w:t xml:space="preserve">, </w:t>
      </w:r>
      <w:r w:rsidR="00E71D8F">
        <w:t xml:space="preserve">are shown. Area fraction shows good agreement, whereas the nucleation account shows reasonable agreement. </w:t>
      </w:r>
    </w:p>
    <w:p w14:paraId="07B46551" w14:textId="7ED85D33" w:rsidR="00357AAE" w:rsidRDefault="00DB06AE" w:rsidP="00D97758">
      <w:pPr>
        <w:pStyle w:val="Paragraph"/>
        <w:keepNext/>
        <w:jc w:val="center"/>
      </w:pPr>
      <w:r w:rsidRPr="00DB06AE">
        <w:rPr>
          <w:noProof/>
        </w:rPr>
        <w:t xml:space="preserve"> </w:t>
      </w:r>
      <w:r w:rsidR="00461156" w:rsidRPr="00461156">
        <w:rPr>
          <w:noProof/>
        </w:rPr>
        <w:drawing>
          <wp:inline distT="0" distB="0" distL="0" distR="0" wp14:anchorId="7DBDC006" wp14:editId="6453D327">
            <wp:extent cx="3238500" cy="2430145"/>
            <wp:effectExtent l="0" t="0" r="0" b="8255"/>
            <wp:docPr id="8" name="Picture 8" descr="C:\Users\shaun\Documents\Journal submissions\Acta Materialia\McFadden et al. 2017\First Submission\Figure10_All-t-GLOBALMEDI_39CVsx32CVsy8_ActaMat_DBC-000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aun\Documents\Journal submissions\Acta Materialia\McFadden et al. 2017\First Submission\Figure10_All-t-GLOBALMEDI_39CVsx32CVsy8_ActaMat_DBC-000c.t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38500" cy="2430145"/>
                    </a:xfrm>
                    <a:prstGeom prst="rect">
                      <a:avLst/>
                    </a:prstGeom>
                    <a:noFill/>
                    <a:ln>
                      <a:noFill/>
                    </a:ln>
                  </pic:spPr>
                </pic:pic>
              </a:graphicData>
            </a:graphic>
          </wp:inline>
        </w:drawing>
      </w:r>
    </w:p>
    <w:p w14:paraId="2E9F7DF0" w14:textId="3CB5EA52" w:rsidR="00357AAE" w:rsidRDefault="00357AAE" w:rsidP="00D97758">
      <w:pPr>
        <w:pStyle w:val="Caption"/>
        <w:jc w:val="center"/>
      </w:pPr>
      <w:bookmarkStart w:id="41" w:name="_Ref496177834"/>
      <w:bookmarkStart w:id="42" w:name="_Ref496177813"/>
      <w:r>
        <w:t xml:space="preserve">Figure </w:t>
      </w:r>
      <w:r w:rsidR="00AD5590">
        <w:fldChar w:fldCharType="begin"/>
      </w:r>
      <w:r w:rsidR="00AD5590">
        <w:instrText xml:space="preserve"> SEQ Figure \* ARABIC </w:instrText>
      </w:r>
      <w:r w:rsidR="00AD5590">
        <w:fldChar w:fldCharType="separate"/>
      </w:r>
      <w:r w:rsidR="002637FB">
        <w:rPr>
          <w:noProof/>
        </w:rPr>
        <w:t>10</w:t>
      </w:r>
      <w:r w:rsidR="00AD5590">
        <w:rPr>
          <w:noProof/>
        </w:rPr>
        <w:fldChar w:fldCharType="end"/>
      </w:r>
      <w:bookmarkEnd w:id="41"/>
      <w:r>
        <w:t>: Nucleation and growth data (observed experimental data versus modelling data)</w:t>
      </w:r>
      <w:bookmarkEnd w:id="42"/>
    </w:p>
    <w:p w14:paraId="37AF2BCA" w14:textId="47923ABD" w:rsidR="00E71D8F" w:rsidRDefault="00E71D8F" w:rsidP="00E71D8F">
      <w:r>
        <w:t xml:space="preserve">For information, </w:t>
      </w:r>
      <w:r w:rsidR="00D97758">
        <w:fldChar w:fldCharType="begin"/>
      </w:r>
      <w:r w:rsidR="00D97758">
        <w:instrText xml:space="preserve"> REF _Ref496177834 \h </w:instrText>
      </w:r>
      <w:r w:rsidR="00D97758">
        <w:fldChar w:fldCharType="separate"/>
      </w:r>
      <w:r w:rsidR="002637FB">
        <w:t xml:space="preserve">Figure </w:t>
      </w:r>
      <w:r w:rsidR="002637FB">
        <w:rPr>
          <w:noProof/>
        </w:rPr>
        <w:t>10</w:t>
      </w:r>
      <w:r w:rsidR="00D97758">
        <w:fldChar w:fldCharType="end"/>
      </w:r>
      <w:r w:rsidR="00D97758">
        <w:t xml:space="preserve"> </w:t>
      </w:r>
      <w:r>
        <w:t xml:space="preserve">also </w:t>
      </w:r>
      <w:r w:rsidR="00B505D3">
        <w:t xml:space="preserve">gives </w:t>
      </w:r>
      <w:r>
        <w:t xml:space="preserve">the model’s prediction of real nucleation events in the 3D volume, </w:t>
      </w:r>
      <m:oMath>
        <m:sSub>
          <m:sSubPr>
            <m:ctrlPr>
              <w:rPr>
                <w:rFonts w:ascii="Cambria Math" w:hAnsi="Cambria Math"/>
              </w:rPr>
            </m:ctrlPr>
          </m:sSubPr>
          <m:e>
            <m:r>
              <w:rPr>
                <w:rFonts w:ascii="Cambria Math" w:hAnsi="Cambria Math"/>
              </w:rPr>
              <m:t>n</m:t>
            </m:r>
          </m:e>
          <m:sub>
            <m:r>
              <w:rPr>
                <w:rFonts w:ascii="Cambria Math" w:hAnsi="Cambria Math"/>
              </w:rPr>
              <m:t>REAL(sim)</m:t>
            </m:r>
          </m:sub>
        </m:sSub>
      </m:oMath>
      <w:r w:rsidR="00393498">
        <w:t>,</w:t>
      </w:r>
      <w:r>
        <w:t xml:space="preserve"> and </w:t>
      </w:r>
      <w:r w:rsidR="009218E3">
        <w:t xml:space="preserve">the prediction of </w:t>
      </w:r>
      <w:r>
        <w:t>volume fraction of mush</w:t>
      </w:r>
      <w:r w:rsidR="009218E3">
        <w:t xml:space="preserve">, </w:t>
      </w:r>
      <m:oMath>
        <m:sSub>
          <m:sSubPr>
            <m:ctrlPr>
              <w:rPr>
                <w:rFonts w:ascii="Cambria Math" w:hAnsi="Cambria Math"/>
              </w:rPr>
            </m:ctrlPr>
          </m:sSubPr>
          <m:e>
            <m:r>
              <w:rPr>
                <w:rFonts w:ascii="Cambria Math" w:hAnsi="Cambria Math"/>
              </w:rPr>
              <m:t>ζ</m:t>
            </m:r>
          </m:e>
          <m:sub>
            <m:r>
              <w:rPr>
                <w:rFonts w:ascii="Cambria Math" w:hAnsi="Cambria Math"/>
              </w:rPr>
              <m:t>V(sim)</m:t>
            </m:r>
          </m:sub>
        </m:sSub>
      </m:oMath>
      <w:r w:rsidR="009218E3">
        <w:t>. It is clear that the</w:t>
      </w:r>
      <w:r w:rsidR="00393498">
        <w:t xml:space="preserve"> qualitative trend</w:t>
      </w:r>
      <w:r w:rsidR="00B505D3">
        <w:t>s</w:t>
      </w:r>
      <w:r w:rsidR="00393498">
        <w:t xml:space="preserve"> cited in reference </w:t>
      </w:r>
      <w:r w:rsidR="00393498">
        <w:fldChar w:fldCharType="begin" w:fldLock="1"/>
      </w:r>
      <w:r w:rsidR="0013413C">
        <w:instrText>ADDIN CSL_CITATION { "citationItems" : [ { "id" : "ITEM-1", "itemData" : { "DOI" : "10.1016/j.jcrysgro.2017.10.002", "ISSN" : "00220248", "abstract" : "In-situ observation of crystal growth in transparent media allows us to observe solidification phase change in real-time. These systems are analogous to opaque systems such as metals. The interpretation of transient 2-dimensional area projections from 3-dimensional phase change phenomena occurring in a bulky sample is problematic due to uncertainty of impingement and hidden nucleation events; in stereology this problem is known as over-projection. This manuscript describes and demonstrates a continuous model for nucleation and growth using the well-established Johnson-Mehl-Avrami-Kolmogorov model, and provides a method to relate 3-dimensional volumetric data (nucleation events, volume fraction) to observed data in a 2-dimensional projection (nucleation count, area fraction). A parametric analysis is performed; the projection phenomenon is shown to be significant in cases where nucleation is occurring continuously with a relatively large variance. In general, area fraction on a projection plane will overestimate the volume fraction within the sample and the nuclei count recorded on the projection plane will underestimate the number of real nucleation events. The statistical framework given in this manuscript provides a methodology to deal with the differences between the observed (projected) data and the real (volumetric) measures.", "author" : [ { "dropping-particle" : "", "family" : "Mooney", "given" : "Robin P.", "non-dropping-particle" : "", "parse-names" : false, "suffix" : "" }, { "dropping-particle" : "", "family" : "McFadden", "given" : "Shaun", "non-dropping-particle" : "", "parse-names" : false, "suffix" : "" } ], "container-title" : "Journal of Crystal Growth", "id" : "ITEM-1", "issued" : { "date-parts" : [ [ "2017" ] ] }, "page" : "43-50", "publisher" : "Elsevier B.V.", "title" : "Theoretical analysis to interpret projected image data from in-situ 3-dimensional equiaxed nucleation and growth", "type" : "article-journal", "volume" : "480" }, "uris" : [ "http://www.mendeley.com/documents/?uuid=9f5c7616-3db3-4cb2-9850-1a5046560b67" ] } ], "mendeley" : { "formattedCitation" : "[31]", "plainTextFormattedCitation" : "[31]", "previouslyFormattedCitation" : "[31]" }, "properties" : {  }, "schema" : "https://github.com/citation-style-language/schema/raw/master/csl-citation.json" }</w:instrText>
      </w:r>
      <w:r w:rsidR="00393498">
        <w:fldChar w:fldCharType="separate"/>
      </w:r>
      <w:r w:rsidR="00393498" w:rsidRPr="00393498">
        <w:rPr>
          <w:noProof/>
        </w:rPr>
        <w:t>[31]</w:t>
      </w:r>
      <w:r w:rsidR="00393498">
        <w:fldChar w:fldCharType="end"/>
      </w:r>
      <w:r w:rsidR="00393498">
        <w:t xml:space="preserve"> </w:t>
      </w:r>
      <w:r w:rsidR="00B505D3">
        <w:t>are</w:t>
      </w:r>
      <w:r w:rsidR="009218E3">
        <w:t xml:space="preserve"> </w:t>
      </w:r>
      <w:r w:rsidR="00461156">
        <w:t>displayed</w:t>
      </w:r>
      <w:r w:rsidR="00B505D3">
        <w:t xml:space="preserve">, </w:t>
      </w:r>
      <w:r w:rsidR="00461156">
        <w:t>that is</w:t>
      </w:r>
      <w:r w:rsidR="00B505D3">
        <w:t>,</w:t>
      </w:r>
      <w:r w:rsidR="009218E3">
        <w:t xml:space="preserve"> the area fraction is an overestimate of volume fraction and observed nucleation count in 2D is an underestimate of </w:t>
      </w:r>
      <w:r w:rsidR="00B505D3">
        <w:t xml:space="preserve">the </w:t>
      </w:r>
      <w:r w:rsidR="009218E3">
        <w:t>real number of nucleation events.</w:t>
      </w:r>
    </w:p>
    <w:p w14:paraId="562FC8C9" w14:textId="1D223948" w:rsidR="009218E3" w:rsidRDefault="00261E53" w:rsidP="0044671D">
      <w:pPr>
        <w:keepNext/>
        <w:jc w:val="center"/>
      </w:pPr>
      <w:r>
        <w:rPr>
          <w:noProof/>
        </w:rPr>
        <w:lastRenderedPageBreak/>
        <w:drawing>
          <wp:inline distT="0" distB="0" distL="0" distR="0" wp14:anchorId="44FC3747" wp14:editId="5ACCFBD5">
            <wp:extent cx="3240024" cy="2566416"/>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11_mu_sd_deltaT-tMEDI_39CVsx32CVsy8_ActaMat_DBC-000-07.t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40024" cy="2566416"/>
                    </a:xfrm>
                    <a:prstGeom prst="rect">
                      <a:avLst/>
                    </a:prstGeom>
                  </pic:spPr>
                </pic:pic>
              </a:graphicData>
            </a:graphic>
          </wp:inline>
        </w:drawing>
      </w:r>
    </w:p>
    <w:p w14:paraId="0236B026" w14:textId="0A7C4011" w:rsidR="009218E3" w:rsidRDefault="009218E3" w:rsidP="0044671D">
      <w:pPr>
        <w:pStyle w:val="Caption"/>
        <w:jc w:val="center"/>
      </w:pPr>
      <w:bookmarkStart w:id="43" w:name="_Ref498429000"/>
      <w:r>
        <w:t xml:space="preserve">Figure </w:t>
      </w:r>
      <w:r w:rsidR="00AD5590">
        <w:fldChar w:fldCharType="begin"/>
      </w:r>
      <w:r w:rsidR="00AD5590">
        <w:instrText xml:space="preserve"> SEQ Figure \* ARABIC </w:instrText>
      </w:r>
      <w:r w:rsidR="00AD5590">
        <w:fldChar w:fldCharType="separate"/>
      </w:r>
      <w:r w:rsidR="002637FB">
        <w:rPr>
          <w:noProof/>
        </w:rPr>
        <w:t>11</w:t>
      </w:r>
      <w:r w:rsidR="00AD5590">
        <w:rPr>
          <w:noProof/>
        </w:rPr>
        <w:fldChar w:fldCharType="end"/>
      </w:r>
      <w:bookmarkEnd w:id="43"/>
      <w:r>
        <w:t>: Formative statistical data for mean and standard deviation of undercooling</w:t>
      </w:r>
      <w:r w:rsidR="0044671D">
        <w:t>.</w:t>
      </w:r>
    </w:p>
    <w:p w14:paraId="07104F37" w14:textId="03030959" w:rsidR="003F714E" w:rsidRPr="003F714E" w:rsidRDefault="0044671D" w:rsidP="003F714E">
      <w:r>
        <w:fldChar w:fldCharType="begin"/>
      </w:r>
      <w:r>
        <w:instrText xml:space="preserve"> REF _Ref498429000 \h </w:instrText>
      </w:r>
      <w:r>
        <w:fldChar w:fldCharType="separate"/>
      </w:r>
      <w:r w:rsidR="002637FB">
        <w:t xml:space="preserve">Figure </w:t>
      </w:r>
      <w:r w:rsidR="002637FB">
        <w:rPr>
          <w:noProof/>
        </w:rPr>
        <w:t>11</w:t>
      </w:r>
      <w:r>
        <w:fldChar w:fldCharType="end"/>
      </w:r>
      <w:r>
        <w:t xml:space="preserve"> </w:t>
      </w:r>
      <w:r w:rsidR="003F714E">
        <w:t xml:space="preserve">shows the formative </w:t>
      </w:r>
      <w:r w:rsidR="00461156">
        <w:t xml:space="preserve">(or running) statistical data </w:t>
      </w:r>
      <w:r w:rsidR="003F714E">
        <w:t xml:space="preserve">for mean </w:t>
      </w:r>
      <w:r w:rsidR="00B505D3">
        <w:t xml:space="preserve">and standard deviation of observed nucleation </w:t>
      </w:r>
      <w:r w:rsidR="002E103C">
        <w:t>events.</w:t>
      </w:r>
      <w:r w:rsidR="00B505D3">
        <w:t xml:space="preserve"> The formative data from the model simulation are </w:t>
      </w:r>
      <w:r w:rsidR="00090EA2">
        <w:t xml:space="preserve">also </w:t>
      </w:r>
      <w:r w:rsidR="00B505D3">
        <w:t xml:space="preserve">shown. The progressive nature of the </w:t>
      </w:r>
      <w:r w:rsidR="00DA29CF">
        <w:t xml:space="preserve">mean </w:t>
      </w:r>
      <w:r w:rsidR="00B505D3">
        <w:t xml:space="preserve">undercooling (due to the </w:t>
      </w:r>
      <w:r w:rsidR="00157872">
        <w:t xml:space="preserve">cooling rate and </w:t>
      </w:r>
      <w:r w:rsidR="00B505D3">
        <w:t xml:space="preserve">temperature gradient) is </w:t>
      </w:r>
      <w:r w:rsidR="00090EA2">
        <w:t>observable</w:t>
      </w:r>
      <w:r w:rsidR="00B505D3">
        <w:t>. Mean undercooling is shown to increase and reach a steady</w:t>
      </w:r>
      <w:r w:rsidR="00090EA2">
        <w:t xml:space="preserve">-state </w:t>
      </w:r>
      <w:r w:rsidR="00B505D3">
        <w:t>value over time. Standard deviation is reasonably constant over the time period.</w:t>
      </w:r>
      <w:r w:rsidR="00090EA2">
        <w:t xml:space="preserve"> This behaviour is shown in the measured and the simulated outputs with reasonably good agreement.</w:t>
      </w:r>
    </w:p>
    <w:p w14:paraId="17BBA74F" w14:textId="64393E43" w:rsidR="009218E3" w:rsidRDefault="00DB06AE" w:rsidP="00C97A62">
      <w:pPr>
        <w:keepNext/>
        <w:jc w:val="center"/>
      </w:pPr>
      <w:r w:rsidRPr="00DB06AE">
        <w:rPr>
          <w:noProof/>
        </w:rPr>
        <w:drawing>
          <wp:inline distT="0" distB="0" distL="0" distR="0" wp14:anchorId="7B4685AA" wp14:editId="5466C7F0">
            <wp:extent cx="3466584" cy="2666758"/>
            <wp:effectExtent l="0" t="0" r="635" b="635"/>
            <wp:docPr id="14" name="Picture 14" descr="C:\Users\shaun\Documents\Journal submissions\Acta Materialia\McFadden et al. 2017\First Submission\Figure12_dnOBSdTundercoolMEDI_40CVsx32CVsy8_ActaMat_DBC-000-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haun\Documents\Journal submissions\Acta Materialia\McFadden et al. 2017\First Submission\Figure12_dnOBSdTundercoolMEDI_40CVsx32CVsy8_ActaMat_DBC-000-02.t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84856" cy="2680814"/>
                    </a:xfrm>
                    <a:prstGeom prst="rect">
                      <a:avLst/>
                    </a:prstGeom>
                    <a:noFill/>
                    <a:ln>
                      <a:noFill/>
                    </a:ln>
                  </pic:spPr>
                </pic:pic>
              </a:graphicData>
            </a:graphic>
          </wp:inline>
        </w:drawing>
      </w:r>
      <w:r w:rsidRPr="00DB06AE">
        <w:rPr>
          <w:noProof/>
        </w:rPr>
        <w:t xml:space="preserve"> </w:t>
      </w:r>
    </w:p>
    <w:p w14:paraId="150E4042" w14:textId="57BAF1F0" w:rsidR="009218E3" w:rsidRDefault="009218E3" w:rsidP="0044671D">
      <w:pPr>
        <w:pStyle w:val="Caption"/>
        <w:jc w:val="center"/>
      </w:pPr>
      <w:bookmarkStart w:id="44" w:name="_Ref498432334"/>
      <w:r>
        <w:t xml:space="preserve">Figure </w:t>
      </w:r>
      <w:r w:rsidR="00AD5590">
        <w:fldChar w:fldCharType="begin"/>
      </w:r>
      <w:r w:rsidR="00AD5590">
        <w:instrText xml:space="preserve"> SEQ Figure \* ARABIC </w:instrText>
      </w:r>
      <w:r w:rsidR="00AD5590">
        <w:fldChar w:fldCharType="separate"/>
      </w:r>
      <w:r w:rsidR="002637FB">
        <w:rPr>
          <w:noProof/>
        </w:rPr>
        <w:t>12</w:t>
      </w:r>
      <w:r w:rsidR="00AD5590">
        <w:rPr>
          <w:noProof/>
        </w:rPr>
        <w:fldChar w:fldCharType="end"/>
      </w:r>
      <w:bookmarkEnd w:id="44"/>
      <w:r w:rsidR="002E103C">
        <w:t xml:space="preserve">: Overall distribution of the observed </w:t>
      </w:r>
      <w:r>
        <w:t>nucleation events</w:t>
      </w:r>
      <w:r w:rsidR="002E103C">
        <w:t xml:space="preserve"> on undercooling, and</w:t>
      </w:r>
      <w:r>
        <w:t xml:space="preserve"> the </w:t>
      </w:r>
      <w:r w:rsidR="002E103C">
        <w:t>probability density function</w:t>
      </w:r>
      <w:r>
        <w:t xml:space="preserve"> </w:t>
      </w:r>
      <w:r w:rsidR="002E103C">
        <w:t>of nucleation undercooling for the entire domain.</w:t>
      </w:r>
    </w:p>
    <w:p w14:paraId="1BBE4CC6" w14:textId="65CB14FC" w:rsidR="00357AAE" w:rsidRPr="00DA29CF" w:rsidRDefault="001E1504" w:rsidP="001E1504">
      <w:pPr>
        <w:pStyle w:val="Paragraph"/>
      </w:pPr>
      <w:r>
        <w:fldChar w:fldCharType="begin"/>
      </w:r>
      <w:r>
        <w:instrText xml:space="preserve"> REF _Ref498432334 \h </w:instrText>
      </w:r>
      <w:r>
        <w:fldChar w:fldCharType="separate"/>
      </w:r>
      <w:r w:rsidR="002637FB">
        <w:t xml:space="preserve">Figure </w:t>
      </w:r>
      <w:r w:rsidR="002637FB">
        <w:rPr>
          <w:noProof/>
        </w:rPr>
        <w:t>12</w:t>
      </w:r>
      <w:r>
        <w:fldChar w:fldCharType="end"/>
      </w:r>
      <w:r>
        <w:t xml:space="preserve"> </w:t>
      </w:r>
      <w:r w:rsidR="003F714E">
        <w:t xml:space="preserve">shows the final frequency </w:t>
      </w:r>
      <w:r w:rsidR="009E5D03">
        <w:t>table</w:t>
      </w:r>
      <w:r w:rsidR="00090EA2">
        <w:t>,</w:t>
      </w:r>
      <w:r w:rsidR="009E5D03">
        <w:t xml:space="preserve"> </w:t>
      </w:r>
      <w:r w:rsidR="00090EA2">
        <w:t>that is, the summative nucleation data for</w:t>
      </w:r>
      <w:r w:rsidR="003F714E">
        <w:t xml:space="preserve"> the measured undercooling values recorded </w:t>
      </w:r>
      <w:r w:rsidR="009E5D03">
        <w:t xml:space="preserve">during the </w:t>
      </w:r>
      <w:r w:rsidR="00090EA2">
        <w:t xml:space="preserve">entire </w:t>
      </w:r>
      <w:r w:rsidR="009E5D03">
        <w:t xml:space="preserve">microgravity experiment. For comparison, </w:t>
      </w:r>
      <w:r w:rsidR="009825EE">
        <w:fldChar w:fldCharType="begin"/>
      </w:r>
      <w:r w:rsidR="009825EE">
        <w:instrText xml:space="preserve"> REF _Ref498432334 \h </w:instrText>
      </w:r>
      <w:r w:rsidR="009825EE">
        <w:fldChar w:fldCharType="separate"/>
      </w:r>
      <w:r w:rsidR="002637FB">
        <w:t xml:space="preserve">Figure </w:t>
      </w:r>
      <w:r w:rsidR="002637FB">
        <w:rPr>
          <w:noProof/>
        </w:rPr>
        <w:t>12</w:t>
      </w:r>
      <w:r w:rsidR="009825EE">
        <w:fldChar w:fldCharType="end"/>
      </w:r>
      <w:r w:rsidR="009825EE">
        <w:t xml:space="preserve"> </w:t>
      </w:r>
      <w:r w:rsidR="009E5D03">
        <w:lastRenderedPageBreak/>
        <w:t>shows the</w:t>
      </w:r>
      <w:r w:rsidR="00090EA2">
        <w:t xml:space="preserve"> </w:t>
      </w:r>
      <w:r w:rsidR="00DA29CF">
        <w:t xml:space="preserve">simulated </w:t>
      </w:r>
      <w:r w:rsidR="00090EA2">
        <w:t xml:space="preserve">global </w:t>
      </w:r>
      <w:r w:rsidR="00342B98">
        <w:t>PDF</w:t>
      </w:r>
      <w:r w:rsidR="009E5D03">
        <w:t xml:space="preserve"> for the observed nucleation density prediction over the entire domain</w:t>
      </w:r>
      <w:r w:rsidR="00C97A62">
        <w:t xml:space="preserve">. </w:t>
      </w:r>
      <w:r w:rsidR="00090EA2">
        <w:t>The final summative values for the mean and standard deviation of nucleation events are provided for both the measured and the simulated cases. The observed mean undercooling measured during the experiment was 8.4 K compared with 8.7 K for the simulation. The measured standard deviation was 0.6 K and the corresponding simulated value was 0.3 K.</w:t>
      </w:r>
      <w:r w:rsidR="00DA29CF">
        <w:t xml:space="preserve"> We can see that the global PDF, </w:t>
      </w:r>
      <w:r w:rsidR="00DA29CF" w:rsidRPr="00DA29CF">
        <w:rPr>
          <w:i/>
        </w:rPr>
        <w:t>p</w:t>
      </w:r>
      <w:r w:rsidR="00DA29CF" w:rsidRPr="00DA29CF">
        <w:rPr>
          <w:i/>
          <w:vertAlign w:val="subscript"/>
        </w:rPr>
        <w:softHyphen/>
        <w:t>OBS</w:t>
      </w:r>
      <w:r w:rsidR="00DA29CF">
        <w:t>, is in good agreement with the frequency distribution, qualitatively, we see that the PDF is showing skewness in agreement with the frequency data.</w:t>
      </w:r>
    </w:p>
    <w:p w14:paraId="6E940EA9" w14:textId="77777777" w:rsidR="00A65273" w:rsidRDefault="001343F9" w:rsidP="0091027E">
      <w:pPr>
        <w:pStyle w:val="Heading1"/>
        <w:jc w:val="both"/>
      </w:pPr>
      <w:r>
        <w:t>Discussion</w:t>
      </w:r>
    </w:p>
    <w:p w14:paraId="37E90782" w14:textId="23E97E94" w:rsidR="009143C8" w:rsidRDefault="00EA253B" w:rsidP="00EA253B">
      <w:pPr>
        <w:pStyle w:val="Paragraph"/>
      </w:pPr>
      <w:r>
        <w:t xml:space="preserve">A new </w:t>
      </w:r>
      <w:r w:rsidR="009143C8">
        <w:t xml:space="preserve">method called the </w:t>
      </w:r>
      <w:r>
        <w:t>N</w:t>
      </w:r>
      <w:r w:rsidR="009143C8">
        <w:t xml:space="preserve">ucleation </w:t>
      </w:r>
      <w:r>
        <w:t>P</w:t>
      </w:r>
      <w:r w:rsidR="009143C8">
        <w:t xml:space="preserve">rogenitor </w:t>
      </w:r>
      <w:r>
        <w:t>F</w:t>
      </w:r>
      <w:r w:rsidR="009143C8">
        <w:t xml:space="preserve">unction approach to equiaxed solidification </w:t>
      </w:r>
      <w:r>
        <w:t xml:space="preserve">is </w:t>
      </w:r>
      <w:r w:rsidR="009143C8">
        <w:t xml:space="preserve">proposed </w:t>
      </w:r>
      <w:r>
        <w:t>and applied</w:t>
      </w:r>
      <w:r w:rsidR="009143C8">
        <w:t xml:space="preserve"> to a set of experimental data from a microgravity experiment</w:t>
      </w:r>
      <w:r>
        <w:t xml:space="preserve">. </w:t>
      </w:r>
      <w:r w:rsidR="009143C8">
        <w:t xml:space="preserve">The NPF approach highlights </w:t>
      </w:r>
      <w:r w:rsidR="00A36041">
        <w:t>a so-called</w:t>
      </w:r>
      <w:r w:rsidR="009143C8">
        <w:t xml:space="preserve"> progenitor-progeny relationship between nucleation potency </w:t>
      </w:r>
      <w:r w:rsidR="00A36041">
        <w:t>distribution and the actual</w:t>
      </w:r>
      <w:r w:rsidR="00F04E6F">
        <w:t>,</w:t>
      </w:r>
      <w:r w:rsidR="00A36041">
        <w:t xml:space="preserve"> or suppressed</w:t>
      </w:r>
      <w:r w:rsidR="00F04E6F">
        <w:t>,</w:t>
      </w:r>
      <w:r w:rsidR="00A36041">
        <w:t xml:space="preserve"> nucleation rate. This progenitor-progeny relationship </w:t>
      </w:r>
      <w:r w:rsidR="00F04E6F">
        <w:t>is</w:t>
      </w:r>
      <w:r w:rsidR="00A36041">
        <w:t xml:space="preserve"> </w:t>
      </w:r>
      <w:r w:rsidR="0016340E">
        <w:t>presented</w:t>
      </w:r>
      <w:r w:rsidR="00A36041">
        <w:t xml:space="preserve"> elsewhere in literature but without explicit reference (for example, see Quested and Greer </w:t>
      </w:r>
      <w:r w:rsidR="00A36041">
        <w:fldChar w:fldCharType="begin" w:fldLock="1"/>
      </w:r>
      <w:r w:rsidR="0013413C">
        <w:instrText>ADDIN CSL_CITATION { "citationItems" : [ { "id" : "ITEM-1", "itemData" : { "DOI" : "10.1016/j.actamat.2005.06.018", "abstract" : "Control of as-cast grain size is important for aluminium alloys and is achieved by inoculation. The usual analysis of grain refining (based on recalescence in small test samples) is not applicable for larger melts showing directional solidification. For the latter case, the factors controlling grain-refining efficiency (the fraction of inoculant particles initiating grains) are explored. It is suggested that the major factor limiting the efficiency is impingement of growing grains on inoculant particles. Predictions are made for the variation of grain size with refiner addition level, solute content in the melt and cooling rate. The grain size is predicted to be independent of solidification velocity or thermal gradient at a given cooling rate. The analysis is also applied to the columnar-to-equiaxed transition; there is no characteristic equiaxed grain size associated with this transition. \u00a9 2005 Acta Materialia Inc. Published by Elsevier Ltd. All rights reserved.", "author" : [ { "dropping-particle" : "", "family" : "Quested", "given" : "T.E.", "non-dropping-particle" : "", "parse-names" : false, "suffix" : "" }, { "dropping-particle" : "", "family" : "Greer", "given" : "A.L.", "non-dropping-particle" : "", "parse-names" : false, "suffix" : "" } ], "container-title" : "Acta Materialia", "id" : "ITEM-1", "issue" : "17", "issued" : { "date-parts" : [ [ "2005" ] ] }, "title" : "Grain refinement of Al alloys: Mechanisms determining as-cast grain size in directional solidification", "type" : "article-journal", "volume" : "53" }, "uris" : [ "http://www.mendeley.com/documents/?uuid=13915fcd-19ad-38cb-92e6-db23e450fd94" ] } ], "mendeley" : { "formattedCitation" : "[10]", "plainTextFormattedCitation" : "[10]", "previouslyFormattedCitation" : "[10]" }, "properties" : {  }, "schema" : "https://github.com/citation-style-language/schema/raw/master/csl-citation.json" }</w:instrText>
      </w:r>
      <w:r w:rsidR="00A36041">
        <w:fldChar w:fldCharType="separate"/>
      </w:r>
      <w:r w:rsidR="00A36041" w:rsidRPr="00A36041">
        <w:rPr>
          <w:noProof/>
        </w:rPr>
        <w:t>[10]</w:t>
      </w:r>
      <w:r w:rsidR="00A36041">
        <w:fldChar w:fldCharType="end"/>
      </w:r>
      <w:r w:rsidR="00A36041">
        <w:t xml:space="preserve"> </w:t>
      </w:r>
      <w:r w:rsidR="00F04E6F">
        <w:t>or</w:t>
      </w:r>
      <w:r w:rsidR="008B61F0">
        <w:t xml:space="preserve"> Mooney and McFadden </w:t>
      </w:r>
      <w:r w:rsidR="008B61F0">
        <w:fldChar w:fldCharType="begin" w:fldLock="1"/>
      </w:r>
      <w:r w:rsidR="0013413C">
        <w:instrText>ADDIN CSL_CITATION { "citationItems" : [ { "id" : "ITEM-1", "itemData" : { "DOI" : "10.1016/j.jcrysgro.2017.10.002", "ISSN" : "00220248", "abstract" : "In-situ observation of crystal growth in transparent media allows us to observe solidification phase change in real-time. These systems are analogous to opaque systems such as metals. The interpretation of transient 2-dimensional area projections from 3-dimensional phase change phenomena occurring in a bulky sample is problematic due to uncertainty of impingement and hidden nucleation events; in stereology this problem is known as over-projection. This manuscript describes and demonstrates a continuous model for nucleation and growth using the well-established Johnson-Mehl-Avrami-Kolmogorov model, and provides a method to relate 3-dimensional volumetric data (nucleation events, volume fraction) to observed data in a 2-dimensional projection (nucleation count, area fraction). A parametric analysis is performed; the projection phenomenon is shown to be significant in cases where nucleation is occurring continuously with a relatively large variance. In general, area fraction on a projection plane will overestimate the volume fraction within the sample and the nuclei count recorded on the projection plane will underestimate the number of real nucleation events. The statistical framework given in this manuscript provides a methodology to deal with the differences between the observed (projected) data and the real (volumetric) measures.", "author" : [ { "dropping-particle" : "", "family" : "Mooney", "given" : "Robin P.", "non-dropping-particle" : "", "parse-names" : false, "suffix" : "" }, { "dropping-particle" : "", "family" : "McFadden", "given" : "Shaun", "non-dropping-particle" : "", "parse-names" : false, "suffix" : "" } ], "container-title" : "Journal of Crystal Growth", "id" : "ITEM-1", "issued" : { "date-parts" : [ [ "2017" ] ] }, "page" : "43-50", "publisher" : "Elsevier B.V.", "title" : "Theoretical analysis to interpret projected image data from in-situ 3-dimensional equiaxed nucleation and growth", "type" : "article-journal", "volume" : "480" }, "uris" : [ "http://www.mendeley.com/documents/?uuid=9f5c7616-3db3-4cb2-9850-1a5046560b67" ] } ], "mendeley" : { "formattedCitation" : "[31]", "plainTextFormattedCitation" : "[31]", "previouslyFormattedCitation" : "[31]" }, "properties" : {  }, "schema" : "https://github.com/citation-style-language/schema/raw/master/csl-citation.json" }</w:instrText>
      </w:r>
      <w:r w:rsidR="008B61F0">
        <w:fldChar w:fldCharType="separate"/>
      </w:r>
      <w:r w:rsidR="008B61F0" w:rsidRPr="008B61F0">
        <w:rPr>
          <w:noProof/>
        </w:rPr>
        <w:t>[31]</w:t>
      </w:r>
      <w:r w:rsidR="008B61F0">
        <w:fldChar w:fldCharType="end"/>
      </w:r>
      <w:r w:rsidR="008B61F0">
        <w:t>).</w:t>
      </w:r>
      <w:r w:rsidR="00A36041">
        <w:t xml:space="preserve"> Nevertheless, this manuscript is the first to clearly define the relationship and propose its statistical interrogation for practical usage. </w:t>
      </w:r>
      <w:r w:rsidR="00090EA2">
        <w:t>Hence, it is claimed that t</w:t>
      </w:r>
      <w:r w:rsidR="00A36041">
        <w:t>he NPF</w:t>
      </w:r>
      <w:r w:rsidR="008B61F0">
        <w:t xml:space="preserve"> approach</w:t>
      </w:r>
      <w:r w:rsidR="00A36041">
        <w:t xml:space="preserve"> is a new interpretation </w:t>
      </w:r>
      <w:r w:rsidR="00F04E6F">
        <w:t>of</w:t>
      </w:r>
      <w:r w:rsidR="00A36041">
        <w:t xml:space="preserve"> equiaxed solidification modelling based on established theory.</w:t>
      </w:r>
      <w:r w:rsidR="00F04E6F">
        <w:t xml:space="preserve"> One of the practical advantages of the NPF approach is the ability to account for a stereology correction</w:t>
      </w:r>
      <w:r w:rsidR="00090EA2">
        <w:t xml:space="preserve"> with ease</w:t>
      </w:r>
      <w:r w:rsidR="00F04E6F">
        <w:t>, such as that which is required for bulky transparent alloy experiments that operate on the principle of opacity and transmission of light.</w:t>
      </w:r>
      <w:r w:rsidR="00AE6B98">
        <w:t xml:space="preserve"> Another advantage is the ability to combine PDF data (using convolution) in order to take account of temperature gradients in the sample.</w:t>
      </w:r>
    </w:p>
    <w:p w14:paraId="1F66574F" w14:textId="674FDBAA" w:rsidR="0016340E" w:rsidRPr="0016340E" w:rsidRDefault="00090EA2" w:rsidP="0016340E">
      <w:pPr>
        <w:pStyle w:val="Paragraph"/>
      </w:pPr>
      <w:r>
        <w:t xml:space="preserve">This research predicts that the stereology correction is a significant factor in the presentation of the results. Figure </w:t>
      </w:r>
      <w:r w:rsidR="00355220">
        <w:t>10 showed significant deviation between 2D observed outputs and 3D (real) outp</w:t>
      </w:r>
      <w:r w:rsidR="0016340E">
        <w:t xml:space="preserve">uts coming from the simulation. Due to the nature of the experimental setup it was only possible to compare simulation results with observed experimental data </w:t>
      </w:r>
      <w:r w:rsidR="00AE6B98">
        <w:t>taken from</w:t>
      </w:r>
      <w:r w:rsidR="0016340E">
        <w:t xml:space="preserve"> the projection plane. Nevertheless, the 3D volume fraction was used to determine the latent heat evolution in the model and good thermal agreement was found between the simulation and experiment </w:t>
      </w:r>
      <w:r w:rsidR="00AE6B98">
        <w:t xml:space="preserve">thermal </w:t>
      </w:r>
      <w:r w:rsidR="0016340E">
        <w:t>datasets</w:t>
      </w:r>
      <w:r w:rsidR="00AE6B98">
        <w:t xml:space="preserve"> in Figure (9)</w:t>
      </w:r>
      <w:r w:rsidR="0016340E">
        <w:t>.</w:t>
      </w:r>
    </w:p>
    <w:p w14:paraId="49948908" w14:textId="09421261" w:rsidR="0016340E" w:rsidRPr="0016340E" w:rsidRDefault="0016340E" w:rsidP="0016340E">
      <w:pPr>
        <w:pStyle w:val="Newparagraph"/>
      </w:pPr>
      <w:r>
        <w:t xml:space="preserve">The NPF approach presented here does not account for solute suppression or nucleation free zones as proposed in other modelling approaches </w:t>
      </w:r>
      <w:r>
        <w:fldChar w:fldCharType="begin" w:fldLock="1"/>
      </w:r>
      <w:r>
        <w:instrText>ADDIN CSL_CITATION { "citationItems" : [ { "id" : "ITEM-1", "itemData" : { "DOI" : "10.1016/j.actamat.2010.12.014", "author" : [ { "dropping-particle" : "", "family" : "Shu", "given" : "Da", "non-dropping-particle" : "", "parse-names" : false, "suffix" : "" }, { "dropping-particle" : "", "family" : "Sun", "given" : "Baode", "non-dropping-particle" : "", "parse-names" : false, "suffix" : "" }, { "dropping-particle" : "", "family" : "Mi", "given" : "J", "non-dropping-particle" : "", "parse-names" : false, "suffix" : "" }, { "dropping-particle" : "", "family" : "Grant", "given" : "P S", "non-dropping-particle" : "", "parse-names" : false, "suffix" : "" } ], "id" : "ITEM-1", "issued" : { "date-parts" : [ [ "2011" ] ] }, "page" : "2135-2144", "title" : "A quantitative study of solute diffusion field effects on heterogeneous nucleation and the grain size of alloys", "type" : "article-journal", "volume" : "59" }, "uris" : [ "http://www.mendeley.com/documents/?uuid=3ad3ffe0-de1d-43ba-b039-0cb705ff9f0c" ] }, { "id" : "ITEM-2", "itemData" : { "DOI" : "10.1016/j.actamat.2011.04.035", "ISSN" : "1359-6454", "author" : [ { "dropping-particle" : "", "family" : "Stjohn", "given" : "D H", "non-dropping-particle" : "", "parse-names" : false, "suffix" : "" }, { "dropping-particle" : "", "family" : "Qian", "given" : "M", "non-dropping-particle" : "", "parse-names" : false, "suffix" : "" }, { "dropping-particle" : "", "family" : "Easton", "given" : "M A", "non-dropping-particle" : "", "parse-names" : false, "suffix" : "" }, { "dropping-particle" : "", "family" : "Cao", "given" : "P", "non-dropping-particle" : "", "parse-names" : false, "suffix" : "" } ], "container-title" : "Acta Materialia", "id" : "ITEM-2", "issue" : "12", "issued" : { "date-parts" : [ [ "2011" ] ] }, "page" : "4907-4921", "publisher" : "Acta Materialia Inc.", "title" : "The Interdependence Theory : The relationship between grain formation and nucleant selection", "type" : "article-journal", "volume" : "59" }, "uris" : [ "http://www.mendeley.com/documents/?uuid=713a391c-8d44-41d6-8a66-3c36bafc1203" ] }, { "id" : "ITEM-3", "itemData" : { "DOI" : "10.1016/j.actamat.2014.03.028", "ISBN" : "1359-6454", "ISSN" : "13596454", "abstract" : "The Kampmann-Wagner numerical (KWN) model, which has been widely adopted as a precipitation modeling framework accounting for concurrent nucleation, growth and coarsening kinetics, was extended to predict the as-cast grain size of inoculated multicomponent aluminum alloys. In the model, the heterogeneous nucleation of grains on inoculant particles was modeled based on the free growth criterion, while the influence of the solute on the nucleation behavior, in terms of the solute suppressed nucleation (SSN) effect, was rigorously defined and integrated. In order to fully address the solidification behavior of multicomponent alloys, a coupling of the KWN model to CALPHAD was carried out. These extensions allow the treatment of two different nucleation-ceasing mechanisms induced by grain growth: recalescence stifling and solute segregation stifling. Given melt composition, inoculation and heat extraction rate, the model is able to predict maximum nucleation undercooling, cooling curve and the final as-cast grain size of multicomponent alloys without invoking the binary equivalence assumption used in the existing models. The proposed model was tested with a variety of binary and multicomponent aluminum alloys, and the predictions were compared with the experimental measurement results and previous grain size prediction models. The simulation results show that the SSN effect has a negligible influence on the nucleation behavior and the final grain size during isothermal melt solidification, but a strong influence on the ceasing of grain nucleation during directional solidification. Reasonable agreement was obtained between the model prediction and measurement results on a direct chill casting experiment of an AA5182 alloy. Our work proves that the application of the precipitation modeling framework for the solidification problem is successful. ?? 2014 Acta Materialia Inc. Published by Elsevier Ltd. All rights reserved.", "author" : [ { "dropping-particle" : "", "family" : "Du", "given" : "Qiang", "non-dropping-particle" : "", "parse-names" : false, "suffix" : "" }, { "dropping-particle" : "", "family" : "Li", "given" : "Yanjun", "non-dropping-particle" : "", "parse-names" : false, "suffix" : "" } ], "container-title" : "Acta Materialia", "id" : "ITEM-3", "issued" : { "date-parts" : [ [ "2014" ] ] }, "page" : "380-389", "publisher" : "Acta Materialia Inc.", "title" : "An extension of the Kampmann-Wagner numerical model towards as-cast grain size prediction of multicomponent aluminum alloys", "type" : "article-journal", "volume" : "71" }, "uris" : [ "http://www.mendeley.com/documents/?uuid=2331a21c-28af-4a17-88f6-404af47dbb33" ] } ], "mendeley" : { "formattedCitation" : "[11\u201313]", "plainTextFormattedCitation" : "[11\u201313]", "previouslyFormattedCitation" : "[11\u201313]" }, "properties" : {  }, "schema" : "https://github.com/citation-style-language/schema/raw/master/csl-citation.json" }</w:instrText>
      </w:r>
      <w:r>
        <w:fldChar w:fldCharType="separate"/>
      </w:r>
      <w:r w:rsidRPr="00355220">
        <w:rPr>
          <w:noProof/>
        </w:rPr>
        <w:t>[11–13]</w:t>
      </w:r>
      <w:r>
        <w:fldChar w:fldCharType="end"/>
      </w:r>
      <w:r>
        <w:t xml:space="preserve">. This omission is </w:t>
      </w:r>
      <w:r w:rsidR="00AE6B98">
        <w:t>argued for</w:t>
      </w:r>
      <w:r>
        <w:t xml:space="preserve"> in the case of this material because of low solutal diffusivity in liquid. The diffusivity of solute in liquid for </w:t>
      </w:r>
      <w:r w:rsidRPr="00FE4887">
        <w:t>Neopentylgycol-30wt.%(d)Camphor</w:t>
      </w:r>
      <w:r>
        <w:t xml:space="preserve"> is </w:t>
      </w:r>
      <w:r>
        <w:rPr>
          <w:i/>
        </w:rPr>
        <w:t>D</w:t>
      </w:r>
      <w:r>
        <w:rPr>
          <w:i/>
          <w:vertAlign w:val="subscript"/>
        </w:rPr>
        <w:t>l</w:t>
      </w:r>
      <w:r>
        <w:t xml:space="preserve"> = 97 </w:t>
      </w:r>
      <w:r w:rsidRPr="000D703E">
        <w:rPr>
          <w:rFonts w:ascii="Symbol" w:hAnsi="Symbol"/>
        </w:rPr>
        <w:t></w:t>
      </w:r>
      <w:r>
        <w:t>m</w:t>
      </w:r>
      <w:r w:rsidR="00BF7437" w:rsidRPr="000D703E">
        <w:rPr>
          <w:vertAlign w:val="superscript"/>
        </w:rPr>
        <w:t>2</w:t>
      </w:r>
      <w:r>
        <w:t xml:space="preserve">/s, which is typically two orders of magnitude </w:t>
      </w:r>
      <w:r>
        <w:lastRenderedPageBreak/>
        <w:t xml:space="preserve">lower than for the corresponding metal alloys in </w:t>
      </w:r>
      <w:r>
        <w:fldChar w:fldCharType="begin" w:fldLock="1"/>
      </w:r>
      <w:r>
        <w:instrText>ADDIN CSL_CITATION { "citationItems" : [ { "id" : "ITEM-1", "itemData" : { "DOI" : "10.1016/j.actamat.2010.12.014", "author" : [ { "dropping-particle" : "", "family" : "Shu", "given" : "Da", "non-dropping-particle" : "", "parse-names" : false, "suffix" : "" }, { "dropping-particle" : "", "family" : "Sun", "given" : "Baode", "non-dropping-particle" : "", "parse-names" : false, "suffix" : "" }, { "dropping-particle" : "", "family" : "Mi", "given" : "J", "non-dropping-particle" : "", "parse-names" : false, "suffix" : "" }, { "dropping-particle" : "", "family" : "Grant", "given" : "P S", "non-dropping-particle" : "", "parse-names" : false, "suffix" : "" } ], "id" : "ITEM-1", "issued" : { "date-parts" : [ [ "2011" ] ] }, "page" : "2135-2144", "title" : "A quantitative study of solute diffusion field effects on heterogeneous nucleation and the grain size of alloys", "type" : "article-journal", "volume" : "59" }, "uris" : [ "http://www.mendeley.com/documents/?uuid=3ad3ffe0-de1d-43ba-b039-0cb705ff9f0c" ] }, { "id" : "ITEM-2", "itemData" : { "DOI" : "10.1016/j.actamat.2011.04.035", "ISSN" : "1359-6454", "author" : [ { "dropping-particle" : "", "family" : "Stjohn", "given" : "D H", "non-dropping-particle" : "", "parse-names" : false, "suffix" : "" }, { "dropping-particle" : "", "family" : "Qian", "given" : "M", "non-dropping-particle" : "", "parse-names" : false, "suffix" : "" }, { "dropping-particle" : "", "family" : "Easton", "given" : "M A", "non-dropping-particle" : "", "parse-names" : false, "suffix" : "" }, { "dropping-particle" : "", "family" : "Cao", "given" : "P", "non-dropping-particle" : "", "parse-names" : false, "suffix" : "" } ], "container-title" : "Acta Materialia", "id" : "ITEM-2", "issue" : "12", "issued" : { "date-parts" : [ [ "2011" ] ] }, "page" : "4907-4921", "publisher" : "Acta Materialia Inc.", "title" : "The Interdependence Theory : The relationship between grain formation and nucleant selection", "type" : "article-journal", "volume" : "59" }, "uris" : [ "http://www.mendeley.com/documents/?uuid=713a391c-8d44-41d6-8a66-3c36bafc1203" ] }, { "id" : "ITEM-3", "itemData" : { "DOI" : "10.1016/j.actamat.2014.03.028", "ISBN" : "1359-6454", "ISSN" : "13596454", "abstract" : "The Kampmann-Wagner numerical (KWN) model, which has been widely adopted as a precipitation modeling framework accounting for concurrent nucleation, growth and coarsening kinetics, was extended to predict the as-cast grain size of inoculated multicomponent aluminum alloys. In the model, the heterogeneous nucleation of grains on inoculant particles was modeled based on the free growth criterion, while the influence of the solute on the nucleation behavior, in terms of the solute suppressed nucleation (SSN) effect, was rigorously defined and integrated. In order to fully address the solidification behavior of multicomponent alloys, a coupling of the KWN model to CALPHAD was carried out. These extensions allow the treatment of two different nucleation-ceasing mechanisms induced by grain growth: recalescence stifling and solute segregation stifling. Given melt composition, inoculation and heat extraction rate, the model is able to predict maximum nucleation undercooling, cooling curve and the final as-cast grain size of multicomponent alloys without invoking the binary equivalence assumption used in the existing models. The proposed model was tested with a variety of binary and multicomponent aluminum alloys, and the predictions were compared with the experimental measurement results and previous grain size prediction models. The simulation results show that the SSN effect has a negligible influence on the nucleation behavior and the final grain size during isothermal melt solidification, but a strong influence on the ceasing of grain nucleation during directional solidification. Reasonable agreement was obtained between the model prediction and measurement results on a direct chill casting experiment of an AA5182 alloy. Our work proves that the application of the precipitation modeling framework for the solidification problem is successful. ?? 2014 Acta Materialia Inc. Published by Elsevier Ltd. All rights reserved.", "author" : [ { "dropping-particle" : "", "family" : "Du", "given" : "Qiang", "non-dropping-particle" : "", "parse-names" : false, "suffix" : "" }, { "dropping-particle" : "", "family" : "Li", "given" : "Yanjun", "non-dropping-particle" : "", "parse-names" : false, "suffix" : "" } ], "container-title" : "Acta Materialia", "id" : "ITEM-3", "issued" : { "date-parts" : [ [ "2014" ] ] }, "page" : "380-389", "publisher" : "Acta Materialia Inc.", "title" : "An extension of the Kampmann-Wagner numerical model towards as-cast grain size prediction of multicomponent aluminum alloys", "type" : "article-journal", "volume" : "71" }, "uris" : [ "http://www.mendeley.com/documents/?uuid=2331a21c-28af-4a17-88f6-404af47dbb33" ] } ], "mendeley" : { "formattedCitation" : "[11\u201313]", "plainTextFormattedCitation" : "[11\u201313]", "previouslyFormattedCitation" : "[11\u201313]" }, "properties" : {  }, "schema" : "https://github.com/citation-style-language/schema/raw/master/csl-citation.json" }</w:instrText>
      </w:r>
      <w:r>
        <w:fldChar w:fldCharType="separate"/>
      </w:r>
      <w:r w:rsidRPr="00355220">
        <w:rPr>
          <w:noProof/>
        </w:rPr>
        <w:t>[11–13]</w:t>
      </w:r>
      <w:r>
        <w:fldChar w:fldCharType="end"/>
      </w:r>
      <w:r>
        <w:t xml:space="preserve">. Hence, dimensions of the </w:t>
      </w:r>
      <w:r w:rsidRPr="00AF59EF">
        <w:t xml:space="preserve">Solute Suppressed Nucleation </w:t>
      </w:r>
      <w:r>
        <w:t xml:space="preserve">(SSN) zone, related to the length of the solutal field, were assumed negligible. Hence, the nucleation suppression, accounted for in the progeny functions, are due only to engulfment of non-active seeds by the growth of previously nucleated seeds. </w:t>
      </w:r>
    </w:p>
    <w:p w14:paraId="032C0F77" w14:textId="77777777" w:rsidR="001343F9" w:rsidRDefault="001343F9" w:rsidP="0091027E">
      <w:pPr>
        <w:pStyle w:val="Heading1"/>
        <w:jc w:val="both"/>
      </w:pPr>
      <w:r>
        <w:t>Conclusion</w:t>
      </w:r>
    </w:p>
    <w:p w14:paraId="2B93FEA6" w14:textId="09F79525" w:rsidR="00DE31EF" w:rsidRDefault="0083674E" w:rsidP="00DE31EF">
      <w:pPr>
        <w:pStyle w:val="Paragraph"/>
      </w:pPr>
      <w:r>
        <w:t>A new approach to modelling polycrystalline equiaxed nucleation and growth is proposed. This approach begins by defining a starting function called the Nucleation Progenitor Function (NPF), which is also the well-established nucleation density distribution based on undercooling:</w:t>
      </w:r>
      <w:r w:rsidR="00DE31EF">
        <w:t xml:space="preserve"> </w:t>
      </w:r>
      <m:oMath>
        <m:f>
          <m:fPr>
            <m:ctrlPr>
              <w:rPr>
                <w:rFonts w:ascii="Cambria Math" w:hAnsi="Cambria Math"/>
              </w:rPr>
            </m:ctrlPr>
          </m:fPr>
          <m:num>
            <m:r>
              <w:rPr>
                <w:rFonts w:ascii="Cambria Math" w:hAnsi="Cambria Math"/>
              </w:rPr>
              <m:t>dN</m:t>
            </m:r>
          </m:num>
          <m:den>
            <m:r>
              <w:rPr>
                <w:rFonts w:ascii="Cambria Math" w:hAnsi="Cambria Math"/>
              </w:rPr>
              <m:t>d</m:t>
            </m:r>
            <m:d>
              <m:dPr>
                <m:ctrlPr>
                  <w:rPr>
                    <w:rFonts w:ascii="Cambria Math" w:hAnsi="Cambria Math"/>
                  </w:rPr>
                </m:ctrlPr>
              </m:dPr>
              <m:e>
                <m:r>
                  <m:rPr>
                    <m:sty m:val="p"/>
                  </m:rPr>
                  <w:rPr>
                    <w:rFonts w:ascii="Cambria Math" w:hAnsi="Cambria Math"/>
                  </w:rPr>
                  <m:t>∆</m:t>
                </m:r>
                <m:r>
                  <w:rPr>
                    <w:rFonts w:ascii="Cambria Math" w:hAnsi="Cambria Math"/>
                  </w:rPr>
                  <m:t>T</m:t>
                </m:r>
              </m:e>
            </m:d>
          </m:den>
        </m:f>
      </m:oMath>
      <w:r>
        <w:t xml:space="preserve"> . The NPF defines the overall potency of all nucleation sites. </w:t>
      </w:r>
      <w:r w:rsidR="00AE6B98">
        <w:t xml:space="preserve">A coordinate transformation is applied to create an instance of the progenitor function in the time domain. </w:t>
      </w:r>
      <w:r>
        <w:t xml:space="preserve">Kolmogorov statistics are </w:t>
      </w:r>
      <w:r w:rsidR="00093EEA">
        <w:t xml:space="preserve">then </w:t>
      </w:r>
      <w:r>
        <w:t xml:space="preserve">applied which leads to the establishment of </w:t>
      </w:r>
      <w:r w:rsidR="00093EEA">
        <w:t xml:space="preserve">instances of </w:t>
      </w:r>
      <w:r>
        <w:t xml:space="preserve">progeny functions </w:t>
      </w:r>
      <w:r w:rsidR="00093EEA">
        <w:t xml:space="preserve">in the time domain </w:t>
      </w:r>
      <w:r>
        <w:t xml:space="preserve">that describe the actual (supressed) nucleation. </w:t>
      </w:r>
      <w:r w:rsidR="00093EEA">
        <w:t>An coordinate transformation is applied to the progeny functions to return to the undercooling domain. After normalisation, t</w:t>
      </w:r>
      <w:r>
        <w:t>he progeny functions can be interrogated in detail using the expected value equation for statistical outputs</w:t>
      </w:r>
      <w:r w:rsidR="00BC466C">
        <w:t xml:space="preserve"> in both formative (running) and summative (overall) statistical evaluations. Progeny functions can be derived </w:t>
      </w:r>
      <w:r w:rsidR="00093EEA">
        <w:t xml:space="preserve">for volumetric output or in 2D which </w:t>
      </w:r>
      <w:r w:rsidR="00BC466C">
        <w:t>take</w:t>
      </w:r>
      <w:r w:rsidR="00093EEA">
        <w:t>s</w:t>
      </w:r>
      <w:r w:rsidR="00BC466C">
        <w:t xml:space="preserve"> stereological corrections into account.</w:t>
      </w:r>
    </w:p>
    <w:p w14:paraId="3284A727" w14:textId="7C02E791" w:rsidR="00BC466C" w:rsidRDefault="00093EEA" w:rsidP="00DE31EF">
      <w:pPr>
        <w:pStyle w:val="Newparagraph"/>
      </w:pPr>
      <w:r>
        <w:t>In this manuscript, t</w:t>
      </w:r>
      <w:r w:rsidR="00BC466C">
        <w:t xml:space="preserve">he NPF approach </w:t>
      </w:r>
      <w:r w:rsidR="0016340E">
        <w:t>was</w:t>
      </w:r>
      <w:r w:rsidR="00BC466C">
        <w:t xml:space="preserve"> incorp</w:t>
      </w:r>
      <w:r w:rsidR="00BF3F0B">
        <w:t>orat</w:t>
      </w:r>
      <w:r w:rsidR="00BC466C">
        <w:t>ed into the latent heat term of the heat equation, which allow</w:t>
      </w:r>
      <w:r w:rsidR="00355220">
        <w:t>ed</w:t>
      </w:r>
      <w:r w:rsidR="00BC466C">
        <w:t xml:space="preserve"> </w:t>
      </w:r>
      <w:r w:rsidR="00BF3F0B">
        <w:t>for a full</w:t>
      </w:r>
      <w:r>
        <w:t>y</w:t>
      </w:r>
      <w:r w:rsidR="00BF3F0B">
        <w:t xml:space="preserve"> transient thermal </w:t>
      </w:r>
      <w:r>
        <w:t xml:space="preserve">and material characterisation </w:t>
      </w:r>
      <w:r w:rsidR="00BF3F0B">
        <w:t>analysis</w:t>
      </w:r>
      <w:r>
        <w:t xml:space="preserve"> of t</w:t>
      </w:r>
      <w:r w:rsidR="00BC466C">
        <w:t xml:space="preserve">he microgravity MEDI experiment </w:t>
      </w:r>
      <w:r>
        <w:t>to take place</w:t>
      </w:r>
      <w:r w:rsidR="00BC466C">
        <w:t xml:space="preserve">. </w:t>
      </w:r>
    </w:p>
    <w:p w14:paraId="260D63AD" w14:textId="3A02BBFC" w:rsidR="00BC466C" w:rsidRDefault="00BC466C" w:rsidP="00DE31EF">
      <w:pPr>
        <w:pStyle w:val="Newparagraph"/>
      </w:pPr>
      <w:r>
        <w:t xml:space="preserve">The model showed good agreement with thermal, nucleation, and growth data and was able to predict both areal (observed) and volumetric output information. The stereological correction was shown to be significant in the case of the MEDI experiment. A </w:t>
      </w:r>
      <w:r w:rsidR="00BF3F0B">
        <w:t>further</w:t>
      </w:r>
      <w:r>
        <w:t xml:space="preserve"> advantage of the NPF thermal model was demonstrated by its ability to deal with </w:t>
      </w:r>
      <w:r w:rsidR="0016340E">
        <w:t xml:space="preserve">a </w:t>
      </w:r>
      <w:r>
        <w:t>thermal gradient along the length of the sample. The model was able to predict the statistical</w:t>
      </w:r>
      <w:r w:rsidR="00036A21">
        <w:t xml:space="preserve"> results</w:t>
      </w:r>
      <w:r>
        <w:t xml:space="preserve"> on a local, cell-by-cell basis and on an overall, global basis. Formative statistical </w:t>
      </w:r>
      <w:r w:rsidR="00AD78C2">
        <w:t xml:space="preserve">analysis </w:t>
      </w:r>
      <w:r>
        <w:t xml:space="preserve">was provided </w:t>
      </w:r>
      <w:r w:rsidR="00AD78C2">
        <w:t>over</w:t>
      </w:r>
      <w:r>
        <w:t xml:space="preserve"> </w:t>
      </w:r>
      <w:r w:rsidR="0016340E">
        <w:t xml:space="preserve">the </w:t>
      </w:r>
      <w:r>
        <w:t xml:space="preserve">full course of the microgravity stage of the experiment. </w:t>
      </w:r>
    </w:p>
    <w:p w14:paraId="42635AD5" w14:textId="15F9B0AA" w:rsidR="0016340E" w:rsidRDefault="0016340E" w:rsidP="00DE31EF">
      <w:pPr>
        <w:pStyle w:val="Newparagraph"/>
      </w:pPr>
      <w:r>
        <w:t xml:space="preserve">The </w:t>
      </w:r>
      <w:r w:rsidR="00AD78C2">
        <w:t xml:space="preserve">NPF approach, which highlights progenitor-progeny relationships </w:t>
      </w:r>
      <w:r w:rsidR="00093EEA">
        <w:t xml:space="preserve">between </w:t>
      </w:r>
      <w:r w:rsidR="00AD78C2">
        <w:t>seed activation and nucleation, is formal</w:t>
      </w:r>
      <w:r w:rsidR="004712F6">
        <w:t xml:space="preserve">ly presented </w:t>
      </w:r>
      <w:r w:rsidR="00093EEA">
        <w:t xml:space="preserve">here </w:t>
      </w:r>
      <w:r w:rsidR="00AD78C2">
        <w:t>for the first time and has been demonstrated by application to equiaxed solidification in a transparent analogue material. It is intended that th</w:t>
      </w:r>
      <w:r w:rsidR="00093EEA">
        <w:t xml:space="preserve">e </w:t>
      </w:r>
      <w:r w:rsidR="00AD78C2">
        <w:t xml:space="preserve">NPF approach be extended to include metal alloy systems, among other topics, in future studies. </w:t>
      </w:r>
    </w:p>
    <w:p w14:paraId="58F5DDB6" w14:textId="77777777" w:rsidR="0083674E" w:rsidRDefault="00C23D6C" w:rsidP="00DE31EF">
      <w:pPr>
        <w:pStyle w:val="Heading1"/>
        <w:numPr>
          <w:ilvl w:val="0"/>
          <w:numId w:val="0"/>
        </w:numPr>
        <w:ind w:left="431" w:hanging="431"/>
      </w:pPr>
      <w:r>
        <w:t xml:space="preserve">Acknowledgments </w:t>
      </w:r>
    </w:p>
    <w:p w14:paraId="07D16B9A" w14:textId="541D8CF4" w:rsidR="008D24A6" w:rsidRDefault="008D24A6" w:rsidP="008D24A6">
      <w:pPr>
        <w:pStyle w:val="Paragraph"/>
        <w:rPr>
          <w:b/>
          <w:bCs/>
        </w:rPr>
      </w:pPr>
      <w:r w:rsidRPr="008D24A6">
        <w:lastRenderedPageBreak/>
        <w:t xml:space="preserve">The authors would like to acknowledge the financial support of ESA PRODEX [contract number 4000107132] via Enterprise Ireland, German BMWi/DLR [contract number FKZ 50WM1443], and ESA [contract number AO-99-117, CETSOL]. Airbus Defence &amp; Space, SSC, OHB System AG and DLR-Moraba are gratefully acknowledged for MEDI hardware development and MASER-13 mission support. </w:t>
      </w:r>
      <w:r w:rsidR="00DE31EF">
        <w:rPr>
          <w:highlight w:val="yellow"/>
        </w:rPr>
        <w:fldChar w:fldCharType="begin"/>
      </w:r>
      <w:r w:rsidR="00DE31EF">
        <w:instrText xml:space="preserve"> REF _Ref496279099 \h </w:instrText>
      </w:r>
      <w:r w:rsidR="00DE31EF">
        <w:rPr>
          <w:highlight w:val="yellow"/>
        </w:rPr>
      </w:r>
      <w:r w:rsidR="00DE31EF">
        <w:rPr>
          <w:highlight w:val="yellow"/>
        </w:rPr>
        <w:fldChar w:fldCharType="separate"/>
      </w:r>
      <w:r w:rsidR="002637FB" w:rsidRPr="00FA1D4C">
        <w:t xml:space="preserve">Figure </w:t>
      </w:r>
      <w:r w:rsidR="002637FB">
        <w:rPr>
          <w:noProof/>
        </w:rPr>
        <w:t>5</w:t>
      </w:r>
      <w:r w:rsidR="00DE31EF">
        <w:rPr>
          <w:highlight w:val="yellow"/>
        </w:rPr>
        <w:fldChar w:fldCharType="end"/>
      </w:r>
      <w:r w:rsidR="00DE31EF">
        <w:t xml:space="preserve"> was</w:t>
      </w:r>
      <w:r w:rsidRPr="008D24A6">
        <w:t xml:space="preserve"> used with permission of Airbus Defence &amp; Space.</w:t>
      </w:r>
    </w:p>
    <w:p w14:paraId="30D3EB2C" w14:textId="0819B38A" w:rsidR="001343F9" w:rsidRPr="001343F9" w:rsidRDefault="001343F9" w:rsidP="008D24A6">
      <w:pPr>
        <w:pStyle w:val="Heading1"/>
        <w:numPr>
          <w:ilvl w:val="0"/>
          <w:numId w:val="0"/>
        </w:numPr>
      </w:pPr>
      <w:r>
        <w:t>References</w:t>
      </w:r>
    </w:p>
    <w:p w14:paraId="14805CE4" w14:textId="41772D49" w:rsidR="009C00E1" w:rsidRPr="009C00E1" w:rsidRDefault="008A70AB" w:rsidP="009C00E1">
      <w:pPr>
        <w:widowControl w:val="0"/>
        <w:autoSpaceDE w:val="0"/>
        <w:autoSpaceDN w:val="0"/>
        <w:adjustRightInd w:val="0"/>
        <w:spacing w:line="360" w:lineRule="auto"/>
        <w:ind w:left="640" w:hanging="640"/>
        <w:rPr>
          <w:noProof/>
        </w:rPr>
      </w:pPr>
      <w:r>
        <w:fldChar w:fldCharType="begin" w:fldLock="1"/>
      </w:r>
      <w:r>
        <w:instrText xml:space="preserve">ADDIN Mendeley Bibliography CSL_BIBLIOGRAPHY </w:instrText>
      </w:r>
      <w:r>
        <w:fldChar w:fldCharType="separate"/>
      </w:r>
      <w:r w:rsidR="009C00E1" w:rsidRPr="009C00E1">
        <w:rPr>
          <w:noProof/>
        </w:rPr>
        <w:t>[1]</w:t>
      </w:r>
      <w:r w:rsidR="009C00E1" w:rsidRPr="009C00E1">
        <w:rPr>
          <w:noProof/>
        </w:rPr>
        <w:tab/>
        <w:t>The Aluminum Association, Standard test procedure for aluminum alloy grain refiners, TP-1, (2012).</w:t>
      </w:r>
    </w:p>
    <w:p w14:paraId="1B784D27" w14:textId="77777777" w:rsidR="009C00E1" w:rsidRPr="009C00E1" w:rsidRDefault="009C00E1" w:rsidP="009C00E1">
      <w:pPr>
        <w:widowControl w:val="0"/>
        <w:autoSpaceDE w:val="0"/>
        <w:autoSpaceDN w:val="0"/>
        <w:adjustRightInd w:val="0"/>
        <w:spacing w:line="360" w:lineRule="auto"/>
        <w:ind w:left="640" w:hanging="640"/>
        <w:rPr>
          <w:noProof/>
        </w:rPr>
      </w:pPr>
      <w:r w:rsidRPr="009C00E1">
        <w:rPr>
          <w:noProof/>
        </w:rPr>
        <w:t>[2]</w:t>
      </w:r>
      <w:r w:rsidRPr="009C00E1">
        <w:rPr>
          <w:noProof/>
        </w:rPr>
        <w:tab/>
        <w:t>A.L. Greer, Overview : Application of heterogeneous nucleation in grain-refining of metals Overview : Application of heterogeneous nucleation in grain-refining of metals, J. Chem. Phys. 145 (2016) 1–14. doi:10.1063/1.4968846.</w:t>
      </w:r>
    </w:p>
    <w:p w14:paraId="71349F17" w14:textId="77777777" w:rsidR="009C00E1" w:rsidRPr="009C00E1" w:rsidRDefault="009C00E1" w:rsidP="009C00E1">
      <w:pPr>
        <w:widowControl w:val="0"/>
        <w:autoSpaceDE w:val="0"/>
        <w:autoSpaceDN w:val="0"/>
        <w:adjustRightInd w:val="0"/>
        <w:spacing w:line="360" w:lineRule="auto"/>
        <w:ind w:left="640" w:hanging="640"/>
        <w:rPr>
          <w:noProof/>
        </w:rPr>
      </w:pPr>
      <w:r w:rsidRPr="009C00E1">
        <w:rPr>
          <w:noProof/>
        </w:rPr>
        <w:t>[3]</w:t>
      </w:r>
      <w:r w:rsidRPr="009C00E1">
        <w:rPr>
          <w:noProof/>
        </w:rPr>
        <w:tab/>
        <w:t>M.A. Easton, M. Qian, A. Prasad, D.H. Stjohn, Recent advances in grain refinement of light metals and alloys, Curr. Opin. Solid State Mater. Sci. 20 (2016) 13–24. doi:10.1016/j.cossms.2015.10.001.</w:t>
      </w:r>
    </w:p>
    <w:p w14:paraId="0AC831F7" w14:textId="77777777" w:rsidR="009C00E1" w:rsidRPr="009C00E1" w:rsidRDefault="009C00E1" w:rsidP="009C00E1">
      <w:pPr>
        <w:widowControl w:val="0"/>
        <w:autoSpaceDE w:val="0"/>
        <w:autoSpaceDN w:val="0"/>
        <w:adjustRightInd w:val="0"/>
        <w:spacing w:line="360" w:lineRule="auto"/>
        <w:ind w:left="640" w:hanging="640"/>
        <w:rPr>
          <w:noProof/>
        </w:rPr>
      </w:pPr>
      <w:r w:rsidRPr="009C00E1">
        <w:rPr>
          <w:noProof/>
        </w:rPr>
        <w:t>[4]</w:t>
      </w:r>
      <w:r w:rsidRPr="009C00E1">
        <w:rPr>
          <w:noProof/>
        </w:rPr>
        <w:tab/>
        <w:t>A. Greer, A. Bunn, A. Tronche, P. Evans, D. Bristow, Modelling of inoculation of metallic melts: application to grain refinement of aluminium by Al–Ti–B, Acta Mater. 48 (2000) 2823–2835. doi:10.1016/S1359-6454(00)00094-X.</w:t>
      </w:r>
    </w:p>
    <w:p w14:paraId="3D3186E7" w14:textId="77777777" w:rsidR="009C00E1" w:rsidRPr="009C00E1" w:rsidRDefault="009C00E1" w:rsidP="009C00E1">
      <w:pPr>
        <w:widowControl w:val="0"/>
        <w:autoSpaceDE w:val="0"/>
        <w:autoSpaceDN w:val="0"/>
        <w:adjustRightInd w:val="0"/>
        <w:spacing w:line="360" w:lineRule="auto"/>
        <w:ind w:left="640" w:hanging="640"/>
        <w:rPr>
          <w:noProof/>
        </w:rPr>
      </w:pPr>
      <w:r w:rsidRPr="009C00E1">
        <w:rPr>
          <w:noProof/>
        </w:rPr>
        <w:t>[5]</w:t>
      </w:r>
      <w:r w:rsidRPr="009C00E1">
        <w:rPr>
          <w:noProof/>
        </w:rPr>
        <w:tab/>
        <w:t>W. Oldfield, A quantitative approach to casting solidification: freezing of cast iron, Trans. ASME. 59 (1966) 945–961.</w:t>
      </w:r>
    </w:p>
    <w:p w14:paraId="30113245" w14:textId="77777777" w:rsidR="009C00E1" w:rsidRPr="009C00E1" w:rsidRDefault="009C00E1" w:rsidP="009C00E1">
      <w:pPr>
        <w:widowControl w:val="0"/>
        <w:autoSpaceDE w:val="0"/>
        <w:autoSpaceDN w:val="0"/>
        <w:adjustRightInd w:val="0"/>
        <w:spacing w:line="360" w:lineRule="auto"/>
        <w:ind w:left="640" w:hanging="640"/>
        <w:rPr>
          <w:noProof/>
        </w:rPr>
      </w:pPr>
      <w:r w:rsidRPr="009C00E1">
        <w:rPr>
          <w:noProof/>
        </w:rPr>
        <w:t>[6]</w:t>
      </w:r>
      <w:r w:rsidRPr="009C00E1">
        <w:rPr>
          <w:noProof/>
        </w:rPr>
        <w:tab/>
        <w:t>M. Rappaz, Modelling of microstructure formation in solidification processes, Int. Mater. Rev. (1989). doi:10.1179/imr.1989.34.1.93.</w:t>
      </w:r>
    </w:p>
    <w:p w14:paraId="1EC25F8E" w14:textId="77777777" w:rsidR="009C00E1" w:rsidRPr="009C00E1" w:rsidRDefault="009C00E1" w:rsidP="009C00E1">
      <w:pPr>
        <w:widowControl w:val="0"/>
        <w:autoSpaceDE w:val="0"/>
        <w:autoSpaceDN w:val="0"/>
        <w:adjustRightInd w:val="0"/>
        <w:spacing w:line="360" w:lineRule="auto"/>
        <w:ind w:left="640" w:hanging="640"/>
        <w:rPr>
          <w:noProof/>
        </w:rPr>
      </w:pPr>
      <w:r w:rsidRPr="009C00E1">
        <w:rPr>
          <w:noProof/>
        </w:rPr>
        <w:t>[7]</w:t>
      </w:r>
      <w:r w:rsidRPr="009C00E1">
        <w:rPr>
          <w:noProof/>
        </w:rPr>
        <w:tab/>
        <w:t>J.A. Dantzig, M. Rappaz, Solidification, 1st ed., EPFL Press, Lausanne, 2009.</w:t>
      </w:r>
    </w:p>
    <w:p w14:paraId="21D87FF0" w14:textId="77777777" w:rsidR="009C00E1" w:rsidRPr="009C00E1" w:rsidRDefault="009C00E1" w:rsidP="009C00E1">
      <w:pPr>
        <w:widowControl w:val="0"/>
        <w:autoSpaceDE w:val="0"/>
        <w:autoSpaceDN w:val="0"/>
        <w:adjustRightInd w:val="0"/>
        <w:spacing w:line="360" w:lineRule="auto"/>
        <w:ind w:left="640" w:hanging="640"/>
        <w:rPr>
          <w:noProof/>
        </w:rPr>
      </w:pPr>
      <w:r w:rsidRPr="009C00E1">
        <w:rPr>
          <w:noProof/>
        </w:rPr>
        <w:t>[8]</w:t>
      </w:r>
      <w:r w:rsidRPr="009C00E1">
        <w:rPr>
          <w:noProof/>
        </w:rPr>
        <w:tab/>
        <w:t>T.E. Quested, A.L. Greer, The effect of the size distribution of inoculant particles on as-cast grain size in aluminium alloys, Acta Mater. 52 (2004) 3859–3868. doi:10.1016/j.actamat.2004.04.035.</w:t>
      </w:r>
    </w:p>
    <w:p w14:paraId="09B0DA41" w14:textId="77777777" w:rsidR="009C00E1" w:rsidRPr="009C00E1" w:rsidRDefault="009C00E1" w:rsidP="009C00E1">
      <w:pPr>
        <w:widowControl w:val="0"/>
        <w:autoSpaceDE w:val="0"/>
        <w:autoSpaceDN w:val="0"/>
        <w:adjustRightInd w:val="0"/>
        <w:spacing w:line="360" w:lineRule="auto"/>
        <w:ind w:left="640" w:hanging="640"/>
        <w:rPr>
          <w:noProof/>
        </w:rPr>
      </w:pPr>
      <w:r w:rsidRPr="009C00E1">
        <w:rPr>
          <w:noProof/>
        </w:rPr>
        <w:t>[9]</w:t>
      </w:r>
      <w:r w:rsidRPr="009C00E1">
        <w:rPr>
          <w:noProof/>
        </w:rPr>
        <w:tab/>
        <w:t>I. Maxwell, A. Hellawell, A simple model for grain refinement during solidification, Acta Metall. 23 (1975) 229–237. doi:10.1016/0001-6160(75)90188-1.</w:t>
      </w:r>
    </w:p>
    <w:p w14:paraId="60B1AEB4" w14:textId="77777777" w:rsidR="009C00E1" w:rsidRPr="009C00E1" w:rsidRDefault="009C00E1" w:rsidP="009C00E1">
      <w:pPr>
        <w:widowControl w:val="0"/>
        <w:autoSpaceDE w:val="0"/>
        <w:autoSpaceDN w:val="0"/>
        <w:adjustRightInd w:val="0"/>
        <w:spacing w:line="360" w:lineRule="auto"/>
        <w:ind w:left="640" w:hanging="640"/>
        <w:rPr>
          <w:noProof/>
        </w:rPr>
      </w:pPr>
      <w:r w:rsidRPr="009C00E1">
        <w:rPr>
          <w:noProof/>
        </w:rPr>
        <w:t>[10]</w:t>
      </w:r>
      <w:r w:rsidRPr="009C00E1">
        <w:rPr>
          <w:noProof/>
        </w:rPr>
        <w:tab/>
        <w:t>T.E. Quested, A.L. Greer, Grain refinement of Al alloys: Mechanisms determining as-cast grain size in directional solidification, Acta Mater. 53 (2005). doi:10.1016/j.actamat.2005.06.018.</w:t>
      </w:r>
    </w:p>
    <w:p w14:paraId="1B8806FC" w14:textId="77777777" w:rsidR="009C00E1" w:rsidRPr="009C00E1" w:rsidRDefault="009C00E1" w:rsidP="009C00E1">
      <w:pPr>
        <w:widowControl w:val="0"/>
        <w:autoSpaceDE w:val="0"/>
        <w:autoSpaceDN w:val="0"/>
        <w:adjustRightInd w:val="0"/>
        <w:spacing w:line="360" w:lineRule="auto"/>
        <w:ind w:left="640" w:hanging="640"/>
        <w:rPr>
          <w:noProof/>
        </w:rPr>
      </w:pPr>
      <w:r w:rsidRPr="009C00E1">
        <w:rPr>
          <w:noProof/>
        </w:rPr>
        <w:t>[11]</w:t>
      </w:r>
      <w:r w:rsidRPr="009C00E1">
        <w:rPr>
          <w:noProof/>
        </w:rPr>
        <w:tab/>
        <w:t xml:space="preserve">D. Shu, B. Sun, J. Mi, P.S. Grant, A quantitative study of solute diffusion field effects on heterogeneous nucleation and the grain size of alloys, 59 (2011) 2135–2144. </w:t>
      </w:r>
      <w:r w:rsidRPr="009C00E1">
        <w:rPr>
          <w:noProof/>
        </w:rPr>
        <w:lastRenderedPageBreak/>
        <w:t>doi:10.1016/j.actamat.2010.12.014.</w:t>
      </w:r>
    </w:p>
    <w:p w14:paraId="4C80B1FC" w14:textId="77777777" w:rsidR="009C00E1" w:rsidRPr="009C00E1" w:rsidRDefault="009C00E1" w:rsidP="009C00E1">
      <w:pPr>
        <w:widowControl w:val="0"/>
        <w:autoSpaceDE w:val="0"/>
        <w:autoSpaceDN w:val="0"/>
        <w:adjustRightInd w:val="0"/>
        <w:spacing w:line="360" w:lineRule="auto"/>
        <w:ind w:left="640" w:hanging="640"/>
        <w:rPr>
          <w:noProof/>
        </w:rPr>
      </w:pPr>
      <w:r w:rsidRPr="009C00E1">
        <w:rPr>
          <w:noProof/>
        </w:rPr>
        <w:t>[12]</w:t>
      </w:r>
      <w:r w:rsidRPr="009C00E1">
        <w:rPr>
          <w:noProof/>
        </w:rPr>
        <w:tab/>
        <w:t>D.H. Stjohn, M. Qian, M.A. Easton, P. Cao, The Interdependence Theory : The relationship between grain formation and nucleant selection, Acta Mater. 59 (2011) 4907–4921. doi:10.1016/j.actamat.2011.04.035.</w:t>
      </w:r>
    </w:p>
    <w:p w14:paraId="0038F27B" w14:textId="77777777" w:rsidR="009C00E1" w:rsidRPr="009C00E1" w:rsidRDefault="009C00E1" w:rsidP="009C00E1">
      <w:pPr>
        <w:widowControl w:val="0"/>
        <w:autoSpaceDE w:val="0"/>
        <w:autoSpaceDN w:val="0"/>
        <w:adjustRightInd w:val="0"/>
        <w:spacing w:line="360" w:lineRule="auto"/>
        <w:ind w:left="640" w:hanging="640"/>
        <w:rPr>
          <w:noProof/>
        </w:rPr>
      </w:pPr>
      <w:r w:rsidRPr="009C00E1">
        <w:rPr>
          <w:noProof/>
        </w:rPr>
        <w:t>[13]</w:t>
      </w:r>
      <w:r w:rsidRPr="009C00E1">
        <w:rPr>
          <w:noProof/>
        </w:rPr>
        <w:tab/>
        <w:t>Q. Du, Y. Li, An extension of the Kampmann-Wagner numerical model towards as-cast grain size prediction of multicomponent aluminum alloys, Acta Mater. 71 (2014) 380–389. doi:10.1016/j.actamat.2014.03.028.</w:t>
      </w:r>
    </w:p>
    <w:p w14:paraId="23BB1BAC" w14:textId="77777777" w:rsidR="009C00E1" w:rsidRPr="009C00E1" w:rsidRDefault="009C00E1" w:rsidP="009C00E1">
      <w:pPr>
        <w:widowControl w:val="0"/>
        <w:autoSpaceDE w:val="0"/>
        <w:autoSpaceDN w:val="0"/>
        <w:adjustRightInd w:val="0"/>
        <w:spacing w:line="360" w:lineRule="auto"/>
        <w:ind w:left="640" w:hanging="640"/>
        <w:rPr>
          <w:noProof/>
        </w:rPr>
      </w:pPr>
      <w:r w:rsidRPr="009C00E1">
        <w:rPr>
          <w:noProof/>
        </w:rPr>
        <w:t>[14]</w:t>
      </w:r>
      <w:r w:rsidRPr="009C00E1">
        <w:rPr>
          <w:noProof/>
        </w:rPr>
        <w:tab/>
        <w:t>H. Nguyen-Thi, G. Reinhart, G. Salloum Abou Jaoude, R.H. Mathiesen, G. Zimmermann, Y. Houltz, D. Voss,  a. Verga, D.J. Browne,  a. G. Murphy, XRMON-GF: A novel facility for solidification of metallic alloys with in situ and time-resolved X-ray radiographic characterization in microgravity conditions, J. Cryst. Growth. 374 (2013) 23–30. doi:10.1016/j.jcrysgro.2013.03.032.</w:t>
      </w:r>
    </w:p>
    <w:p w14:paraId="5C2157CC" w14:textId="77777777" w:rsidR="009C00E1" w:rsidRPr="009C00E1" w:rsidRDefault="009C00E1" w:rsidP="009C00E1">
      <w:pPr>
        <w:widowControl w:val="0"/>
        <w:autoSpaceDE w:val="0"/>
        <w:autoSpaceDN w:val="0"/>
        <w:adjustRightInd w:val="0"/>
        <w:spacing w:line="360" w:lineRule="auto"/>
        <w:ind w:left="640" w:hanging="640"/>
        <w:rPr>
          <w:noProof/>
        </w:rPr>
      </w:pPr>
      <w:r w:rsidRPr="009C00E1">
        <w:rPr>
          <w:noProof/>
        </w:rPr>
        <w:t>[15]</w:t>
      </w:r>
      <w:r w:rsidRPr="009C00E1">
        <w:rPr>
          <w:noProof/>
        </w:rPr>
        <w:tab/>
        <w:t>A.G. Murphy, W.U. Mirihanage, D.J. Browne, R.H. Mathiesen, Equiaxed dendritic solidification and grain refiner potency characterised through in situ X-radiography, Acta Mater. 95 (2015) 83–89. doi:10.1016/j.actamat.2015.04.060.</w:t>
      </w:r>
    </w:p>
    <w:p w14:paraId="06320BD3" w14:textId="77777777" w:rsidR="009C00E1" w:rsidRPr="009C00E1" w:rsidRDefault="009C00E1" w:rsidP="009C00E1">
      <w:pPr>
        <w:widowControl w:val="0"/>
        <w:autoSpaceDE w:val="0"/>
        <w:autoSpaceDN w:val="0"/>
        <w:adjustRightInd w:val="0"/>
        <w:spacing w:line="360" w:lineRule="auto"/>
        <w:ind w:left="640" w:hanging="640"/>
        <w:rPr>
          <w:noProof/>
        </w:rPr>
      </w:pPr>
      <w:r w:rsidRPr="009C00E1">
        <w:rPr>
          <w:noProof/>
        </w:rPr>
        <w:t>[16]</w:t>
      </w:r>
      <w:r w:rsidRPr="009C00E1">
        <w:rPr>
          <w:noProof/>
        </w:rPr>
        <w:tab/>
        <w:t>M. Becker, C. Dreißigacker, S. Klein, F. Kargl, Near-isothermal furnace for in situ and real time X-ray radiography solidification experiments, Rev. Sci. Instrum. 86 (2015). doi:10.1063/1.4922359.</w:t>
      </w:r>
    </w:p>
    <w:p w14:paraId="48FC418B" w14:textId="77777777" w:rsidR="009C00E1" w:rsidRPr="009C00E1" w:rsidRDefault="009C00E1" w:rsidP="009C00E1">
      <w:pPr>
        <w:widowControl w:val="0"/>
        <w:autoSpaceDE w:val="0"/>
        <w:autoSpaceDN w:val="0"/>
        <w:adjustRightInd w:val="0"/>
        <w:spacing w:line="360" w:lineRule="auto"/>
        <w:ind w:left="640" w:hanging="640"/>
        <w:rPr>
          <w:noProof/>
        </w:rPr>
      </w:pPr>
      <w:r w:rsidRPr="009C00E1">
        <w:rPr>
          <w:noProof/>
        </w:rPr>
        <w:t>[17]</w:t>
      </w:r>
      <w:r w:rsidRPr="009C00E1">
        <w:rPr>
          <w:noProof/>
        </w:rPr>
        <w:tab/>
        <w:t>A. Bogno, H. Nguyen-Thi, G. Reinhart, B. Billia, J. Baruchel, Growth and interaction of dendritic equiaxed grains: In situ characterization by synchrotron X-ray radiography, Acta Mater. 61 (2013) 1303–1315. doi:10.1016/j.actamat.2012.11.008.</w:t>
      </w:r>
    </w:p>
    <w:p w14:paraId="106B4B90" w14:textId="77777777" w:rsidR="009C00E1" w:rsidRPr="009C00E1" w:rsidRDefault="009C00E1" w:rsidP="009C00E1">
      <w:pPr>
        <w:widowControl w:val="0"/>
        <w:autoSpaceDE w:val="0"/>
        <w:autoSpaceDN w:val="0"/>
        <w:adjustRightInd w:val="0"/>
        <w:spacing w:line="360" w:lineRule="auto"/>
        <w:ind w:left="640" w:hanging="640"/>
        <w:rPr>
          <w:noProof/>
        </w:rPr>
      </w:pPr>
      <w:r w:rsidRPr="009C00E1">
        <w:rPr>
          <w:noProof/>
        </w:rPr>
        <w:t>[18]</w:t>
      </w:r>
      <w:r w:rsidRPr="009C00E1">
        <w:rPr>
          <w:noProof/>
        </w:rPr>
        <w:tab/>
        <w:t>Y. Xu, D. Casari, Q. Du, R.H. Mathiesen, L. Arnberg, Y. Li, Heterogeneous nucleation and grain growth of inoculated aluminium alloys: An integrated study by in-situ X-radiography and numerical modelling, Acta Mater. (2017). doi:10.1016/j.actamat.2017.08.053.</w:t>
      </w:r>
    </w:p>
    <w:p w14:paraId="7F3E9386" w14:textId="77777777" w:rsidR="009C00E1" w:rsidRPr="009C00E1" w:rsidRDefault="009C00E1" w:rsidP="009C00E1">
      <w:pPr>
        <w:widowControl w:val="0"/>
        <w:autoSpaceDE w:val="0"/>
        <w:autoSpaceDN w:val="0"/>
        <w:adjustRightInd w:val="0"/>
        <w:spacing w:line="360" w:lineRule="auto"/>
        <w:ind w:left="640" w:hanging="640"/>
        <w:rPr>
          <w:noProof/>
        </w:rPr>
      </w:pPr>
      <w:r w:rsidRPr="009C00E1">
        <w:rPr>
          <w:noProof/>
        </w:rPr>
        <w:t>[19]</w:t>
      </w:r>
      <w:r w:rsidRPr="009C00E1">
        <w:rPr>
          <w:noProof/>
        </w:rPr>
        <w:tab/>
        <w:t>K.A. Jackson, J.D. Hunt, Transparent compounds that freeze like metals, Acta Metall. 13 (1965).</w:t>
      </w:r>
    </w:p>
    <w:p w14:paraId="1EAE6F12" w14:textId="77777777" w:rsidR="009C00E1" w:rsidRPr="009C00E1" w:rsidRDefault="009C00E1" w:rsidP="009C00E1">
      <w:pPr>
        <w:widowControl w:val="0"/>
        <w:autoSpaceDE w:val="0"/>
        <w:autoSpaceDN w:val="0"/>
        <w:adjustRightInd w:val="0"/>
        <w:spacing w:line="360" w:lineRule="auto"/>
        <w:ind w:left="640" w:hanging="640"/>
        <w:rPr>
          <w:noProof/>
        </w:rPr>
      </w:pPr>
      <w:r w:rsidRPr="009C00E1">
        <w:rPr>
          <w:noProof/>
        </w:rPr>
        <w:t>[20]</w:t>
      </w:r>
      <w:r w:rsidRPr="009C00E1">
        <w:rPr>
          <w:noProof/>
        </w:rPr>
        <w:tab/>
        <w:t>B. Kauerauf, G. Zimmermann, S. Rex, M. Mathes, F. Grote, Directional cellular growth of succinonitrile–0.075wt% acetone bulk samples, J. Cryst. Growth. 223 (2001) 265–276. doi:10.1016/S0022-0248(00)01006-X.</w:t>
      </w:r>
    </w:p>
    <w:p w14:paraId="24E7D4E4" w14:textId="77777777" w:rsidR="009C00E1" w:rsidRPr="009C00E1" w:rsidRDefault="009C00E1" w:rsidP="009C00E1">
      <w:pPr>
        <w:widowControl w:val="0"/>
        <w:autoSpaceDE w:val="0"/>
        <w:autoSpaceDN w:val="0"/>
        <w:adjustRightInd w:val="0"/>
        <w:spacing w:line="360" w:lineRule="auto"/>
        <w:ind w:left="640" w:hanging="640"/>
        <w:rPr>
          <w:noProof/>
        </w:rPr>
      </w:pPr>
      <w:r w:rsidRPr="009C00E1">
        <w:rPr>
          <w:noProof/>
        </w:rPr>
        <w:t>[21]</w:t>
      </w:r>
      <w:r w:rsidRPr="009C00E1">
        <w:rPr>
          <w:noProof/>
        </w:rPr>
        <w:tab/>
        <w:t>K.A. Jackson, J.D. Hunt, D.R. Uhlmann, T.P. Seward, No Title, Trans. Metall. Soc. AIME. 236 (1966) 149–158.</w:t>
      </w:r>
    </w:p>
    <w:p w14:paraId="6CDEF003" w14:textId="77777777" w:rsidR="009C00E1" w:rsidRPr="009C00E1" w:rsidRDefault="009C00E1" w:rsidP="009C00E1">
      <w:pPr>
        <w:widowControl w:val="0"/>
        <w:autoSpaceDE w:val="0"/>
        <w:autoSpaceDN w:val="0"/>
        <w:adjustRightInd w:val="0"/>
        <w:spacing w:line="360" w:lineRule="auto"/>
        <w:ind w:left="640" w:hanging="640"/>
        <w:rPr>
          <w:noProof/>
        </w:rPr>
      </w:pPr>
      <w:r w:rsidRPr="009C00E1">
        <w:rPr>
          <w:noProof/>
        </w:rPr>
        <w:t>[22]</w:t>
      </w:r>
      <w:r w:rsidRPr="009C00E1">
        <w:rPr>
          <w:noProof/>
        </w:rPr>
        <w:tab/>
        <w:t>S. Akamatsu, H. Nguyen-Thi, In situ observation of solidification patterns in diffusive conditions, Acta Mater. 108 (2016) 325–346. doi:10.1016/j.actamat.2016.01.024.</w:t>
      </w:r>
    </w:p>
    <w:p w14:paraId="3FAAA457" w14:textId="77777777" w:rsidR="009C00E1" w:rsidRPr="009C00E1" w:rsidRDefault="009C00E1" w:rsidP="009C00E1">
      <w:pPr>
        <w:widowControl w:val="0"/>
        <w:autoSpaceDE w:val="0"/>
        <w:autoSpaceDN w:val="0"/>
        <w:adjustRightInd w:val="0"/>
        <w:spacing w:line="360" w:lineRule="auto"/>
        <w:ind w:left="640" w:hanging="640"/>
        <w:rPr>
          <w:noProof/>
        </w:rPr>
      </w:pPr>
      <w:r w:rsidRPr="009C00E1">
        <w:rPr>
          <w:noProof/>
        </w:rPr>
        <w:lastRenderedPageBreak/>
        <w:t>[23]</w:t>
      </w:r>
      <w:r w:rsidRPr="009C00E1">
        <w:rPr>
          <w:noProof/>
        </w:rPr>
        <w:tab/>
        <w:t>K.A. Jackson, J.D. Hunt, D.R. Uhlmann, T.P. Seward III, On the origin of the equiaxed zone in castings, Trans. Metall. Soc. AIME. 236 (1966) 151–158.</w:t>
      </w:r>
    </w:p>
    <w:p w14:paraId="106F842F" w14:textId="77777777" w:rsidR="009C00E1" w:rsidRPr="009C00E1" w:rsidRDefault="009C00E1" w:rsidP="009C00E1">
      <w:pPr>
        <w:widowControl w:val="0"/>
        <w:autoSpaceDE w:val="0"/>
        <w:autoSpaceDN w:val="0"/>
        <w:adjustRightInd w:val="0"/>
        <w:spacing w:line="360" w:lineRule="auto"/>
        <w:ind w:left="640" w:hanging="640"/>
        <w:rPr>
          <w:noProof/>
        </w:rPr>
      </w:pPr>
      <w:r w:rsidRPr="009C00E1">
        <w:rPr>
          <w:noProof/>
        </w:rPr>
        <w:t>[24]</w:t>
      </w:r>
      <w:r w:rsidRPr="009C00E1">
        <w:rPr>
          <w:noProof/>
        </w:rPr>
        <w:tab/>
        <w:t>R.H. Mathiesen, L. Arnberg, P. Bleuet, A. Somogyi, Crystal fragmentation and columnar-to-equiaxed transitions in Al-Cu studied by Synchrotron x-ray video microscopy, Metall. Mater. Trans. A Phys. Metall. Mater. Sci. 37 (2006). doi:10.1007/BF02586224.</w:t>
      </w:r>
    </w:p>
    <w:p w14:paraId="212ECC1A" w14:textId="77777777" w:rsidR="009C00E1" w:rsidRPr="009C00E1" w:rsidRDefault="009C00E1" w:rsidP="009C00E1">
      <w:pPr>
        <w:widowControl w:val="0"/>
        <w:autoSpaceDE w:val="0"/>
        <w:autoSpaceDN w:val="0"/>
        <w:adjustRightInd w:val="0"/>
        <w:spacing w:line="360" w:lineRule="auto"/>
        <w:ind w:left="640" w:hanging="640"/>
        <w:rPr>
          <w:noProof/>
        </w:rPr>
      </w:pPr>
      <w:r w:rsidRPr="009C00E1">
        <w:rPr>
          <w:noProof/>
        </w:rPr>
        <w:t>[25]</w:t>
      </w:r>
      <w:r w:rsidRPr="009C00E1">
        <w:rPr>
          <w:noProof/>
        </w:rPr>
        <w:tab/>
        <w:t>L. Sturz, M. Hamacher, G. Zimmermann, In-situ observation of equiaxed dendritic growth and interaction in microgravity, in: Z. Fan (Ed.), 6th Decenn. Int. Conf. Solidif. Process., 2017: pp. 300–303.</w:t>
      </w:r>
    </w:p>
    <w:p w14:paraId="1B58D0CC" w14:textId="77777777" w:rsidR="009C00E1" w:rsidRPr="009C00E1" w:rsidRDefault="009C00E1" w:rsidP="009C00E1">
      <w:pPr>
        <w:widowControl w:val="0"/>
        <w:autoSpaceDE w:val="0"/>
        <w:autoSpaceDN w:val="0"/>
        <w:adjustRightInd w:val="0"/>
        <w:spacing w:line="360" w:lineRule="auto"/>
        <w:ind w:left="640" w:hanging="640"/>
        <w:rPr>
          <w:noProof/>
        </w:rPr>
      </w:pPr>
      <w:r w:rsidRPr="009C00E1">
        <w:rPr>
          <w:noProof/>
        </w:rPr>
        <w:t>[26]</w:t>
      </w:r>
      <w:r w:rsidRPr="009C00E1">
        <w:rPr>
          <w:noProof/>
        </w:rPr>
        <w:tab/>
        <w:t>A.N. Kolmogorov, No Title, Bull. Acad. Sci. URSS (Sci. Math. Nat.). 3 (1937) 355.</w:t>
      </w:r>
    </w:p>
    <w:p w14:paraId="394EE34C" w14:textId="77777777" w:rsidR="009C00E1" w:rsidRPr="009C00E1" w:rsidRDefault="009C00E1" w:rsidP="009C00E1">
      <w:pPr>
        <w:widowControl w:val="0"/>
        <w:autoSpaceDE w:val="0"/>
        <w:autoSpaceDN w:val="0"/>
        <w:adjustRightInd w:val="0"/>
        <w:spacing w:line="360" w:lineRule="auto"/>
        <w:ind w:left="640" w:hanging="640"/>
        <w:rPr>
          <w:noProof/>
        </w:rPr>
      </w:pPr>
      <w:r w:rsidRPr="009C00E1">
        <w:rPr>
          <w:noProof/>
        </w:rPr>
        <w:t>[27]</w:t>
      </w:r>
      <w:r w:rsidRPr="009C00E1">
        <w:rPr>
          <w:noProof/>
        </w:rPr>
        <w:tab/>
        <w:t>M. Fanfoni, M. Tomellini, The Johnson-Mehl- Avrami-Kohnogorov model: A brief review, Nuovo Cim. D. 20 (1998) 1171–1182. doi:10.1007/BF03185527.</w:t>
      </w:r>
    </w:p>
    <w:p w14:paraId="2272B580" w14:textId="77777777" w:rsidR="009C00E1" w:rsidRPr="009C00E1" w:rsidRDefault="009C00E1" w:rsidP="009C00E1">
      <w:pPr>
        <w:widowControl w:val="0"/>
        <w:autoSpaceDE w:val="0"/>
        <w:autoSpaceDN w:val="0"/>
        <w:adjustRightInd w:val="0"/>
        <w:spacing w:line="360" w:lineRule="auto"/>
        <w:ind w:left="640" w:hanging="640"/>
        <w:rPr>
          <w:noProof/>
        </w:rPr>
      </w:pPr>
      <w:r w:rsidRPr="009C00E1">
        <w:rPr>
          <w:noProof/>
        </w:rPr>
        <w:t>[28]</w:t>
      </w:r>
      <w:r w:rsidRPr="009C00E1">
        <w:rPr>
          <w:noProof/>
        </w:rPr>
        <w:tab/>
        <w:t>M. Tomellini, M. Fanfoni, Why phantom nuclei must be considered in the Johnson-Mehl-Avrami-Kolmogoroff kinetics, Phys. Rev. B. 55 (1997) 14071–14073. doi:10.1103/PhysRevB.55.14071.</w:t>
      </w:r>
    </w:p>
    <w:p w14:paraId="25A9AFA4" w14:textId="77777777" w:rsidR="009C00E1" w:rsidRPr="009C00E1" w:rsidRDefault="009C00E1" w:rsidP="009C00E1">
      <w:pPr>
        <w:widowControl w:val="0"/>
        <w:autoSpaceDE w:val="0"/>
        <w:autoSpaceDN w:val="0"/>
        <w:adjustRightInd w:val="0"/>
        <w:spacing w:line="360" w:lineRule="auto"/>
        <w:ind w:left="640" w:hanging="640"/>
        <w:rPr>
          <w:noProof/>
        </w:rPr>
      </w:pPr>
      <w:r w:rsidRPr="009C00E1">
        <w:rPr>
          <w:noProof/>
        </w:rPr>
        <w:t>[29]</w:t>
      </w:r>
      <w:r w:rsidRPr="009C00E1">
        <w:rPr>
          <w:noProof/>
        </w:rPr>
        <w:tab/>
        <w:t>E.E. Underwood, Stereology, or the quantitative evaluation of microstructures, J. Microsc. 89 (1969) 161–180. doi:10.1111/j.1365-2818.1969.tb00663.x.</w:t>
      </w:r>
    </w:p>
    <w:p w14:paraId="79C3ECA2" w14:textId="77777777" w:rsidR="009C00E1" w:rsidRPr="009C00E1" w:rsidRDefault="009C00E1" w:rsidP="009C00E1">
      <w:pPr>
        <w:widowControl w:val="0"/>
        <w:autoSpaceDE w:val="0"/>
        <w:autoSpaceDN w:val="0"/>
        <w:adjustRightInd w:val="0"/>
        <w:spacing w:line="360" w:lineRule="auto"/>
        <w:ind w:left="640" w:hanging="640"/>
        <w:rPr>
          <w:noProof/>
        </w:rPr>
      </w:pPr>
      <w:r w:rsidRPr="009C00E1">
        <w:rPr>
          <w:noProof/>
        </w:rPr>
        <w:t>[30]</w:t>
      </w:r>
      <w:r w:rsidRPr="009C00E1">
        <w:rPr>
          <w:noProof/>
        </w:rPr>
        <w:tab/>
        <w:t>A. Baddeley, E.B.V. Jensen, Stereology for statisticians, Chapman &amp; Hall/CRC, 2005.</w:t>
      </w:r>
    </w:p>
    <w:p w14:paraId="6C59FCAF" w14:textId="77777777" w:rsidR="009C00E1" w:rsidRPr="009C00E1" w:rsidRDefault="009C00E1" w:rsidP="009C00E1">
      <w:pPr>
        <w:widowControl w:val="0"/>
        <w:autoSpaceDE w:val="0"/>
        <w:autoSpaceDN w:val="0"/>
        <w:adjustRightInd w:val="0"/>
        <w:spacing w:line="360" w:lineRule="auto"/>
        <w:ind w:left="640" w:hanging="640"/>
        <w:rPr>
          <w:noProof/>
        </w:rPr>
      </w:pPr>
      <w:r w:rsidRPr="009C00E1">
        <w:rPr>
          <w:noProof/>
        </w:rPr>
        <w:t>[31]</w:t>
      </w:r>
      <w:r w:rsidRPr="009C00E1">
        <w:rPr>
          <w:noProof/>
        </w:rPr>
        <w:tab/>
        <w:t>R.P. Mooney, S. McFadden, Theoretical analysis to interpret projected image data from in-situ 3-dimensional equiaxed nucleation and growth, J. Cryst. Growth. 480 (2017) 43–50. doi:10.1016/j.jcrysgro.2017.10.002.</w:t>
      </w:r>
    </w:p>
    <w:p w14:paraId="533FACE6" w14:textId="77777777" w:rsidR="009C00E1" w:rsidRPr="009C00E1" w:rsidRDefault="009C00E1" w:rsidP="009C00E1">
      <w:pPr>
        <w:widowControl w:val="0"/>
        <w:autoSpaceDE w:val="0"/>
        <w:autoSpaceDN w:val="0"/>
        <w:adjustRightInd w:val="0"/>
        <w:spacing w:line="360" w:lineRule="auto"/>
        <w:ind w:left="640" w:hanging="640"/>
        <w:rPr>
          <w:noProof/>
        </w:rPr>
      </w:pPr>
      <w:r w:rsidRPr="009C00E1">
        <w:rPr>
          <w:noProof/>
        </w:rPr>
        <w:t>[32]</w:t>
      </w:r>
      <w:r w:rsidRPr="009C00E1">
        <w:rPr>
          <w:noProof/>
        </w:rPr>
        <w:tab/>
        <w:t>R.P. Mooney, L. Sturz, G. Zimmermann, S. McFadden, Thermal characterisation with modelling for a microgravity experiment into polycrystalline equiaxed dendritic solidification with in-situ observation, Int. J. Therm. Sci. 125 (2018) 283–292. doi:10.1016/J.IJTHERMALSCI.2017.11.032.</w:t>
      </w:r>
    </w:p>
    <w:p w14:paraId="4CD8DFFA" w14:textId="77777777" w:rsidR="009C00E1" w:rsidRPr="009C00E1" w:rsidRDefault="009C00E1" w:rsidP="009C00E1">
      <w:pPr>
        <w:widowControl w:val="0"/>
        <w:autoSpaceDE w:val="0"/>
        <w:autoSpaceDN w:val="0"/>
        <w:adjustRightInd w:val="0"/>
        <w:spacing w:line="360" w:lineRule="auto"/>
        <w:ind w:left="640" w:hanging="640"/>
        <w:rPr>
          <w:noProof/>
        </w:rPr>
      </w:pPr>
      <w:r w:rsidRPr="009C00E1">
        <w:rPr>
          <w:noProof/>
        </w:rPr>
        <w:t>[33]</w:t>
      </w:r>
      <w:r w:rsidRPr="009C00E1">
        <w:rPr>
          <w:noProof/>
        </w:rPr>
        <w:tab/>
        <w:t>S. McFadden, D.J. Browne, A front-tracking model to predict solidification macrostructures and columnar to equiaxed transitions in alloy castings, Appl. Math. Model. 33 (2009) 1397–1416.</w:t>
      </w:r>
    </w:p>
    <w:p w14:paraId="37154D4B" w14:textId="77777777" w:rsidR="009C00E1" w:rsidRPr="009C00E1" w:rsidRDefault="009C00E1" w:rsidP="009C00E1">
      <w:pPr>
        <w:widowControl w:val="0"/>
        <w:autoSpaceDE w:val="0"/>
        <w:autoSpaceDN w:val="0"/>
        <w:adjustRightInd w:val="0"/>
        <w:spacing w:line="360" w:lineRule="auto"/>
        <w:ind w:left="640" w:hanging="640"/>
        <w:rPr>
          <w:noProof/>
        </w:rPr>
      </w:pPr>
      <w:r w:rsidRPr="009C00E1">
        <w:rPr>
          <w:noProof/>
        </w:rPr>
        <w:t>[34]</w:t>
      </w:r>
      <w:r w:rsidRPr="009C00E1">
        <w:rPr>
          <w:noProof/>
        </w:rPr>
        <w:tab/>
        <w:t>M.Rappaz, P.H.Thévoz, Solute diffusion model for equiaxed dendritic growth: Analytical solution, Acta Metall. 35 (1987) 2929–2933. doi:10.1016/0001-6160(87)90292-6.</w:t>
      </w:r>
    </w:p>
    <w:p w14:paraId="7C67EADA" w14:textId="77777777" w:rsidR="00596D79" w:rsidRDefault="008A70AB" w:rsidP="00A36041">
      <w:pPr>
        <w:widowControl w:val="0"/>
        <w:autoSpaceDE w:val="0"/>
        <w:autoSpaceDN w:val="0"/>
        <w:adjustRightInd w:val="0"/>
        <w:spacing w:line="360" w:lineRule="auto"/>
        <w:ind w:left="640" w:hanging="640"/>
      </w:pPr>
      <w:r>
        <w:fldChar w:fldCharType="end"/>
      </w:r>
    </w:p>
    <w:sectPr w:rsidR="00596D79" w:rsidSect="00C9779B">
      <w:footerReference w:type="default" r:id="rId21"/>
      <w:pgSz w:w="11906" w:h="16838"/>
      <w:pgMar w:top="1440" w:right="1080" w:bottom="1440" w:left="108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A6BC31" w14:textId="77777777" w:rsidR="003A0DF4" w:rsidRDefault="003A0DF4" w:rsidP="007E21CD">
      <w:pPr>
        <w:spacing w:line="240" w:lineRule="auto"/>
      </w:pPr>
      <w:r>
        <w:separator/>
      </w:r>
    </w:p>
  </w:endnote>
  <w:endnote w:type="continuationSeparator" w:id="0">
    <w:p w14:paraId="1FD90C63" w14:textId="77777777" w:rsidR="003A0DF4" w:rsidRDefault="003A0DF4" w:rsidP="007E21C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94386656"/>
      <w:docPartObj>
        <w:docPartGallery w:val="Page Numbers (Bottom of Page)"/>
        <w:docPartUnique/>
      </w:docPartObj>
    </w:sdtPr>
    <w:sdtEndPr>
      <w:rPr>
        <w:noProof/>
      </w:rPr>
    </w:sdtEndPr>
    <w:sdtContent>
      <w:p w14:paraId="704618A4" w14:textId="5B8FFD2D" w:rsidR="00F00BB8" w:rsidRDefault="00F00BB8">
        <w:pPr>
          <w:pStyle w:val="Footer"/>
          <w:jc w:val="right"/>
        </w:pPr>
        <w:r>
          <w:fldChar w:fldCharType="begin"/>
        </w:r>
        <w:r>
          <w:instrText xml:space="preserve"> PAGE   \* MERGEFORMAT </w:instrText>
        </w:r>
        <w:r>
          <w:fldChar w:fldCharType="separate"/>
        </w:r>
        <w:r w:rsidR="009C00E1">
          <w:rPr>
            <w:noProof/>
          </w:rPr>
          <w:t>24</w:t>
        </w:r>
        <w:r>
          <w:rPr>
            <w:noProof/>
          </w:rPr>
          <w:fldChar w:fldCharType="end"/>
        </w:r>
      </w:p>
    </w:sdtContent>
  </w:sdt>
  <w:p w14:paraId="47A6BC03" w14:textId="77777777" w:rsidR="00F00BB8" w:rsidRDefault="00F00BB8" w:rsidP="007E21CD">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A39292" w14:textId="77777777" w:rsidR="003A0DF4" w:rsidRDefault="003A0DF4" w:rsidP="007E21CD">
      <w:pPr>
        <w:spacing w:line="240" w:lineRule="auto"/>
      </w:pPr>
      <w:r>
        <w:separator/>
      </w:r>
    </w:p>
  </w:footnote>
  <w:footnote w:type="continuationSeparator" w:id="0">
    <w:p w14:paraId="09DBEF43" w14:textId="77777777" w:rsidR="003A0DF4" w:rsidRDefault="003A0DF4" w:rsidP="007E21CD">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B0D4262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B1FECAF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7C74E2D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E8F228EA"/>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A274B1E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D2442F12"/>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79147BC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594C1B5A"/>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34C6DA04"/>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C472E25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5DC819A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5CC0843"/>
    <w:multiLevelType w:val="multilevel"/>
    <w:tmpl w:val="9426EBB6"/>
    <w:lvl w:ilvl="0">
      <w:start w:val="1"/>
      <w:numFmt w:val="decimal"/>
      <w:lvlText w:val="(%1)"/>
      <w:lvlJc w:val="right"/>
      <w:pPr>
        <w:ind w:left="720" w:hanging="181"/>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0D0E765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1761B29"/>
    <w:multiLevelType w:val="multilevel"/>
    <w:tmpl w:val="821841A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1F413159"/>
    <w:multiLevelType w:val="multilevel"/>
    <w:tmpl w:val="30C08770"/>
    <w:lvl w:ilvl="0">
      <w:start w:val="1"/>
      <w:numFmt w:val="decimal"/>
      <w:lvlText w:val="(%1)"/>
      <w:lvlJc w:val="right"/>
      <w:pPr>
        <w:ind w:left="720" w:hanging="153"/>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1FBD58E1"/>
    <w:multiLevelType w:val="multilevel"/>
    <w:tmpl w:val="1B88B87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27354E9F"/>
    <w:multiLevelType w:val="hybridMultilevel"/>
    <w:tmpl w:val="EF149868"/>
    <w:lvl w:ilvl="0" w:tplc="7704498C">
      <w:start w:val="1"/>
      <w:numFmt w:val="lowerRoman"/>
      <w:lvlText w:val="(%1)"/>
      <w:lvlJc w:val="right"/>
      <w:pPr>
        <w:ind w:left="1440" w:hanging="360"/>
      </w:pPr>
      <w:rPr>
        <w:rFonts w:hint="default"/>
      </w:r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17" w15:restartNumberingAfterBreak="0">
    <w:nsid w:val="27E8289F"/>
    <w:multiLevelType w:val="hybridMultilevel"/>
    <w:tmpl w:val="E976D66C"/>
    <w:lvl w:ilvl="0" w:tplc="0CDA7214">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 w15:restartNumberingAfterBreak="0">
    <w:nsid w:val="389B5003"/>
    <w:multiLevelType w:val="multilevel"/>
    <w:tmpl w:val="DD5255FA"/>
    <w:lvl w:ilvl="0">
      <w:start w:val="1"/>
      <w:numFmt w:val="decimal"/>
      <w:lvlText w:val="(%1)"/>
      <w:lvlJc w:val="left"/>
      <w:pPr>
        <w:ind w:left="720" w:hanging="45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3C5D0C07"/>
    <w:multiLevelType w:val="hybridMultilevel"/>
    <w:tmpl w:val="4CA02766"/>
    <w:lvl w:ilvl="0" w:tplc="79367BA0">
      <w:start w:val="1"/>
      <w:numFmt w:val="decimal"/>
      <w:pStyle w:val="Numberedlist"/>
      <w:lvlText w:val="(%1)"/>
      <w:lvlJc w:val="right"/>
      <w:pPr>
        <w:ind w:left="720" w:hanging="153"/>
      </w:pPr>
      <w:rPr>
        <w:rFonts w:hint="default"/>
      </w:rPr>
    </w:lvl>
    <w:lvl w:ilvl="1" w:tplc="FE3AC208">
      <w:start w:val="1"/>
      <w:numFmt w:val="lowerLetter"/>
      <w:lvlText w:val="(%2)"/>
      <w:lvlJc w:val="left"/>
      <w:pPr>
        <w:ind w:left="1440" w:hanging="360"/>
      </w:pPr>
      <w:rPr>
        <w:rFonts w:hint="default"/>
      </w:rPr>
    </w:lvl>
    <w:lvl w:ilvl="2" w:tplc="77E4D7DE">
      <w:start w:val="1"/>
      <w:numFmt w:val="lowerRoman"/>
      <w:lvlText w:val="(%3)"/>
      <w:lvlJc w:val="right"/>
      <w:pPr>
        <w:ind w:left="2160" w:hanging="18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D4A71FF"/>
    <w:multiLevelType w:val="hybridMultilevel"/>
    <w:tmpl w:val="CADCD1B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3E283BCB"/>
    <w:multiLevelType w:val="hybridMultilevel"/>
    <w:tmpl w:val="EF149868"/>
    <w:lvl w:ilvl="0" w:tplc="7704498C">
      <w:start w:val="1"/>
      <w:numFmt w:val="lowerRoman"/>
      <w:lvlText w:val="(%1)"/>
      <w:lvlJc w:val="right"/>
      <w:pPr>
        <w:ind w:left="1440" w:hanging="360"/>
      </w:pPr>
      <w:rPr>
        <w:rFonts w:hint="default"/>
      </w:r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22" w15:restartNumberingAfterBreak="0">
    <w:nsid w:val="43AC6850"/>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47B102D1"/>
    <w:multiLevelType w:val="multilevel"/>
    <w:tmpl w:val="18090025"/>
    <w:lvl w:ilvl="0">
      <w:start w:val="1"/>
      <w:numFmt w:val="decimal"/>
      <w:pStyle w:val="Heading1"/>
      <w:lvlText w:val="%1"/>
      <w:lvlJc w:val="left"/>
      <w:pPr>
        <w:ind w:left="432" w:hanging="432"/>
      </w:pPr>
    </w:lvl>
    <w:lvl w:ilvl="1">
      <w:start w:val="1"/>
      <w:numFmt w:val="decimal"/>
      <w:pStyle w:val="Heading2"/>
      <w:lvlText w:val="%1.%2"/>
      <w:lvlJc w:val="left"/>
      <w:pPr>
        <w:ind w:left="3695"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4" w15:restartNumberingAfterBreak="0">
    <w:nsid w:val="4A9A4A59"/>
    <w:multiLevelType w:val="hybridMultilevel"/>
    <w:tmpl w:val="0C4C26DA"/>
    <w:lvl w:ilvl="0" w:tplc="F9E0B35A">
      <w:start w:val="1"/>
      <w:numFmt w:val="bullet"/>
      <w:lvlText w:val="•"/>
      <w:lvlJc w:val="left"/>
      <w:pPr>
        <w:tabs>
          <w:tab w:val="num" w:pos="720"/>
        </w:tabs>
        <w:ind w:left="720" w:hanging="360"/>
      </w:pPr>
      <w:rPr>
        <w:rFonts w:ascii="Times New Roman" w:hAnsi="Times New Roman" w:hint="default"/>
      </w:rPr>
    </w:lvl>
    <w:lvl w:ilvl="1" w:tplc="FA089E96" w:tentative="1">
      <w:start w:val="1"/>
      <w:numFmt w:val="bullet"/>
      <w:lvlText w:val="•"/>
      <w:lvlJc w:val="left"/>
      <w:pPr>
        <w:tabs>
          <w:tab w:val="num" w:pos="1440"/>
        </w:tabs>
        <w:ind w:left="1440" w:hanging="360"/>
      </w:pPr>
      <w:rPr>
        <w:rFonts w:ascii="Times New Roman" w:hAnsi="Times New Roman" w:hint="default"/>
      </w:rPr>
    </w:lvl>
    <w:lvl w:ilvl="2" w:tplc="75AA5C16" w:tentative="1">
      <w:start w:val="1"/>
      <w:numFmt w:val="bullet"/>
      <w:lvlText w:val="•"/>
      <w:lvlJc w:val="left"/>
      <w:pPr>
        <w:tabs>
          <w:tab w:val="num" w:pos="2160"/>
        </w:tabs>
        <w:ind w:left="2160" w:hanging="360"/>
      </w:pPr>
      <w:rPr>
        <w:rFonts w:ascii="Times New Roman" w:hAnsi="Times New Roman" w:hint="default"/>
      </w:rPr>
    </w:lvl>
    <w:lvl w:ilvl="3" w:tplc="14B6081A" w:tentative="1">
      <w:start w:val="1"/>
      <w:numFmt w:val="bullet"/>
      <w:lvlText w:val="•"/>
      <w:lvlJc w:val="left"/>
      <w:pPr>
        <w:tabs>
          <w:tab w:val="num" w:pos="2880"/>
        </w:tabs>
        <w:ind w:left="2880" w:hanging="360"/>
      </w:pPr>
      <w:rPr>
        <w:rFonts w:ascii="Times New Roman" w:hAnsi="Times New Roman" w:hint="default"/>
      </w:rPr>
    </w:lvl>
    <w:lvl w:ilvl="4" w:tplc="357C3118" w:tentative="1">
      <w:start w:val="1"/>
      <w:numFmt w:val="bullet"/>
      <w:lvlText w:val="•"/>
      <w:lvlJc w:val="left"/>
      <w:pPr>
        <w:tabs>
          <w:tab w:val="num" w:pos="3600"/>
        </w:tabs>
        <w:ind w:left="3600" w:hanging="360"/>
      </w:pPr>
      <w:rPr>
        <w:rFonts w:ascii="Times New Roman" w:hAnsi="Times New Roman" w:hint="default"/>
      </w:rPr>
    </w:lvl>
    <w:lvl w:ilvl="5" w:tplc="ACAAA8AC" w:tentative="1">
      <w:start w:val="1"/>
      <w:numFmt w:val="bullet"/>
      <w:lvlText w:val="•"/>
      <w:lvlJc w:val="left"/>
      <w:pPr>
        <w:tabs>
          <w:tab w:val="num" w:pos="4320"/>
        </w:tabs>
        <w:ind w:left="4320" w:hanging="360"/>
      </w:pPr>
      <w:rPr>
        <w:rFonts w:ascii="Times New Roman" w:hAnsi="Times New Roman" w:hint="default"/>
      </w:rPr>
    </w:lvl>
    <w:lvl w:ilvl="6" w:tplc="690452B8" w:tentative="1">
      <w:start w:val="1"/>
      <w:numFmt w:val="bullet"/>
      <w:lvlText w:val="•"/>
      <w:lvlJc w:val="left"/>
      <w:pPr>
        <w:tabs>
          <w:tab w:val="num" w:pos="5040"/>
        </w:tabs>
        <w:ind w:left="5040" w:hanging="360"/>
      </w:pPr>
      <w:rPr>
        <w:rFonts w:ascii="Times New Roman" w:hAnsi="Times New Roman" w:hint="default"/>
      </w:rPr>
    </w:lvl>
    <w:lvl w:ilvl="7" w:tplc="ABDC8700" w:tentative="1">
      <w:start w:val="1"/>
      <w:numFmt w:val="bullet"/>
      <w:lvlText w:val="•"/>
      <w:lvlJc w:val="left"/>
      <w:pPr>
        <w:tabs>
          <w:tab w:val="num" w:pos="5760"/>
        </w:tabs>
        <w:ind w:left="5760" w:hanging="360"/>
      </w:pPr>
      <w:rPr>
        <w:rFonts w:ascii="Times New Roman" w:hAnsi="Times New Roman" w:hint="default"/>
      </w:rPr>
    </w:lvl>
    <w:lvl w:ilvl="8" w:tplc="A9640CD8" w:tentative="1">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4BE555D8"/>
    <w:multiLevelType w:val="multilevel"/>
    <w:tmpl w:val="0CE8A6E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4D6A3323"/>
    <w:multiLevelType w:val="multilevel"/>
    <w:tmpl w:val="AF98033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5838135E"/>
    <w:multiLevelType w:val="hybridMultilevel"/>
    <w:tmpl w:val="68EEE1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BD96BF8"/>
    <w:multiLevelType w:val="hybridMultilevel"/>
    <w:tmpl w:val="76D2C65A"/>
    <w:lvl w:ilvl="0" w:tplc="0456C424">
      <w:start w:val="1"/>
      <w:numFmt w:val="bullet"/>
      <w:pStyle w:val="Bulleted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DD751B3"/>
    <w:multiLevelType w:val="hybridMultilevel"/>
    <w:tmpl w:val="570828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3FA38AF"/>
    <w:multiLevelType w:val="hybridMultilevel"/>
    <w:tmpl w:val="C96A95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D9373AB"/>
    <w:multiLevelType w:val="multilevel"/>
    <w:tmpl w:val="B89CB32C"/>
    <w:lvl w:ilvl="0">
      <w:start w:val="1"/>
      <w:numFmt w:val="decimal"/>
      <w:lvlText w:val="(%1)"/>
      <w:lvlJc w:val="right"/>
      <w:pPr>
        <w:ind w:left="720" w:hanging="153"/>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6ED4011D"/>
    <w:multiLevelType w:val="hybridMultilevel"/>
    <w:tmpl w:val="47E8176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5087B85"/>
    <w:multiLevelType w:val="multilevel"/>
    <w:tmpl w:val="C5E67F0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7"/>
  </w:num>
  <w:num w:numId="2">
    <w:abstractNumId w:val="27"/>
  </w:num>
  <w:num w:numId="3">
    <w:abstractNumId w:val="1"/>
  </w:num>
  <w:num w:numId="4">
    <w:abstractNumId w:val="2"/>
  </w:num>
  <w:num w:numId="5">
    <w:abstractNumId w:val="3"/>
  </w:num>
  <w:num w:numId="6">
    <w:abstractNumId w:val="4"/>
  </w:num>
  <w:num w:numId="7">
    <w:abstractNumId w:val="9"/>
  </w:num>
  <w:num w:numId="8">
    <w:abstractNumId w:val="5"/>
  </w:num>
  <w:num w:numId="9">
    <w:abstractNumId w:val="7"/>
  </w:num>
  <w:num w:numId="10">
    <w:abstractNumId w:val="6"/>
  </w:num>
  <w:num w:numId="11">
    <w:abstractNumId w:val="10"/>
  </w:num>
  <w:num w:numId="12">
    <w:abstractNumId w:val="8"/>
  </w:num>
  <w:num w:numId="13">
    <w:abstractNumId w:val="19"/>
  </w:num>
  <w:num w:numId="14">
    <w:abstractNumId w:val="28"/>
  </w:num>
  <w:num w:numId="15">
    <w:abstractNumId w:val="15"/>
  </w:num>
  <w:num w:numId="16">
    <w:abstractNumId w:val="18"/>
  </w:num>
  <w:num w:numId="17">
    <w:abstractNumId w:val="11"/>
  </w:num>
  <w:num w:numId="18">
    <w:abstractNumId w:val="0"/>
  </w:num>
  <w:num w:numId="19">
    <w:abstractNumId w:val="12"/>
  </w:num>
  <w:num w:numId="20">
    <w:abstractNumId w:val="20"/>
  </w:num>
  <w:num w:numId="21">
    <w:abstractNumId w:val="29"/>
  </w:num>
  <w:num w:numId="22">
    <w:abstractNumId w:val="30"/>
  </w:num>
  <w:num w:numId="23">
    <w:abstractNumId w:val="14"/>
  </w:num>
  <w:num w:numId="24">
    <w:abstractNumId w:val="31"/>
  </w:num>
  <w:num w:numId="25">
    <w:abstractNumId w:val="26"/>
  </w:num>
  <w:num w:numId="26">
    <w:abstractNumId w:val="13"/>
  </w:num>
  <w:num w:numId="27">
    <w:abstractNumId w:val="25"/>
  </w:num>
  <w:num w:numId="28">
    <w:abstractNumId w:val="33"/>
  </w:num>
  <w:num w:numId="29">
    <w:abstractNumId w:val="22"/>
  </w:num>
  <w:num w:numId="30">
    <w:abstractNumId w:val="23"/>
  </w:num>
  <w:num w:numId="31">
    <w:abstractNumId w:val="24"/>
  </w:num>
  <w:num w:numId="32">
    <w:abstractNumId w:val="32"/>
  </w:num>
  <w:num w:numId="33">
    <w:abstractNumId w:val="21"/>
  </w:num>
  <w:num w:numId="3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0DFC"/>
    <w:rsid w:val="00007E07"/>
    <w:rsid w:val="000114FA"/>
    <w:rsid w:val="00024A8E"/>
    <w:rsid w:val="00032C54"/>
    <w:rsid w:val="00036A21"/>
    <w:rsid w:val="000468C2"/>
    <w:rsid w:val="00061200"/>
    <w:rsid w:val="00062E9F"/>
    <w:rsid w:val="000738D8"/>
    <w:rsid w:val="00090EA2"/>
    <w:rsid w:val="00093EEA"/>
    <w:rsid w:val="00095D2C"/>
    <w:rsid w:val="000C26FA"/>
    <w:rsid w:val="000C75FF"/>
    <w:rsid w:val="000D2889"/>
    <w:rsid w:val="000D703E"/>
    <w:rsid w:val="000E13D3"/>
    <w:rsid w:val="000F6A56"/>
    <w:rsid w:val="000F7390"/>
    <w:rsid w:val="00107183"/>
    <w:rsid w:val="00107475"/>
    <w:rsid w:val="00111A5B"/>
    <w:rsid w:val="00116EBB"/>
    <w:rsid w:val="00121A5F"/>
    <w:rsid w:val="0013413C"/>
    <w:rsid w:val="001343F9"/>
    <w:rsid w:val="00135FB0"/>
    <w:rsid w:val="001412E1"/>
    <w:rsid w:val="00142FFF"/>
    <w:rsid w:val="0014629D"/>
    <w:rsid w:val="00157872"/>
    <w:rsid w:val="0016340E"/>
    <w:rsid w:val="0017002A"/>
    <w:rsid w:val="00186F8C"/>
    <w:rsid w:val="0019025C"/>
    <w:rsid w:val="001A6F82"/>
    <w:rsid w:val="001D0995"/>
    <w:rsid w:val="001D29F3"/>
    <w:rsid w:val="001E1504"/>
    <w:rsid w:val="001E67D5"/>
    <w:rsid w:val="001F4996"/>
    <w:rsid w:val="00210B60"/>
    <w:rsid w:val="00224956"/>
    <w:rsid w:val="00237562"/>
    <w:rsid w:val="002404A5"/>
    <w:rsid w:val="00240D6B"/>
    <w:rsid w:val="00255CDA"/>
    <w:rsid w:val="00261E53"/>
    <w:rsid w:val="0026355F"/>
    <w:rsid w:val="002637FB"/>
    <w:rsid w:val="00267485"/>
    <w:rsid w:val="00290164"/>
    <w:rsid w:val="00297332"/>
    <w:rsid w:val="002A4C15"/>
    <w:rsid w:val="002A7559"/>
    <w:rsid w:val="002B0F37"/>
    <w:rsid w:val="002E103C"/>
    <w:rsid w:val="002E66DB"/>
    <w:rsid w:val="002F2EEB"/>
    <w:rsid w:val="002F401C"/>
    <w:rsid w:val="002F5A1F"/>
    <w:rsid w:val="002F5C42"/>
    <w:rsid w:val="002F5E7F"/>
    <w:rsid w:val="0032317E"/>
    <w:rsid w:val="003375CB"/>
    <w:rsid w:val="00342B98"/>
    <w:rsid w:val="00343EC0"/>
    <w:rsid w:val="00353315"/>
    <w:rsid w:val="00355220"/>
    <w:rsid w:val="00357AAE"/>
    <w:rsid w:val="00367677"/>
    <w:rsid w:val="00372B0D"/>
    <w:rsid w:val="00391979"/>
    <w:rsid w:val="00393498"/>
    <w:rsid w:val="00397EDD"/>
    <w:rsid w:val="003A0DF4"/>
    <w:rsid w:val="003B07E9"/>
    <w:rsid w:val="003B169E"/>
    <w:rsid w:val="003B68E5"/>
    <w:rsid w:val="003C1D23"/>
    <w:rsid w:val="003C324E"/>
    <w:rsid w:val="003D5B81"/>
    <w:rsid w:val="003F0E7C"/>
    <w:rsid w:val="003F2944"/>
    <w:rsid w:val="003F714E"/>
    <w:rsid w:val="0040729B"/>
    <w:rsid w:val="00410BD1"/>
    <w:rsid w:val="004177A8"/>
    <w:rsid w:val="0044671D"/>
    <w:rsid w:val="00452713"/>
    <w:rsid w:val="00461156"/>
    <w:rsid w:val="004712F6"/>
    <w:rsid w:val="004B7998"/>
    <w:rsid w:val="004C2B00"/>
    <w:rsid w:val="004C3080"/>
    <w:rsid w:val="004C465E"/>
    <w:rsid w:val="004E7E69"/>
    <w:rsid w:val="004F2109"/>
    <w:rsid w:val="004F2FF5"/>
    <w:rsid w:val="004F49EF"/>
    <w:rsid w:val="004F77AA"/>
    <w:rsid w:val="005213B9"/>
    <w:rsid w:val="005222D7"/>
    <w:rsid w:val="00522521"/>
    <w:rsid w:val="00542499"/>
    <w:rsid w:val="005424DA"/>
    <w:rsid w:val="00570386"/>
    <w:rsid w:val="00591E3D"/>
    <w:rsid w:val="00596D79"/>
    <w:rsid w:val="005A1B23"/>
    <w:rsid w:val="005B0181"/>
    <w:rsid w:val="005C40AB"/>
    <w:rsid w:val="005E160E"/>
    <w:rsid w:val="005E1F3D"/>
    <w:rsid w:val="005F2A0B"/>
    <w:rsid w:val="00602F73"/>
    <w:rsid w:val="006178CE"/>
    <w:rsid w:val="00622F5B"/>
    <w:rsid w:val="006459A3"/>
    <w:rsid w:val="006554A8"/>
    <w:rsid w:val="00655DD3"/>
    <w:rsid w:val="00657A58"/>
    <w:rsid w:val="00664DA1"/>
    <w:rsid w:val="00682AF7"/>
    <w:rsid w:val="0069052A"/>
    <w:rsid w:val="006B78BE"/>
    <w:rsid w:val="006C6552"/>
    <w:rsid w:val="006D0AC3"/>
    <w:rsid w:val="006D0B78"/>
    <w:rsid w:val="006D4931"/>
    <w:rsid w:val="006E390A"/>
    <w:rsid w:val="006E7A55"/>
    <w:rsid w:val="00702398"/>
    <w:rsid w:val="00711E14"/>
    <w:rsid w:val="007128CA"/>
    <w:rsid w:val="00713334"/>
    <w:rsid w:val="007166AD"/>
    <w:rsid w:val="00730227"/>
    <w:rsid w:val="007457B5"/>
    <w:rsid w:val="007665E6"/>
    <w:rsid w:val="00773718"/>
    <w:rsid w:val="00783342"/>
    <w:rsid w:val="00787256"/>
    <w:rsid w:val="00787E01"/>
    <w:rsid w:val="007B6846"/>
    <w:rsid w:val="007C5D3C"/>
    <w:rsid w:val="007D0841"/>
    <w:rsid w:val="007D4218"/>
    <w:rsid w:val="007E21CD"/>
    <w:rsid w:val="007E2BDB"/>
    <w:rsid w:val="007F1840"/>
    <w:rsid w:val="00807452"/>
    <w:rsid w:val="008236AE"/>
    <w:rsid w:val="00834FFE"/>
    <w:rsid w:val="0083674E"/>
    <w:rsid w:val="00837223"/>
    <w:rsid w:val="00852A22"/>
    <w:rsid w:val="00857E54"/>
    <w:rsid w:val="00865C8C"/>
    <w:rsid w:val="00866A7A"/>
    <w:rsid w:val="00882BC2"/>
    <w:rsid w:val="008848CA"/>
    <w:rsid w:val="0089092B"/>
    <w:rsid w:val="008A70AB"/>
    <w:rsid w:val="008B5FBE"/>
    <w:rsid w:val="008B61F0"/>
    <w:rsid w:val="008C4F4D"/>
    <w:rsid w:val="008D22CF"/>
    <w:rsid w:val="008D24A6"/>
    <w:rsid w:val="008E3CB0"/>
    <w:rsid w:val="008F2D74"/>
    <w:rsid w:val="008F6ACD"/>
    <w:rsid w:val="008F720F"/>
    <w:rsid w:val="00900417"/>
    <w:rsid w:val="00903FE6"/>
    <w:rsid w:val="009049F4"/>
    <w:rsid w:val="0091027E"/>
    <w:rsid w:val="00913356"/>
    <w:rsid w:val="009143C8"/>
    <w:rsid w:val="009218E3"/>
    <w:rsid w:val="009265B1"/>
    <w:rsid w:val="00947142"/>
    <w:rsid w:val="00962010"/>
    <w:rsid w:val="00965E91"/>
    <w:rsid w:val="009715A5"/>
    <w:rsid w:val="0097592C"/>
    <w:rsid w:val="009825EE"/>
    <w:rsid w:val="00991D47"/>
    <w:rsid w:val="009960B1"/>
    <w:rsid w:val="00996E2F"/>
    <w:rsid w:val="009C00E1"/>
    <w:rsid w:val="009E5D03"/>
    <w:rsid w:val="009F38E6"/>
    <w:rsid w:val="00A03E42"/>
    <w:rsid w:val="00A11038"/>
    <w:rsid w:val="00A11E2A"/>
    <w:rsid w:val="00A17E49"/>
    <w:rsid w:val="00A334EF"/>
    <w:rsid w:val="00A36041"/>
    <w:rsid w:val="00A4448C"/>
    <w:rsid w:val="00A46717"/>
    <w:rsid w:val="00A65273"/>
    <w:rsid w:val="00A676D1"/>
    <w:rsid w:val="00A716D1"/>
    <w:rsid w:val="00A8129D"/>
    <w:rsid w:val="00AC2113"/>
    <w:rsid w:val="00AD124A"/>
    <w:rsid w:val="00AD3D8C"/>
    <w:rsid w:val="00AD5590"/>
    <w:rsid w:val="00AD78C2"/>
    <w:rsid w:val="00AE4526"/>
    <w:rsid w:val="00AE667B"/>
    <w:rsid w:val="00AE6B98"/>
    <w:rsid w:val="00AF2057"/>
    <w:rsid w:val="00AF59EF"/>
    <w:rsid w:val="00B07383"/>
    <w:rsid w:val="00B30B7B"/>
    <w:rsid w:val="00B328FB"/>
    <w:rsid w:val="00B34F79"/>
    <w:rsid w:val="00B505D3"/>
    <w:rsid w:val="00B61CE4"/>
    <w:rsid w:val="00B622CC"/>
    <w:rsid w:val="00B6744F"/>
    <w:rsid w:val="00B82367"/>
    <w:rsid w:val="00B8584F"/>
    <w:rsid w:val="00B91FA6"/>
    <w:rsid w:val="00B92C9B"/>
    <w:rsid w:val="00BC466C"/>
    <w:rsid w:val="00BC4933"/>
    <w:rsid w:val="00BD60A1"/>
    <w:rsid w:val="00BF091E"/>
    <w:rsid w:val="00BF3F0B"/>
    <w:rsid w:val="00BF7437"/>
    <w:rsid w:val="00BF76EB"/>
    <w:rsid w:val="00C019D7"/>
    <w:rsid w:val="00C23D6C"/>
    <w:rsid w:val="00C248BD"/>
    <w:rsid w:val="00C27889"/>
    <w:rsid w:val="00C46E77"/>
    <w:rsid w:val="00C54806"/>
    <w:rsid w:val="00C656F8"/>
    <w:rsid w:val="00C7332A"/>
    <w:rsid w:val="00C9779B"/>
    <w:rsid w:val="00C97A62"/>
    <w:rsid w:val="00CA5245"/>
    <w:rsid w:val="00CA7B38"/>
    <w:rsid w:val="00CB570B"/>
    <w:rsid w:val="00CD5C5D"/>
    <w:rsid w:val="00CE09BF"/>
    <w:rsid w:val="00CF23F7"/>
    <w:rsid w:val="00CF4C5A"/>
    <w:rsid w:val="00D1612E"/>
    <w:rsid w:val="00D22DD6"/>
    <w:rsid w:val="00D33453"/>
    <w:rsid w:val="00D37AD7"/>
    <w:rsid w:val="00D51D60"/>
    <w:rsid w:val="00D543B9"/>
    <w:rsid w:val="00D552EA"/>
    <w:rsid w:val="00D70A1F"/>
    <w:rsid w:val="00D83363"/>
    <w:rsid w:val="00D97758"/>
    <w:rsid w:val="00DA29CF"/>
    <w:rsid w:val="00DB0126"/>
    <w:rsid w:val="00DB06AE"/>
    <w:rsid w:val="00DB2F82"/>
    <w:rsid w:val="00DC177E"/>
    <w:rsid w:val="00DC31DC"/>
    <w:rsid w:val="00DE2145"/>
    <w:rsid w:val="00DE24D1"/>
    <w:rsid w:val="00DE31A6"/>
    <w:rsid w:val="00DE31EF"/>
    <w:rsid w:val="00DE6A8F"/>
    <w:rsid w:val="00DF329B"/>
    <w:rsid w:val="00E01AB9"/>
    <w:rsid w:val="00E05976"/>
    <w:rsid w:val="00E075F2"/>
    <w:rsid w:val="00E076EC"/>
    <w:rsid w:val="00E12675"/>
    <w:rsid w:val="00E17EC4"/>
    <w:rsid w:val="00E35ADD"/>
    <w:rsid w:val="00E5170F"/>
    <w:rsid w:val="00E5212A"/>
    <w:rsid w:val="00E6781B"/>
    <w:rsid w:val="00E701DE"/>
    <w:rsid w:val="00E71D8F"/>
    <w:rsid w:val="00E8019B"/>
    <w:rsid w:val="00E90706"/>
    <w:rsid w:val="00E90DFC"/>
    <w:rsid w:val="00EA253B"/>
    <w:rsid w:val="00EA77C1"/>
    <w:rsid w:val="00ED19DC"/>
    <w:rsid w:val="00ED2C4D"/>
    <w:rsid w:val="00ED384B"/>
    <w:rsid w:val="00ED68A8"/>
    <w:rsid w:val="00EE4861"/>
    <w:rsid w:val="00EF26E5"/>
    <w:rsid w:val="00EF5D54"/>
    <w:rsid w:val="00F00BB8"/>
    <w:rsid w:val="00F01DB6"/>
    <w:rsid w:val="00F03E6B"/>
    <w:rsid w:val="00F04E6F"/>
    <w:rsid w:val="00F13199"/>
    <w:rsid w:val="00F139A9"/>
    <w:rsid w:val="00F262EB"/>
    <w:rsid w:val="00F3549D"/>
    <w:rsid w:val="00F420F3"/>
    <w:rsid w:val="00F4294A"/>
    <w:rsid w:val="00F81AEE"/>
    <w:rsid w:val="00F970D9"/>
    <w:rsid w:val="00FA1D4C"/>
    <w:rsid w:val="00FA48E7"/>
    <w:rsid w:val="00FB2562"/>
    <w:rsid w:val="00FC4561"/>
    <w:rsid w:val="00FE112E"/>
    <w:rsid w:val="00FE6BEE"/>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47AE675"/>
  <w15:docId w15:val="{AEAB2941-974F-4286-A1D8-F529B22B2A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E" w:eastAsia="en-US" w:bidi="ar-SA"/>
      </w:rPr>
    </w:rPrDefault>
    <w:pPrDefault>
      <w:pPr>
        <w:spacing w:line="480"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0"/>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177E"/>
    <w:rPr>
      <w:rFonts w:ascii="Times New Roman" w:eastAsia="Times New Roman" w:hAnsi="Times New Roman" w:cs="Times New Roman"/>
      <w:sz w:val="24"/>
      <w:szCs w:val="24"/>
      <w:lang w:val="en-GB" w:eastAsia="en-GB"/>
    </w:rPr>
  </w:style>
  <w:style w:type="paragraph" w:styleId="Heading1">
    <w:name w:val="heading 1"/>
    <w:basedOn w:val="Normal"/>
    <w:next w:val="Paragraph"/>
    <w:link w:val="Heading1Char"/>
    <w:qFormat/>
    <w:rsid w:val="001343F9"/>
    <w:pPr>
      <w:numPr>
        <w:numId w:val="30"/>
      </w:numPr>
      <w:spacing w:before="360" w:after="60" w:line="360" w:lineRule="auto"/>
      <w:ind w:left="431" w:right="567" w:hanging="431"/>
      <w:contextualSpacing/>
      <w:outlineLvl w:val="0"/>
    </w:pPr>
    <w:rPr>
      <w:rFonts w:cs="Arial"/>
      <w:b/>
      <w:bCs/>
      <w:kern w:val="32"/>
      <w:szCs w:val="32"/>
    </w:rPr>
  </w:style>
  <w:style w:type="paragraph" w:styleId="Heading2">
    <w:name w:val="heading 2"/>
    <w:basedOn w:val="Heading1"/>
    <w:next w:val="Paragraph"/>
    <w:link w:val="Heading2Char"/>
    <w:qFormat/>
    <w:rsid w:val="00A11E2A"/>
    <w:pPr>
      <w:numPr>
        <w:ilvl w:val="1"/>
      </w:numPr>
      <w:spacing w:before="240" w:after="0"/>
      <w:ind w:left="578" w:hanging="578"/>
      <w:outlineLvl w:val="1"/>
    </w:pPr>
    <w:rPr>
      <w:b w:val="0"/>
      <w:bCs w:val="0"/>
      <w:i/>
      <w:iCs/>
      <w:szCs w:val="28"/>
    </w:rPr>
  </w:style>
  <w:style w:type="paragraph" w:styleId="Heading3">
    <w:name w:val="heading 3"/>
    <w:basedOn w:val="Normal"/>
    <w:next w:val="Paragraph"/>
    <w:link w:val="Heading3Char"/>
    <w:qFormat/>
    <w:rsid w:val="00A11E2A"/>
    <w:pPr>
      <w:keepNext/>
      <w:numPr>
        <w:ilvl w:val="2"/>
        <w:numId w:val="30"/>
      </w:numPr>
      <w:spacing w:before="240" w:line="360" w:lineRule="auto"/>
      <w:ind w:right="567"/>
      <w:contextualSpacing/>
      <w:outlineLvl w:val="2"/>
    </w:pPr>
    <w:rPr>
      <w:rFonts w:cs="Arial"/>
      <w:bCs/>
      <w:i/>
      <w:szCs w:val="26"/>
    </w:rPr>
  </w:style>
  <w:style w:type="paragraph" w:styleId="Heading4">
    <w:name w:val="heading 4"/>
    <w:basedOn w:val="Paragraph"/>
    <w:next w:val="Newparagraph"/>
    <w:link w:val="Heading4Char"/>
    <w:rsid w:val="00DC177E"/>
    <w:pPr>
      <w:numPr>
        <w:ilvl w:val="3"/>
        <w:numId w:val="30"/>
      </w:numPr>
      <w:spacing w:before="360"/>
      <w:outlineLvl w:val="3"/>
    </w:pPr>
    <w:rPr>
      <w:bCs/>
      <w:szCs w:val="28"/>
    </w:rPr>
  </w:style>
  <w:style w:type="paragraph" w:styleId="Heading5">
    <w:name w:val="heading 5"/>
    <w:basedOn w:val="Normal"/>
    <w:next w:val="Normal"/>
    <w:link w:val="Heading5Char"/>
    <w:rsid w:val="00DC177E"/>
    <w:pPr>
      <w:keepNext/>
      <w:keepLines/>
      <w:numPr>
        <w:ilvl w:val="4"/>
        <w:numId w:val="30"/>
      </w:numPr>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rsid w:val="00DC177E"/>
    <w:pPr>
      <w:keepNext/>
      <w:keepLines/>
      <w:numPr>
        <w:ilvl w:val="5"/>
        <w:numId w:val="30"/>
      </w:numPr>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semiHidden/>
    <w:unhideWhenUsed/>
    <w:rsid w:val="00DC177E"/>
    <w:pPr>
      <w:keepNext/>
      <w:keepLines/>
      <w:numPr>
        <w:ilvl w:val="6"/>
        <w:numId w:val="30"/>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semiHidden/>
    <w:unhideWhenUsed/>
    <w:rsid w:val="00DC177E"/>
    <w:pPr>
      <w:keepNext/>
      <w:keepLines/>
      <w:numPr>
        <w:ilvl w:val="7"/>
        <w:numId w:val="30"/>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rsid w:val="00DC177E"/>
    <w:pPr>
      <w:keepNext/>
      <w:keepLines/>
      <w:numPr>
        <w:ilvl w:val="8"/>
        <w:numId w:val="3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343F9"/>
    <w:rPr>
      <w:rFonts w:ascii="Times New Roman" w:eastAsia="Times New Roman" w:hAnsi="Times New Roman" w:cs="Arial"/>
      <w:b/>
      <w:bCs/>
      <w:kern w:val="32"/>
      <w:sz w:val="24"/>
      <w:szCs w:val="32"/>
      <w:lang w:val="en-GB" w:eastAsia="en-GB"/>
    </w:rPr>
  </w:style>
  <w:style w:type="character" w:customStyle="1" w:styleId="Heading2Char">
    <w:name w:val="Heading 2 Char"/>
    <w:basedOn w:val="DefaultParagraphFont"/>
    <w:link w:val="Heading2"/>
    <w:rsid w:val="00A11E2A"/>
    <w:rPr>
      <w:rFonts w:ascii="Times New Roman" w:eastAsia="Times New Roman" w:hAnsi="Times New Roman" w:cs="Arial"/>
      <w:i/>
      <w:iCs/>
      <w:kern w:val="32"/>
      <w:sz w:val="24"/>
      <w:szCs w:val="28"/>
      <w:lang w:val="en-GB" w:eastAsia="en-GB"/>
    </w:rPr>
  </w:style>
  <w:style w:type="character" w:customStyle="1" w:styleId="Heading3Char">
    <w:name w:val="Heading 3 Char"/>
    <w:basedOn w:val="DefaultParagraphFont"/>
    <w:link w:val="Heading3"/>
    <w:rsid w:val="00A11E2A"/>
    <w:rPr>
      <w:rFonts w:ascii="Times New Roman" w:eastAsia="Times New Roman" w:hAnsi="Times New Roman" w:cs="Arial"/>
      <w:bCs/>
      <w:i/>
      <w:sz w:val="24"/>
      <w:szCs w:val="26"/>
      <w:lang w:val="en-GB" w:eastAsia="en-GB"/>
    </w:rPr>
  </w:style>
  <w:style w:type="character" w:customStyle="1" w:styleId="Heading4Char">
    <w:name w:val="Heading 4 Char"/>
    <w:basedOn w:val="DefaultParagraphFont"/>
    <w:link w:val="Heading4"/>
    <w:rsid w:val="00DC177E"/>
    <w:rPr>
      <w:rFonts w:ascii="Times New Roman" w:eastAsia="Times New Roman" w:hAnsi="Times New Roman" w:cs="Times New Roman"/>
      <w:bCs/>
      <w:sz w:val="24"/>
      <w:szCs w:val="28"/>
      <w:lang w:val="en-GB" w:eastAsia="en-GB"/>
    </w:rPr>
  </w:style>
  <w:style w:type="character" w:customStyle="1" w:styleId="Heading5Char">
    <w:name w:val="Heading 5 Char"/>
    <w:basedOn w:val="DefaultParagraphFont"/>
    <w:link w:val="Heading5"/>
    <w:rsid w:val="00DC177E"/>
    <w:rPr>
      <w:rFonts w:asciiTheme="majorHAnsi" w:eastAsiaTheme="majorEastAsia" w:hAnsiTheme="majorHAnsi" w:cstheme="majorBidi"/>
      <w:color w:val="365F91" w:themeColor="accent1" w:themeShade="BF"/>
      <w:sz w:val="24"/>
      <w:szCs w:val="24"/>
      <w:lang w:val="en-GB" w:eastAsia="en-GB"/>
    </w:rPr>
  </w:style>
  <w:style w:type="character" w:customStyle="1" w:styleId="Heading6Char">
    <w:name w:val="Heading 6 Char"/>
    <w:basedOn w:val="DefaultParagraphFont"/>
    <w:link w:val="Heading6"/>
    <w:rsid w:val="00DC177E"/>
    <w:rPr>
      <w:rFonts w:asciiTheme="majorHAnsi" w:eastAsiaTheme="majorEastAsia" w:hAnsiTheme="majorHAnsi" w:cstheme="majorBidi"/>
      <w:color w:val="243F60" w:themeColor="accent1" w:themeShade="7F"/>
      <w:sz w:val="24"/>
      <w:szCs w:val="24"/>
      <w:lang w:val="en-GB" w:eastAsia="en-GB"/>
    </w:rPr>
  </w:style>
  <w:style w:type="character" w:customStyle="1" w:styleId="Heading7Char">
    <w:name w:val="Heading 7 Char"/>
    <w:basedOn w:val="DefaultParagraphFont"/>
    <w:link w:val="Heading7"/>
    <w:semiHidden/>
    <w:rsid w:val="00DC177E"/>
    <w:rPr>
      <w:rFonts w:asciiTheme="majorHAnsi" w:eastAsiaTheme="majorEastAsia" w:hAnsiTheme="majorHAnsi" w:cstheme="majorBidi"/>
      <w:i/>
      <w:iCs/>
      <w:color w:val="243F60" w:themeColor="accent1" w:themeShade="7F"/>
      <w:sz w:val="24"/>
      <w:szCs w:val="24"/>
      <w:lang w:val="en-GB" w:eastAsia="en-GB"/>
    </w:rPr>
  </w:style>
  <w:style w:type="character" w:customStyle="1" w:styleId="Heading8Char">
    <w:name w:val="Heading 8 Char"/>
    <w:basedOn w:val="DefaultParagraphFont"/>
    <w:link w:val="Heading8"/>
    <w:semiHidden/>
    <w:rsid w:val="00DC177E"/>
    <w:rPr>
      <w:rFonts w:asciiTheme="majorHAnsi" w:eastAsiaTheme="majorEastAsia" w:hAnsiTheme="majorHAnsi" w:cstheme="majorBidi"/>
      <w:color w:val="272727" w:themeColor="text1" w:themeTint="D8"/>
      <w:sz w:val="21"/>
      <w:szCs w:val="21"/>
      <w:lang w:val="en-GB" w:eastAsia="en-GB"/>
    </w:rPr>
  </w:style>
  <w:style w:type="character" w:customStyle="1" w:styleId="Heading9Char">
    <w:name w:val="Heading 9 Char"/>
    <w:basedOn w:val="DefaultParagraphFont"/>
    <w:link w:val="Heading9"/>
    <w:semiHidden/>
    <w:rsid w:val="00DC177E"/>
    <w:rPr>
      <w:rFonts w:asciiTheme="majorHAnsi" w:eastAsiaTheme="majorEastAsia" w:hAnsiTheme="majorHAnsi" w:cstheme="majorBidi"/>
      <w:i/>
      <w:iCs/>
      <w:color w:val="272727" w:themeColor="text1" w:themeTint="D8"/>
      <w:sz w:val="21"/>
      <w:szCs w:val="21"/>
      <w:lang w:val="en-GB" w:eastAsia="en-GB"/>
    </w:rPr>
  </w:style>
  <w:style w:type="paragraph" w:customStyle="1" w:styleId="Articletitle">
    <w:name w:val="Article title"/>
    <w:basedOn w:val="Normal"/>
    <w:next w:val="Normal"/>
    <w:qFormat/>
    <w:rsid w:val="00DC177E"/>
    <w:pPr>
      <w:spacing w:after="120" w:line="360" w:lineRule="auto"/>
    </w:pPr>
    <w:rPr>
      <w:b/>
      <w:sz w:val="28"/>
    </w:rPr>
  </w:style>
  <w:style w:type="paragraph" w:customStyle="1" w:styleId="Authornames">
    <w:name w:val="Author names"/>
    <w:basedOn w:val="Normal"/>
    <w:next w:val="Normal"/>
    <w:qFormat/>
    <w:rsid w:val="00DC177E"/>
    <w:pPr>
      <w:spacing w:before="240" w:line="360" w:lineRule="auto"/>
    </w:pPr>
    <w:rPr>
      <w:sz w:val="28"/>
    </w:rPr>
  </w:style>
  <w:style w:type="paragraph" w:customStyle="1" w:styleId="Affiliation">
    <w:name w:val="Affiliation"/>
    <w:basedOn w:val="Normal"/>
    <w:qFormat/>
    <w:rsid w:val="00DC177E"/>
    <w:pPr>
      <w:spacing w:before="240" w:line="360" w:lineRule="auto"/>
    </w:pPr>
    <w:rPr>
      <w:i/>
    </w:rPr>
  </w:style>
  <w:style w:type="paragraph" w:customStyle="1" w:styleId="Receiveddates">
    <w:name w:val="Received dates"/>
    <w:basedOn w:val="Affiliation"/>
    <w:next w:val="Normal"/>
    <w:qFormat/>
    <w:rsid w:val="00DC177E"/>
  </w:style>
  <w:style w:type="paragraph" w:customStyle="1" w:styleId="Abstract">
    <w:name w:val="Abstract"/>
    <w:basedOn w:val="Normal"/>
    <w:next w:val="Keywords"/>
    <w:qFormat/>
    <w:rsid w:val="00DC177E"/>
    <w:pPr>
      <w:spacing w:before="360" w:after="300" w:line="360" w:lineRule="auto"/>
      <w:ind w:left="720" w:right="567"/>
    </w:pPr>
    <w:rPr>
      <w:sz w:val="22"/>
    </w:rPr>
  </w:style>
  <w:style w:type="paragraph" w:customStyle="1" w:styleId="Keywords">
    <w:name w:val="Keywords"/>
    <w:basedOn w:val="Normal"/>
    <w:next w:val="Paragraph"/>
    <w:qFormat/>
    <w:rsid w:val="00DC177E"/>
    <w:pPr>
      <w:spacing w:before="240" w:after="240" w:line="360" w:lineRule="auto"/>
      <w:ind w:left="720" w:right="567"/>
    </w:pPr>
    <w:rPr>
      <w:sz w:val="22"/>
    </w:rPr>
  </w:style>
  <w:style w:type="paragraph" w:customStyle="1" w:styleId="Correspondencedetails">
    <w:name w:val="Correspondence details"/>
    <w:basedOn w:val="Normal"/>
    <w:qFormat/>
    <w:rsid w:val="00DC177E"/>
    <w:pPr>
      <w:spacing w:before="240" w:line="360" w:lineRule="auto"/>
    </w:pPr>
  </w:style>
  <w:style w:type="paragraph" w:customStyle="1" w:styleId="Displayedquotation">
    <w:name w:val="Displayed quotation"/>
    <w:basedOn w:val="Normal"/>
    <w:qFormat/>
    <w:rsid w:val="00DC177E"/>
    <w:pPr>
      <w:tabs>
        <w:tab w:val="left" w:pos="1077"/>
        <w:tab w:val="left" w:pos="1440"/>
        <w:tab w:val="left" w:pos="1797"/>
        <w:tab w:val="left" w:pos="2155"/>
        <w:tab w:val="left" w:pos="2512"/>
      </w:tabs>
      <w:spacing w:before="240" w:after="360" w:line="360" w:lineRule="auto"/>
      <w:ind w:left="709" w:right="425"/>
      <w:contextualSpacing/>
    </w:pPr>
    <w:rPr>
      <w:sz w:val="22"/>
    </w:rPr>
  </w:style>
  <w:style w:type="paragraph" w:customStyle="1" w:styleId="Numberedlist">
    <w:name w:val="Numbered list"/>
    <w:basedOn w:val="Paragraph"/>
    <w:next w:val="Paragraph"/>
    <w:qFormat/>
    <w:rsid w:val="00DC177E"/>
    <w:pPr>
      <w:widowControl/>
      <w:numPr>
        <w:numId w:val="13"/>
      </w:numPr>
      <w:spacing w:after="240"/>
      <w:contextualSpacing/>
    </w:pPr>
  </w:style>
  <w:style w:type="paragraph" w:customStyle="1" w:styleId="Displayedequation">
    <w:name w:val="Displayed equation"/>
    <w:basedOn w:val="Normal"/>
    <w:next w:val="Paragraph"/>
    <w:qFormat/>
    <w:rsid w:val="00DC177E"/>
    <w:pPr>
      <w:tabs>
        <w:tab w:val="center" w:pos="4253"/>
        <w:tab w:val="right" w:pos="8222"/>
      </w:tabs>
      <w:spacing w:before="240" w:after="240"/>
      <w:jc w:val="center"/>
    </w:pPr>
  </w:style>
  <w:style w:type="paragraph" w:customStyle="1" w:styleId="Acknowledgements">
    <w:name w:val="Acknowledgements"/>
    <w:basedOn w:val="Normal"/>
    <w:next w:val="Normal"/>
    <w:qFormat/>
    <w:rsid w:val="00DC177E"/>
    <w:pPr>
      <w:spacing w:before="120" w:line="360" w:lineRule="auto"/>
    </w:pPr>
    <w:rPr>
      <w:sz w:val="22"/>
    </w:rPr>
  </w:style>
  <w:style w:type="paragraph" w:customStyle="1" w:styleId="Tabletitle">
    <w:name w:val="Table title"/>
    <w:basedOn w:val="Normal"/>
    <w:next w:val="Normal"/>
    <w:qFormat/>
    <w:rsid w:val="00DC177E"/>
    <w:pPr>
      <w:spacing w:before="240" w:line="360" w:lineRule="auto"/>
    </w:pPr>
  </w:style>
  <w:style w:type="paragraph" w:customStyle="1" w:styleId="Figurecaption">
    <w:name w:val="Figure caption"/>
    <w:basedOn w:val="Normal"/>
    <w:next w:val="Normal"/>
    <w:qFormat/>
    <w:rsid w:val="00D37AD7"/>
    <w:pPr>
      <w:spacing w:line="240" w:lineRule="auto"/>
      <w:jc w:val="center"/>
    </w:pPr>
  </w:style>
  <w:style w:type="paragraph" w:customStyle="1" w:styleId="Footnotes">
    <w:name w:val="Footnotes"/>
    <w:basedOn w:val="Normal"/>
    <w:qFormat/>
    <w:rsid w:val="00DC177E"/>
    <w:pPr>
      <w:spacing w:before="120" w:line="360" w:lineRule="auto"/>
      <w:ind w:left="482" w:hanging="482"/>
      <w:contextualSpacing/>
    </w:pPr>
    <w:rPr>
      <w:sz w:val="22"/>
    </w:rPr>
  </w:style>
  <w:style w:type="paragraph" w:customStyle="1" w:styleId="Notesoncontributors">
    <w:name w:val="Notes on contributors"/>
    <w:basedOn w:val="Normal"/>
    <w:qFormat/>
    <w:rsid w:val="00DC177E"/>
    <w:pPr>
      <w:spacing w:before="240" w:line="360" w:lineRule="auto"/>
    </w:pPr>
    <w:rPr>
      <w:sz w:val="22"/>
    </w:rPr>
  </w:style>
  <w:style w:type="paragraph" w:customStyle="1" w:styleId="Normalparagraphstyle">
    <w:name w:val="Normal paragraph style"/>
    <w:basedOn w:val="Normal"/>
    <w:next w:val="Normal"/>
    <w:rsid w:val="00DC177E"/>
  </w:style>
  <w:style w:type="paragraph" w:customStyle="1" w:styleId="Paragraph">
    <w:name w:val="Paragraph"/>
    <w:basedOn w:val="Normal"/>
    <w:next w:val="Newparagraph"/>
    <w:qFormat/>
    <w:rsid w:val="00A11E2A"/>
    <w:pPr>
      <w:widowControl w:val="0"/>
      <w:spacing w:before="160" w:line="360" w:lineRule="auto"/>
    </w:pPr>
  </w:style>
  <w:style w:type="paragraph" w:customStyle="1" w:styleId="Newparagraph">
    <w:name w:val="New paragraph"/>
    <w:basedOn w:val="Normal"/>
    <w:qFormat/>
    <w:rsid w:val="00FE112E"/>
    <w:pPr>
      <w:spacing w:line="360" w:lineRule="auto"/>
      <w:ind w:firstLine="720"/>
    </w:pPr>
  </w:style>
  <w:style w:type="paragraph" w:styleId="NormalIndent">
    <w:name w:val="Normal Indent"/>
    <w:basedOn w:val="Normal"/>
    <w:rsid w:val="00DC177E"/>
    <w:pPr>
      <w:ind w:left="720"/>
    </w:pPr>
  </w:style>
  <w:style w:type="paragraph" w:customStyle="1" w:styleId="References">
    <w:name w:val="References"/>
    <w:basedOn w:val="Normal"/>
    <w:qFormat/>
    <w:rsid w:val="00DC177E"/>
    <w:pPr>
      <w:spacing w:before="120" w:line="360" w:lineRule="auto"/>
      <w:ind w:left="720" w:hanging="720"/>
      <w:contextualSpacing/>
    </w:pPr>
  </w:style>
  <w:style w:type="paragraph" w:customStyle="1" w:styleId="Subjectcodes">
    <w:name w:val="Subject codes"/>
    <w:basedOn w:val="Keywords"/>
    <w:next w:val="Paragraph"/>
    <w:qFormat/>
    <w:rsid w:val="00DC177E"/>
  </w:style>
  <w:style w:type="paragraph" w:customStyle="1" w:styleId="Bulletedlist">
    <w:name w:val="Bulleted list"/>
    <w:basedOn w:val="Paragraph"/>
    <w:next w:val="Paragraph"/>
    <w:qFormat/>
    <w:rsid w:val="00DC177E"/>
    <w:pPr>
      <w:widowControl/>
      <w:numPr>
        <w:numId w:val="14"/>
      </w:numPr>
      <w:spacing w:after="240"/>
      <w:contextualSpacing/>
    </w:pPr>
  </w:style>
  <w:style w:type="paragraph" w:styleId="FootnoteText">
    <w:name w:val="footnote text"/>
    <w:basedOn w:val="Normal"/>
    <w:link w:val="FootnoteTextChar"/>
    <w:autoRedefine/>
    <w:rsid w:val="00DC177E"/>
    <w:pPr>
      <w:ind w:left="284" w:hanging="284"/>
    </w:pPr>
    <w:rPr>
      <w:sz w:val="22"/>
      <w:szCs w:val="20"/>
    </w:rPr>
  </w:style>
  <w:style w:type="character" w:customStyle="1" w:styleId="FootnoteTextChar">
    <w:name w:val="Footnote Text Char"/>
    <w:basedOn w:val="DefaultParagraphFont"/>
    <w:link w:val="FootnoteText"/>
    <w:rsid w:val="00DC177E"/>
    <w:rPr>
      <w:rFonts w:ascii="Times New Roman" w:eastAsia="Times New Roman" w:hAnsi="Times New Roman" w:cs="Times New Roman"/>
      <w:szCs w:val="20"/>
      <w:lang w:val="en-GB" w:eastAsia="en-GB"/>
    </w:rPr>
  </w:style>
  <w:style w:type="character" w:styleId="FootnoteReference">
    <w:name w:val="footnote reference"/>
    <w:basedOn w:val="DefaultParagraphFont"/>
    <w:rsid w:val="00DC177E"/>
    <w:rPr>
      <w:vertAlign w:val="superscript"/>
    </w:rPr>
  </w:style>
  <w:style w:type="paragraph" w:styleId="EndnoteText">
    <w:name w:val="endnote text"/>
    <w:basedOn w:val="Normal"/>
    <w:link w:val="EndnoteTextChar"/>
    <w:autoRedefine/>
    <w:rsid w:val="00DC177E"/>
    <w:pPr>
      <w:ind w:left="284" w:hanging="284"/>
    </w:pPr>
    <w:rPr>
      <w:sz w:val="22"/>
      <w:szCs w:val="20"/>
    </w:rPr>
  </w:style>
  <w:style w:type="character" w:customStyle="1" w:styleId="EndnoteTextChar">
    <w:name w:val="Endnote Text Char"/>
    <w:basedOn w:val="DefaultParagraphFont"/>
    <w:link w:val="EndnoteText"/>
    <w:rsid w:val="00DC177E"/>
    <w:rPr>
      <w:rFonts w:ascii="Times New Roman" w:eastAsia="Times New Roman" w:hAnsi="Times New Roman" w:cs="Times New Roman"/>
      <w:szCs w:val="20"/>
      <w:lang w:val="en-GB" w:eastAsia="en-GB"/>
    </w:rPr>
  </w:style>
  <w:style w:type="character" w:styleId="EndnoteReference">
    <w:name w:val="endnote reference"/>
    <w:basedOn w:val="DefaultParagraphFont"/>
    <w:rsid w:val="00DC177E"/>
    <w:rPr>
      <w:vertAlign w:val="superscript"/>
    </w:rPr>
  </w:style>
  <w:style w:type="paragraph" w:styleId="Header">
    <w:name w:val="header"/>
    <w:basedOn w:val="Normal"/>
    <w:link w:val="HeaderChar"/>
    <w:rsid w:val="00DC177E"/>
    <w:pPr>
      <w:tabs>
        <w:tab w:val="center" w:pos="4320"/>
        <w:tab w:val="right" w:pos="8640"/>
      </w:tabs>
      <w:spacing w:after="120" w:line="240" w:lineRule="auto"/>
      <w:contextualSpacing/>
    </w:pPr>
  </w:style>
  <w:style w:type="character" w:customStyle="1" w:styleId="HeaderChar">
    <w:name w:val="Header Char"/>
    <w:basedOn w:val="DefaultParagraphFont"/>
    <w:link w:val="Header"/>
    <w:rsid w:val="00DC177E"/>
    <w:rPr>
      <w:rFonts w:ascii="Times New Roman" w:eastAsia="Times New Roman" w:hAnsi="Times New Roman" w:cs="Times New Roman"/>
      <w:sz w:val="24"/>
      <w:szCs w:val="24"/>
      <w:lang w:val="en-GB" w:eastAsia="en-GB"/>
    </w:rPr>
  </w:style>
  <w:style w:type="paragraph" w:styleId="Footer">
    <w:name w:val="footer"/>
    <w:basedOn w:val="Normal"/>
    <w:link w:val="FooterChar"/>
    <w:uiPriority w:val="99"/>
    <w:rsid w:val="00DC177E"/>
    <w:pPr>
      <w:tabs>
        <w:tab w:val="center" w:pos="4320"/>
        <w:tab w:val="right" w:pos="8640"/>
      </w:tabs>
      <w:spacing w:before="240" w:line="240" w:lineRule="auto"/>
      <w:contextualSpacing/>
    </w:pPr>
  </w:style>
  <w:style w:type="character" w:customStyle="1" w:styleId="FooterChar">
    <w:name w:val="Footer Char"/>
    <w:basedOn w:val="DefaultParagraphFont"/>
    <w:link w:val="Footer"/>
    <w:uiPriority w:val="99"/>
    <w:rsid w:val="00DC177E"/>
    <w:rPr>
      <w:rFonts w:ascii="Times New Roman" w:eastAsia="Times New Roman" w:hAnsi="Times New Roman" w:cs="Times New Roman"/>
      <w:sz w:val="24"/>
      <w:szCs w:val="24"/>
      <w:lang w:val="en-GB" w:eastAsia="en-GB"/>
    </w:rPr>
  </w:style>
  <w:style w:type="paragraph" w:customStyle="1" w:styleId="Heading4Paragraph">
    <w:name w:val="Heading 4 + Paragraph"/>
    <w:basedOn w:val="Paragraph"/>
    <w:next w:val="Newparagraph"/>
    <w:qFormat/>
    <w:rsid w:val="00DC177E"/>
    <w:pPr>
      <w:widowControl/>
      <w:spacing w:before="360"/>
    </w:pPr>
  </w:style>
  <w:style w:type="character" w:styleId="Hyperlink">
    <w:name w:val="Hyperlink"/>
    <w:basedOn w:val="DefaultParagraphFont"/>
    <w:unhideWhenUsed/>
    <w:rsid w:val="00DC177E"/>
    <w:rPr>
      <w:color w:val="0000FF" w:themeColor="hyperlink"/>
      <w:u w:val="single"/>
    </w:rPr>
  </w:style>
  <w:style w:type="table" w:styleId="TableGrid">
    <w:name w:val="Table Grid"/>
    <w:basedOn w:val="TableNormal"/>
    <w:rsid w:val="00DC177E"/>
    <w:pPr>
      <w:spacing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nhideWhenUsed/>
    <w:rsid w:val="000F7390"/>
    <w:pPr>
      <w:spacing w:after="200" w:line="240" w:lineRule="auto"/>
    </w:pPr>
    <w:rPr>
      <w:i/>
      <w:iCs/>
      <w:sz w:val="20"/>
      <w:szCs w:val="20"/>
    </w:rPr>
  </w:style>
  <w:style w:type="paragraph" w:styleId="BalloonText">
    <w:name w:val="Balloon Text"/>
    <w:basedOn w:val="Normal"/>
    <w:link w:val="BalloonTextChar"/>
    <w:semiHidden/>
    <w:unhideWhenUsed/>
    <w:rsid w:val="00DC177E"/>
    <w:pPr>
      <w:spacing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DC177E"/>
    <w:rPr>
      <w:rFonts w:ascii="Segoe UI" w:eastAsia="Times New Roman" w:hAnsi="Segoe UI" w:cs="Segoe UI"/>
      <w:sz w:val="18"/>
      <w:szCs w:val="18"/>
      <w:lang w:val="en-GB" w:eastAsia="en-GB"/>
    </w:rPr>
  </w:style>
  <w:style w:type="character" w:styleId="FollowedHyperlink">
    <w:name w:val="FollowedHyperlink"/>
    <w:basedOn w:val="DefaultParagraphFont"/>
    <w:semiHidden/>
    <w:unhideWhenUsed/>
    <w:rsid w:val="00DC177E"/>
    <w:rPr>
      <w:color w:val="800080" w:themeColor="followedHyperlink"/>
      <w:u w:val="single"/>
    </w:rPr>
  </w:style>
  <w:style w:type="character" w:customStyle="1" w:styleId="label">
    <w:name w:val="label"/>
    <w:basedOn w:val="DefaultParagraphFont"/>
    <w:rsid w:val="00DC177E"/>
  </w:style>
  <w:style w:type="character" w:customStyle="1" w:styleId="hithilite">
    <w:name w:val="hithilite"/>
    <w:basedOn w:val="DefaultParagraphFont"/>
    <w:rsid w:val="00DC177E"/>
  </w:style>
  <w:style w:type="character" w:customStyle="1" w:styleId="databold">
    <w:name w:val="data_bold"/>
    <w:basedOn w:val="DefaultParagraphFont"/>
    <w:rsid w:val="00DC177E"/>
  </w:style>
  <w:style w:type="character" w:styleId="CommentReference">
    <w:name w:val="annotation reference"/>
    <w:basedOn w:val="DefaultParagraphFont"/>
    <w:semiHidden/>
    <w:unhideWhenUsed/>
    <w:rsid w:val="00DC177E"/>
    <w:rPr>
      <w:sz w:val="16"/>
      <w:szCs w:val="16"/>
    </w:rPr>
  </w:style>
  <w:style w:type="paragraph" w:styleId="CommentText">
    <w:name w:val="annotation text"/>
    <w:basedOn w:val="Normal"/>
    <w:link w:val="CommentTextChar"/>
    <w:semiHidden/>
    <w:unhideWhenUsed/>
    <w:rsid w:val="00DC177E"/>
    <w:pPr>
      <w:spacing w:line="240" w:lineRule="auto"/>
    </w:pPr>
    <w:rPr>
      <w:sz w:val="20"/>
      <w:szCs w:val="20"/>
    </w:rPr>
  </w:style>
  <w:style w:type="character" w:customStyle="1" w:styleId="CommentTextChar">
    <w:name w:val="Comment Text Char"/>
    <w:basedOn w:val="DefaultParagraphFont"/>
    <w:link w:val="CommentText"/>
    <w:semiHidden/>
    <w:rsid w:val="00DC177E"/>
    <w:rPr>
      <w:rFonts w:ascii="Times New Roman" w:eastAsia="Times New Roman" w:hAnsi="Times New Roman" w:cs="Times New Roman"/>
      <w:sz w:val="20"/>
      <w:szCs w:val="20"/>
      <w:lang w:val="en-GB" w:eastAsia="en-GB"/>
    </w:rPr>
  </w:style>
  <w:style w:type="paragraph" w:styleId="CommentSubject">
    <w:name w:val="annotation subject"/>
    <w:basedOn w:val="CommentText"/>
    <w:next w:val="CommentText"/>
    <w:link w:val="CommentSubjectChar"/>
    <w:semiHidden/>
    <w:unhideWhenUsed/>
    <w:rsid w:val="00DC177E"/>
    <w:rPr>
      <w:b/>
      <w:bCs/>
    </w:rPr>
  </w:style>
  <w:style w:type="character" w:customStyle="1" w:styleId="CommentSubjectChar">
    <w:name w:val="Comment Subject Char"/>
    <w:basedOn w:val="CommentTextChar"/>
    <w:link w:val="CommentSubject"/>
    <w:semiHidden/>
    <w:rsid w:val="00DC177E"/>
    <w:rPr>
      <w:rFonts w:ascii="Times New Roman" w:eastAsia="Times New Roman" w:hAnsi="Times New Roman" w:cs="Times New Roman"/>
      <w:b/>
      <w:bCs/>
      <w:sz w:val="20"/>
      <w:szCs w:val="20"/>
      <w:lang w:val="en-GB" w:eastAsia="en-GB"/>
    </w:rPr>
  </w:style>
  <w:style w:type="paragraph" w:styleId="ListParagraph">
    <w:name w:val="List Paragraph"/>
    <w:basedOn w:val="Normal"/>
    <w:uiPriority w:val="34"/>
    <w:qFormat/>
    <w:rsid w:val="00DC177E"/>
    <w:pPr>
      <w:spacing w:line="240" w:lineRule="auto"/>
      <w:ind w:left="720"/>
      <w:contextualSpacing/>
    </w:pPr>
    <w:rPr>
      <w:lang w:val="en-IE" w:eastAsia="en-IE"/>
    </w:rPr>
  </w:style>
  <w:style w:type="paragraph" w:styleId="NoSpacing">
    <w:name w:val="No Spacing"/>
    <w:uiPriority w:val="1"/>
    <w:qFormat/>
    <w:rsid w:val="00DC177E"/>
    <w:pPr>
      <w:spacing w:line="240" w:lineRule="auto"/>
    </w:pPr>
    <w:rPr>
      <w:lang w:val="en-GB"/>
    </w:rPr>
  </w:style>
  <w:style w:type="character" w:styleId="PlaceholderText">
    <w:name w:val="Placeholder Text"/>
    <w:basedOn w:val="DefaultParagraphFont"/>
    <w:rsid w:val="00DC177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mcfadden2@ulster.ac.uk" TargetMode="External"/><Relationship Id="rId13" Type="http://schemas.openxmlformats.org/officeDocument/2006/relationships/image" Target="media/image5.tiff"/><Relationship Id="rId18" Type="http://schemas.openxmlformats.org/officeDocument/2006/relationships/image" Target="media/image10.tiff"/><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image" Target="media/image9.tiff"/><Relationship Id="rId2" Type="http://schemas.openxmlformats.org/officeDocument/2006/relationships/numbering" Target="numbering.xml"/><Relationship Id="rId16" Type="http://schemas.openxmlformats.org/officeDocument/2006/relationships/image" Target="media/image8.tiff"/><Relationship Id="rId20" Type="http://schemas.openxmlformats.org/officeDocument/2006/relationships/image" Target="media/image12.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image" Target="media/image7.tiff"/><Relationship Id="rId23" Type="http://schemas.openxmlformats.org/officeDocument/2006/relationships/theme" Target="theme/theme1.xml"/><Relationship Id="rId10" Type="http://schemas.openxmlformats.org/officeDocument/2006/relationships/image" Target="media/image2.tiff"/><Relationship Id="rId19" Type="http://schemas.openxmlformats.org/officeDocument/2006/relationships/image" Target="media/image11.tiff"/><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image" Target="media/image6.tif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60EBD3-C9B1-4A8E-9F14-F091431D2B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26802</Words>
  <Characters>152778</Characters>
  <Application>Microsoft Office Word</Application>
  <DocSecurity>0</DocSecurity>
  <Lines>1273</Lines>
  <Paragraphs>358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Trinity College Dublin</Company>
  <LinksUpToDate>false</LinksUpToDate>
  <CharactersWithSpaces>179222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Aiken, Wendy</cp:lastModifiedBy>
  <cp:revision>2</cp:revision>
  <cp:lastPrinted>2017-12-13T16:22:00Z</cp:lastPrinted>
  <dcterms:created xsi:type="dcterms:W3CDTF">2019-07-11T13:45:00Z</dcterms:created>
  <dcterms:modified xsi:type="dcterms:W3CDTF">2019-07-11T13:45:00Z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Recent Style Id 0_1">
    <vt:lpwstr>http://www.zotero.org/styles/acta-materialia</vt:lpwstr>
  </property>
  <property fmtid="{D5CDD505-2E9C-101B-9397-08002B2CF9AE}" pid="4" name="Mendeley Recent Style Name 0_1">
    <vt:lpwstr>Acta Materialia</vt:lpwstr>
  </property>
  <property fmtid="{D5CDD505-2E9C-101B-9397-08002B2CF9AE}" pid="5" name="Mendeley Recent Style Id 1_1">
    <vt:lpwstr>http://www.zotero.org/styles/american-medical-association</vt:lpwstr>
  </property>
  <property fmtid="{D5CDD505-2E9C-101B-9397-08002B2CF9AE}" pid="6" name="Mendeley Recent Style Name 1_1">
    <vt:lpwstr>American Medical Association</vt:lpwstr>
  </property>
  <property fmtid="{D5CDD505-2E9C-101B-9397-08002B2CF9AE}" pid="7" name="Mendeley Recent Style Id 2_1">
    <vt:lpwstr>http://www.zotero.org/styles/american-political-science-association</vt:lpwstr>
  </property>
  <property fmtid="{D5CDD505-2E9C-101B-9397-08002B2CF9AE}" pid="8" name="Mendeley Recent Style Name 2_1">
    <vt:lpwstr>American Political Science Association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16th edition (author-date)</vt:lpwstr>
  </property>
  <property fmtid="{D5CDD505-2E9C-101B-9397-08002B2CF9AE}" pid="13" name="Mendeley Recent Style Id 5_1">
    <vt:lpwstr>http://www.zotero.org/styles/harvard-cite-them-right</vt:lpwstr>
  </property>
  <property fmtid="{D5CDD505-2E9C-101B-9397-08002B2CF9AE}" pid="14" name="Mendeley Recent Style Name 5_1">
    <vt:lpwstr>Harvard - Cite Them Right 9th edition</vt:lpwstr>
  </property>
  <property fmtid="{D5CDD505-2E9C-101B-9397-08002B2CF9AE}" pid="15" name="Mendeley Recent Style Id 6_1">
    <vt:lpwstr>http://www.zotero.org/styles/ieee</vt:lpwstr>
  </property>
  <property fmtid="{D5CDD505-2E9C-101B-9397-08002B2CF9AE}" pid="16" name="Mendeley Recent Style Name 6_1">
    <vt:lpwstr>IEEE</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3rd edition (note with bibliography)</vt:lpwstr>
  </property>
  <property fmtid="{D5CDD505-2E9C-101B-9397-08002B2CF9AE}" pid="19" name="Mendeley Recent Style Id 8_1">
    <vt:lpwstr>http://www.zotero.org/styles/modern-language-association</vt:lpwstr>
  </property>
  <property fmtid="{D5CDD505-2E9C-101B-9397-08002B2CF9AE}" pid="20" name="Mendeley Recent Style Name 8_1">
    <vt:lpwstr>Modern Language Association 7th edition</vt:lpwstr>
  </property>
  <property fmtid="{D5CDD505-2E9C-101B-9397-08002B2CF9AE}" pid="21" name="Mendeley Recent Style Id 9_1">
    <vt:lpwstr>http://www.zotero.org/styles/nature</vt:lpwstr>
  </property>
  <property fmtid="{D5CDD505-2E9C-101B-9397-08002B2CF9AE}" pid="22" name="Mendeley Recent Style Name 9_1">
    <vt:lpwstr>Nature</vt:lpwstr>
  </property>
  <property fmtid="{D5CDD505-2E9C-101B-9397-08002B2CF9AE}" pid="23" name="Mendeley Unique User Id_1">
    <vt:lpwstr>2294e046-65bd-3380-bfd1-bd27dff4c6c2</vt:lpwstr>
  </property>
  <property fmtid="{D5CDD505-2E9C-101B-9397-08002B2CF9AE}" pid="24" name="Mendeley Citation Style_1">
    <vt:lpwstr>http://www.zotero.org/styles/acta-materialia</vt:lpwstr>
  </property>
</Properties>
</file>