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B7E6D" w14:textId="091AFB53" w:rsidR="00EE542F" w:rsidRPr="00C015D7" w:rsidRDefault="00C015D7" w:rsidP="00C015D7">
      <w:pPr>
        <w:rPr>
          <w:rFonts w:ascii="Arial Narrow" w:hAnsi="Arial Narrow"/>
          <w:b/>
          <w:color w:val="000000" w:themeColor="text1"/>
          <w:sz w:val="22"/>
          <w:szCs w:val="22"/>
        </w:rPr>
      </w:pPr>
      <w:r w:rsidRPr="00C015D7">
        <w:rPr>
          <w:rFonts w:ascii="Arial Narrow" w:hAnsi="Arial Narrow"/>
          <w:b/>
          <w:color w:val="000000" w:themeColor="text1"/>
          <w:sz w:val="22"/>
          <w:szCs w:val="22"/>
        </w:rPr>
        <w:t>Mapping Fuel Poverty Across Northern Ireland</w:t>
      </w:r>
      <w:r>
        <w:rPr>
          <w:rFonts w:ascii="Arial Narrow" w:hAnsi="Arial Narrow"/>
          <w:b/>
          <w:color w:val="000000" w:themeColor="text1"/>
          <w:sz w:val="22"/>
          <w:szCs w:val="22"/>
        </w:rPr>
        <w:t xml:space="preserve"> – Dr </w:t>
      </w:r>
      <w:r w:rsidRPr="00C015D7">
        <w:rPr>
          <w:rFonts w:ascii="Arial Narrow" w:hAnsi="Arial Narrow"/>
          <w:b/>
          <w:color w:val="000000" w:themeColor="text1"/>
          <w:sz w:val="22"/>
          <w:szCs w:val="22"/>
        </w:rPr>
        <w:t>Paul McKenzie</w:t>
      </w:r>
    </w:p>
    <w:p w14:paraId="41024E51" w14:textId="2DDA75BF" w:rsidR="00ED4869" w:rsidRDefault="002F1116" w:rsidP="00342464">
      <w:pPr>
        <w:rPr>
          <w:rFonts w:ascii="Arial Narrow" w:hAnsi="Arial Narrow"/>
          <w:color w:val="000000" w:themeColor="text1"/>
          <w:sz w:val="22"/>
          <w:szCs w:val="22"/>
        </w:rPr>
      </w:pPr>
      <w:r w:rsidRPr="002F1116">
        <w:rPr>
          <w:rFonts w:ascii="Arial Narrow" w:hAnsi="Arial Narrow"/>
          <w:color w:val="000000" w:themeColor="text1"/>
          <w:sz w:val="22"/>
          <w:szCs w:val="22"/>
        </w:rPr>
        <w:t>A household in f</w:t>
      </w:r>
      <w:r w:rsidR="00542A91" w:rsidRPr="002F1116">
        <w:rPr>
          <w:rFonts w:ascii="Arial Narrow" w:hAnsi="Arial Narrow"/>
          <w:color w:val="000000" w:themeColor="text1"/>
          <w:sz w:val="22"/>
          <w:szCs w:val="22"/>
        </w:rPr>
        <w:t>uel p</w:t>
      </w:r>
      <w:r w:rsidR="00542A91" w:rsidRPr="00542A91">
        <w:rPr>
          <w:rFonts w:ascii="Arial Narrow" w:hAnsi="Arial Narrow"/>
          <w:color w:val="000000" w:themeColor="text1"/>
          <w:sz w:val="22"/>
          <w:szCs w:val="22"/>
        </w:rPr>
        <w:t>overty</w:t>
      </w:r>
      <w:r w:rsidR="00542A91">
        <w:rPr>
          <w:rFonts w:ascii="Arial Narrow" w:hAnsi="Arial Narrow"/>
          <w:color w:val="000000" w:themeColor="text1"/>
          <w:sz w:val="22"/>
          <w:szCs w:val="22"/>
        </w:rPr>
        <w:t xml:space="preserve"> is </w:t>
      </w:r>
      <w:r>
        <w:rPr>
          <w:rFonts w:ascii="Arial Narrow" w:hAnsi="Arial Narrow"/>
          <w:color w:val="000000" w:themeColor="text1"/>
          <w:sz w:val="22"/>
          <w:szCs w:val="22"/>
        </w:rPr>
        <w:t xml:space="preserve">typically defined as one that spends 10% of household income on energy services, particularly warmth (Boardman, 1991). </w:t>
      </w:r>
      <w:r w:rsidR="00ED4869">
        <w:rPr>
          <w:rFonts w:ascii="Arial Narrow" w:hAnsi="Arial Narrow"/>
          <w:color w:val="000000" w:themeColor="text1"/>
          <w:sz w:val="22"/>
          <w:szCs w:val="22"/>
        </w:rPr>
        <w:t xml:space="preserve">Fuel poverty is influenced by three main factors. </w:t>
      </w:r>
      <w:r w:rsidR="00046404">
        <w:rPr>
          <w:rFonts w:ascii="Arial Narrow" w:hAnsi="Arial Narrow"/>
          <w:color w:val="000000" w:themeColor="text1"/>
          <w:sz w:val="22"/>
          <w:szCs w:val="22"/>
        </w:rPr>
        <w:t xml:space="preserve">Firstly, household income has a particularly significant impact on fuel poverty and low-income households are at significant risk of experiencing fuel poverty. Secondly, the energy efficiency of the home contributes to the extent of fuel poverty in a home. Buildings </w:t>
      </w:r>
      <w:r w:rsidR="008A76B2">
        <w:rPr>
          <w:rFonts w:ascii="Arial Narrow" w:hAnsi="Arial Narrow"/>
          <w:color w:val="000000" w:themeColor="text1"/>
          <w:sz w:val="22"/>
          <w:szCs w:val="22"/>
        </w:rPr>
        <w:t xml:space="preserve">with </w:t>
      </w:r>
      <w:r w:rsidR="00010BF2">
        <w:rPr>
          <w:rFonts w:ascii="Arial Narrow" w:hAnsi="Arial Narrow"/>
          <w:color w:val="000000" w:themeColor="text1"/>
          <w:sz w:val="22"/>
          <w:szCs w:val="22"/>
        </w:rPr>
        <w:t xml:space="preserve">poor loft insulation, inefficient boilers and single glazing are hard to heat and require a significant amount of money to attain a comfortable temperature. While inefficient buildings typically are at risk of fuel poverty, they also </w:t>
      </w:r>
      <w:r w:rsidR="00DE28E7">
        <w:rPr>
          <w:rFonts w:ascii="Arial Narrow" w:hAnsi="Arial Narrow"/>
          <w:color w:val="000000" w:themeColor="text1"/>
          <w:sz w:val="22"/>
          <w:szCs w:val="22"/>
        </w:rPr>
        <w:t xml:space="preserve">contribute to carbon emissions (Jenkins, 2010). The third contributor to fuel poverty is the cost of domestic energy services. Northern Ireland </w:t>
      </w:r>
      <w:r w:rsidR="008905A0">
        <w:rPr>
          <w:rFonts w:ascii="Arial Narrow" w:hAnsi="Arial Narrow"/>
          <w:color w:val="000000" w:themeColor="text1"/>
          <w:sz w:val="22"/>
          <w:szCs w:val="22"/>
        </w:rPr>
        <w:t>has been traditionally restricted to home heating oil (HHO) and has had limited access to natural gas. In 2008, 80% of homes in Northern Ireland used oil-fire central heating compared to 8% in Scotland. These causes of fuel poverty have led to Northern Ireland experiencing some of the highest rates of fuel poverty within the UK (</w:t>
      </w:r>
      <w:r w:rsidR="000A0765">
        <w:rPr>
          <w:rFonts w:ascii="Arial Narrow" w:hAnsi="Arial Narrow"/>
          <w:color w:val="000000" w:themeColor="text1"/>
          <w:sz w:val="22"/>
          <w:szCs w:val="22"/>
        </w:rPr>
        <w:t>T</w:t>
      </w:r>
      <w:r w:rsidR="008905A0">
        <w:rPr>
          <w:rFonts w:ascii="Arial Narrow" w:hAnsi="Arial Narrow"/>
          <w:color w:val="000000" w:themeColor="text1"/>
          <w:sz w:val="22"/>
          <w:szCs w:val="22"/>
        </w:rPr>
        <w:t xml:space="preserve">able 1). </w:t>
      </w:r>
      <w:r w:rsidR="004676E1">
        <w:rPr>
          <w:rFonts w:ascii="Arial Narrow" w:hAnsi="Arial Narrow"/>
          <w:color w:val="000000" w:themeColor="text1"/>
          <w:sz w:val="22"/>
          <w:szCs w:val="22"/>
        </w:rPr>
        <w:t xml:space="preserve">Healy and Clinch (2002) noted that in Northern Europe, the UK and Ireland had high incidences of fuel poverty. </w:t>
      </w:r>
    </w:p>
    <w:p w14:paraId="219BAD4B" w14:textId="77777777" w:rsidR="002F1116" w:rsidRDefault="002F1116" w:rsidP="00342464">
      <w:pPr>
        <w:rPr>
          <w:rFonts w:ascii="Arial Narrow" w:hAnsi="Arial Narrow"/>
          <w:color w:val="000000" w:themeColor="text1"/>
          <w:sz w:val="22"/>
          <w:szCs w:val="22"/>
        </w:rPr>
      </w:pPr>
    </w:p>
    <w:p w14:paraId="21CDB60F" w14:textId="6BCE0FB9" w:rsidR="008905A0" w:rsidRDefault="008905A0" w:rsidP="00342464">
      <w:pPr>
        <w:rPr>
          <w:rFonts w:ascii="Arial Narrow" w:hAnsi="Arial Narrow"/>
          <w:color w:val="000000" w:themeColor="text1"/>
          <w:sz w:val="22"/>
          <w:szCs w:val="22"/>
        </w:rPr>
      </w:pPr>
      <w:r>
        <w:rPr>
          <w:rFonts w:ascii="Arial Narrow" w:hAnsi="Arial Narrow"/>
          <w:color w:val="000000" w:themeColor="text1"/>
          <w:sz w:val="22"/>
          <w:szCs w:val="22"/>
        </w:rPr>
        <w:t xml:space="preserve">Table 1: Percentage of fuel poverty per UK Country (Source: Regional House Condition Surveys). </w:t>
      </w:r>
    </w:p>
    <w:tbl>
      <w:tblPr>
        <w:tblStyle w:val="TableGrid"/>
        <w:tblW w:w="0" w:type="auto"/>
        <w:jc w:val="center"/>
        <w:tblLook w:val="04A0" w:firstRow="1" w:lastRow="0" w:firstColumn="1" w:lastColumn="0" w:noHBand="0" w:noVBand="1"/>
      </w:tblPr>
      <w:tblGrid>
        <w:gridCol w:w="618"/>
        <w:gridCol w:w="417"/>
        <w:gridCol w:w="978"/>
        <w:gridCol w:w="928"/>
      </w:tblGrid>
      <w:tr w:rsidR="00EC4C2A" w14:paraId="204BCA51" w14:textId="77777777" w:rsidTr="008905A0">
        <w:trPr>
          <w:jc w:val="center"/>
        </w:trPr>
        <w:tc>
          <w:tcPr>
            <w:tcW w:w="0" w:type="auto"/>
          </w:tcPr>
          <w:p w14:paraId="0966F306" w14:textId="318AA41A" w:rsidR="00EC4C2A" w:rsidRPr="008905A0" w:rsidRDefault="00EC4C2A" w:rsidP="00342464">
            <w:pPr>
              <w:rPr>
                <w:rFonts w:ascii="Arial Narrow" w:hAnsi="Arial Narrow"/>
                <w:b/>
                <w:color w:val="000000" w:themeColor="text1"/>
                <w:sz w:val="22"/>
                <w:szCs w:val="22"/>
              </w:rPr>
            </w:pPr>
            <w:r w:rsidRPr="008905A0">
              <w:rPr>
                <w:rFonts w:ascii="Arial Narrow" w:hAnsi="Arial Narrow"/>
                <w:b/>
                <w:color w:val="000000" w:themeColor="text1"/>
                <w:sz w:val="22"/>
                <w:szCs w:val="22"/>
              </w:rPr>
              <w:t>Year</w:t>
            </w:r>
          </w:p>
        </w:tc>
        <w:tc>
          <w:tcPr>
            <w:tcW w:w="0" w:type="auto"/>
          </w:tcPr>
          <w:p w14:paraId="4D85E9DF" w14:textId="2EC64E6A" w:rsidR="00EC4C2A" w:rsidRPr="008905A0" w:rsidRDefault="00EC4C2A" w:rsidP="00342464">
            <w:pPr>
              <w:rPr>
                <w:rFonts w:ascii="Arial Narrow" w:hAnsi="Arial Narrow"/>
                <w:b/>
                <w:color w:val="000000" w:themeColor="text1"/>
                <w:sz w:val="22"/>
                <w:szCs w:val="22"/>
              </w:rPr>
            </w:pPr>
            <w:r w:rsidRPr="008905A0">
              <w:rPr>
                <w:rFonts w:ascii="Arial Narrow" w:hAnsi="Arial Narrow"/>
                <w:b/>
                <w:color w:val="000000" w:themeColor="text1"/>
                <w:sz w:val="22"/>
                <w:szCs w:val="22"/>
              </w:rPr>
              <w:t>NI</w:t>
            </w:r>
          </w:p>
        </w:tc>
        <w:tc>
          <w:tcPr>
            <w:tcW w:w="0" w:type="auto"/>
          </w:tcPr>
          <w:p w14:paraId="2569EECC" w14:textId="08BB119A" w:rsidR="00EC4C2A" w:rsidRPr="008905A0" w:rsidRDefault="00EC4C2A" w:rsidP="00342464">
            <w:pPr>
              <w:rPr>
                <w:rFonts w:ascii="Arial Narrow" w:hAnsi="Arial Narrow"/>
                <w:b/>
                <w:color w:val="000000" w:themeColor="text1"/>
                <w:sz w:val="22"/>
                <w:szCs w:val="22"/>
              </w:rPr>
            </w:pPr>
            <w:r w:rsidRPr="008905A0">
              <w:rPr>
                <w:rFonts w:ascii="Arial Narrow" w:hAnsi="Arial Narrow"/>
                <w:b/>
                <w:color w:val="000000" w:themeColor="text1"/>
                <w:sz w:val="22"/>
                <w:szCs w:val="22"/>
              </w:rPr>
              <w:t>Scotland</w:t>
            </w:r>
          </w:p>
        </w:tc>
        <w:tc>
          <w:tcPr>
            <w:tcW w:w="0" w:type="auto"/>
          </w:tcPr>
          <w:p w14:paraId="6BFAD954" w14:textId="0B9EF34D" w:rsidR="00EC4C2A" w:rsidRPr="008905A0" w:rsidRDefault="00EC4C2A" w:rsidP="00342464">
            <w:pPr>
              <w:rPr>
                <w:rFonts w:ascii="Arial Narrow" w:hAnsi="Arial Narrow"/>
                <w:b/>
                <w:color w:val="000000" w:themeColor="text1"/>
                <w:sz w:val="22"/>
                <w:szCs w:val="22"/>
              </w:rPr>
            </w:pPr>
            <w:r w:rsidRPr="008905A0">
              <w:rPr>
                <w:rFonts w:ascii="Arial Narrow" w:hAnsi="Arial Narrow"/>
                <w:b/>
                <w:color w:val="000000" w:themeColor="text1"/>
                <w:sz w:val="22"/>
                <w:szCs w:val="22"/>
              </w:rPr>
              <w:t>England</w:t>
            </w:r>
          </w:p>
        </w:tc>
      </w:tr>
      <w:tr w:rsidR="00EC4C2A" w14:paraId="094C6BA8" w14:textId="77777777" w:rsidTr="008905A0">
        <w:trPr>
          <w:jc w:val="center"/>
        </w:trPr>
        <w:tc>
          <w:tcPr>
            <w:tcW w:w="0" w:type="auto"/>
          </w:tcPr>
          <w:p w14:paraId="169D55E7" w14:textId="6BE886D8" w:rsidR="00EC4C2A" w:rsidRDefault="00EC4C2A" w:rsidP="008905A0">
            <w:pPr>
              <w:jc w:val="center"/>
              <w:rPr>
                <w:rFonts w:ascii="Arial Narrow" w:hAnsi="Arial Narrow"/>
                <w:color w:val="000000" w:themeColor="text1"/>
                <w:sz w:val="22"/>
                <w:szCs w:val="22"/>
              </w:rPr>
            </w:pPr>
            <w:r>
              <w:rPr>
                <w:rFonts w:ascii="Arial Narrow" w:hAnsi="Arial Narrow"/>
                <w:color w:val="000000" w:themeColor="text1"/>
                <w:sz w:val="22"/>
                <w:szCs w:val="22"/>
              </w:rPr>
              <w:t>2004</w:t>
            </w:r>
          </w:p>
        </w:tc>
        <w:tc>
          <w:tcPr>
            <w:tcW w:w="0" w:type="auto"/>
          </w:tcPr>
          <w:p w14:paraId="2CF5358B" w14:textId="5289FD4F" w:rsidR="00EC4C2A" w:rsidRDefault="00EC4C2A" w:rsidP="008905A0">
            <w:pPr>
              <w:jc w:val="center"/>
              <w:rPr>
                <w:rFonts w:ascii="Arial Narrow" w:hAnsi="Arial Narrow"/>
                <w:color w:val="000000" w:themeColor="text1"/>
                <w:sz w:val="22"/>
                <w:szCs w:val="22"/>
              </w:rPr>
            </w:pPr>
            <w:r>
              <w:rPr>
                <w:rFonts w:ascii="Arial Narrow" w:hAnsi="Arial Narrow"/>
                <w:color w:val="000000" w:themeColor="text1"/>
                <w:sz w:val="22"/>
                <w:szCs w:val="22"/>
              </w:rPr>
              <w:t>23</w:t>
            </w:r>
          </w:p>
        </w:tc>
        <w:tc>
          <w:tcPr>
            <w:tcW w:w="0" w:type="auto"/>
          </w:tcPr>
          <w:p w14:paraId="5613D8EE" w14:textId="44EA4B3F" w:rsidR="00EC4C2A" w:rsidRDefault="00EC4C2A" w:rsidP="008905A0">
            <w:pPr>
              <w:jc w:val="center"/>
              <w:rPr>
                <w:rFonts w:ascii="Arial Narrow" w:hAnsi="Arial Narrow"/>
                <w:color w:val="000000" w:themeColor="text1"/>
                <w:sz w:val="22"/>
                <w:szCs w:val="22"/>
              </w:rPr>
            </w:pPr>
            <w:r>
              <w:rPr>
                <w:rFonts w:ascii="Arial Narrow" w:hAnsi="Arial Narrow"/>
                <w:color w:val="000000" w:themeColor="text1"/>
                <w:sz w:val="22"/>
                <w:szCs w:val="22"/>
              </w:rPr>
              <w:t>19</w:t>
            </w:r>
          </w:p>
        </w:tc>
        <w:tc>
          <w:tcPr>
            <w:tcW w:w="0" w:type="auto"/>
          </w:tcPr>
          <w:p w14:paraId="52760E95" w14:textId="1184B057" w:rsidR="00EC4C2A" w:rsidRDefault="00EC4C2A" w:rsidP="008905A0">
            <w:pPr>
              <w:jc w:val="center"/>
              <w:rPr>
                <w:rFonts w:ascii="Arial Narrow" w:hAnsi="Arial Narrow"/>
                <w:color w:val="000000" w:themeColor="text1"/>
                <w:sz w:val="22"/>
                <w:szCs w:val="22"/>
              </w:rPr>
            </w:pPr>
            <w:r>
              <w:rPr>
                <w:rFonts w:ascii="Arial Narrow" w:hAnsi="Arial Narrow"/>
                <w:color w:val="000000" w:themeColor="text1"/>
                <w:sz w:val="22"/>
                <w:szCs w:val="22"/>
              </w:rPr>
              <w:t>6</w:t>
            </w:r>
          </w:p>
        </w:tc>
      </w:tr>
      <w:tr w:rsidR="00EC4C2A" w14:paraId="196F6F86" w14:textId="77777777" w:rsidTr="008905A0">
        <w:trPr>
          <w:jc w:val="center"/>
        </w:trPr>
        <w:tc>
          <w:tcPr>
            <w:tcW w:w="0" w:type="auto"/>
          </w:tcPr>
          <w:p w14:paraId="53CAC294" w14:textId="2A6DA165" w:rsidR="00EC4C2A" w:rsidRDefault="00EC4C2A" w:rsidP="008905A0">
            <w:pPr>
              <w:jc w:val="center"/>
              <w:rPr>
                <w:rFonts w:ascii="Arial Narrow" w:hAnsi="Arial Narrow"/>
                <w:color w:val="000000" w:themeColor="text1"/>
                <w:sz w:val="22"/>
                <w:szCs w:val="22"/>
              </w:rPr>
            </w:pPr>
            <w:r>
              <w:rPr>
                <w:rFonts w:ascii="Arial Narrow" w:hAnsi="Arial Narrow"/>
                <w:color w:val="000000" w:themeColor="text1"/>
                <w:sz w:val="22"/>
                <w:szCs w:val="22"/>
              </w:rPr>
              <w:t>2006</w:t>
            </w:r>
          </w:p>
        </w:tc>
        <w:tc>
          <w:tcPr>
            <w:tcW w:w="0" w:type="auto"/>
          </w:tcPr>
          <w:p w14:paraId="24978A99" w14:textId="4AD5647A" w:rsidR="00EC4C2A" w:rsidRDefault="00EC4C2A" w:rsidP="008905A0">
            <w:pPr>
              <w:jc w:val="center"/>
              <w:rPr>
                <w:rFonts w:ascii="Arial Narrow" w:hAnsi="Arial Narrow"/>
                <w:color w:val="000000" w:themeColor="text1"/>
                <w:sz w:val="22"/>
                <w:szCs w:val="22"/>
              </w:rPr>
            </w:pPr>
            <w:r>
              <w:rPr>
                <w:rFonts w:ascii="Arial Narrow" w:hAnsi="Arial Narrow"/>
                <w:color w:val="000000" w:themeColor="text1"/>
                <w:sz w:val="22"/>
                <w:szCs w:val="22"/>
              </w:rPr>
              <w:t>34</w:t>
            </w:r>
          </w:p>
        </w:tc>
        <w:tc>
          <w:tcPr>
            <w:tcW w:w="0" w:type="auto"/>
          </w:tcPr>
          <w:p w14:paraId="64ACD976" w14:textId="4A0D67B3" w:rsidR="00EC4C2A" w:rsidRDefault="00EC4C2A" w:rsidP="008905A0">
            <w:pPr>
              <w:jc w:val="center"/>
              <w:rPr>
                <w:rFonts w:ascii="Arial Narrow" w:hAnsi="Arial Narrow"/>
                <w:color w:val="000000" w:themeColor="text1"/>
                <w:sz w:val="22"/>
                <w:szCs w:val="22"/>
              </w:rPr>
            </w:pPr>
            <w:r>
              <w:rPr>
                <w:rFonts w:ascii="Arial Narrow" w:hAnsi="Arial Narrow"/>
                <w:color w:val="000000" w:themeColor="text1"/>
                <w:sz w:val="22"/>
                <w:szCs w:val="22"/>
              </w:rPr>
              <w:t>25</w:t>
            </w:r>
          </w:p>
        </w:tc>
        <w:tc>
          <w:tcPr>
            <w:tcW w:w="0" w:type="auto"/>
          </w:tcPr>
          <w:p w14:paraId="561F6174" w14:textId="7B582560" w:rsidR="00EC4C2A" w:rsidRDefault="00EC4C2A" w:rsidP="008905A0">
            <w:pPr>
              <w:jc w:val="center"/>
              <w:rPr>
                <w:rFonts w:ascii="Arial Narrow" w:hAnsi="Arial Narrow"/>
                <w:color w:val="000000" w:themeColor="text1"/>
                <w:sz w:val="22"/>
                <w:szCs w:val="22"/>
              </w:rPr>
            </w:pPr>
            <w:r>
              <w:rPr>
                <w:rFonts w:ascii="Arial Narrow" w:hAnsi="Arial Narrow"/>
                <w:color w:val="000000" w:themeColor="text1"/>
                <w:sz w:val="22"/>
                <w:szCs w:val="22"/>
              </w:rPr>
              <w:t>12</w:t>
            </w:r>
          </w:p>
        </w:tc>
      </w:tr>
      <w:tr w:rsidR="00EC4C2A" w14:paraId="4FEA2D05" w14:textId="77777777" w:rsidTr="008905A0">
        <w:trPr>
          <w:jc w:val="center"/>
        </w:trPr>
        <w:tc>
          <w:tcPr>
            <w:tcW w:w="0" w:type="auto"/>
          </w:tcPr>
          <w:p w14:paraId="63162246" w14:textId="7F9ED247" w:rsidR="00EC4C2A" w:rsidRDefault="00EC4C2A" w:rsidP="008905A0">
            <w:pPr>
              <w:jc w:val="center"/>
              <w:rPr>
                <w:rFonts w:ascii="Arial Narrow" w:hAnsi="Arial Narrow"/>
                <w:color w:val="000000" w:themeColor="text1"/>
                <w:sz w:val="22"/>
                <w:szCs w:val="22"/>
              </w:rPr>
            </w:pPr>
            <w:r>
              <w:rPr>
                <w:rFonts w:ascii="Arial Narrow" w:hAnsi="Arial Narrow"/>
                <w:color w:val="000000" w:themeColor="text1"/>
                <w:sz w:val="22"/>
                <w:szCs w:val="22"/>
              </w:rPr>
              <w:t>2009</w:t>
            </w:r>
          </w:p>
        </w:tc>
        <w:tc>
          <w:tcPr>
            <w:tcW w:w="0" w:type="auto"/>
          </w:tcPr>
          <w:p w14:paraId="632DB2EA" w14:textId="0AF5D81F" w:rsidR="00EC4C2A" w:rsidRDefault="00EC4C2A" w:rsidP="008905A0">
            <w:pPr>
              <w:jc w:val="center"/>
              <w:rPr>
                <w:rFonts w:ascii="Arial Narrow" w:hAnsi="Arial Narrow"/>
                <w:color w:val="000000" w:themeColor="text1"/>
                <w:sz w:val="22"/>
                <w:szCs w:val="22"/>
              </w:rPr>
            </w:pPr>
            <w:r>
              <w:rPr>
                <w:rFonts w:ascii="Arial Narrow" w:hAnsi="Arial Narrow"/>
                <w:color w:val="000000" w:themeColor="text1"/>
                <w:sz w:val="22"/>
                <w:szCs w:val="22"/>
              </w:rPr>
              <w:t>44</w:t>
            </w:r>
          </w:p>
        </w:tc>
        <w:tc>
          <w:tcPr>
            <w:tcW w:w="0" w:type="auto"/>
          </w:tcPr>
          <w:p w14:paraId="6B35B2E4" w14:textId="387C1609" w:rsidR="00EC4C2A" w:rsidRDefault="00EC4C2A" w:rsidP="008905A0">
            <w:pPr>
              <w:jc w:val="center"/>
              <w:rPr>
                <w:rFonts w:ascii="Arial Narrow" w:hAnsi="Arial Narrow"/>
                <w:color w:val="000000" w:themeColor="text1"/>
                <w:sz w:val="22"/>
                <w:szCs w:val="22"/>
              </w:rPr>
            </w:pPr>
            <w:r>
              <w:rPr>
                <w:rFonts w:ascii="Arial Narrow" w:hAnsi="Arial Narrow"/>
                <w:color w:val="000000" w:themeColor="text1"/>
                <w:sz w:val="22"/>
                <w:szCs w:val="22"/>
              </w:rPr>
              <w:t>34</w:t>
            </w:r>
          </w:p>
        </w:tc>
        <w:tc>
          <w:tcPr>
            <w:tcW w:w="0" w:type="auto"/>
          </w:tcPr>
          <w:p w14:paraId="061CC6A6" w14:textId="4594C4E3" w:rsidR="00EC4C2A" w:rsidRDefault="00EC4C2A" w:rsidP="008905A0">
            <w:pPr>
              <w:jc w:val="center"/>
              <w:rPr>
                <w:rFonts w:ascii="Arial Narrow" w:hAnsi="Arial Narrow"/>
                <w:color w:val="000000" w:themeColor="text1"/>
                <w:sz w:val="22"/>
                <w:szCs w:val="22"/>
              </w:rPr>
            </w:pPr>
            <w:r>
              <w:rPr>
                <w:rFonts w:ascii="Arial Narrow" w:hAnsi="Arial Narrow"/>
                <w:color w:val="000000" w:themeColor="text1"/>
                <w:sz w:val="22"/>
                <w:szCs w:val="22"/>
              </w:rPr>
              <w:t>18</w:t>
            </w:r>
          </w:p>
        </w:tc>
      </w:tr>
      <w:tr w:rsidR="00EC4C2A" w14:paraId="2716D233" w14:textId="77777777" w:rsidTr="008905A0">
        <w:trPr>
          <w:jc w:val="center"/>
        </w:trPr>
        <w:tc>
          <w:tcPr>
            <w:tcW w:w="0" w:type="auto"/>
          </w:tcPr>
          <w:p w14:paraId="65CDE7B7" w14:textId="6796F1F3" w:rsidR="00EC4C2A" w:rsidRDefault="00EC4C2A" w:rsidP="008905A0">
            <w:pPr>
              <w:jc w:val="center"/>
              <w:rPr>
                <w:rFonts w:ascii="Arial Narrow" w:hAnsi="Arial Narrow"/>
                <w:color w:val="000000" w:themeColor="text1"/>
                <w:sz w:val="22"/>
                <w:szCs w:val="22"/>
              </w:rPr>
            </w:pPr>
            <w:r>
              <w:rPr>
                <w:rFonts w:ascii="Arial Narrow" w:hAnsi="Arial Narrow"/>
                <w:color w:val="000000" w:themeColor="text1"/>
                <w:sz w:val="22"/>
                <w:szCs w:val="22"/>
              </w:rPr>
              <w:t>2012</w:t>
            </w:r>
          </w:p>
        </w:tc>
        <w:tc>
          <w:tcPr>
            <w:tcW w:w="0" w:type="auto"/>
          </w:tcPr>
          <w:p w14:paraId="273F3B96" w14:textId="24CCE3DA" w:rsidR="00EC4C2A" w:rsidRDefault="00EC4C2A" w:rsidP="008905A0">
            <w:pPr>
              <w:jc w:val="center"/>
              <w:rPr>
                <w:rFonts w:ascii="Arial Narrow" w:hAnsi="Arial Narrow"/>
                <w:color w:val="000000" w:themeColor="text1"/>
                <w:sz w:val="22"/>
                <w:szCs w:val="22"/>
              </w:rPr>
            </w:pPr>
            <w:r>
              <w:rPr>
                <w:rFonts w:ascii="Arial Narrow" w:hAnsi="Arial Narrow"/>
                <w:color w:val="000000" w:themeColor="text1"/>
                <w:sz w:val="22"/>
                <w:szCs w:val="22"/>
              </w:rPr>
              <w:t>42</w:t>
            </w:r>
          </w:p>
        </w:tc>
        <w:tc>
          <w:tcPr>
            <w:tcW w:w="0" w:type="auto"/>
          </w:tcPr>
          <w:p w14:paraId="3FDDB6BE" w14:textId="0B661DEE" w:rsidR="00EC4C2A" w:rsidRDefault="00EC4C2A" w:rsidP="008905A0">
            <w:pPr>
              <w:jc w:val="center"/>
              <w:rPr>
                <w:rFonts w:ascii="Arial Narrow" w:hAnsi="Arial Narrow"/>
                <w:color w:val="000000" w:themeColor="text1"/>
                <w:sz w:val="22"/>
                <w:szCs w:val="22"/>
              </w:rPr>
            </w:pPr>
            <w:r>
              <w:rPr>
                <w:rFonts w:ascii="Arial Narrow" w:hAnsi="Arial Narrow"/>
                <w:color w:val="000000" w:themeColor="text1"/>
                <w:sz w:val="22"/>
                <w:szCs w:val="22"/>
              </w:rPr>
              <w:t>35</w:t>
            </w:r>
          </w:p>
        </w:tc>
        <w:tc>
          <w:tcPr>
            <w:tcW w:w="0" w:type="auto"/>
          </w:tcPr>
          <w:p w14:paraId="37B87B47" w14:textId="35DD385F" w:rsidR="00EC4C2A" w:rsidRDefault="00EC4C2A" w:rsidP="008905A0">
            <w:pPr>
              <w:jc w:val="center"/>
              <w:rPr>
                <w:rFonts w:ascii="Arial Narrow" w:hAnsi="Arial Narrow"/>
                <w:color w:val="000000" w:themeColor="text1"/>
                <w:sz w:val="22"/>
                <w:szCs w:val="22"/>
              </w:rPr>
            </w:pPr>
            <w:r>
              <w:rPr>
                <w:rFonts w:ascii="Arial Narrow" w:hAnsi="Arial Narrow"/>
                <w:color w:val="000000" w:themeColor="text1"/>
                <w:sz w:val="22"/>
                <w:szCs w:val="22"/>
              </w:rPr>
              <w:t>11</w:t>
            </w:r>
          </w:p>
        </w:tc>
      </w:tr>
    </w:tbl>
    <w:p w14:paraId="064F58C3" w14:textId="6801A173" w:rsidR="00542A91" w:rsidRDefault="002F1116" w:rsidP="00342464">
      <w:pPr>
        <w:rPr>
          <w:rFonts w:ascii="Arial Narrow" w:hAnsi="Arial Narrow"/>
          <w:color w:val="000000" w:themeColor="text1"/>
          <w:sz w:val="22"/>
          <w:szCs w:val="22"/>
        </w:rPr>
      </w:pPr>
      <w:r>
        <w:rPr>
          <w:rFonts w:ascii="Arial Narrow" w:hAnsi="Arial Narrow"/>
          <w:color w:val="000000" w:themeColor="text1"/>
          <w:sz w:val="22"/>
          <w:szCs w:val="22"/>
        </w:rPr>
        <w:t xml:space="preserve"> </w:t>
      </w:r>
    </w:p>
    <w:p w14:paraId="572E93DE" w14:textId="4AED2895" w:rsidR="002F1116" w:rsidRPr="008905A0" w:rsidRDefault="00906AD7" w:rsidP="00342464">
      <w:pPr>
        <w:rPr>
          <w:rFonts w:ascii="Arial Narrow" w:hAnsi="Arial Narrow"/>
          <w:b/>
          <w:color w:val="000000" w:themeColor="text1"/>
          <w:sz w:val="22"/>
          <w:szCs w:val="22"/>
        </w:rPr>
      </w:pPr>
      <w:r>
        <w:rPr>
          <w:rFonts w:ascii="Arial Narrow" w:hAnsi="Arial Narrow"/>
          <w:b/>
          <w:color w:val="000000" w:themeColor="text1"/>
          <w:sz w:val="22"/>
          <w:szCs w:val="22"/>
        </w:rPr>
        <w:t>F</w:t>
      </w:r>
      <w:r w:rsidR="008905A0" w:rsidRPr="008905A0">
        <w:rPr>
          <w:rFonts w:ascii="Arial Narrow" w:hAnsi="Arial Narrow"/>
          <w:b/>
          <w:color w:val="000000" w:themeColor="text1"/>
          <w:sz w:val="22"/>
          <w:szCs w:val="22"/>
        </w:rPr>
        <w:t>uel poverty</w:t>
      </w:r>
      <w:r>
        <w:rPr>
          <w:rFonts w:ascii="Arial Narrow" w:hAnsi="Arial Narrow"/>
          <w:b/>
          <w:color w:val="000000" w:themeColor="text1"/>
          <w:sz w:val="22"/>
          <w:szCs w:val="22"/>
        </w:rPr>
        <w:t xml:space="preserve"> and health</w:t>
      </w:r>
    </w:p>
    <w:p w14:paraId="4D884F3E" w14:textId="755A14E2" w:rsidR="004218A3" w:rsidRDefault="008905A0" w:rsidP="003F712B">
      <w:pPr>
        <w:rPr>
          <w:rFonts w:ascii="Arial Narrow" w:hAnsi="Arial Narrow"/>
          <w:color w:val="000000" w:themeColor="text1"/>
          <w:sz w:val="22"/>
          <w:szCs w:val="22"/>
        </w:rPr>
      </w:pPr>
      <w:r w:rsidRPr="009D7764">
        <w:rPr>
          <w:rFonts w:ascii="Arial Narrow" w:hAnsi="Arial Narrow"/>
          <w:color w:val="000000" w:themeColor="text1"/>
          <w:sz w:val="22"/>
          <w:szCs w:val="22"/>
        </w:rPr>
        <w:t>The World Health Organisation (WHO</w:t>
      </w:r>
      <w:r w:rsidR="009D7764" w:rsidRPr="009D7764">
        <w:rPr>
          <w:rFonts w:ascii="Arial Narrow" w:hAnsi="Arial Narrow"/>
          <w:color w:val="000000" w:themeColor="text1"/>
          <w:sz w:val="22"/>
          <w:szCs w:val="22"/>
        </w:rPr>
        <w:t>, 2007</w:t>
      </w:r>
      <w:r w:rsidRPr="009D7764">
        <w:rPr>
          <w:rFonts w:ascii="Arial Narrow" w:hAnsi="Arial Narrow"/>
          <w:color w:val="000000" w:themeColor="text1"/>
          <w:sz w:val="22"/>
          <w:szCs w:val="22"/>
        </w:rPr>
        <w:t xml:space="preserve">) </w:t>
      </w:r>
      <w:r w:rsidR="009D7764" w:rsidRPr="009D7764">
        <w:rPr>
          <w:rFonts w:ascii="Arial Narrow" w:hAnsi="Arial Narrow"/>
          <w:color w:val="000000" w:themeColor="text1"/>
          <w:sz w:val="22"/>
          <w:szCs w:val="22"/>
        </w:rPr>
        <w:t xml:space="preserve">recommended that living spaces in homes should be heated to a minimum of 21 </w:t>
      </w:r>
      <w:r w:rsidR="009D7764" w:rsidRPr="009D7764">
        <w:rPr>
          <w:rFonts w:ascii="Arial Narrow" w:hAnsi="Arial Narrow" w:cs="Arial"/>
          <w:color w:val="000000" w:themeColor="text1"/>
          <w:sz w:val="22"/>
          <w:szCs w:val="22"/>
        </w:rPr>
        <w:t>°C</w:t>
      </w:r>
      <w:r w:rsidR="009D7764" w:rsidRPr="009D7764">
        <w:rPr>
          <w:rFonts w:ascii="Arial Narrow" w:hAnsi="Arial Narrow"/>
          <w:color w:val="000000" w:themeColor="text1"/>
          <w:sz w:val="22"/>
          <w:szCs w:val="22"/>
        </w:rPr>
        <w:t xml:space="preserve"> while other spaces should be 18 </w:t>
      </w:r>
      <w:r w:rsidR="009D7764" w:rsidRPr="009D7764">
        <w:rPr>
          <w:rFonts w:ascii="Arial Narrow" w:hAnsi="Arial Narrow" w:cs="Arial"/>
          <w:color w:val="000000" w:themeColor="text1"/>
          <w:sz w:val="22"/>
          <w:szCs w:val="22"/>
        </w:rPr>
        <w:t xml:space="preserve">°C. </w:t>
      </w:r>
      <w:r w:rsidR="00B46529">
        <w:rPr>
          <w:rFonts w:ascii="Arial Narrow" w:hAnsi="Arial Narrow" w:cs="Arial"/>
          <w:color w:val="000000" w:themeColor="text1"/>
          <w:sz w:val="22"/>
          <w:szCs w:val="22"/>
        </w:rPr>
        <w:t xml:space="preserve">When home owners live in inefficient dwellings and lack the necessary income to heat the home to sufficient levels, a number of health issues may arise. </w:t>
      </w:r>
      <w:r w:rsidR="004218A3">
        <w:rPr>
          <w:rFonts w:ascii="Arial Narrow" w:hAnsi="Arial Narrow" w:cs="Arial"/>
          <w:color w:val="000000" w:themeColor="text1"/>
          <w:sz w:val="22"/>
          <w:szCs w:val="22"/>
        </w:rPr>
        <w:t xml:space="preserve">Excess Winter Mortality rates are high in countries </w:t>
      </w:r>
      <w:r w:rsidR="000A0765">
        <w:rPr>
          <w:rFonts w:ascii="Arial Narrow" w:hAnsi="Arial Narrow" w:cs="Arial"/>
          <w:color w:val="000000" w:themeColor="text1"/>
          <w:sz w:val="22"/>
          <w:szCs w:val="22"/>
        </w:rPr>
        <w:t xml:space="preserve">with </w:t>
      </w:r>
      <w:r w:rsidR="004218A3">
        <w:rPr>
          <w:rFonts w:ascii="Arial Narrow" w:hAnsi="Arial Narrow" w:cs="Arial"/>
          <w:color w:val="000000" w:themeColor="text1"/>
          <w:sz w:val="22"/>
          <w:szCs w:val="22"/>
        </w:rPr>
        <w:t>inefficient buildings that are difficult to heat during winter months (Healy, 2003). Living in cold properties has been linked to strokes, heart attacks and an increased risk of infections (</w:t>
      </w:r>
      <w:r w:rsidR="004218A3" w:rsidRPr="004218A3">
        <w:rPr>
          <w:rFonts w:ascii="Arial Narrow" w:hAnsi="Arial Narrow" w:cs="Arial"/>
          <w:color w:val="000000" w:themeColor="text1"/>
          <w:sz w:val="22"/>
          <w:szCs w:val="22"/>
        </w:rPr>
        <w:t>Crawford et al., 2003</w:t>
      </w:r>
      <w:r w:rsidR="004218A3">
        <w:rPr>
          <w:rFonts w:ascii="Arial Narrow" w:hAnsi="Arial Narrow" w:cs="Arial"/>
          <w:color w:val="000000" w:themeColor="text1"/>
          <w:sz w:val="22"/>
          <w:szCs w:val="22"/>
        </w:rPr>
        <w:t xml:space="preserve">; </w:t>
      </w:r>
      <w:r w:rsidR="008B7569">
        <w:rPr>
          <w:rFonts w:ascii="Arial Narrow" w:hAnsi="Arial Narrow" w:cs="Arial"/>
          <w:color w:val="000000" w:themeColor="text1"/>
          <w:sz w:val="22"/>
          <w:szCs w:val="22"/>
        </w:rPr>
        <w:t>Howieson and Hogan, 2005) along with respiratory illness</w:t>
      </w:r>
      <w:r w:rsidR="00906AD7">
        <w:rPr>
          <w:rFonts w:ascii="Arial Narrow" w:hAnsi="Arial Narrow" w:cs="Arial"/>
          <w:color w:val="000000" w:themeColor="text1"/>
          <w:sz w:val="22"/>
          <w:szCs w:val="22"/>
        </w:rPr>
        <w:t xml:space="preserve"> and </w:t>
      </w:r>
      <w:r w:rsidR="008B7569">
        <w:rPr>
          <w:rFonts w:ascii="Arial Narrow" w:hAnsi="Arial Narrow" w:cs="Arial"/>
          <w:color w:val="000000" w:themeColor="text1"/>
          <w:sz w:val="22"/>
          <w:szCs w:val="22"/>
        </w:rPr>
        <w:t>arthritis</w:t>
      </w:r>
      <w:r w:rsidR="00906AD7">
        <w:rPr>
          <w:rFonts w:ascii="Arial Narrow" w:hAnsi="Arial Narrow" w:cs="Arial"/>
          <w:color w:val="000000" w:themeColor="text1"/>
          <w:sz w:val="22"/>
          <w:szCs w:val="22"/>
        </w:rPr>
        <w:t xml:space="preserve"> (WHO, 2007). Homes experiencing fuel poverty are often damp which can have significant impacts not only on physical health but also mental health (</w:t>
      </w:r>
      <w:r w:rsidR="00906AD7" w:rsidRPr="00906AD7">
        <w:rPr>
          <w:rFonts w:ascii="Arial Narrow" w:hAnsi="Arial Narrow" w:cs="Arial"/>
          <w:color w:val="000000" w:themeColor="text1"/>
          <w:sz w:val="22"/>
          <w:szCs w:val="22"/>
        </w:rPr>
        <w:t>Shortt</w:t>
      </w:r>
      <w:r w:rsidR="00906AD7">
        <w:rPr>
          <w:rFonts w:ascii="Arial Narrow" w:hAnsi="Arial Narrow" w:cs="Arial"/>
          <w:color w:val="000000" w:themeColor="text1"/>
          <w:sz w:val="22"/>
          <w:szCs w:val="22"/>
        </w:rPr>
        <w:t xml:space="preserve"> and </w:t>
      </w:r>
      <w:r w:rsidR="00906AD7" w:rsidRPr="00906AD7">
        <w:rPr>
          <w:rFonts w:ascii="Arial Narrow" w:hAnsi="Arial Narrow" w:cs="Arial"/>
          <w:color w:val="000000" w:themeColor="text1"/>
          <w:sz w:val="22"/>
          <w:szCs w:val="22"/>
        </w:rPr>
        <w:t>Rugkåsa, 2007</w:t>
      </w:r>
      <w:r w:rsidR="00906AD7">
        <w:rPr>
          <w:rFonts w:ascii="Arial Narrow" w:hAnsi="Arial Narrow" w:cs="Arial"/>
          <w:color w:val="000000" w:themeColor="text1"/>
          <w:sz w:val="22"/>
          <w:szCs w:val="22"/>
        </w:rPr>
        <w:t xml:space="preserve">). Khanom (2000) </w:t>
      </w:r>
      <w:r w:rsidR="00AF3845">
        <w:rPr>
          <w:rFonts w:ascii="Arial Narrow" w:hAnsi="Arial Narrow" w:cs="Arial"/>
          <w:color w:val="000000" w:themeColor="text1"/>
          <w:sz w:val="22"/>
          <w:szCs w:val="22"/>
        </w:rPr>
        <w:t xml:space="preserve">identified a relationship between cold, damp homes and self-reported </w:t>
      </w:r>
      <w:r w:rsidR="000A0765">
        <w:rPr>
          <w:rFonts w:ascii="Arial Narrow" w:hAnsi="Arial Narrow" w:cs="Arial"/>
          <w:color w:val="000000" w:themeColor="text1"/>
          <w:sz w:val="22"/>
          <w:szCs w:val="22"/>
        </w:rPr>
        <w:t xml:space="preserve">mental </w:t>
      </w:r>
      <w:r w:rsidR="00AF3845">
        <w:rPr>
          <w:rFonts w:ascii="Arial Narrow" w:hAnsi="Arial Narrow" w:cs="Arial"/>
          <w:color w:val="000000" w:themeColor="text1"/>
          <w:sz w:val="22"/>
          <w:szCs w:val="22"/>
        </w:rPr>
        <w:t>health problems such as depression</w:t>
      </w:r>
      <w:r w:rsidR="000A0765">
        <w:rPr>
          <w:rFonts w:ascii="Arial Narrow" w:hAnsi="Arial Narrow" w:cs="Arial"/>
          <w:color w:val="000000" w:themeColor="text1"/>
          <w:sz w:val="22"/>
          <w:szCs w:val="22"/>
        </w:rPr>
        <w:t xml:space="preserve"> and anxiety</w:t>
      </w:r>
      <w:r w:rsidR="00AF3845">
        <w:rPr>
          <w:rFonts w:ascii="Arial Narrow" w:hAnsi="Arial Narrow" w:cs="Arial"/>
          <w:color w:val="000000" w:themeColor="text1"/>
          <w:sz w:val="22"/>
          <w:szCs w:val="22"/>
        </w:rPr>
        <w:t>. The effect of living in cold, damp conditions appears to disproportionately affect younger people within the home (Liddell and Morris, 201</w:t>
      </w:r>
      <w:r w:rsidR="0094477B">
        <w:rPr>
          <w:rFonts w:ascii="Arial Narrow" w:hAnsi="Arial Narrow" w:cs="Arial"/>
          <w:color w:val="000000" w:themeColor="text1"/>
          <w:sz w:val="22"/>
          <w:szCs w:val="22"/>
        </w:rPr>
        <w:t xml:space="preserve">0). While youth are affected by fuel poverty, elderly people, particularly those in rural locations, are also at risk </w:t>
      </w:r>
      <w:r w:rsidR="0094477B" w:rsidRPr="004218A3">
        <w:rPr>
          <w:rFonts w:ascii="Arial Narrow" w:hAnsi="Arial Narrow"/>
          <w:color w:val="000000" w:themeColor="text1"/>
          <w:sz w:val="22"/>
          <w:szCs w:val="22"/>
        </w:rPr>
        <w:t>(Lawlor et al., 2002).</w:t>
      </w:r>
      <w:r w:rsidR="0094477B">
        <w:rPr>
          <w:rFonts w:ascii="Arial Narrow" w:hAnsi="Arial Narrow"/>
          <w:color w:val="000000" w:themeColor="text1"/>
          <w:sz w:val="22"/>
          <w:szCs w:val="22"/>
        </w:rPr>
        <w:t xml:space="preserve"> It has been suggested that fuel poverty causes abnormal behavioural patterns within homes with families living in one or two heated rooms, a concept known as “</w:t>
      </w:r>
      <w:r w:rsidR="004218A3" w:rsidRPr="004218A3">
        <w:rPr>
          <w:rFonts w:ascii="Arial Narrow" w:hAnsi="Arial Narrow"/>
          <w:color w:val="000000" w:themeColor="text1"/>
          <w:sz w:val="22"/>
          <w:szCs w:val="22"/>
        </w:rPr>
        <w:t>spatial shrinkage</w:t>
      </w:r>
      <w:r w:rsidR="0094477B">
        <w:rPr>
          <w:rFonts w:ascii="Arial Narrow" w:hAnsi="Arial Narrow"/>
          <w:color w:val="000000" w:themeColor="text1"/>
          <w:sz w:val="22"/>
          <w:szCs w:val="22"/>
        </w:rPr>
        <w:t xml:space="preserve">” </w:t>
      </w:r>
      <w:r w:rsidR="0094477B" w:rsidRPr="0094477B">
        <w:rPr>
          <w:rFonts w:ascii="Arial Narrow" w:hAnsi="Arial Narrow"/>
          <w:color w:val="000000" w:themeColor="text1"/>
          <w:sz w:val="22"/>
          <w:szCs w:val="22"/>
        </w:rPr>
        <w:t>(Lawlor et al., 2002</w:t>
      </w:r>
      <w:r w:rsidR="0094477B">
        <w:rPr>
          <w:rFonts w:ascii="Arial Narrow" w:hAnsi="Arial Narrow"/>
          <w:color w:val="000000" w:themeColor="text1"/>
          <w:sz w:val="22"/>
          <w:szCs w:val="22"/>
        </w:rPr>
        <w:t>; F</w:t>
      </w:r>
      <w:r w:rsidR="0094477B" w:rsidRPr="0094477B">
        <w:rPr>
          <w:rFonts w:ascii="Arial Narrow" w:hAnsi="Arial Narrow"/>
          <w:color w:val="000000" w:themeColor="text1"/>
          <w:sz w:val="22"/>
          <w:szCs w:val="22"/>
        </w:rPr>
        <w:t>arrell et al., 2008).</w:t>
      </w:r>
      <w:r w:rsidR="004676E1">
        <w:rPr>
          <w:rFonts w:ascii="Arial Narrow" w:hAnsi="Arial Narrow"/>
          <w:color w:val="000000" w:themeColor="text1"/>
          <w:sz w:val="22"/>
          <w:szCs w:val="22"/>
        </w:rPr>
        <w:t xml:space="preserve"> </w:t>
      </w:r>
    </w:p>
    <w:p w14:paraId="0D5F2BE2" w14:textId="77777777" w:rsidR="004676E1" w:rsidRDefault="004676E1" w:rsidP="003F712B">
      <w:pPr>
        <w:rPr>
          <w:rFonts w:ascii="Arial Narrow" w:hAnsi="Arial Narrow"/>
          <w:color w:val="000000" w:themeColor="text1"/>
          <w:sz w:val="22"/>
          <w:szCs w:val="22"/>
        </w:rPr>
      </w:pPr>
    </w:p>
    <w:p w14:paraId="172343B0" w14:textId="3EE86E76" w:rsidR="004676E1" w:rsidRPr="004676E1" w:rsidRDefault="004676E1" w:rsidP="003F712B">
      <w:pPr>
        <w:rPr>
          <w:rFonts w:ascii="Arial Narrow" w:hAnsi="Arial Narrow"/>
          <w:b/>
          <w:color w:val="000000" w:themeColor="text1"/>
          <w:sz w:val="22"/>
          <w:szCs w:val="22"/>
        </w:rPr>
      </w:pPr>
      <w:r>
        <w:rPr>
          <w:rFonts w:ascii="Arial Narrow" w:hAnsi="Arial Narrow"/>
          <w:b/>
          <w:color w:val="000000" w:themeColor="text1"/>
          <w:sz w:val="22"/>
          <w:szCs w:val="22"/>
        </w:rPr>
        <w:t>Targeting those most in need</w:t>
      </w:r>
    </w:p>
    <w:p w14:paraId="0A83F2D4" w14:textId="6604693B" w:rsidR="0026137D" w:rsidRPr="005D2AB6" w:rsidRDefault="00337148" w:rsidP="0026137D">
      <w:pPr>
        <w:rPr>
          <w:rFonts w:ascii="Arial Narrow" w:hAnsi="Arial Narrow"/>
          <w:color w:val="FF0000"/>
          <w:sz w:val="22"/>
          <w:szCs w:val="22"/>
        </w:rPr>
      </w:pPr>
      <w:r>
        <w:rPr>
          <w:rFonts w:ascii="Arial Narrow" w:hAnsi="Arial Narrow"/>
          <w:color w:val="000000" w:themeColor="text1"/>
          <w:sz w:val="22"/>
          <w:szCs w:val="22"/>
        </w:rPr>
        <w:t>With fuel poverty such a critical issue across</w:t>
      </w:r>
      <w:r w:rsidR="00DC1F4C">
        <w:rPr>
          <w:rFonts w:ascii="Arial Narrow" w:hAnsi="Arial Narrow"/>
          <w:color w:val="000000" w:themeColor="text1"/>
          <w:sz w:val="22"/>
          <w:szCs w:val="22"/>
        </w:rPr>
        <w:t xml:space="preserve"> the UK and Ireland, there is an urgent</w:t>
      </w:r>
      <w:r>
        <w:rPr>
          <w:rFonts w:ascii="Arial Narrow" w:hAnsi="Arial Narrow"/>
          <w:color w:val="000000" w:themeColor="text1"/>
          <w:sz w:val="22"/>
          <w:szCs w:val="22"/>
        </w:rPr>
        <w:t xml:space="preserve"> need to target interventions to those in greatest need. In the 2011 fuel poverty strategy for Northern Ireland, the </w:t>
      </w:r>
      <w:r w:rsidRPr="00337148">
        <w:rPr>
          <w:rFonts w:ascii="Arial Narrow" w:hAnsi="Arial Narrow"/>
          <w:color w:val="000000" w:themeColor="text1"/>
          <w:sz w:val="22"/>
          <w:szCs w:val="22"/>
        </w:rPr>
        <w:t>Department for Social Development Northern Ireland</w:t>
      </w:r>
      <w:r>
        <w:rPr>
          <w:rFonts w:ascii="Arial Narrow" w:hAnsi="Arial Narrow"/>
          <w:color w:val="000000" w:themeColor="text1"/>
          <w:sz w:val="22"/>
          <w:szCs w:val="22"/>
        </w:rPr>
        <w:t xml:space="preserve"> (DSDNI) aimed to target resources to the most vulnerable households. </w:t>
      </w:r>
      <w:r w:rsidR="003E4CAE">
        <w:rPr>
          <w:rFonts w:ascii="Arial Narrow" w:hAnsi="Arial Narrow"/>
          <w:color w:val="000000" w:themeColor="text1"/>
          <w:sz w:val="22"/>
          <w:szCs w:val="22"/>
        </w:rPr>
        <w:t>The Warm Homes scheme was t</w:t>
      </w:r>
      <w:r w:rsidR="003E4CAE" w:rsidRPr="00337148">
        <w:rPr>
          <w:rFonts w:ascii="Arial Narrow" w:hAnsi="Arial Narrow"/>
          <w:color w:val="000000" w:themeColor="text1"/>
          <w:sz w:val="22"/>
          <w:szCs w:val="22"/>
        </w:rPr>
        <w:t xml:space="preserve">he main home energy scheme in Northern </w:t>
      </w:r>
      <w:r w:rsidR="003E4CAE" w:rsidRPr="0026137D">
        <w:rPr>
          <w:rFonts w:ascii="Arial Narrow" w:hAnsi="Arial Narrow"/>
          <w:color w:val="000000" w:themeColor="text1"/>
          <w:sz w:val="22"/>
          <w:szCs w:val="22"/>
        </w:rPr>
        <w:t xml:space="preserve">Ireland and provided energy efficiency measures </w:t>
      </w:r>
      <w:r w:rsidRPr="0026137D">
        <w:rPr>
          <w:rFonts w:ascii="Arial Narrow" w:hAnsi="Arial Narrow"/>
          <w:color w:val="000000" w:themeColor="text1"/>
          <w:sz w:val="22"/>
          <w:szCs w:val="22"/>
        </w:rPr>
        <w:t xml:space="preserve">at low or no cost. </w:t>
      </w:r>
      <w:r w:rsidR="003E4CAE" w:rsidRPr="0026137D">
        <w:rPr>
          <w:rFonts w:ascii="Arial Narrow" w:hAnsi="Arial Narrow"/>
          <w:color w:val="000000" w:themeColor="text1"/>
          <w:sz w:val="22"/>
          <w:szCs w:val="22"/>
        </w:rPr>
        <w:t xml:space="preserve">The scheme also performed </w:t>
      </w:r>
      <w:r w:rsidRPr="0026137D">
        <w:rPr>
          <w:rFonts w:ascii="Arial Narrow" w:hAnsi="Arial Narrow"/>
          <w:color w:val="000000" w:themeColor="text1"/>
          <w:sz w:val="22"/>
          <w:szCs w:val="22"/>
        </w:rPr>
        <w:t>benefit entitlement checks and g</w:t>
      </w:r>
      <w:r w:rsidR="003E4CAE" w:rsidRPr="0026137D">
        <w:rPr>
          <w:rFonts w:ascii="Arial Narrow" w:hAnsi="Arial Narrow"/>
          <w:color w:val="000000" w:themeColor="text1"/>
          <w:sz w:val="22"/>
          <w:szCs w:val="22"/>
        </w:rPr>
        <w:t xml:space="preserve">ave </w:t>
      </w:r>
      <w:r w:rsidRPr="0026137D">
        <w:rPr>
          <w:rFonts w:ascii="Arial Narrow" w:hAnsi="Arial Narrow"/>
          <w:color w:val="000000" w:themeColor="text1"/>
          <w:sz w:val="22"/>
          <w:szCs w:val="22"/>
        </w:rPr>
        <w:t xml:space="preserve">energy saving advice to recipient households (Department for Social Development Northern Ireland, 2011). </w:t>
      </w:r>
      <w:r w:rsidR="003E4CAE" w:rsidRPr="0026137D">
        <w:rPr>
          <w:rFonts w:ascii="Arial Narrow" w:hAnsi="Arial Narrow"/>
          <w:color w:val="000000" w:themeColor="text1"/>
          <w:sz w:val="22"/>
          <w:szCs w:val="22"/>
        </w:rPr>
        <w:t xml:space="preserve">While the scheme was very effective, it </w:t>
      </w:r>
      <w:r w:rsidR="00266ABA" w:rsidRPr="0026137D">
        <w:rPr>
          <w:rFonts w:ascii="Arial Narrow" w:hAnsi="Arial Narrow"/>
          <w:color w:val="000000" w:themeColor="text1"/>
          <w:sz w:val="22"/>
          <w:szCs w:val="22"/>
        </w:rPr>
        <w:t xml:space="preserve">did target homes that were not in fuel poverty (Sefton, 2002) and the scheme relied on self-referral which often meant eligible households were not targeted </w:t>
      </w:r>
      <w:r w:rsidRPr="0026137D">
        <w:rPr>
          <w:rFonts w:ascii="Arial Narrow" w:hAnsi="Arial Narrow"/>
          <w:color w:val="000000" w:themeColor="text1"/>
          <w:sz w:val="22"/>
          <w:szCs w:val="22"/>
        </w:rPr>
        <w:t>(Ar</w:t>
      </w:r>
      <w:r w:rsidR="00266ABA" w:rsidRPr="0026137D">
        <w:rPr>
          <w:rFonts w:ascii="Arial Narrow" w:hAnsi="Arial Narrow"/>
          <w:color w:val="000000" w:themeColor="text1"/>
          <w:sz w:val="22"/>
          <w:szCs w:val="22"/>
        </w:rPr>
        <w:t>mstrong, Winder</w:t>
      </w:r>
      <w:r w:rsidR="000A0765">
        <w:rPr>
          <w:rFonts w:ascii="Arial Narrow" w:hAnsi="Arial Narrow"/>
          <w:color w:val="000000" w:themeColor="text1"/>
          <w:sz w:val="22"/>
          <w:szCs w:val="22"/>
        </w:rPr>
        <w:t xml:space="preserve">, </w:t>
      </w:r>
      <w:r w:rsidR="00266ABA" w:rsidRPr="0026137D">
        <w:rPr>
          <w:rFonts w:ascii="Arial Narrow" w:hAnsi="Arial Narrow"/>
          <w:color w:val="000000" w:themeColor="text1"/>
          <w:sz w:val="22"/>
          <w:szCs w:val="22"/>
        </w:rPr>
        <w:t>Wallis, 2006</w:t>
      </w:r>
      <w:r w:rsidRPr="0026137D">
        <w:rPr>
          <w:rFonts w:ascii="Arial Narrow" w:hAnsi="Arial Narrow"/>
          <w:color w:val="000000" w:themeColor="text1"/>
          <w:sz w:val="22"/>
          <w:szCs w:val="22"/>
        </w:rPr>
        <w:t>).</w:t>
      </w:r>
      <w:r w:rsidR="005578D7" w:rsidRPr="0026137D">
        <w:rPr>
          <w:rFonts w:ascii="Arial Narrow" w:hAnsi="Arial Narrow"/>
          <w:color w:val="000000" w:themeColor="text1"/>
          <w:sz w:val="22"/>
          <w:szCs w:val="22"/>
        </w:rPr>
        <w:t xml:space="preserve"> Other targeted approaches rely on the data from the National House Condition Surveys (HCS) which relies on a small sample size. </w:t>
      </w:r>
      <w:r w:rsidR="009F0342" w:rsidRPr="0026137D">
        <w:rPr>
          <w:rFonts w:ascii="Arial Narrow" w:hAnsi="Arial Narrow"/>
          <w:color w:val="000000" w:themeColor="text1"/>
          <w:sz w:val="22"/>
          <w:szCs w:val="22"/>
        </w:rPr>
        <w:t xml:space="preserve">There has been a move toward area-based targeting schemes that use large datasets such as the UK Census. By determining variables that infer risk of fuel poverty it is possible to identify and target resources to those in greatest need. For instance, Baker et al (2003) created a </w:t>
      </w:r>
      <w:r w:rsidR="000A0765">
        <w:rPr>
          <w:rFonts w:ascii="Arial Narrow" w:hAnsi="Arial Narrow"/>
          <w:color w:val="000000" w:themeColor="text1"/>
          <w:sz w:val="22"/>
          <w:szCs w:val="22"/>
        </w:rPr>
        <w:t>f</w:t>
      </w:r>
      <w:r w:rsidR="009F0342" w:rsidRPr="0026137D">
        <w:rPr>
          <w:rFonts w:ascii="Arial Narrow" w:hAnsi="Arial Narrow"/>
          <w:color w:val="000000" w:themeColor="text1"/>
          <w:sz w:val="22"/>
          <w:szCs w:val="22"/>
        </w:rPr>
        <w:t xml:space="preserve">uel </w:t>
      </w:r>
      <w:r w:rsidR="000A0765">
        <w:rPr>
          <w:rFonts w:ascii="Arial Narrow" w:hAnsi="Arial Narrow"/>
          <w:color w:val="000000" w:themeColor="text1"/>
          <w:sz w:val="22"/>
          <w:szCs w:val="22"/>
        </w:rPr>
        <w:t>p</w:t>
      </w:r>
      <w:r w:rsidR="009F0342" w:rsidRPr="0026137D">
        <w:rPr>
          <w:rFonts w:ascii="Arial Narrow" w:hAnsi="Arial Narrow"/>
          <w:color w:val="000000" w:themeColor="text1"/>
          <w:sz w:val="22"/>
          <w:szCs w:val="22"/>
        </w:rPr>
        <w:t xml:space="preserve">overty </w:t>
      </w:r>
      <w:r w:rsidR="000A0765">
        <w:rPr>
          <w:rFonts w:ascii="Arial Narrow" w:hAnsi="Arial Narrow"/>
          <w:color w:val="000000" w:themeColor="text1"/>
          <w:sz w:val="22"/>
          <w:szCs w:val="22"/>
        </w:rPr>
        <w:t>i</w:t>
      </w:r>
      <w:r w:rsidR="009F0342" w:rsidRPr="0026137D">
        <w:rPr>
          <w:rFonts w:ascii="Arial Narrow" w:hAnsi="Arial Narrow"/>
          <w:color w:val="000000" w:themeColor="text1"/>
          <w:sz w:val="22"/>
          <w:szCs w:val="22"/>
        </w:rPr>
        <w:t>ndicator for England using socio-economic variables from the UK Census to predict the number of fuel poor households at ward level (approx. 2</w:t>
      </w:r>
      <w:r w:rsidR="000A0765">
        <w:rPr>
          <w:rFonts w:ascii="Arial Narrow" w:hAnsi="Arial Narrow"/>
          <w:color w:val="000000" w:themeColor="text1"/>
          <w:sz w:val="22"/>
          <w:szCs w:val="22"/>
        </w:rPr>
        <w:t>,</w:t>
      </w:r>
      <w:r w:rsidR="009F0342" w:rsidRPr="0026137D">
        <w:rPr>
          <w:rFonts w:ascii="Arial Narrow" w:hAnsi="Arial Narrow"/>
          <w:color w:val="000000" w:themeColor="text1"/>
          <w:sz w:val="22"/>
          <w:szCs w:val="22"/>
        </w:rPr>
        <w:t xml:space="preserve">500 households). A similar approach was adopted by Morrison and Shortt (2008) in Scotland using additional fine scale household data to refine targeting to Output Area level (approx. </w:t>
      </w:r>
      <w:r w:rsidR="005F02DE" w:rsidRPr="0026137D">
        <w:rPr>
          <w:rFonts w:ascii="Arial Narrow" w:hAnsi="Arial Narrow"/>
          <w:color w:val="000000" w:themeColor="text1"/>
          <w:sz w:val="22"/>
          <w:szCs w:val="22"/>
        </w:rPr>
        <w:t>60 households</w:t>
      </w:r>
      <w:r w:rsidR="00DC1F4C">
        <w:rPr>
          <w:rFonts w:ascii="Arial Narrow" w:hAnsi="Arial Narrow"/>
          <w:color w:val="000000" w:themeColor="text1"/>
          <w:sz w:val="22"/>
          <w:szCs w:val="22"/>
        </w:rPr>
        <w:t xml:space="preserve"> in Scotland</w:t>
      </w:r>
      <w:r w:rsidR="005F02DE" w:rsidRPr="0026137D">
        <w:rPr>
          <w:rFonts w:ascii="Arial Narrow" w:hAnsi="Arial Narrow"/>
          <w:color w:val="000000" w:themeColor="text1"/>
          <w:sz w:val="22"/>
          <w:szCs w:val="22"/>
        </w:rPr>
        <w:t xml:space="preserve">). The potential to integrate a range of pertinent datasets in a coherent framework is facilitated by the use of Geographic Information Systems (GIS). </w:t>
      </w:r>
      <w:r w:rsidR="008A2BC3" w:rsidRPr="0026137D">
        <w:rPr>
          <w:rFonts w:ascii="Arial Narrow" w:hAnsi="Arial Narrow"/>
          <w:color w:val="000000" w:themeColor="text1"/>
          <w:sz w:val="22"/>
          <w:szCs w:val="22"/>
        </w:rPr>
        <w:t>G</w:t>
      </w:r>
      <w:r w:rsidR="00DC1F4C">
        <w:rPr>
          <w:rFonts w:ascii="Arial Narrow" w:hAnsi="Arial Narrow"/>
          <w:color w:val="000000" w:themeColor="text1"/>
          <w:sz w:val="22"/>
          <w:szCs w:val="22"/>
        </w:rPr>
        <w:t>I</w:t>
      </w:r>
      <w:r w:rsidR="008A2BC3" w:rsidRPr="0026137D">
        <w:rPr>
          <w:rFonts w:ascii="Arial Narrow" w:hAnsi="Arial Narrow"/>
          <w:color w:val="000000" w:themeColor="text1"/>
          <w:sz w:val="22"/>
          <w:szCs w:val="22"/>
        </w:rPr>
        <w:t xml:space="preserve">S is computer-based software </w:t>
      </w:r>
      <w:r w:rsidR="008A2BC3" w:rsidRPr="0026137D">
        <w:rPr>
          <w:rFonts w:ascii="Arial Narrow" w:hAnsi="Arial Narrow"/>
          <w:color w:val="000000" w:themeColor="text1"/>
          <w:sz w:val="22"/>
          <w:szCs w:val="22"/>
        </w:rPr>
        <w:lastRenderedPageBreak/>
        <w:t>designed to collect, store, analyse, visualise and share spatial data. GIS enables a range of data to be integrated and combined into a coherent spatial framework. The ability of GIS to integrate spatial data into one location means it is well placed to integrate socio-economic variables that are potential indicators of fuel poverty (</w:t>
      </w:r>
      <w:r w:rsidRPr="0026137D">
        <w:rPr>
          <w:rFonts w:ascii="Arial Narrow" w:hAnsi="Arial Narrow"/>
          <w:color w:val="000000" w:themeColor="text1"/>
          <w:sz w:val="22"/>
          <w:szCs w:val="22"/>
        </w:rPr>
        <w:t xml:space="preserve">Liddell, Morris, McKenzie, </w:t>
      </w:r>
      <w:r w:rsidR="008A2BC3" w:rsidRPr="0026137D">
        <w:rPr>
          <w:rFonts w:ascii="Arial Narrow" w:hAnsi="Arial Narrow"/>
          <w:color w:val="000000" w:themeColor="text1"/>
          <w:sz w:val="22"/>
          <w:szCs w:val="22"/>
        </w:rPr>
        <w:t>Rae</w:t>
      </w:r>
      <w:r w:rsidRPr="0026137D">
        <w:rPr>
          <w:rFonts w:ascii="Arial Narrow" w:hAnsi="Arial Narrow"/>
          <w:color w:val="000000" w:themeColor="text1"/>
          <w:sz w:val="22"/>
          <w:szCs w:val="22"/>
        </w:rPr>
        <w:t>, 2011)</w:t>
      </w:r>
      <w:r w:rsidR="008A2BC3" w:rsidRPr="0026137D">
        <w:rPr>
          <w:rFonts w:ascii="Arial Narrow" w:hAnsi="Arial Narrow"/>
          <w:color w:val="000000" w:themeColor="text1"/>
          <w:sz w:val="22"/>
          <w:szCs w:val="22"/>
        </w:rPr>
        <w:t xml:space="preserve">. </w:t>
      </w:r>
      <w:r w:rsidR="0026137D" w:rsidRPr="0026137D">
        <w:rPr>
          <w:rFonts w:ascii="Arial Narrow" w:hAnsi="Arial Narrow"/>
          <w:color w:val="000000" w:themeColor="text1"/>
          <w:sz w:val="22"/>
          <w:szCs w:val="22"/>
        </w:rPr>
        <w:t xml:space="preserve">To date, area-based targeting using GIS has been highly effective in identifying those in greatest need of assistance. By using an area-based targeting system, </w:t>
      </w:r>
      <w:r w:rsidR="000A0765">
        <w:rPr>
          <w:rFonts w:ascii="Arial Narrow" w:hAnsi="Arial Narrow"/>
          <w:color w:val="000000" w:themeColor="text1"/>
          <w:sz w:val="22"/>
          <w:szCs w:val="22"/>
        </w:rPr>
        <w:t xml:space="preserve">policy makers are </w:t>
      </w:r>
      <w:r w:rsidR="0026137D" w:rsidRPr="0026137D">
        <w:rPr>
          <w:rFonts w:ascii="Arial Narrow" w:hAnsi="Arial Narrow"/>
          <w:color w:val="000000" w:themeColor="text1"/>
          <w:sz w:val="22"/>
          <w:szCs w:val="22"/>
        </w:rPr>
        <w:t xml:space="preserve">able to efficiently identify those </w:t>
      </w:r>
      <w:r w:rsidR="00DC1F4C">
        <w:rPr>
          <w:rFonts w:ascii="Arial Narrow" w:hAnsi="Arial Narrow"/>
          <w:color w:val="000000" w:themeColor="text1"/>
          <w:sz w:val="22"/>
          <w:szCs w:val="22"/>
        </w:rPr>
        <w:t xml:space="preserve">households </w:t>
      </w:r>
      <w:r w:rsidR="0026137D" w:rsidRPr="0026137D">
        <w:rPr>
          <w:rFonts w:ascii="Arial Narrow" w:hAnsi="Arial Narrow"/>
          <w:color w:val="000000" w:themeColor="text1"/>
          <w:sz w:val="22"/>
          <w:szCs w:val="22"/>
        </w:rPr>
        <w:t xml:space="preserve">in greatest need in order to target funding. </w:t>
      </w:r>
    </w:p>
    <w:p w14:paraId="68C1768D" w14:textId="23B95F6F" w:rsidR="00337148" w:rsidRDefault="00337148" w:rsidP="00337148">
      <w:pPr>
        <w:rPr>
          <w:rFonts w:ascii="Arial Narrow" w:hAnsi="Arial Narrow"/>
          <w:color w:val="FF0000"/>
          <w:sz w:val="22"/>
          <w:szCs w:val="22"/>
        </w:rPr>
      </w:pPr>
    </w:p>
    <w:p w14:paraId="198EFD84" w14:textId="78496F63" w:rsidR="0026137D" w:rsidRPr="00945B94" w:rsidRDefault="00945B94" w:rsidP="00337148">
      <w:pPr>
        <w:rPr>
          <w:rFonts w:ascii="Arial Narrow" w:hAnsi="Arial Narrow"/>
          <w:b/>
          <w:color w:val="000000" w:themeColor="text1"/>
          <w:sz w:val="22"/>
          <w:szCs w:val="22"/>
        </w:rPr>
      </w:pPr>
      <w:r w:rsidRPr="00945B94">
        <w:rPr>
          <w:rFonts w:ascii="Arial Narrow" w:hAnsi="Arial Narrow"/>
          <w:b/>
          <w:color w:val="000000" w:themeColor="text1"/>
          <w:sz w:val="22"/>
          <w:szCs w:val="22"/>
        </w:rPr>
        <w:t>Developing a fuel-poverty risk map for Northern Ireland</w:t>
      </w:r>
    </w:p>
    <w:p w14:paraId="45F32EC0" w14:textId="3C687805" w:rsidR="00EB05A3" w:rsidRDefault="00945B94" w:rsidP="003F712B">
      <w:pPr>
        <w:rPr>
          <w:rFonts w:ascii="Arial Narrow" w:hAnsi="Arial Narrow"/>
          <w:color w:val="000000" w:themeColor="text1"/>
          <w:sz w:val="22"/>
          <w:szCs w:val="22"/>
        </w:rPr>
      </w:pPr>
      <w:r>
        <w:rPr>
          <w:rFonts w:ascii="Arial Narrow" w:hAnsi="Arial Narrow"/>
          <w:color w:val="000000" w:themeColor="text1"/>
          <w:sz w:val="22"/>
          <w:szCs w:val="22"/>
        </w:rPr>
        <w:t xml:space="preserve">The area-based targeting approach for Northern Ireland </w:t>
      </w:r>
      <w:r w:rsidR="001A64AF">
        <w:rPr>
          <w:rFonts w:ascii="Arial Narrow" w:hAnsi="Arial Narrow"/>
          <w:color w:val="000000" w:themeColor="text1"/>
          <w:sz w:val="22"/>
          <w:szCs w:val="22"/>
        </w:rPr>
        <w:t xml:space="preserve">was </w:t>
      </w:r>
      <w:r>
        <w:rPr>
          <w:rFonts w:ascii="Arial Narrow" w:hAnsi="Arial Narrow"/>
          <w:color w:val="000000" w:themeColor="text1"/>
          <w:sz w:val="22"/>
          <w:szCs w:val="22"/>
        </w:rPr>
        <w:t>focussed on Census Output Areas (</w:t>
      </w:r>
      <w:r w:rsidR="00C56D2C">
        <w:rPr>
          <w:rFonts w:ascii="Arial Narrow" w:hAnsi="Arial Narrow"/>
          <w:color w:val="000000" w:themeColor="text1"/>
          <w:sz w:val="22"/>
          <w:szCs w:val="22"/>
        </w:rPr>
        <w:t>C</w:t>
      </w:r>
      <w:r>
        <w:rPr>
          <w:rFonts w:ascii="Arial Narrow" w:hAnsi="Arial Narrow"/>
          <w:color w:val="000000" w:themeColor="text1"/>
          <w:sz w:val="22"/>
          <w:szCs w:val="22"/>
        </w:rPr>
        <w:t xml:space="preserve">OAs) in 2011 </w:t>
      </w:r>
      <w:r w:rsidR="001A64AF">
        <w:rPr>
          <w:rFonts w:ascii="Arial Narrow" w:hAnsi="Arial Narrow"/>
          <w:color w:val="000000" w:themeColor="text1"/>
          <w:sz w:val="22"/>
          <w:szCs w:val="22"/>
        </w:rPr>
        <w:t xml:space="preserve">with </w:t>
      </w:r>
      <w:r>
        <w:rPr>
          <w:rFonts w:ascii="Arial Narrow" w:hAnsi="Arial Narrow"/>
          <w:color w:val="000000" w:themeColor="text1"/>
          <w:sz w:val="22"/>
          <w:szCs w:val="22"/>
        </w:rPr>
        <w:t xml:space="preserve">an average of 125 households </w:t>
      </w:r>
      <w:r w:rsidR="001A64AF">
        <w:rPr>
          <w:rFonts w:ascii="Arial Narrow" w:hAnsi="Arial Narrow"/>
          <w:color w:val="000000" w:themeColor="text1"/>
          <w:sz w:val="22"/>
          <w:szCs w:val="22"/>
        </w:rPr>
        <w:t xml:space="preserve">for each </w:t>
      </w:r>
      <w:r w:rsidR="00C56D2C">
        <w:rPr>
          <w:rFonts w:ascii="Arial Narrow" w:hAnsi="Arial Narrow"/>
          <w:color w:val="000000" w:themeColor="text1"/>
          <w:sz w:val="22"/>
          <w:szCs w:val="22"/>
        </w:rPr>
        <w:t>C</w:t>
      </w:r>
      <w:r w:rsidR="001A64AF">
        <w:rPr>
          <w:rFonts w:ascii="Arial Narrow" w:hAnsi="Arial Narrow"/>
          <w:color w:val="000000" w:themeColor="text1"/>
          <w:sz w:val="22"/>
          <w:szCs w:val="22"/>
        </w:rPr>
        <w:t xml:space="preserve">OA. </w:t>
      </w:r>
      <w:r w:rsidR="002F6F43">
        <w:rPr>
          <w:rFonts w:ascii="Arial Narrow" w:hAnsi="Arial Narrow"/>
          <w:color w:val="000000" w:themeColor="text1"/>
          <w:sz w:val="22"/>
          <w:szCs w:val="22"/>
        </w:rPr>
        <w:t xml:space="preserve">Two </w:t>
      </w:r>
      <w:r w:rsidR="001A64AF">
        <w:rPr>
          <w:rFonts w:ascii="Arial Narrow" w:hAnsi="Arial Narrow"/>
          <w:color w:val="000000" w:themeColor="text1"/>
          <w:sz w:val="22"/>
          <w:szCs w:val="22"/>
        </w:rPr>
        <w:t xml:space="preserve">groups of data were integrated for each </w:t>
      </w:r>
      <w:r w:rsidR="00C56D2C">
        <w:rPr>
          <w:rFonts w:ascii="Arial Narrow" w:hAnsi="Arial Narrow"/>
          <w:color w:val="000000" w:themeColor="text1"/>
          <w:sz w:val="22"/>
          <w:szCs w:val="22"/>
        </w:rPr>
        <w:t>C</w:t>
      </w:r>
      <w:r w:rsidR="001A64AF">
        <w:rPr>
          <w:rFonts w:ascii="Arial Narrow" w:hAnsi="Arial Narrow"/>
          <w:color w:val="000000" w:themeColor="text1"/>
          <w:sz w:val="22"/>
          <w:szCs w:val="22"/>
        </w:rPr>
        <w:t xml:space="preserve">OA in Northern Ireland (N=5,022) relating to </w:t>
      </w:r>
      <w:r w:rsidR="002F6F43">
        <w:rPr>
          <w:rFonts w:ascii="Arial Narrow" w:hAnsi="Arial Narrow"/>
          <w:color w:val="000000" w:themeColor="text1"/>
          <w:sz w:val="22"/>
          <w:szCs w:val="22"/>
        </w:rPr>
        <w:t xml:space="preserve">housing and poverty </w:t>
      </w:r>
      <w:r w:rsidR="001A64AF">
        <w:rPr>
          <w:rFonts w:ascii="Arial Narrow" w:hAnsi="Arial Narrow"/>
          <w:color w:val="000000" w:themeColor="text1"/>
          <w:sz w:val="22"/>
          <w:szCs w:val="22"/>
        </w:rPr>
        <w:t xml:space="preserve">(Walker, </w:t>
      </w:r>
      <w:r w:rsidR="002F6F43" w:rsidRPr="001A64AF">
        <w:rPr>
          <w:rFonts w:ascii="Arial Narrow" w:hAnsi="Arial Narrow"/>
          <w:color w:val="000000" w:themeColor="text1"/>
          <w:sz w:val="22"/>
          <w:szCs w:val="22"/>
        </w:rPr>
        <w:t>Liddell</w:t>
      </w:r>
      <w:r w:rsidR="002F6F43">
        <w:rPr>
          <w:rFonts w:ascii="Arial Narrow" w:hAnsi="Arial Narrow"/>
          <w:color w:val="000000" w:themeColor="text1"/>
          <w:sz w:val="22"/>
          <w:szCs w:val="22"/>
        </w:rPr>
        <w:t>,</w:t>
      </w:r>
      <w:r w:rsidR="002F6F43" w:rsidRPr="001A64AF">
        <w:rPr>
          <w:rFonts w:ascii="Arial Narrow" w:hAnsi="Arial Narrow"/>
          <w:color w:val="000000" w:themeColor="text1"/>
          <w:sz w:val="22"/>
          <w:szCs w:val="22"/>
        </w:rPr>
        <w:t xml:space="preserve"> </w:t>
      </w:r>
      <w:r w:rsidR="001A64AF" w:rsidRPr="001A64AF">
        <w:rPr>
          <w:rFonts w:ascii="Arial Narrow" w:hAnsi="Arial Narrow"/>
          <w:color w:val="000000" w:themeColor="text1"/>
          <w:sz w:val="22"/>
          <w:szCs w:val="22"/>
        </w:rPr>
        <w:t>McKenzie, Morris,</w:t>
      </w:r>
      <w:r w:rsidR="001A64AF">
        <w:rPr>
          <w:rFonts w:ascii="Arial Narrow" w:hAnsi="Arial Narrow"/>
          <w:color w:val="000000" w:themeColor="text1"/>
          <w:sz w:val="22"/>
          <w:szCs w:val="22"/>
        </w:rPr>
        <w:t xml:space="preserve"> 201</w:t>
      </w:r>
      <w:r w:rsidR="002F6F43">
        <w:rPr>
          <w:rFonts w:ascii="Arial Narrow" w:hAnsi="Arial Narrow"/>
          <w:color w:val="000000" w:themeColor="text1"/>
          <w:sz w:val="22"/>
          <w:szCs w:val="22"/>
        </w:rPr>
        <w:t>3</w:t>
      </w:r>
      <w:r w:rsidR="001A64AF">
        <w:rPr>
          <w:rFonts w:ascii="Arial Narrow" w:hAnsi="Arial Narrow"/>
          <w:color w:val="000000" w:themeColor="text1"/>
          <w:sz w:val="22"/>
          <w:szCs w:val="22"/>
        </w:rPr>
        <w:t xml:space="preserve">). </w:t>
      </w:r>
    </w:p>
    <w:p w14:paraId="464BDD63" w14:textId="77777777" w:rsidR="002F6F43" w:rsidRDefault="002F6F43" w:rsidP="003F712B">
      <w:pPr>
        <w:rPr>
          <w:rFonts w:ascii="Arial Narrow" w:hAnsi="Arial Narrow"/>
          <w:color w:val="000000" w:themeColor="text1"/>
          <w:sz w:val="22"/>
          <w:szCs w:val="22"/>
        </w:rPr>
      </w:pPr>
    </w:p>
    <w:p w14:paraId="1D55596A" w14:textId="76E8F580" w:rsidR="00EB05A3" w:rsidRDefault="002F6F43" w:rsidP="00AC1E4F">
      <w:pPr>
        <w:rPr>
          <w:rFonts w:ascii="Arial Narrow" w:hAnsi="Arial Narrow"/>
          <w:color w:val="000000" w:themeColor="text1"/>
          <w:sz w:val="22"/>
          <w:szCs w:val="22"/>
        </w:rPr>
      </w:pPr>
      <w:r>
        <w:rPr>
          <w:rFonts w:ascii="Arial Narrow" w:hAnsi="Arial Narrow"/>
          <w:color w:val="000000" w:themeColor="text1"/>
          <w:sz w:val="22"/>
          <w:szCs w:val="22"/>
        </w:rPr>
        <w:t xml:space="preserve">The housing element accounted for a range of household characteristics that were related to fuel poverty. Data from Land and Property Services (LPS, </w:t>
      </w:r>
      <w:r w:rsidRPr="002F6F43">
        <w:rPr>
          <w:rFonts w:ascii="Arial Narrow" w:hAnsi="Arial Narrow"/>
          <w:color w:val="000000" w:themeColor="text1"/>
          <w:sz w:val="22"/>
          <w:szCs w:val="22"/>
        </w:rPr>
        <w:t>Northern Ireland Mapping Agreement, MOU 203</w:t>
      </w:r>
      <w:r>
        <w:rPr>
          <w:rFonts w:ascii="Arial Narrow" w:hAnsi="Arial Narrow"/>
          <w:color w:val="000000" w:themeColor="text1"/>
          <w:sz w:val="22"/>
          <w:szCs w:val="22"/>
        </w:rPr>
        <w:t xml:space="preserve">) were used to measure the size, value, type and age of each domestic property. Small, terraced homes that were built more recently </w:t>
      </w:r>
      <w:r w:rsidR="00C56D2C">
        <w:rPr>
          <w:rFonts w:ascii="Arial Narrow" w:hAnsi="Arial Narrow"/>
          <w:color w:val="000000" w:themeColor="text1"/>
          <w:sz w:val="22"/>
          <w:szCs w:val="22"/>
        </w:rPr>
        <w:t>we</w:t>
      </w:r>
      <w:r>
        <w:rPr>
          <w:rFonts w:ascii="Arial Narrow" w:hAnsi="Arial Narrow"/>
          <w:color w:val="000000" w:themeColor="text1"/>
          <w:sz w:val="22"/>
          <w:szCs w:val="22"/>
        </w:rPr>
        <w:t xml:space="preserve">re considered to have less energy costs than large, detached homes. In addition to measures on the property, a ‘heating burden’ metric was calculated based on two locational factors. </w:t>
      </w:r>
      <w:r w:rsidR="00AC1E4F">
        <w:rPr>
          <w:rFonts w:ascii="Arial Narrow" w:hAnsi="Arial Narrow"/>
          <w:color w:val="000000" w:themeColor="text1"/>
          <w:sz w:val="22"/>
          <w:szCs w:val="22"/>
        </w:rPr>
        <w:t xml:space="preserve">Each household was assigned a value based on its </w:t>
      </w:r>
      <w:r w:rsidR="00EB05A3">
        <w:rPr>
          <w:rFonts w:ascii="Arial Narrow" w:hAnsi="Arial Narrow"/>
          <w:color w:val="000000" w:themeColor="text1"/>
          <w:sz w:val="22"/>
          <w:szCs w:val="22"/>
        </w:rPr>
        <w:t>elevation above sea-level</w:t>
      </w:r>
      <w:r w:rsidR="00AC1E4F">
        <w:rPr>
          <w:rFonts w:ascii="Arial Narrow" w:hAnsi="Arial Narrow"/>
          <w:color w:val="000000" w:themeColor="text1"/>
          <w:sz w:val="22"/>
          <w:szCs w:val="22"/>
        </w:rPr>
        <w:t xml:space="preserve"> and </w:t>
      </w:r>
      <w:r w:rsidR="00EB05A3">
        <w:rPr>
          <w:rFonts w:ascii="Arial Narrow" w:hAnsi="Arial Narrow"/>
          <w:color w:val="000000" w:themeColor="text1"/>
          <w:sz w:val="22"/>
          <w:szCs w:val="22"/>
        </w:rPr>
        <w:t>the mean winter temperature for th</w:t>
      </w:r>
      <w:r w:rsidR="00AC1E4F">
        <w:rPr>
          <w:rFonts w:ascii="Arial Narrow" w:hAnsi="Arial Narrow"/>
          <w:color w:val="000000" w:themeColor="text1"/>
          <w:sz w:val="22"/>
          <w:szCs w:val="22"/>
        </w:rPr>
        <w:t xml:space="preserve">at location. </w:t>
      </w:r>
      <w:r w:rsidR="00EB05A3">
        <w:rPr>
          <w:rFonts w:ascii="Arial Narrow" w:hAnsi="Arial Narrow"/>
          <w:color w:val="000000" w:themeColor="text1"/>
          <w:sz w:val="22"/>
          <w:szCs w:val="22"/>
        </w:rPr>
        <w:t xml:space="preserve">A second measure of heating burden was calculated by determining the cost of 300 litres of home heating oil (HHO) from </w:t>
      </w:r>
      <w:r>
        <w:rPr>
          <w:rFonts w:ascii="Arial Narrow" w:hAnsi="Arial Narrow"/>
          <w:color w:val="000000" w:themeColor="text1"/>
          <w:sz w:val="22"/>
          <w:szCs w:val="22"/>
        </w:rPr>
        <w:t>131</w:t>
      </w:r>
      <w:r w:rsidR="00EB05A3">
        <w:rPr>
          <w:rFonts w:ascii="Arial Narrow" w:hAnsi="Arial Narrow"/>
          <w:color w:val="000000" w:themeColor="text1"/>
          <w:sz w:val="22"/>
          <w:szCs w:val="22"/>
        </w:rPr>
        <w:t xml:space="preserve"> suppliers. </w:t>
      </w:r>
      <w:r w:rsidR="003B71C7">
        <w:rPr>
          <w:rFonts w:ascii="Arial Narrow" w:hAnsi="Arial Narrow"/>
          <w:color w:val="000000" w:themeColor="text1"/>
          <w:sz w:val="22"/>
          <w:szCs w:val="22"/>
        </w:rPr>
        <w:t>These measures were combined to identify homes that may experience cold winter temperatures and high winter HHO costs</w:t>
      </w:r>
      <w:r w:rsidR="004B3DAA">
        <w:rPr>
          <w:rFonts w:ascii="Arial Narrow" w:hAnsi="Arial Narrow"/>
          <w:color w:val="000000" w:themeColor="text1"/>
          <w:sz w:val="22"/>
          <w:szCs w:val="22"/>
        </w:rPr>
        <w:t xml:space="preserve"> (Figure 1)</w:t>
      </w:r>
      <w:r w:rsidR="003B71C7">
        <w:rPr>
          <w:rFonts w:ascii="Arial Narrow" w:hAnsi="Arial Narrow"/>
          <w:color w:val="000000" w:themeColor="text1"/>
          <w:sz w:val="22"/>
          <w:szCs w:val="22"/>
        </w:rPr>
        <w:t xml:space="preserve">. </w:t>
      </w:r>
      <w:r w:rsidR="00AC1E4F">
        <w:rPr>
          <w:rFonts w:ascii="Arial Narrow" w:hAnsi="Arial Narrow"/>
          <w:color w:val="000000" w:themeColor="text1"/>
          <w:sz w:val="22"/>
          <w:szCs w:val="22"/>
        </w:rPr>
        <w:t xml:space="preserve">The housing element also took account of the presence of gas in each </w:t>
      </w:r>
      <w:r w:rsidR="00C56D2C">
        <w:rPr>
          <w:rFonts w:ascii="Arial Narrow" w:hAnsi="Arial Narrow"/>
          <w:color w:val="000000" w:themeColor="text1"/>
          <w:sz w:val="22"/>
          <w:szCs w:val="22"/>
        </w:rPr>
        <w:t>C</w:t>
      </w:r>
      <w:r w:rsidR="00AC1E4F">
        <w:rPr>
          <w:rFonts w:ascii="Arial Narrow" w:hAnsi="Arial Narrow"/>
          <w:color w:val="000000" w:themeColor="text1"/>
          <w:sz w:val="22"/>
          <w:szCs w:val="22"/>
        </w:rPr>
        <w:t xml:space="preserve">OA. </w:t>
      </w:r>
    </w:p>
    <w:p w14:paraId="79398FE0" w14:textId="77777777" w:rsidR="003B71C7" w:rsidRDefault="003B71C7" w:rsidP="003F712B">
      <w:pPr>
        <w:rPr>
          <w:rFonts w:ascii="Arial Narrow" w:hAnsi="Arial Narrow"/>
          <w:color w:val="000000" w:themeColor="text1"/>
          <w:sz w:val="22"/>
          <w:szCs w:val="22"/>
        </w:rPr>
      </w:pPr>
    </w:p>
    <w:p w14:paraId="3B8ECB5B" w14:textId="25E04B88" w:rsidR="003B71C7" w:rsidRDefault="004B3DAA" w:rsidP="003F712B">
      <w:pPr>
        <w:rPr>
          <w:rFonts w:ascii="Arial Narrow" w:hAnsi="Arial Narrow"/>
          <w:noProof/>
          <w:color w:val="000000" w:themeColor="text1"/>
          <w:sz w:val="22"/>
          <w:szCs w:val="22"/>
          <w:lang w:eastAsia="en-GB"/>
        </w:rPr>
      </w:pPr>
      <w:r>
        <w:rPr>
          <w:rFonts w:ascii="Arial Narrow" w:hAnsi="Arial Narrow"/>
          <w:noProof/>
          <w:color w:val="000000" w:themeColor="text1"/>
          <w:sz w:val="22"/>
          <w:szCs w:val="22"/>
          <w:lang w:eastAsia="en-GB"/>
        </w:rPr>
        <w:drawing>
          <wp:inline distT="0" distB="0" distL="0" distR="0" wp14:anchorId="28BE6677" wp14:editId="40A1214D">
            <wp:extent cx="6336030" cy="4473575"/>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8">
                      <a:extLst>
                        <a:ext uri="{28A0092B-C50C-407E-A947-70E740481C1C}">
                          <a14:useLocalDpi xmlns:a14="http://schemas.microsoft.com/office/drawing/2010/main" val="0"/>
                        </a:ext>
                      </a:extLst>
                    </a:blip>
                    <a:stretch>
                      <a:fillRect/>
                    </a:stretch>
                  </pic:blipFill>
                  <pic:spPr>
                    <a:xfrm>
                      <a:off x="0" y="0"/>
                      <a:ext cx="6336030" cy="4473575"/>
                    </a:xfrm>
                    <a:prstGeom prst="rect">
                      <a:avLst/>
                    </a:prstGeom>
                  </pic:spPr>
                </pic:pic>
              </a:graphicData>
            </a:graphic>
          </wp:inline>
        </w:drawing>
      </w:r>
    </w:p>
    <w:p w14:paraId="30518999" w14:textId="02126712" w:rsidR="003B71C7" w:rsidRDefault="004B3DAA" w:rsidP="003F712B">
      <w:pPr>
        <w:rPr>
          <w:rFonts w:ascii="Arial Narrow" w:hAnsi="Arial Narrow"/>
          <w:color w:val="000000" w:themeColor="text1"/>
          <w:sz w:val="22"/>
          <w:szCs w:val="22"/>
        </w:rPr>
      </w:pPr>
      <w:r>
        <w:rPr>
          <w:rFonts w:ascii="Arial Narrow" w:hAnsi="Arial Narrow"/>
          <w:color w:val="000000" w:themeColor="text1"/>
          <w:sz w:val="22"/>
          <w:szCs w:val="22"/>
        </w:rPr>
        <w:t>Figure 1: Combined fuel price and temperature metric (</w:t>
      </w:r>
      <w:r w:rsidR="00B748DC">
        <w:rPr>
          <w:rFonts w:ascii="Arial Narrow" w:hAnsi="Arial Narrow"/>
          <w:color w:val="000000" w:themeColor="text1"/>
          <w:sz w:val="22"/>
          <w:szCs w:val="22"/>
        </w:rPr>
        <w:t>Adapted from</w:t>
      </w:r>
      <w:r>
        <w:rPr>
          <w:rFonts w:ascii="Arial Narrow" w:hAnsi="Arial Narrow"/>
          <w:color w:val="000000" w:themeColor="text1"/>
          <w:sz w:val="22"/>
          <w:szCs w:val="22"/>
        </w:rPr>
        <w:t>: Walker</w:t>
      </w:r>
      <w:r w:rsidR="002F6F43">
        <w:rPr>
          <w:rFonts w:ascii="Arial Narrow" w:hAnsi="Arial Narrow"/>
          <w:color w:val="000000" w:themeColor="text1"/>
          <w:sz w:val="22"/>
          <w:szCs w:val="22"/>
        </w:rPr>
        <w:t>, McKenzie, Liddell, Morris</w:t>
      </w:r>
      <w:r>
        <w:rPr>
          <w:rFonts w:ascii="Arial Narrow" w:hAnsi="Arial Narrow"/>
          <w:color w:val="000000" w:themeColor="text1"/>
          <w:sz w:val="22"/>
          <w:szCs w:val="22"/>
        </w:rPr>
        <w:t xml:space="preserve">, 2012). </w:t>
      </w:r>
    </w:p>
    <w:p w14:paraId="095F4178" w14:textId="0D768EE2" w:rsidR="00E41C92" w:rsidRDefault="00AC1E4F" w:rsidP="00AC1E4F">
      <w:pPr>
        <w:spacing w:after="0" w:line="240" w:lineRule="auto"/>
        <w:rPr>
          <w:rFonts w:ascii="Arial Narrow" w:hAnsi="Arial Narrow"/>
          <w:color w:val="000000" w:themeColor="text1"/>
          <w:sz w:val="22"/>
          <w:szCs w:val="22"/>
        </w:rPr>
      </w:pPr>
      <w:r>
        <w:rPr>
          <w:rFonts w:ascii="Arial Narrow" w:hAnsi="Arial Narrow"/>
          <w:color w:val="000000" w:themeColor="text1"/>
          <w:sz w:val="22"/>
          <w:szCs w:val="22"/>
        </w:rPr>
        <w:lastRenderedPageBreak/>
        <w:t xml:space="preserve">Social vulnerability, or the poverty measure, was calculated based on socio-economic datasets. A range of data, such as Housing Benefit or Jobseeker’s Allowance, were obtained from </w:t>
      </w:r>
      <w:r w:rsidRPr="00AC1E4F">
        <w:rPr>
          <w:rFonts w:ascii="Arial Narrow" w:hAnsi="Arial Narrow"/>
          <w:color w:val="000000" w:themeColor="text1"/>
          <w:sz w:val="22"/>
          <w:szCs w:val="22"/>
        </w:rPr>
        <w:t>the Northern Ireland Neighbourhood Information Service (NINIS</w:t>
      </w:r>
      <w:r>
        <w:rPr>
          <w:rFonts w:ascii="Arial Narrow" w:hAnsi="Arial Narrow"/>
          <w:color w:val="000000" w:themeColor="text1"/>
          <w:sz w:val="22"/>
          <w:szCs w:val="22"/>
        </w:rPr>
        <w:t xml:space="preserve">: </w:t>
      </w:r>
      <w:r w:rsidRPr="00C015D7">
        <w:rPr>
          <w:rFonts w:ascii="Arial Narrow" w:hAnsi="Arial Narrow"/>
          <w:sz w:val="22"/>
          <w:szCs w:val="22"/>
        </w:rPr>
        <w:t>www.ninis.nisra.gov.uk</w:t>
      </w:r>
      <w:r>
        <w:rPr>
          <w:rFonts w:ascii="Arial Narrow" w:hAnsi="Arial Narrow"/>
          <w:color w:val="000000" w:themeColor="text1"/>
          <w:sz w:val="22"/>
          <w:szCs w:val="22"/>
        </w:rPr>
        <w:t xml:space="preserve">) and mapped for each </w:t>
      </w:r>
      <w:r w:rsidR="00C56D2C">
        <w:rPr>
          <w:rFonts w:ascii="Arial Narrow" w:hAnsi="Arial Narrow"/>
          <w:color w:val="000000" w:themeColor="text1"/>
          <w:sz w:val="22"/>
          <w:szCs w:val="22"/>
        </w:rPr>
        <w:t>C</w:t>
      </w:r>
      <w:r>
        <w:rPr>
          <w:rFonts w:ascii="Arial Narrow" w:hAnsi="Arial Narrow"/>
          <w:color w:val="000000" w:themeColor="text1"/>
          <w:sz w:val="22"/>
          <w:szCs w:val="22"/>
        </w:rPr>
        <w:t>OA. Income was determined using the Anderson (2008) poverty measure which identifie</w:t>
      </w:r>
      <w:r w:rsidR="00C56D2C">
        <w:rPr>
          <w:rFonts w:ascii="Arial Narrow" w:hAnsi="Arial Narrow"/>
          <w:color w:val="000000" w:themeColor="text1"/>
          <w:sz w:val="22"/>
          <w:szCs w:val="22"/>
        </w:rPr>
        <w:t>d</w:t>
      </w:r>
      <w:r>
        <w:rPr>
          <w:rFonts w:ascii="Arial Narrow" w:hAnsi="Arial Narrow"/>
          <w:color w:val="000000" w:themeColor="text1"/>
          <w:sz w:val="22"/>
          <w:szCs w:val="22"/>
        </w:rPr>
        <w:t xml:space="preserve"> </w:t>
      </w:r>
      <w:r w:rsidRPr="00AC1E4F">
        <w:rPr>
          <w:rFonts w:ascii="Arial Narrow" w:hAnsi="Arial Narrow"/>
          <w:color w:val="000000" w:themeColor="text1"/>
          <w:sz w:val="22"/>
          <w:szCs w:val="22"/>
        </w:rPr>
        <w:t xml:space="preserve">the proportion of households </w:t>
      </w:r>
      <w:r>
        <w:rPr>
          <w:rFonts w:ascii="Arial Narrow" w:hAnsi="Arial Narrow"/>
          <w:color w:val="000000" w:themeColor="text1"/>
          <w:sz w:val="22"/>
          <w:szCs w:val="22"/>
        </w:rPr>
        <w:t xml:space="preserve">with an </w:t>
      </w:r>
      <w:r w:rsidRPr="00AC1E4F">
        <w:rPr>
          <w:rFonts w:ascii="Arial Narrow" w:hAnsi="Arial Narrow"/>
          <w:color w:val="000000" w:themeColor="text1"/>
          <w:sz w:val="22"/>
          <w:szCs w:val="22"/>
        </w:rPr>
        <w:t>income below 60% of UK median household income</w:t>
      </w:r>
      <w:r>
        <w:rPr>
          <w:rFonts w:ascii="Arial Narrow" w:hAnsi="Arial Narrow"/>
          <w:color w:val="000000" w:themeColor="text1"/>
          <w:sz w:val="22"/>
          <w:szCs w:val="22"/>
        </w:rPr>
        <w:t xml:space="preserve">. The Anderson measure was adapted by incorporating additional income data from </w:t>
      </w:r>
      <w:r w:rsidRPr="00AC1E4F">
        <w:rPr>
          <w:rFonts w:ascii="Arial Narrow" w:hAnsi="Arial Narrow"/>
          <w:color w:val="000000" w:themeColor="text1"/>
          <w:sz w:val="22"/>
          <w:szCs w:val="22"/>
        </w:rPr>
        <w:t>the Northern Ireland Multiple Deprivation Measure</w:t>
      </w:r>
      <w:r>
        <w:rPr>
          <w:rFonts w:ascii="Arial Narrow" w:hAnsi="Arial Narrow"/>
          <w:color w:val="000000" w:themeColor="text1"/>
          <w:sz w:val="22"/>
          <w:szCs w:val="22"/>
        </w:rPr>
        <w:t xml:space="preserve">. Benefit data were critical for eligibility for assistance under the Warm Homes scheme and therefore data on </w:t>
      </w:r>
      <w:r w:rsidRPr="00AC1E4F">
        <w:rPr>
          <w:rFonts w:ascii="Arial Narrow" w:hAnsi="Arial Narrow"/>
          <w:color w:val="000000" w:themeColor="text1"/>
          <w:sz w:val="22"/>
          <w:szCs w:val="22"/>
        </w:rPr>
        <w:t xml:space="preserve">Pension Credit, Disability Living Allowance and Child Benefit </w:t>
      </w:r>
      <w:r>
        <w:rPr>
          <w:rFonts w:ascii="Arial Narrow" w:hAnsi="Arial Narrow"/>
          <w:color w:val="000000" w:themeColor="text1"/>
          <w:sz w:val="22"/>
          <w:szCs w:val="22"/>
        </w:rPr>
        <w:t xml:space="preserve">were mapped at </w:t>
      </w:r>
      <w:r w:rsidR="00C56D2C">
        <w:rPr>
          <w:rFonts w:ascii="Arial Narrow" w:hAnsi="Arial Narrow"/>
          <w:color w:val="000000" w:themeColor="text1"/>
          <w:sz w:val="22"/>
          <w:szCs w:val="22"/>
        </w:rPr>
        <w:t>C</w:t>
      </w:r>
      <w:r>
        <w:rPr>
          <w:rFonts w:ascii="Arial Narrow" w:hAnsi="Arial Narrow"/>
          <w:color w:val="000000" w:themeColor="text1"/>
          <w:sz w:val="22"/>
          <w:szCs w:val="22"/>
        </w:rPr>
        <w:t xml:space="preserve">OA level. </w:t>
      </w:r>
      <w:r w:rsidR="00E41C92">
        <w:rPr>
          <w:rFonts w:ascii="Arial Narrow" w:hAnsi="Arial Narrow"/>
          <w:color w:val="000000" w:themeColor="text1"/>
          <w:sz w:val="22"/>
          <w:szCs w:val="22"/>
        </w:rPr>
        <w:t>Social vulnerability and housing were weighted at 50%</w:t>
      </w:r>
      <w:r w:rsidR="000F30ED">
        <w:rPr>
          <w:rFonts w:ascii="Arial Narrow" w:hAnsi="Arial Narrow"/>
          <w:color w:val="000000" w:themeColor="text1"/>
          <w:sz w:val="22"/>
          <w:szCs w:val="22"/>
        </w:rPr>
        <w:t xml:space="preserve"> each (Figure 2). </w:t>
      </w:r>
    </w:p>
    <w:p w14:paraId="363F17E8" w14:textId="77777777" w:rsidR="00E41C92" w:rsidRDefault="00E41C92" w:rsidP="00AC1E4F">
      <w:pPr>
        <w:spacing w:after="0" w:line="240" w:lineRule="auto"/>
        <w:rPr>
          <w:rFonts w:ascii="Arial Narrow" w:hAnsi="Arial Narrow"/>
          <w:color w:val="000000" w:themeColor="text1"/>
          <w:sz w:val="22"/>
          <w:szCs w:val="22"/>
        </w:rPr>
      </w:pPr>
    </w:p>
    <w:p w14:paraId="2D84F1DB" w14:textId="6F9AE9D1" w:rsidR="00E41C92" w:rsidRDefault="00E41C92" w:rsidP="00E41C92">
      <w:pPr>
        <w:spacing w:after="0" w:line="240" w:lineRule="auto"/>
        <w:jc w:val="center"/>
        <w:rPr>
          <w:rFonts w:ascii="Arial Narrow" w:hAnsi="Arial Narrow"/>
          <w:color w:val="000000" w:themeColor="text1"/>
          <w:sz w:val="22"/>
          <w:szCs w:val="22"/>
        </w:rPr>
      </w:pPr>
      <w:r>
        <w:rPr>
          <w:rFonts w:ascii="Arial Narrow" w:hAnsi="Arial Narrow"/>
          <w:noProof/>
          <w:color w:val="000000" w:themeColor="text1"/>
          <w:sz w:val="22"/>
          <w:szCs w:val="22"/>
          <w:lang w:eastAsia="en-GB"/>
        </w:rPr>
        <w:drawing>
          <wp:inline distT="0" distB="0" distL="0" distR="0" wp14:anchorId="2508ED8A" wp14:editId="77FA3C4F">
            <wp:extent cx="6088118" cy="4524293"/>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143622812000288-gr3.jpg"/>
                    <pic:cNvPicPr/>
                  </pic:nvPicPr>
                  <pic:blipFill>
                    <a:blip r:embed="rId9">
                      <a:extLst>
                        <a:ext uri="{28A0092B-C50C-407E-A947-70E740481C1C}">
                          <a14:useLocalDpi xmlns:a14="http://schemas.microsoft.com/office/drawing/2010/main" val="0"/>
                        </a:ext>
                      </a:extLst>
                    </a:blip>
                    <a:stretch>
                      <a:fillRect/>
                    </a:stretch>
                  </pic:blipFill>
                  <pic:spPr>
                    <a:xfrm>
                      <a:off x="0" y="0"/>
                      <a:ext cx="6089867" cy="4525592"/>
                    </a:xfrm>
                    <a:prstGeom prst="rect">
                      <a:avLst/>
                    </a:prstGeom>
                  </pic:spPr>
                </pic:pic>
              </a:graphicData>
            </a:graphic>
          </wp:inline>
        </w:drawing>
      </w:r>
    </w:p>
    <w:p w14:paraId="1AFE0D37" w14:textId="77777777" w:rsidR="00AC1E4F" w:rsidRDefault="00AC1E4F" w:rsidP="00AC1E4F">
      <w:pPr>
        <w:spacing w:after="0" w:line="240" w:lineRule="auto"/>
        <w:rPr>
          <w:rFonts w:ascii="Arial Narrow" w:hAnsi="Arial Narrow"/>
          <w:color w:val="000000" w:themeColor="text1"/>
          <w:sz w:val="22"/>
          <w:szCs w:val="22"/>
        </w:rPr>
      </w:pPr>
    </w:p>
    <w:p w14:paraId="1F4DC0DD" w14:textId="77777777" w:rsidR="00AC1E4F" w:rsidRDefault="00AC1E4F" w:rsidP="00AC1E4F">
      <w:pPr>
        <w:spacing w:after="0" w:line="240" w:lineRule="auto"/>
        <w:rPr>
          <w:rFonts w:ascii="Arial Narrow" w:hAnsi="Arial Narrow"/>
          <w:color w:val="000000" w:themeColor="text1"/>
          <w:sz w:val="22"/>
          <w:szCs w:val="22"/>
        </w:rPr>
      </w:pPr>
    </w:p>
    <w:p w14:paraId="55E8A659" w14:textId="1E73782F" w:rsidR="00E41C92" w:rsidRDefault="00E41C92" w:rsidP="00E41C92">
      <w:pPr>
        <w:rPr>
          <w:rFonts w:ascii="Arial Narrow" w:hAnsi="Arial Narrow"/>
          <w:color w:val="000000" w:themeColor="text1"/>
          <w:sz w:val="22"/>
          <w:szCs w:val="22"/>
        </w:rPr>
      </w:pPr>
      <w:r>
        <w:rPr>
          <w:rFonts w:ascii="Arial Narrow" w:hAnsi="Arial Narrow"/>
          <w:color w:val="000000" w:themeColor="text1"/>
          <w:sz w:val="22"/>
          <w:szCs w:val="22"/>
        </w:rPr>
        <w:t xml:space="preserve">Figure 2: </w:t>
      </w:r>
      <w:r w:rsidR="000F30ED" w:rsidRPr="00E41C92">
        <w:rPr>
          <w:rFonts w:ascii="Arial Narrow" w:hAnsi="Arial Narrow"/>
          <w:color w:val="000000" w:themeColor="text1"/>
          <w:sz w:val="22"/>
          <w:szCs w:val="22"/>
        </w:rPr>
        <w:t>Fuel poverty risk in Northern Ireland, presented in deciles from</w:t>
      </w:r>
      <w:r w:rsidR="000F30ED">
        <w:rPr>
          <w:rFonts w:ascii="Arial Narrow" w:hAnsi="Arial Narrow"/>
          <w:color w:val="000000" w:themeColor="text1"/>
          <w:sz w:val="22"/>
          <w:szCs w:val="22"/>
        </w:rPr>
        <w:t xml:space="preserve"> low (green) to high (red) risk</w:t>
      </w:r>
      <w:r>
        <w:rPr>
          <w:rFonts w:ascii="Arial Narrow" w:hAnsi="Arial Narrow"/>
          <w:color w:val="000000" w:themeColor="text1"/>
          <w:sz w:val="22"/>
          <w:szCs w:val="22"/>
        </w:rPr>
        <w:t xml:space="preserve"> (Adapted from: Walker, McKenzie, Liddell, Morris, 2012). </w:t>
      </w:r>
    </w:p>
    <w:p w14:paraId="4ED67293" w14:textId="77777777" w:rsidR="000F30ED" w:rsidRDefault="000F30ED" w:rsidP="00E41C92">
      <w:pPr>
        <w:rPr>
          <w:rFonts w:ascii="Arial Narrow" w:hAnsi="Arial Narrow"/>
          <w:color w:val="000000" w:themeColor="text1"/>
          <w:sz w:val="22"/>
          <w:szCs w:val="22"/>
        </w:rPr>
      </w:pPr>
    </w:p>
    <w:p w14:paraId="0AD0B233" w14:textId="0C12037C" w:rsidR="004676E1" w:rsidRDefault="008E2E44" w:rsidP="00F76F25">
      <w:pPr>
        <w:rPr>
          <w:rFonts w:ascii="Arial Narrow" w:hAnsi="Arial Narrow"/>
          <w:color w:val="000000" w:themeColor="text1"/>
          <w:sz w:val="22"/>
          <w:szCs w:val="22"/>
        </w:rPr>
      </w:pPr>
      <w:r>
        <w:rPr>
          <w:rFonts w:ascii="Arial Narrow" w:hAnsi="Arial Narrow"/>
          <w:color w:val="000000" w:themeColor="text1"/>
          <w:sz w:val="22"/>
          <w:szCs w:val="22"/>
        </w:rPr>
        <w:t xml:space="preserve">GIS </w:t>
      </w:r>
      <w:r w:rsidR="00DC1F4C">
        <w:rPr>
          <w:rFonts w:ascii="Arial Narrow" w:hAnsi="Arial Narrow"/>
          <w:color w:val="000000" w:themeColor="text1"/>
          <w:sz w:val="22"/>
          <w:szCs w:val="22"/>
        </w:rPr>
        <w:t xml:space="preserve">was not only </w:t>
      </w:r>
      <w:r w:rsidR="00C56D2C">
        <w:rPr>
          <w:rFonts w:ascii="Arial Narrow" w:hAnsi="Arial Narrow"/>
          <w:color w:val="000000" w:themeColor="text1"/>
          <w:sz w:val="22"/>
          <w:szCs w:val="22"/>
        </w:rPr>
        <w:t xml:space="preserve">used to integrate and weight variables but also </w:t>
      </w:r>
      <w:r w:rsidR="00DC1F4C">
        <w:rPr>
          <w:rFonts w:ascii="Arial Narrow" w:hAnsi="Arial Narrow"/>
          <w:color w:val="000000" w:themeColor="text1"/>
          <w:sz w:val="22"/>
          <w:szCs w:val="22"/>
        </w:rPr>
        <w:t xml:space="preserve">to identify </w:t>
      </w:r>
      <w:r>
        <w:rPr>
          <w:rFonts w:ascii="Arial Narrow" w:hAnsi="Arial Narrow"/>
          <w:color w:val="000000" w:themeColor="text1"/>
          <w:sz w:val="22"/>
          <w:szCs w:val="22"/>
        </w:rPr>
        <w:t xml:space="preserve">clusters of fuel poverty risk using </w:t>
      </w:r>
      <w:r w:rsidRPr="008E2E44">
        <w:rPr>
          <w:rFonts w:ascii="Arial Narrow" w:hAnsi="Arial Narrow"/>
          <w:color w:val="000000" w:themeColor="text1"/>
          <w:sz w:val="22"/>
          <w:szCs w:val="22"/>
        </w:rPr>
        <w:t>Local Moran's I</w:t>
      </w:r>
      <w:r w:rsidR="00C56D2C">
        <w:rPr>
          <w:rFonts w:ascii="Arial Narrow" w:hAnsi="Arial Narrow"/>
          <w:color w:val="000000" w:themeColor="text1"/>
          <w:sz w:val="22"/>
          <w:szCs w:val="22"/>
        </w:rPr>
        <w:t xml:space="preserve">. </w:t>
      </w:r>
      <w:r>
        <w:rPr>
          <w:rFonts w:ascii="Arial Narrow" w:hAnsi="Arial Narrow"/>
          <w:color w:val="000000" w:themeColor="text1"/>
          <w:sz w:val="22"/>
          <w:szCs w:val="22"/>
        </w:rPr>
        <w:t xml:space="preserve">High-risk clusters </w:t>
      </w:r>
      <w:r w:rsidR="00C56D2C">
        <w:rPr>
          <w:rFonts w:ascii="Arial Narrow" w:hAnsi="Arial Narrow"/>
          <w:color w:val="000000" w:themeColor="text1"/>
          <w:sz w:val="22"/>
          <w:szCs w:val="22"/>
        </w:rPr>
        <w:t>we</w:t>
      </w:r>
      <w:r>
        <w:rPr>
          <w:rFonts w:ascii="Arial Narrow" w:hAnsi="Arial Narrow"/>
          <w:color w:val="000000" w:themeColor="text1"/>
          <w:sz w:val="22"/>
          <w:szCs w:val="22"/>
        </w:rPr>
        <w:t xml:space="preserve">re identified when neighbouring </w:t>
      </w:r>
      <w:r w:rsidR="00C56D2C">
        <w:rPr>
          <w:rFonts w:ascii="Arial Narrow" w:hAnsi="Arial Narrow"/>
          <w:color w:val="000000" w:themeColor="text1"/>
          <w:sz w:val="22"/>
          <w:szCs w:val="22"/>
        </w:rPr>
        <w:t>C</w:t>
      </w:r>
      <w:r>
        <w:rPr>
          <w:rFonts w:ascii="Arial Narrow" w:hAnsi="Arial Narrow"/>
          <w:color w:val="000000" w:themeColor="text1"/>
          <w:sz w:val="22"/>
          <w:szCs w:val="22"/>
        </w:rPr>
        <w:t>OAs exhibit</w:t>
      </w:r>
      <w:r w:rsidR="00C56D2C">
        <w:rPr>
          <w:rFonts w:ascii="Arial Narrow" w:hAnsi="Arial Narrow"/>
          <w:color w:val="000000" w:themeColor="text1"/>
          <w:sz w:val="22"/>
          <w:szCs w:val="22"/>
        </w:rPr>
        <w:t>ed</w:t>
      </w:r>
      <w:r>
        <w:rPr>
          <w:rFonts w:ascii="Arial Narrow" w:hAnsi="Arial Narrow"/>
          <w:color w:val="000000" w:themeColor="text1"/>
          <w:sz w:val="22"/>
          <w:szCs w:val="22"/>
        </w:rPr>
        <w:t xml:space="preserve"> high fuel poverty risk and these clusters of high risk </w:t>
      </w:r>
      <w:r w:rsidR="00C56D2C">
        <w:rPr>
          <w:rFonts w:ascii="Arial Narrow" w:hAnsi="Arial Narrow"/>
          <w:color w:val="000000" w:themeColor="text1"/>
          <w:sz w:val="22"/>
          <w:szCs w:val="22"/>
        </w:rPr>
        <w:t xml:space="preserve">were </w:t>
      </w:r>
      <w:r>
        <w:rPr>
          <w:rFonts w:ascii="Arial Narrow" w:hAnsi="Arial Narrow"/>
          <w:color w:val="000000" w:themeColor="text1"/>
          <w:sz w:val="22"/>
          <w:szCs w:val="22"/>
        </w:rPr>
        <w:t xml:space="preserve">considered </w:t>
      </w:r>
      <w:r w:rsidR="00C56D2C">
        <w:rPr>
          <w:rFonts w:ascii="Arial Narrow" w:hAnsi="Arial Narrow"/>
          <w:color w:val="000000" w:themeColor="text1"/>
          <w:sz w:val="22"/>
          <w:szCs w:val="22"/>
        </w:rPr>
        <w:t xml:space="preserve">to be fuel poverty </w:t>
      </w:r>
      <w:r w:rsidR="00DC1F4C">
        <w:rPr>
          <w:rFonts w:ascii="Arial Narrow" w:hAnsi="Arial Narrow"/>
          <w:color w:val="000000" w:themeColor="text1"/>
          <w:sz w:val="22"/>
          <w:szCs w:val="22"/>
        </w:rPr>
        <w:t>‘</w:t>
      </w:r>
      <w:r>
        <w:rPr>
          <w:rFonts w:ascii="Arial Narrow" w:hAnsi="Arial Narrow"/>
          <w:color w:val="000000" w:themeColor="text1"/>
          <w:sz w:val="22"/>
          <w:szCs w:val="22"/>
        </w:rPr>
        <w:t>hotspots</w:t>
      </w:r>
      <w:r w:rsidR="00DC1F4C">
        <w:rPr>
          <w:rFonts w:ascii="Arial Narrow" w:hAnsi="Arial Narrow"/>
          <w:color w:val="000000" w:themeColor="text1"/>
          <w:sz w:val="22"/>
          <w:szCs w:val="22"/>
        </w:rPr>
        <w:t>’</w:t>
      </w:r>
      <w:r w:rsidR="00BB0683">
        <w:rPr>
          <w:rFonts w:ascii="Arial Narrow" w:hAnsi="Arial Narrow"/>
          <w:color w:val="000000" w:themeColor="text1"/>
          <w:sz w:val="22"/>
          <w:szCs w:val="22"/>
        </w:rPr>
        <w:t xml:space="preserve"> (Figure 3)</w:t>
      </w:r>
      <w:r>
        <w:rPr>
          <w:rFonts w:ascii="Arial Narrow" w:hAnsi="Arial Narrow"/>
          <w:color w:val="000000" w:themeColor="text1"/>
          <w:sz w:val="22"/>
          <w:szCs w:val="22"/>
        </w:rPr>
        <w:t xml:space="preserve">. The statistic </w:t>
      </w:r>
      <w:r w:rsidR="00DC1F4C">
        <w:rPr>
          <w:rFonts w:ascii="Arial Narrow" w:hAnsi="Arial Narrow"/>
          <w:color w:val="000000" w:themeColor="text1"/>
          <w:sz w:val="22"/>
          <w:szCs w:val="22"/>
        </w:rPr>
        <w:t>was a</w:t>
      </w:r>
      <w:r>
        <w:rPr>
          <w:rFonts w:ascii="Arial Narrow" w:hAnsi="Arial Narrow"/>
          <w:color w:val="000000" w:themeColor="text1"/>
          <w:sz w:val="22"/>
          <w:szCs w:val="22"/>
        </w:rPr>
        <w:t xml:space="preserve">lso </w:t>
      </w:r>
      <w:r w:rsidR="00DC1F4C">
        <w:rPr>
          <w:rFonts w:ascii="Arial Narrow" w:hAnsi="Arial Narrow"/>
          <w:color w:val="000000" w:themeColor="text1"/>
          <w:sz w:val="22"/>
          <w:szCs w:val="22"/>
        </w:rPr>
        <w:t xml:space="preserve">used to </w:t>
      </w:r>
      <w:r>
        <w:rPr>
          <w:rFonts w:ascii="Arial Narrow" w:hAnsi="Arial Narrow"/>
          <w:color w:val="000000" w:themeColor="text1"/>
          <w:sz w:val="22"/>
          <w:szCs w:val="22"/>
        </w:rPr>
        <w:t xml:space="preserve">identify pockets of risk where a group of high risk </w:t>
      </w:r>
      <w:r w:rsidR="00C56D2C">
        <w:rPr>
          <w:rFonts w:ascii="Arial Narrow" w:hAnsi="Arial Narrow"/>
          <w:color w:val="000000" w:themeColor="text1"/>
          <w:sz w:val="22"/>
          <w:szCs w:val="22"/>
        </w:rPr>
        <w:t>C</w:t>
      </w:r>
      <w:r>
        <w:rPr>
          <w:rFonts w:ascii="Arial Narrow" w:hAnsi="Arial Narrow"/>
          <w:color w:val="000000" w:themeColor="text1"/>
          <w:sz w:val="22"/>
          <w:szCs w:val="22"/>
        </w:rPr>
        <w:t xml:space="preserve">OAs are surrounded by low risk </w:t>
      </w:r>
      <w:r w:rsidR="00C56D2C">
        <w:rPr>
          <w:rFonts w:ascii="Arial Narrow" w:hAnsi="Arial Narrow"/>
          <w:color w:val="000000" w:themeColor="text1"/>
          <w:sz w:val="22"/>
          <w:szCs w:val="22"/>
        </w:rPr>
        <w:t>C</w:t>
      </w:r>
      <w:r>
        <w:rPr>
          <w:rFonts w:ascii="Arial Narrow" w:hAnsi="Arial Narrow"/>
          <w:color w:val="000000" w:themeColor="text1"/>
          <w:sz w:val="22"/>
          <w:szCs w:val="22"/>
        </w:rPr>
        <w:t>OAs.</w:t>
      </w:r>
      <w:r w:rsidR="00F76F25">
        <w:rPr>
          <w:rFonts w:ascii="Arial Narrow" w:hAnsi="Arial Narrow"/>
          <w:color w:val="000000" w:themeColor="text1"/>
          <w:sz w:val="22"/>
          <w:szCs w:val="22"/>
        </w:rPr>
        <w:t xml:space="preserve"> Groups of </w:t>
      </w:r>
      <w:r w:rsidR="00C56D2C">
        <w:rPr>
          <w:rFonts w:ascii="Arial Narrow" w:hAnsi="Arial Narrow"/>
          <w:color w:val="000000" w:themeColor="text1"/>
          <w:sz w:val="22"/>
          <w:szCs w:val="22"/>
        </w:rPr>
        <w:t>C</w:t>
      </w:r>
      <w:r w:rsidR="00F76F25">
        <w:rPr>
          <w:rFonts w:ascii="Arial Narrow" w:hAnsi="Arial Narrow"/>
          <w:color w:val="000000" w:themeColor="text1"/>
          <w:sz w:val="22"/>
          <w:szCs w:val="22"/>
        </w:rPr>
        <w:t xml:space="preserve">OAs with low risk can be indicative of </w:t>
      </w:r>
      <w:r w:rsidR="00DC1F4C">
        <w:rPr>
          <w:rFonts w:ascii="Arial Narrow" w:hAnsi="Arial Narrow"/>
          <w:color w:val="000000" w:themeColor="text1"/>
          <w:sz w:val="22"/>
          <w:szCs w:val="22"/>
        </w:rPr>
        <w:t>‘</w:t>
      </w:r>
      <w:r w:rsidR="00F76F25">
        <w:rPr>
          <w:rFonts w:ascii="Arial Narrow" w:hAnsi="Arial Narrow"/>
          <w:color w:val="000000" w:themeColor="text1"/>
          <w:sz w:val="22"/>
          <w:szCs w:val="22"/>
        </w:rPr>
        <w:t>coldspots</w:t>
      </w:r>
      <w:r w:rsidR="00DC1F4C">
        <w:rPr>
          <w:rFonts w:ascii="Arial Narrow" w:hAnsi="Arial Narrow"/>
          <w:color w:val="000000" w:themeColor="text1"/>
          <w:sz w:val="22"/>
          <w:szCs w:val="22"/>
        </w:rPr>
        <w:t>’</w:t>
      </w:r>
      <w:r w:rsidR="00F76F25">
        <w:rPr>
          <w:rFonts w:ascii="Arial Narrow" w:hAnsi="Arial Narrow"/>
          <w:color w:val="000000" w:themeColor="text1"/>
          <w:sz w:val="22"/>
          <w:szCs w:val="22"/>
        </w:rPr>
        <w:t xml:space="preserve">. </w:t>
      </w:r>
    </w:p>
    <w:p w14:paraId="2DE14E86" w14:textId="77777777" w:rsidR="00F76F25" w:rsidRDefault="00F76F25" w:rsidP="00F76F25">
      <w:pPr>
        <w:rPr>
          <w:rFonts w:ascii="Arial Narrow" w:hAnsi="Arial Narrow"/>
          <w:color w:val="000000" w:themeColor="text1"/>
          <w:sz w:val="22"/>
          <w:szCs w:val="22"/>
        </w:rPr>
      </w:pPr>
      <w:bookmarkStart w:id="0" w:name="_GoBack"/>
      <w:bookmarkEnd w:id="0"/>
    </w:p>
    <w:p w14:paraId="17372B72" w14:textId="77777777" w:rsidR="00BB0683" w:rsidRDefault="00BB0683" w:rsidP="00F76F25">
      <w:pPr>
        <w:rPr>
          <w:rFonts w:ascii="Arial Narrow" w:hAnsi="Arial Narrow"/>
          <w:color w:val="000000" w:themeColor="text1"/>
          <w:sz w:val="22"/>
          <w:szCs w:val="22"/>
        </w:rPr>
      </w:pPr>
    </w:p>
    <w:p w14:paraId="2AECA607" w14:textId="77777777" w:rsidR="00BB0683" w:rsidRDefault="00BB0683" w:rsidP="00F76F25">
      <w:pPr>
        <w:rPr>
          <w:rFonts w:ascii="Arial Narrow" w:hAnsi="Arial Narrow"/>
          <w:color w:val="000000" w:themeColor="text1"/>
          <w:sz w:val="22"/>
          <w:szCs w:val="22"/>
        </w:rPr>
      </w:pPr>
    </w:p>
    <w:p w14:paraId="53AA18A8" w14:textId="77777777" w:rsidR="00BB0683" w:rsidRDefault="00BB0683" w:rsidP="00F76F25">
      <w:pPr>
        <w:rPr>
          <w:rFonts w:ascii="Arial Narrow" w:hAnsi="Arial Narrow"/>
          <w:color w:val="000000" w:themeColor="text1"/>
          <w:sz w:val="22"/>
          <w:szCs w:val="22"/>
        </w:rPr>
      </w:pPr>
    </w:p>
    <w:p w14:paraId="3F80D520" w14:textId="77777777" w:rsidR="00BB0683" w:rsidRDefault="00BB0683" w:rsidP="00F76F25">
      <w:pPr>
        <w:rPr>
          <w:rFonts w:ascii="Arial Narrow" w:hAnsi="Arial Narrow"/>
          <w:color w:val="000000" w:themeColor="text1"/>
          <w:sz w:val="22"/>
          <w:szCs w:val="22"/>
        </w:rPr>
      </w:pPr>
    </w:p>
    <w:p w14:paraId="4C7CFC46" w14:textId="77777777" w:rsidR="00BB0683" w:rsidRDefault="00BB0683" w:rsidP="00F76F25">
      <w:pPr>
        <w:rPr>
          <w:rFonts w:ascii="Arial Narrow" w:hAnsi="Arial Narrow"/>
          <w:color w:val="000000" w:themeColor="text1"/>
          <w:sz w:val="22"/>
          <w:szCs w:val="22"/>
        </w:rPr>
      </w:pPr>
    </w:p>
    <w:p w14:paraId="6DB7455B" w14:textId="77777777" w:rsidR="00BB0683" w:rsidRDefault="00BB0683" w:rsidP="00F76F25">
      <w:pPr>
        <w:rPr>
          <w:rFonts w:ascii="Arial Narrow" w:hAnsi="Arial Narrow"/>
          <w:color w:val="000000" w:themeColor="text1"/>
          <w:sz w:val="22"/>
          <w:szCs w:val="22"/>
        </w:rPr>
      </w:pPr>
    </w:p>
    <w:p w14:paraId="0F8BFE72" w14:textId="719CE3F3" w:rsidR="00BB0683" w:rsidRDefault="00BB0683" w:rsidP="00F76F25">
      <w:pPr>
        <w:rPr>
          <w:rFonts w:ascii="Arial Narrow" w:hAnsi="Arial Narrow"/>
          <w:color w:val="000000" w:themeColor="text1"/>
          <w:sz w:val="22"/>
          <w:szCs w:val="22"/>
        </w:rPr>
      </w:pPr>
      <w:r>
        <w:rPr>
          <w:rFonts w:ascii="Arial Narrow" w:hAnsi="Arial Narrow"/>
          <w:noProof/>
          <w:color w:val="000000" w:themeColor="text1"/>
          <w:sz w:val="22"/>
          <w:szCs w:val="22"/>
          <w:lang w:eastAsia="en-GB"/>
        </w:rPr>
        <w:drawing>
          <wp:inline distT="0" distB="0" distL="0" distR="0" wp14:anchorId="2AE1C712" wp14:editId="3F681695">
            <wp:extent cx="6336030" cy="4700270"/>
            <wp:effectExtent l="0" t="0" r="762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143622812000288-gr6.jpg"/>
                    <pic:cNvPicPr/>
                  </pic:nvPicPr>
                  <pic:blipFill>
                    <a:blip r:embed="rId10">
                      <a:extLst>
                        <a:ext uri="{28A0092B-C50C-407E-A947-70E740481C1C}">
                          <a14:useLocalDpi xmlns:a14="http://schemas.microsoft.com/office/drawing/2010/main" val="0"/>
                        </a:ext>
                      </a:extLst>
                    </a:blip>
                    <a:stretch>
                      <a:fillRect/>
                    </a:stretch>
                  </pic:blipFill>
                  <pic:spPr>
                    <a:xfrm>
                      <a:off x="0" y="0"/>
                      <a:ext cx="6336030" cy="4700270"/>
                    </a:xfrm>
                    <a:prstGeom prst="rect">
                      <a:avLst/>
                    </a:prstGeom>
                  </pic:spPr>
                </pic:pic>
              </a:graphicData>
            </a:graphic>
          </wp:inline>
        </w:drawing>
      </w:r>
    </w:p>
    <w:p w14:paraId="46CC38F3" w14:textId="77777777" w:rsidR="00BB0683" w:rsidRDefault="00BB0683" w:rsidP="00BB0683">
      <w:pPr>
        <w:rPr>
          <w:rFonts w:ascii="Arial Narrow" w:hAnsi="Arial Narrow"/>
          <w:color w:val="000000" w:themeColor="text1"/>
          <w:sz w:val="22"/>
          <w:szCs w:val="22"/>
        </w:rPr>
      </w:pPr>
    </w:p>
    <w:p w14:paraId="42253A2D" w14:textId="28115EB4" w:rsidR="00BB0683" w:rsidRDefault="00BB0683" w:rsidP="00BB0683">
      <w:pPr>
        <w:rPr>
          <w:rFonts w:ascii="Arial Narrow" w:hAnsi="Arial Narrow"/>
          <w:color w:val="000000" w:themeColor="text1"/>
          <w:sz w:val="22"/>
          <w:szCs w:val="22"/>
        </w:rPr>
      </w:pPr>
      <w:r>
        <w:rPr>
          <w:rFonts w:ascii="Arial Narrow" w:hAnsi="Arial Narrow"/>
          <w:color w:val="000000" w:themeColor="text1"/>
          <w:sz w:val="22"/>
          <w:szCs w:val="22"/>
        </w:rPr>
        <w:t xml:space="preserve">Figure 3: High-risk clusters based on fuel poverty risk using </w:t>
      </w:r>
      <w:r w:rsidRPr="00BB0683">
        <w:rPr>
          <w:rFonts w:ascii="Arial Narrow" w:hAnsi="Arial Narrow"/>
          <w:color w:val="000000" w:themeColor="text1"/>
          <w:sz w:val="22"/>
          <w:szCs w:val="22"/>
        </w:rPr>
        <w:t xml:space="preserve">Local Moran's I </w:t>
      </w:r>
      <w:r>
        <w:rPr>
          <w:rFonts w:ascii="Arial Narrow" w:hAnsi="Arial Narrow"/>
          <w:color w:val="000000" w:themeColor="text1"/>
          <w:sz w:val="22"/>
          <w:szCs w:val="22"/>
        </w:rPr>
        <w:t xml:space="preserve">(Adapted from: Walker, McKenzie, Liddell, Morris, 2012). </w:t>
      </w:r>
    </w:p>
    <w:p w14:paraId="23B196F3" w14:textId="77777777" w:rsidR="00BB0683" w:rsidRDefault="00BB0683" w:rsidP="00BB0683">
      <w:pPr>
        <w:rPr>
          <w:rFonts w:ascii="Arial Narrow" w:hAnsi="Arial Narrow"/>
          <w:color w:val="000000" w:themeColor="text1"/>
          <w:sz w:val="22"/>
          <w:szCs w:val="22"/>
        </w:rPr>
      </w:pPr>
    </w:p>
    <w:p w14:paraId="652889E3" w14:textId="41BB4265" w:rsidR="007D3CD1" w:rsidRDefault="00BB0683" w:rsidP="008B1BF8">
      <w:pPr>
        <w:rPr>
          <w:rFonts w:ascii="Arial Narrow" w:hAnsi="Arial Narrow"/>
          <w:color w:val="000000" w:themeColor="text1"/>
          <w:sz w:val="22"/>
          <w:szCs w:val="22"/>
        </w:rPr>
      </w:pPr>
      <w:r>
        <w:rPr>
          <w:rFonts w:ascii="Arial Narrow" w:hAnsi="Arial Narrow"/>
          <w:color w:val="000000" w:themeColor="text1"/>
          <w:sz w:val="22"/>
          <w:szCs w:val="22"/>
        </w:rPr>
        <w:t xml:space="preserve">The integration of socio-economic, housing and environmental variables at small area scale is an efficient method by which to target areas of greatest need. </w:t>
      </w:r>
      <w:r w:rsidR="008B1BF8">
        <w:rPr>
          <w:rFonts w:ascii="Arial Narrow" w:hAnsi="Arial Narrow"/>
          <w:color w:val="000000" w:themeColor="text1"/>
          <w:sz w:val="22"/>
          <w:szCs w:val="22"/>
        </w:rPr>
        <w:t>Through funding from the Office of the First Minister and Deputy First Minister (OFMDFM) and the Department for Social Development (DSD</w:t>
      </w:r>
      <w:r w:rsidR="00C56D2C">
        <w:rPr>
          <w:rFonts w:ascii="Arial Narrow" w:hAnsi="Arial Narrow"/>
          <w:color w:val="000000" w:themeColor="text1"/>
          <w:sz w:val="22"/>
          <w:szCs w:val="22"/>
        </w:rPr>
        <w:t>NI</w:t>
      </w:r>
      <w:r w:rsidR="008B1BF8">
        <w:rPr>
          <w:rFonts w:ascii="Arial Narrow" w:hAnsi="Arial Narrow"/>
          <w:color w:val="000000" w:themeColor="text1"/>
          <w:sz w:val="22"/>
          <w:szCs w:val="22"/>
        </w:rPr>
        <w:t xml:space="preserve">), Ulster University partnered with 19 </w:t>
      </w:r>
      <w:r w:rsidR="008B1BF8" w:rsidRPr="008B1BF8">
        <w:rPr>
          <w:rFonts w:ascii="Arial Narrow" w:hAnsi="Arial Narrow"/>
          <w:color w:val="000000" w:themeColor="text1"/>
          <w:sz w:val="22"/>
          <w:szCs w:val="22"/>
        </w:rPr>
        <w:t>Councils</w:t>
      </w:r>
      <w:r w:rsidR="008B1BF8">
        <w:rPr>
          <w:rFonts w:ascii="Arial Narrow" w:hAnsi="Arial Narrow"/>
          <w:color w:val="000000" w:themeColor="text1"/>
          <w:sz w:val="22"/>
          <w:szCs w:val="22"/>
        </w:rPr>
        <w:t xml:space="preserve"> to test the effectiveness of the </w:t>
      </w:r>
      <w:r w:rsidR="008B1BF8" w:rsidRPr="008B1BF8">
        <w:rPr>
          <w:rFonts w:ascii="Arial Narrow" w:hAnsi="Arial Narrow"/>
          <w:color w:val="000000" w:themeColor="text1"/>
          <w:sz w:val="22"/>
          <w:szCs w:val="22"/>
        </w:rPr>
        <w:t>area-based approach</w:t>
      </w:r>
      <w:r w:rsidR="008B1BF8">
        <w:rPr>
          <w:rFonts w:ascii="Arial Narrow" w:hAnsi="Arial Narrow"/>
          <w:color w:val="000000" w:themeColor="text1"/>
          <w:sz w:val="22"/>
          <w:szCs w:val="22"/>
        </w:rPr>
        <w:t>. A</w:t>
      </w:r>
      <w:r w:rsidR="008B1BF8" w:rsidRPr="008B1BF8">
        <w:rPr>
          <w:rFonts w:ascii="Arial Narrow" w:hAnsi="Arial Narrow"/>
          <w:color w:val="000000" w:themeColor="text1"/>
          <w:sz w:val="22"/>
          <w:szCs w:val="22"/>
        </w:rPr>
        <w:t xml:space="preserve"> total of 2,145 households were</w:t>
      </w:r>
      <w:r w:rsidR="008B1BF8">
        <w:rPr>
          <w:rFonts w:ascii="Arial Narrow" w:hAnsi="Arial Narrow"/>
          <w:color w:val="000000" w:themeColor="text1"/>
          <w:sz w:val="22"/>
          <w:szCs w:val="22"/>
        </w:rPr>
        <w:t xml:space="preserve"> surveyed by Council teams to determine </w:t>
      </w:r>
      <w:r w:rsidR="008B1BF8" w:rsidRPr="008B1BF8">
        <w:rPr>
          <w:rFonts w:ascii="Arial Narrow" w:hAnsi="Arial Narrow"/>
          <w:color w:val="000000" w:themeColor="text1"/>
          <w:sz w:val="22"/>
          <w:szCs w:val="22"/>
        </w:rPr>
        <w:t>actual levels of fuel</w:t>
      </w:r>
      <w:r w:rsidR="008B1BF8">
        <w:rPr>
          <w:rFonts w:ascii="Arial Narrow" w:hAnsi="Arial Narrow"/>
          <w:color w:val="000000" w:themeColor="text1"/>
          <w:sz w:val="22"/>
          <w:szCs w:val="22"/>
        </w:rPr>
        <w:t xml:space="preserve"> </w:t>
      </w:r>
      <w:r w:rsidR="008B1BF8" w:rsidRPr="008B1BF8">
        <w:rPr>
          <w:rFonts w:ascii="Arial Narrow" w:hAnsi="Arial Narrow"/>
          <w:color w:val="000000" w:themeColor="text1"/>
          <w:sz w:val="22"/>
          <w:szCs w:val="22"/>
        </w:rPr>
        <w:t xml:space="preserve">poverty and eligibility for </w:t>
      </w:r>
      <w:r w:rsidR="008B1BF8">
        <w:rPr>
          <w:rFonts w:ascii="Arial Narrow" w:hAnsi="Arial Narrow"/>
          <w:color w:val="000000" w:themeColor="text1"/>
          <w:sz w:val="22"/>
          <w:szCs w:val="22"/>
        </w:rPr>
        <w:t xml:space="preserve">the Warm Homes scheme. </w:t>
      </w:r>
      <w:r w:rsidR="00043091">
        <w:rPr>
          <w:rFonts w:ascii="Arial Narrow" w:hAnsi="Arial Narrow"/>
          <w:color w:val="000000" w:themeColor="text1"/>
          <w:sz w:val="22"/>
          <w:szCs w:val="22"/>
        </w:rPr>
        <w:t xml:space="preserve">Results from the work suggest that </w:t>
      </w:r>
      <w:r w:rsidR="00043091" w:rsidRPr="00043091">
        <w:rPr>
          <w:rFonts w:ascii="Arial Narrow" w:hAnsi="Arial Narrow"/>
          <w:color w:val="000000" w:themeColor="text1"/>
          <w:sz w:val="22"/>
          <w:szCs w:val="22"/>
        </w:rPr>
        <w:t>almost 90% of households in target areas were indeed fuel poor, the majority of them in severe fuel poverty.</w:t>
      </w:r>
      <w:r w:rsidR="00043091">
        <w:rPr>
          <w:rFonts w:ascii="Arial Narrow" w:hAnsi="Arial Narrow"/>
          <w:color w:val="000000" w:themeColor="text1"/>
          <w:sz w:val="22"/>
          <w:szCs w:val="22"/>
        </w:rPr>
        <w:t xml:space="preserve"> </w:t>
      </w:r>
      <w:r w:rsidR="008B1BF8">
        <w:rPr>
          <w:rFonts w:ascii="Arial Narrow" w:hAnsi="Arial Narrow"/>
          <w:color w:val="000000" w:themeColor="text1"/>
          <w:sz w:val="22"/>
          <w:szCs w:val="22"/>
        </w:rPr>
        <w:t>While the model is effective in identifying areas of greatest need, there is variation in need, even along residential street</w:t>
      </w:r>
      <w:r w:rsidR="00C56D2C">
        <w:rPr>
          <w:rFonts w:ascii="Arial Narrow" w:hAnsi="Arial Narrow"/>
          <w:color w:val="000000" w:themeColor="text1"/>
          <w:sz w:val="22"/>
          <w:szCs w:val="22"/>
        </w:rPr>
        <w:t>s</w:t>
      </w:r>
      <w:r w:rsidR="007D3CD1">
        <w:rPr>
          <w:rFonts w:ascii="Arial Narrow" w:hAnsi="Arial Narrow"/>
          <w:color w:val="000000" w:themeColor="text1"/>
          <w:sz w:val="22"/>
          <w:szCs w:val="22"/>
        </w:rPr>
        <w:t xml:space="preserve"> (Walker, McKenzie, Liddell, Morris, 2014). </w:t>
      </w:r>
      <w:r w:rsidR="0067019A">
        <w:rPr>
          <w:rFonts w:ascii="Arial Narrow" w:hAnsi="Arial Narrow"/>
          <w:color w:val="000000" w:themeColor="text1"/>
          <w:sz w:val="22"/>
          <w:szCs w:val="22"/>
        </w:rPr>
        <w:t>The use of area-based targeting is an effective first filter by which policy makers can identify those at greatest need of assistance. With fine scale areas detected, it is highly effective to follow up with household questionnaires in order to gain a greater insight into the specific circumstances of the household</w:t>
      </w:r>
      <w:r w:rsidR="00C56D2C">
        <w:rPr>
          <w:rFonts w:ascii="Arial Narrow" w:hAnsi="Arial Narrow"/>
          <w:color w:val="000000" w:themeColor="text1"/>
          <w:sz w:val="22"/>
          <w:szCs w:val="22"/>
        </w:rPr>
        <w:t xml:space="preserve"> so that tailored interventions can be provided.</w:t>
      </w:r>
      <w:r w:rsidR="0067019A">
        <w:rPr>
          <w:rFonts w:ascii="Arial Narrow" w:hAnsi="Arial Narrow"/>
          <w:color w:val="000000" w:themeColor="text1"/>
          <w:sz w:val="22"/>
          <w:szCs w:val="22"/>
        </w:rPr>
        <w:t xml:space="preserve"> </w:t>
      </w:r>
    </w:p>
    <w:p w14:paraId="172F4722" w14:textId="77777777" w:rsidR="0067019A" w:rsidRDefault="0067019A" w:rsidP="008B1BF8">
      <w:pPr>
        <w:rPr>
          <w:rFonts w:ascii="Arial Narrow" w:hAnsi="Arial Narrow"/>
          <w:color w:val="000000" w:themeColor="text1"/>
          <w:sz w:val="22"/>
          <w:szCs w:val="22"/>
        </w:rPr>
      </w:pPr>
    </w:p>
    <w:p w14:paraId="2AFB6CEC" w14:textId="1300D60D" w:rsidR="0067019A" w:rsidRDefault="0067019A" w:rsidP="008B1BF8">
      <w:pPr>
        <w:rPr>
          <w:rFonts w:ascii="Arial Narrow" w:hAnsi="Arial Narrow"/>
          <w:b/>
          <w:color w:val="000000" w:themeColor="text1"/>
          <w:sz w:val="22"/>
          <w:szCs w:val="22"/>
        </w:rPr>
      </w:pPr>
      <w:r>
        <w:rPr>
          <w:rFonts w:ascii="Arial Narrow" w:hAnsi="Arial Narrow"/>
          <w:b/>
          <w:color w:val="000000" w:themeColor="text1"/>
          <w:sz w:val="22"/>
          <w:szCs w:val="22"/>
        </w:rPr>
        <w:t>Conclusion</w:t>
      </w:r>
    </w:p>
    <w:p w14:paraId="3D6AD723" w14:textId="1ED7F756" w:rsidR="00BB0683" w:rsidRDefault="0067019A" w:rsidP="003F712B">
      <w:pPr>
        <w:rPr>
          <w:rFonts w:ascii="Arial Narrow" w:hAnsi="Arial Narrow"/>
          <w:color w:val="000000" w:themeColor="text1"/>
          <w:sz w:val="22"/>
          <w:szCs w:val="22"/>
        </w:rPr>
      </w:pPr>
      <w:r>
        <w:rPr>
          <w:rFonts w:ascii="Arial Narrow" w:hAnsi="Arial Narrow"/>
          <w:color w:val="000000" w:themeColor="text1"/>
          <w:sz w:val="22"/>
          <w:szCs w:val="22"/>
        </w:rPr>
        <w:t xml:space="preserve">The work presented above has been updated for 2017 based on Census Small Areas (N=4,537). The work continues to the form the basis of identifying those in greatest need of assistance throughout Northern Ireland. Through liaison with Council teams, eligibility for the Affordable Warmth Scheme (AWS) is determined with eligible households receiving assistance. The increase of spatial data has enabled the algorithm to be developed further by using energy efficiency (SAP) data, health data and new fuel data in a GIS to refine the targeting approach. The algorithm is constantly evolving based on the provision of new data that can be used to efficiently target resources to those in greatest need. </w:t>
      </w:r>
    </w:p>
    <w:p w14:paraId="03510AB3" w14:textId="57142308" w:rsidR="004676E1" w:rsidRPr="004676E1" w:rsidRDefault="004676E1" w:rsidP="003F712B">
      <w:pPr>
        <w:rPr>
          <w:rFonts w:ascii="Arial Narrow" w:hAnsi="Arial Narrow"/>
          <w:b/>
          <w:color w:val="000000" w:themeColor="text1"/>
          <w:sz w:val="22"/>
          <w:szCs w:val="22"/>
        </w:rPr>
      </w:pPr>
      <w:r>
        <w:rPr>
          <w:rFonts w:ascii="Arial Narrow" w:hAnsi="Arial Narrow"/>
          <w:b/>
          <w:color w:val="000000" w:themeColor="text1"/>
          <w:sz w:val="22"/>
          <w:szCs w:val="22"/>
        </w:rPr>
        <w:lastRenderedPageBreak/>
        <w:t>References</w:t>
      </w:r>
    </w:p>
    <w:p w14:paraId="04EC9583" w14:textId="161D1C4F" w:rsidR="00AC1E4F" w:rsidRPr="00AC1E4F" w:rsidRDefault="00AC1E4F" w:rsidP="00AC1E4F">
      <w:pPr>
        <w:pStyle w:val="ListParagraph"/>
        <w:numPr>
          <w:ilvl w:val="0"/>
          <w:numId w:val="3"/>
        </w:numPr>
        <w:rPr>
          <w:rFonts w:ascii="Arial Narrow" w:hAnsi="Arial Narrow"/>
          <w:color w:val="000000" w:themeColor="text1"/>
          <w:sz w:val="22"/>
          <w:szCs w:val="22"/>
        </w:rPr>
      </w:pPr>
      <w:r w:rsidRPr="00AC1E4F">
        <w:rPr>
          <w:rFonts w:ascii="Arial Narrow" w:hAnsi="Arial Narrow"/>
          <w:color w:val="000000" w:themeColor="text1"/>
          <w:sz w:val="22"/>
          <w:szCs w:val="22"/>
        </w:rPr>
        <w:t>Anderson, B, 2008. Creating Small Area Income Deprivation Estimates for Northern Ireland: Spatial Microsimulation Modelling University of Essex, Colchester (2008) (Final report to the Northern Ireland Statistics and Research Agency (NISRA)</w:t>
      </w:r>
    </w:p>
    <w:p w14:paraId="5B812155" w14:textId="38CDE85B" w:rsidR="00266ABA" w:rsidRDefault="00266ABA" w:rsidP="00266ABA">
      <w:pPr>
        <w:pStyle w:val="ListParagraph"/>
        <w:numPr>
          <w:ilvl w:val="0"/>
          <w:numId w:val="3"/>
        </w:numPr>
        <w:rPr>
          <w:rFonts w:ascii="Arial Narrow" w:hAnsi="Arial Narrow"/>
          <w:color w:val="000000" w:themeColor="text1"/>
          <w:sz w:val="22"/>
          <w:szCs w:val="22"/>
        </w:rPr>
      </w:pPr>
      <w:r w:rsidRPr="00266ABA">
        <w:rPr>
          <w:rFonts w:ascii="Arial Narrow" w:hAnsi="Arial Narrow"/>
          <w:color w:val="000000" w:themeColor="text1"/>
          <w:sz w:val="22"/>
          <w:szCs w:val="22"/>
        </w:rPr>
        <w:t>Armstrong, D, Winder, R, Wallis, R, 2006. Impediments to policy implementation: The offer of free installation of central heating to an elderly community has limited uptake, Public Health, 120(2), pp. 161-166.</w:t>
      </w:r>
    </w:p>
    <w:p w14:paraId="151B462D" w14:textId="48A2A2F6" w:rsidR="009F0342" w:rsidRPr="009F0342" w:rsidRDefault="009F0342" w:rsidP="009F0342">
      <w:pPr>
        <w:pStyle w:val="ListParagraph"/>
        <w:numPr>
          <w:ilvl w:val="0"/>
          <w:numId w:val="3"/>
        </w:numPr>
        <w:rPr>
          <w:rFonts w:ascii="Arial Narrow" w:hAnsi="Arial Narrow"/>
          <w:color w:val="000000" w:themeColor="text1"/>
          <w:sz w:val="22"/>
          <w:szCs w:val="22"/>
        </w:rPr>
      </w:pPr>
      <w:r w:rsidRPr="009F0342">
        <w:rPr>
          <w:rFonts w:ascii="Arial Narrow" w:hAnsi="Arial Narrow"/>
          <w:color w:val="000000" w:themeColor="text1"/>
          <w:sz w:val="22"/>
          <w:szCs w:val="22"/>
        </w:rPr>
        <w:t>Baker, W, Sterling, G, Gordon, D, 2003. Predicting Fuel Poverty at the Local Level: Final Report on the Development of the Fuel Poverty Indicator, Centre for Su</w:t>
      </w:r>
      <w:r>
        <w:rPr>
          <w:rFonts w:ascii="Arial Narrow" w:hAnsi="Arial Narrow"/>
          <w:color w:val="000000" w:themeColor="text1"/>
          <w:sz w:val="22"/>
          <w:szCs w:val="22"/>
        </w:rPr>
        <w:t>stainable Energy, Bristol</w:t>
      </w:r>
    </w:p>
    <w:p w14:paraId="7A8B31B4" w14:textId="5205F86B" w:rsidR="008905A0" w:rsidRDefault="008905A0" w:rsidP="00A90165">
      <w:pPr>
        <w:pStyle w:val="ListParagraph"/>
        <w:numPr>
          <w:ilvl w:val="0"/>
          <w:numId w:val="3"/>
        </w:numPr>
        <w:rPr>
          <w:rFonts w:ascii="Arial Narrow" w:hAnsi="Arial Narrow"/>
          <w:color w:val="000000" w:themeColor="text1"/>
          <w:sz w:val="22"/>
          <w:szCs w:val="22"/>
        </w:rPr>
      </w:pPr>
      <w:r>
        <w:rPr>
          <w:rFonts w:ascii="Arial Narrow" w:hAnsi="Arial Narrow"/>
          <w:color w:val="000000" w:themeColor="text1"/>
          <w:sz w:val="22"/>
          <w:szCs w:val="22"/>
        </w:rPr>
        <w:t xml:space="preserve">Boardman, B, 1991. </w:t>
      </w:r>
      <w:r w:rsidR="00A90165" w:rsidRPr="00A90165">
        <w:rPr>
          <w:rFonts w:ascii="Arial Narrow" w:hAnsi="Arial Narrow"/>
          <w:color w:val="000000" w:themeColor="text1"/>
          <w:sz w:val="22"/>
          <w:szCs w:val="22"/>
        </w:rPr>
        <w:t>Fuel Poverty: From Cold Homes to Affordable Warmth</w:t>
      </w:r>
      <w:r w:rsidR="00A90165">
        <w:rPr>
          <w:rFonts w:ascii="Arial Narrow" w:hAnsi="Arial Narrow"/>
          <w:color w:val="000000" w:themeColor="text1"/>
          <w:sz w:val="22"/>
          <w:szCs w:val="22"/>
        </w:rPr>
        <w:t xml:space="preserve">. </w:t>
      </w:r>
      <w:r w:rsidR="00A90165" w:rsidRPr="00A90165">
        <w:rPr>
          <w:rFonts w:ascii="Arial Narrow" w:hAnsi="Arial Narrow"/>
          <w:color w:val="000000" w:themeColor="text1"/>
          <w:sz w:val="22"/>
          <w:szCs w:val="22"/>
        </w:rPr>
        <w:t>John Wiley &amp; Sons Ltd</w:t>
      </w:r>
    </w:p>
    <w:p w14:paraId="719AD638" w14:textId="09452374" w:rsidR="008B7569" w:rsidRDefault="008B7569" w:rsidP="008B7569">
      <w:pPr>
        <w:pStyle w:val="ListParagraph"/>
        <w:numPr>
          <w:ilvl w:val="0"/>
          <w:numId w:val="3"/>
        </w:numPr>
        <w:rPr>
          <w:rFonts w:ascii="Arial Narrow" w:hAnsi="Arial Narrow"/>
          <w:color w:val="000000" w:themeColor="text1"/>
          <w:sz w:val="22"/>
          <w:szCs w:val="22"/>
        </w:rPr>
      </w:pPr>
      <w:r w:rsidRPr="008B7569">
        <w:rPr>
          <w:rFonts w:ascii="Arial Narrow" w:hAnsi="Arial Narrow"/>
          <w:color w:val="000000" w:themeColor="text1"/>
          <w:sz w:val="22"/>
          <w:szCs w:val="22"/>
        </w:rPr>
        <w:t>Crawford, VLS, McCann, M, Stout, RW, 2003. Changes in seasonal deaths from myocardial infarction, QJM - Monthly Journal of the Association of Physicians, 96(1), pp. 45-52.</w:t>
      </w:r>
    </w:p>
    <w:p w14:paraId="38AADBA6" w14:textId="78ACA2DF" w:rsidR="0094477B" w:rsidRPr="0094477B" w:rsidRDefault="0094477B" w:rsidP="0094477B">
      <w:pPr>
        <w:pStyle w:val="ListParagraph"/>
        <w:numPr>
          <w:ilvl w:val="0"/>
          <w:numId w:val="3"/>
        </w:numPr>
        <w:rPr>
          <w:rFonts w:ascii="Arial Narrow" w:hAnsi="Arial Narrow"/>
          <w:color w:val="000000" w:themeColor="text1"/>
          <w:sz w:val="22"/>
          <w:szCs w:val="22"/>
        </w:rPr>
      </w:pPr>
      <w:r w:rsidRPr="0094477B">
        <w:rPr>
          <w:rFonts w:ascii="Arial Narrow" w:hAnsi="Arial Narrow"/>
          <w:color w:val="000000" w:themeColor="text1"/>
          <w:sz w:val="22"/>
          <w:szCs w:val="22"/>
        </w:rPr>
        <w:t>Farrell, C, McAvoy, H, Wilde, J, 2008. Tackling Health Inequalities: An All-Ireland Approach to Social Determinants, Combat Poverty Agency, Dublin (2008)</w:t>
      </w:r>
    </w:p>
    <w:p w14:paraId="743D15F6" w14:textId="77777777" w:rsidR="004218A3" w:rsidRDefault="004218A3" w:rsidP="004218A3">
      <w:pPr>
        <w:pStyle w:val="ListParagraph"/>
        <w:numPr>
          <w:ilvl w:val="0"/>
          <w:numId w:val="3"/>
        </w:numPr>
        <w:rPr>
          <w:rFonts w:ascii="Arial Narrow" w:hAnsi="Arial Narrow"/>
          <w:color w:val="000000" w:themeColor="text1"/>
          <w:sz w:val="22"/>
          <w:szCs w:val="22"/>
        </w:rPr>
      </w:pPr>
      <w:r w:rsidRPr="004218A3">
        <w:rPr>
          <w:rFonts w:ascii="Arial Narrow" w:hAnsi="Arial Narrow"/>
          <w:color w:val="000000" w:themeColor="text1"/>
          <w:sz w:val="22"/>
          <w:szCs w:val="22"/>
        </w:rPr>
        <w:t>Healy, JD, 2003. Excess winter mortality in Europe: A cross country analysis identifying key risk factors, Journal of Epidemiology and Community Health, 57(10), pp. 784-789.</w:t>
      </w:r>
    </w:p>
    <w:p w14:paraId="2DEB4C76" w14:textId="5841AED6" w:rsidR="004676E1" w:rsidRPr="004676E1" w:rsidRDefault="004676E1" w:rsidP="004676E1">
      <w:pPr>
        <w:pStyle w:val="ListParagraph"/>
        <w:numPr>
          <w:ilvl w:val="0"/>
          <w:numId w:val="3"/>
        </w:numPr>
        <w:rPr>
          <w:rFonts w:ascii="Arial Narrow" w:hAnsi="Arial Narrow"/>
          <w:color w:val="000000" w:themeColor="text1"/>
          <w:sz w:val="22"/>
          <w:szCs w:val="22"/>
        </w:rPr>
      </w:pPr>
      <w:r w:rsidRPr="004676E1">
        <w:rPr>
          <w:rFonts w:ascii="Arial Narrow" w:hAnsi="Arial Narrow"/>
          <w:color w:val="000000" w:themeColor="text1"/>
          <w:sz w:val="22"/>
          <w:szCs w:val="22"/>
        </w:rPr>
        <w:t>Healy, JD, Clinch, P, 2002. Fuel poverty in Europe: A cross-country analysis using a new composite measure</w:t>
      </w:r>
    </w:p>
    <w:p w14:paraId="31DC11C3" w14:textId="1178BD95" w:rsidR="004676E1" w:rsidRDefault="004676E1" w:rsidP="004676E1">
      <w:pPr>
        <w:pStyle w:val="ListParagraph"/>
        <w:numPr>
          <w:ilvl w:val="0"/>
          <w:numId w:val="3"/>
        </w:numPr>
        <w:rPr>
          <w:rFonts w:ascii="Arial Narrow" w:hAnsi="Arial Narrow"/>
          <w:color w:val="000000" w:themeColor="text1"/>
          <w:sz w:val="22"/>
          <w:szCs w:val="22"/>
        </w:rPr>
      </w:pPr>
      <w:r w:rsidRPr="004676E1">
        <w:rPr>
          <w:rFonts w:ascii="Arial Narrow" w:hAnsi="Arial Narrow"/>
          <w:color w:val="000000" w:themeColor="text1"/>
          <w:sz w:val="22"/>
          <w:szCs w:val="22"/>
        </w:rPr>
        <w:t xml:space="preserve">Environmental Studies Research Series, </w:t>
      </w:r>
      <w:r>
        <w:rPr>
          <w:rFonts w:ascii="Arial Narrow" w:hAnsi="Arial Narrow"/>
          <w:color w:val="000000" w:themeColor="text1"/>
          <w:sz w:val="22"/>
          <w:szCs w:val="22"/>
        </w:rPr>
        <w:t>University College Dublin.</w:t>
      </w:r>
    </w:p>
    <w:p w14:paraId="3DA5DD1E" w14:textId="77777777" w:rsidR="008B7569" w:rsidRPr="008B7569" w:rsidRDefault="008B7569" w:rsidP="008B7569">
      <w:pPr>
        <w:pStyle w:val="ListParagraph"/>
        <w:numPr>
          <w:ilvl w:val="0"/>
          <w:numId w:val="3"/>
        </w:numPr>
        <w:rPr>
          <w:rFonts w:ascii="Arial Narrow" w:hAnsi="Arial Narrow"/>
          <w:color w:val="000000" w:themeColor="text1"/>
          <w:sz w:val="22"/>
          <w:szCs w:val="22"/>
        </w:rPr>
      </w:pPr>
      <w:r w:rsidRPr="008B7569">
        <w:rPr>
          <w:rFonts w:ascii="Arial Narrow" w:hAnsi="Arial Narrow"/>
          <w:color w:val="000000" w:themeColor="text1"/>
          <w:sz w:val="22"/>
          <w:szCs w:val="22"/>
        </w:rPr>
        <w:t>Howieson, SG, Hogan, M, 2005. Multiple deprivation and excess winter deaths in Scotland, Perspectives in Public Health, 125</w:t>
      </w:r>
      <w:r>
        <w:rPr>
          <w:rFonts w:ascii="Arial Narrow" w:hAnsi="Arial Narrow"/>
          <w:color w:val="000000" w:themeColor="text1"/>
          <w:sz w:val="22"/>
          <w:szCs w:val="22"/>
        </w:rPr>
        <w:t>(1)</w:t>
      </w:r>
      <w:r w:rsidRPr="008B7569">
        <w:rPr>
          <w:rFonts w:ascii="Arial Narrow" w:hAnsi="Arial Narrow"/>
          <w:color w:val="000000" w:themeColor="text1"/>
          <w:sz w:val="22"/>
          <w:szCs w:val="22"/>
        </w:rPr>
        <w:t xml:space="preserve">, pp. 18 </w:t>
      </w:r>
      <w:r>
        <w:rPr>
          <w:rFonts w:ascii="Arial Narrow" w:hAnsi="Arial Narrow"/>
          <w:color w:val="000000" w:themeColor="text1"/>
          <w:sz w:val="22"/>
          <w:szCs w:val="22"/>
        </w:rPr>
        <w:t>–</w:t>
      </w:r>
      <w:r w:rsidRPr="008B7569">
        <w:rPr>
          <w:rFonts w:ascii="Arial Narrow" w:hAnsi="Arial Narrow"/>
          <w:color w:val="000000" w:themeColor="text1"/>
          <w:sz w:val="22"/>
          <w:szCs w:val="22"/>
        </w:rPr>
        <w:t xml:space="preserve"> 22</w:t>
      </w:r>
      <w:r>
        <w:rPr>
          <w:rFonts w:ascii="Arial Narrow" w:hAnsi="Arial Narrow"/>
          <w:color w:val="000000" w:themeColor="text1"/>
          <w:sz w:val="22"/>
          <w:szCs w:val="22"/>
        </w:rPr>
        <w:t xml:space="preserve">. </w:t>
      </w:r>
    </w:p>
    <w:p w14:paraId="679ECECE" w14:textId="66806791" w:rsidR="00DE28E7" w:rsidRDefault="00DE28E7" w:rsidP="004218A3">
      <w:pPr>
        <w:pStyle w:val="ListParagraph"/>
        <w:numPr>
          <w:ilvl w:val="0"/>
          <w:numId w:val="3"/>
        </w:numPr>
        <w:rPr>
          <w:rFonts w:ascii="Arial Narrow" w:hAnsi="Arial Narrow"/>
          <w:color w:val="000000" w:themeColor="text1"/>
          <w:sz w:val="22"/>
          <w:szCs w:val="22"/>
        </w:rPr>
      </w:pPr>
      <w:r w:rsidRPr="004218A3">
        <w:rPr>
          <w:rFonts w:ascii="Arial Narrow" w:hAnsi="Arial Narrow"/>
          <w:color w:val="000000" w:themeColor="text1"/>
          <w:sz w:val="22"/>
          <w:szCs w:val="22"/>
        </w:rPr>
        <w:t>Jenkins, DP, 2010. The value of retrofitting carbon-saving measures into fuel poor social housing, Energy Policy, 38(2), pp. 832-839.</w:t>
      </w:r>
    </w:p>
    <w:p w14:paraId="4FAF076F" w14:textId="49E536E4" w:rsidR="00AF3845" w:rsidRDefault="00AF3845" w:rsidP="00AF3845">
      <w:pPr>
        <w:pStyle w:val="ListParagraph"/>
        <w:numPr>
          <w:ilvl w:val="0"/>
          <w:numId w:val="3"/>
        </w:numPr>
        <w:rPr>
          <w:rFonts w:ascii="Arial Narrow" w:hAnsi="Arial Narrow"/>
          <w:color w:val="000000" w:themeColor="text1"/>
          <w:sz w:val="22"/>
          <w:szCs w:val="22"/>
        </w:rPr>
      </w:pPr>
      <w:r w:rsidRPr="00AF3845">
        <w:rPr>
          <w:rFonts w:ascii="Arial Narrow" w:hAnsi="Arial Narrow"/>
          <w:color w:val="000000" w:themeColor="text1"/>
          <w:sz w:val="22"/>
          <w:szCs w:val="22"/>
        </w:rPr>
        <w:t>Khanom, L, 2000. Impact of fuel poverty on health in Tower Hamlets. In: J. Rudge, F. Nicol (Eds.), Cutting the Cost of Cold: Affordable warmth for healthier homes, Taylor &amp; Francis, London (2000)</w:t>
      </w:r>
      <w:r w:rsidR="0094477B">
        <w:rPr>
          <w:rFonts w:ascii="Arial Narrow" w:hAnsi="Arial Narrow"/>
          <w:color w:val="000000" w:themeColor="text1"/>
          <w:sz w:val="22"/>
          <w:szCs w:val="22"/>
        </w:rPr>
        <w:t>.</w:t>
      </w:r>
    </w:p>
    <w:p w14:paraId="481E3507" w14:textId="6BB32393" w:rsidR="0094477B" w:rsidRDefault="0094477B" w:rsidP="0094477B">
      <w:pPr>
        <w:pStyle w:val="ListParagraph"/>
        <w:numPr>
          <w:ilvl w:val="0"/>
          <w:numId w:val="3"/>
        </w:numPr>
        <w:rPr>
          <w:rFonts w:ascii="Arial Narrow" w:hAnsi="Arial Narrow"/>
          <w:color w:val="000000" w:themeColor="text1"/>
          <w:sz w:val="22"/>
          <w:szCs w:val="22"/>
        </w:rPr>
      </w:pPr>
      <w:r w:rsidRPr="0094477B">
        <w:rPr>
          <w:rFonts w:ascii="Arial Narrow" w:hAnsi="Arial Narrow"/>
          <w:color w:val="000000" w:themeColor="text1"/>
          <w:sz w:val="22"/>
          <w:szCs w:val="22"/>
        </w:rPr>
        <w:t>Lawlor, DA, Maxwell, R, Wheeler, BW, 2002. Rurality, deprivation, and excess winter mortality: An ecological study</w:t>
      </w:r>
      <w:r>
        <w:rPr>
          <w:rFonts w:ascii="Arial Narrow" w:hAnsi="Arial Narrow"/>
          <w:color w:val="000000" w:themeColor="text1"/>
          <w:sz w:val="22"/>
          <w:szCs w:val="22"/>
        </w:rPr>
        <w:t xml:space="preserve">, </w:t>
      </w:r>
      <w:r w:rsidRPr="0094477B">
        <w:rPr>
          <w:rFonts w:ascii="Arial Narrow" w:hAnsi="Arial Narrow"/>
          <w:color w:val="000000" w:themeColor="text1"/>
          <w:sz w:val="22"/>
          <w:szCs w:val="22"/>
        </w:rPr>
        <w:t>Journal of Epidemiology and Community Health, 56(5), pp. 373-374.</w:t>
      </w:r>
    </w:p>
    <w:p w14:paraId="1288EC58" w14:textId="77777777" w:rsidR="008A2BC3" w:rsidRDefault="008A2BC3" w:rsidP="008B7569">
      <w:pPr>
        <w:pStyle w:val="ListParagraph"/>
        <w:numPr>
          <w:ilvl w:val="0"/>
          <w:numId w:val="3"/>
        </w:numPr>
        <w:rPr>
          <w:rFonts w:ascii="Arial Narrow" w:hAnsi="Arial Narrow"/>
          <w:color w:val="000000" w:themeColor="text1"/>
          <w:sz w:val="22"/>
          <w:szCs w:val="22"/>
        </w:rPr>
      </w:pPr>
      <w:r w:rsidRPr="008A2BC3">
        <w:rPr>
          <w:rFonts w:ascii="Arial Narrow" w:hAnsi="Arial Narrow"/>
          <w:color w:val="000000" w:themeColor="text1"/>
          <w:sz w:val="22"/>
          <w:szCs w:val="22"/>
        </w:rPr>
        <w:t>Liddell, C, Morris, C, McKenzie, P, Rae, G, 2011. Defining Fuel Poverty in Northern Ireland: A preliminary review. DSDNI. 164 pp.</w:t>
      </w:r>
    </w:p>
    <w:p w14:paraId="5F03EBE2" w14:textId="29DFACC9" w:rsidR="008B7569" w:rsidRPr="008A2BC3" w:rsidRDefault="00DE28E7" w:rsidP="008B7569">
      <w:pPr>
        <w:pStyle w:val="ListParagraph"/>
        <w:numPr>
          <w:ilvl w:val="0"/>
          <w:numId w:val="3"/>
        </w:numPr>
        <w:rPr>
          <w:rFonts w:ascii="Arial Narrow" w:hAnsi="Arial Narrow"/>
          <w:color w:val="000000" w:themeColor="text1"/>
          <w:sz w:val="22"/>
          <w:szCs w:val="22"/>
        </w:rPr>
      </w:pPr>
      <w:r w:rsidRPr="008A2BC3">
        <w:rPr>
          <w:rFonts w:ascii="Arial Narrow" w:hAnsi="Arial Narrow"/>
          <w:color w:val="000000" w:themeColor="text1"/>
          <w:sz w:val="22"/>
          <w:szCs w:val="22"/>
        </w:rPr>
        <w:t>Liddell, C, Morris, C, McKenzie, P, Rae, G, 2012. Measuring and monitoring fuel poverty in the UK: National and regional perspectives, Energy Policy, 49, pp. 27-32.</w:t>
      </w:r>
    </w:p>
    <w:p w14:paraId="297E4F46" w14:textId="6E965458" w:rsidR="005F02DE" w:rsidRPr="005F02DE" w:rsidRDefault="005F02DE" w:rsidP="005F02DE">
      <w:pPr>
        <w:pStyle w:val="ListParagraph"/>
        <w:numPr>
          <w:ilvl w:val="0"/>
          <w:numId w:val="3"/>
        </w:numPr>
        <w:rPr>
          <w:rFonts w:ascii="Arial Narrow" w:hAnsi="Arial Narrow"/>
          <w:color w:val="000000" w:themeColor="text1"/>
          <w:sz w:val="22"/>
          <w:szCs w:val="22"/>
        </w:rPr>
      </w:pPr>
      <w:r w:rsidRPr="005F02DE">
        <w:rPr>
          <w:rFonts w:ascii="Arial Narrow" w:hAnsi="Arial Narrow"/>
          <w:color w:val="000000" w:themeColor="text1"/>
          <w:sz w:val="22"/>
          <w:szCs w:val="22"/>
        </w:rPr>
        <w:t xml:space="preserve">Morrison, C, Shortt, N, 2008. Fuel poverty in Scotland: Refining spatial resolution in the Scottish Fuel Poverty Indicator using a GIS-based multiple risk index, Health &amp; Place, 14(4), </w:t>
      </w:r>
      <w:r>
        <w:rPr>
          <w:rFonts w:ascii="Arial Narrow" w:hAnsi="Arial Narrow"/>
          <w:color w:val="000000" w:themeColor="text1"/>
          <w:sz w:val="22"/>
          <w:szCs w:val="22"/>
        </w:rPr>
        <w:t>pp. 702-717.</w:t>
      </w:r>
    </w:p>
    <w:p w14:paraId="75D3D1F8" w14:textId="5B428796" w:rsidR="00AC1E4F" w:rsidRPr="00AC1E4F" w:rsidRDefault="00AC1E4F" w:rsidP="00AC1E4F">
      <w:pPr>
        <w:pStyle w:val="ListParagraph"/>
        <w:numPr>
          <w:ilvl w:val="0"/>
          <w:numId w:val="3"/>
        </w:numPr>
        <w:rPr>
          <w:rFonts w:ascii="Arial Narrow" w:hAnsi="Arial Narrow"/>
          <w:color w:val="000000" w:themeColor="text1"/>
          <w:sz w:val="22"/>
          <w:szCs w:val="22"/>
        </w:rPr>
      </w:pPr>
      <w:r w:rsidRPr="00AC1E4F">
        <w:rPr>
          <w:rFonts w:ascii="Arial Narrow" w:hAnsi="Arial Narrow"/>
          <w:color w:val="000000" w:themeColor="text1"/>
          <w:sz w:val="22"/>
          <w:szCs w:val="22"/>
        </w:rPr>
        <w:t xml:space="preserve">NINIS Northern Ireland Neighbourhood Information Service </w:t>
      </w:r>
      <w:r w:rsidR="00744E87">
        <w:rPr>
          <w:rFonts w:ascii="Arial Narrow" w:hAnsi="Arial Narrow"/>
          <w:color w:val="000000" w:themeColor="text1"/>
          <w:sz w:val="22"/>
          <w:szCs w:val="22"/>
        </w:rPr>
        <w:t xml:space="preserve">(2011) </w:t>
      </w:r>
      <w:r w:rsidRPr="00AC1E4F">
        <w:rPr>
          <w:rFonts w:ascii="Arial Narrow" w:hAnsi="Arial Narrow"/>
          <w:color w:val="000000" w:themeColor="text1"/>
          <w:sz w:val="22"/>
          <w:szCs w:val="22"/>
        </w:rPr>
        <w:t>Available at www.ninis.nisra.gov.uk</w:t>
      </w:r>
    </w:p>
    <w:p w14:paraId="1D88F718" w14:textId="46F93C86" w:rsidR="00266ABA" w:rsidRPr="00266ABA" w:rsidRDefault="00266ABA" w:rsidP="00266ABA">
      <w:pPr>
        <w:pStyle w:val="ListParagraph"/>
        <w:numPr>
          <w:ilvl w:val="0"/>
          <w:numId w:val="3"/>
        </w:numPr>
        <w:rPr>
          <w:rFonts w:ascii="Arial Narrow" w:hAnsi="Arial Narrow"/>
          <w:color w:val="000000" w:themeColor="text1"/>
          <w:sz w:val="22"/>
          <w:szCs w:val="22"/>
        </w:rPr>
      </w:pPr>
      <w:r w:rsidRPr="00266ABA">
        <w:rPr>
          <w:rFonts w:ascii="Arial Narrow" w:hAnsi="Arial Narrow"/>
          <w:color w:val="000000" w:themeColor="text1"/>
          <w:sz w:val="22"/>
          <w:szCs w:val="22"/>
        </w:rPr>
        <w:t xml:space="preserve">Sefton, T, 2002. Targeting Fuel Poverty in England: Is the </w:t>
      </w:r>
      <w:r w:rsidR="00744E87" w:rsidRPr="00266ABA">
        <w:rPr>
          <w:rFonts w:ascii="Arial Narrow" w:hAnsi="Arial Narrow"/>
          <w:color w:val="000000" w:themeColor="text1"/>
          <w:sz w:val="22"/>
          <w:szCs w:val="22"/>
        </w:rPr>
        <w:t>Government</w:t>
      </w:r>
      <w:r w:rsidRPr="00266ABA">
        <w:rPr>
          <w:rFonts w:ascii="Arial Narrow" w:hAnsi="Arial Narrow"/>
          <w:color w:val="000000" w:themeColor="text1"/>
          <w:sz w:val="22"/>
          <w:szCs w:val="22"/>
        </w:rPr>
        <w:t xml:space="preserve"> Getting Warm? Fiscal Studies, 23(3), pp. 369-399.</w:t>
      </w:r>
    </w:p>
    <w:p w14:paraId="41E31919" w14:textId="0A45C59E" w:rsidR="00906AD7" w:rsidRDefault="00AF3845" w:rsidP="00906AD7">
      <w:pPr>
        <w:pStyle w:val="ListParagraph"/>
        <w:numPr>
          <w:ilvl w:val="0"/>
          <w:numId w:val="3"/>
        </w:numPr>
        <w:rPr>
          <w:rFonts w:ascii="Arial Narrow" w:hAnsi="Arial Narrow"/>
          <w:color w:val="000000" w:themeColor="text1"/>
          <w:sz w:val="22"/>
          <w:szCs w:val="22"/>
        </w:rPr>
      </w:pPr>
      <w:r w:rsidRPr="00906AD7">
        <w:rPr>
          <w:rFonts w:ascii="Arial Narrow" w:hAnsi="Arial Narrow" w:cs="Arial"/>
          <w:color w:val="000000" w:themeColor="text1"/>
          <w:sz w:val="22"/>
          <w:szCs w:val="22"/>
        </w:rPr>
        <w:t>Shortt</w:t>
      </w:r>
      <w:r>
        <w:rPr>
          <w:rFonts w:ascii="Arial Narrow" w:hAnsi="Arial Narrow" w:cs="Arial"/>
          <w:color w:val="000000" w:themeColor="text1"/>
          <w:sz w:val="22"/>
          <w:szCs w:val="22"/>
        </w:rPr>
        <w:t xml:space="preserve">, N, and </w:t>
      </w:r>
      <w:r w:rsidRPr="00906AD7">
        <w:rPr>
          <w:rFonts w:ascii="Arial Narrow" w:hAnsi="Arial Narrow" w:cs="Arial"/>
          <w:color w:val="000000" w:themeColor="text1"/>
          <w:sz w:val="22"/>
          <w:szCs w:val="22"/>
        </w:rPr>
        <w:t xml:space="preserve">Rugkåsa, </w:t>
      </w:r>
      <w:r>
        <w:rPr>
          <w:rFonts w:ascii="Arial Narrow" w:hAnsi="Arial Narrow" w:cs="Arial"/>
          <w:color w:val="000000" w:themeColor="text1"/>
          <w:sz w:val="22"/>
          <w:szCs w:val="22"/>
        </w:rPr>
        <w:t xml:space="preserve">J, </w:t>
      </w:r>
      <w:r w:rsidRPr="00906AD7">
        <w:rPr>
          <w:rFonts w:ascii="Arial Narrow" w:hAnsi="Arial Narrow" w:cs="Arial"/>
          <w:color w:val="000000" w:themeColor="text1"/>
          <w:sz w:val="22"/>
          <w:szCs w:val="22"/>
        </w:rPr>
        <w:t>2007</w:t>
      </w:r>
      <w:r w:rsidR="00906AD7" w:rsidRPr="00906AD7">
        <w:rPr>
          <w:rFonts w:ascii="Arial Narrow" w:hAnsi="Arial Narrow"/>
          <w:color w:val="000000" w:themeColor="text1"/>
          <w:sz w:val="22"/>
          <w:szCs w:val="22"/>
        </w:rPr>
        <w:t xml:space="preserve">. “The walls were so damp and cold” fuel poverty and ill health in Northern Ireland: Results from a housing intervention, Health &amp; Place, 13(1), </w:t>
      </w:r>
      <w:r w:rsidR="00906AD7">
        <w:rPr>
          <w:rFonts w:ascii="Arial Narrow" w:hAnsi="Arial Narrow"/>
          <w:color w:val="000000" w:themeColor="text1"/>
          <w:sz w:val="22"/>
          <w:szCs w:val="22"/>
        </w:rPr>
        <w:t>pp. 99-110.</w:t>
      </w:r>
    </w:p>
    <w:p w14:paraId="06204D7B" w14:textId="329F2479" w:rsidR="001A64AF" w:rsidRDefault="001A64AF" w:rsidP="001A64AF">
      <w:pPr>
        <w:pStyle w:val="ListParagraph"/>
        <w:numPr>
          <w:ilvl w:val="0"/>
          <w:numId w:val="3"/>
        </w:numPr>
        <w:rPr>
          <w:rFonts w:ascii="Arial Narrow" w:hAnsi="Arial Narrow"/>
          <w:color w:val="000000" w:themeColor="text1"/>
          <w:sz w:val="22"/>
          <w:szCs w:val="22"/>
        </w:rPr>
      </w:pPr>
      <w:r w:rsidRPr="001A64AF">
        <w:rPr>
          <w:rFonts w:ascii="Arial Narrow" w:hAnsi="Arial Narrow"/>
          <w:color w:val="000000" w:themeColor="text1"/>
          <w:sz w:val="22"/>
          <w:szCs w:val="22"/>
        </w:rPr>
        <w:t xml:space="preserve">Walker, R, McKenzie, P, Liddell, C, Morris, C, 2012. Area-based targeting of fuel poverty in Northern Ireland: An evidence-based approach, Applied Geography, 34, </w:t>
      </w:r>
      <w:r>
        <w:rPr>
          <w:rFonts w:ascii="Arial Narrow" w:hAnsi="Arial Narrow"/>
          <w:color w:val="000000" w:themeColor="text1"/>
          <w:sz w:val="22"/>
          <w:szCs w:val="22"/>
        </w:rPr>
        <w:t>pp. 6</w:t>
      </w:r>
      <w:r w:rsidRPr="001A64AF">
        <w:rPr>
          <w:rFonts w:ascii="Arial Narrow" w:hAnsi="Arial Narrow"/>
          <w:color w:val="000000" w:themeColor="text1"/>
          <w:sz w:val="22"/>
          <w:szCs w:val="22"/>
        </w:rPr>
        <w:t>39-649</w:t>
      </w:r>
      <w:r>
        <w:rPr>
          <w:rFonts w:ascii="Arial Narrow" w:hAnsi="Arial Narrow"/>
          <w:color w:val="000000" w:themeColor="text1"/>
          <w:sz w:val="22"/>
          <w:szCs w:val="22"/>
        </w:rPr>
        <w:t>.</w:t>
      </w:r>
    </w:p>
    <w:p w14:paraId="1708C0E8" w14:textId="4E4EF64E" w:rsidR="002F6F43" w:rsidRDefault="002F6F43" w:rsidP="002F6F43">
      <w:pPr>
        <w:pStyle w:val="ListParagraph"/>
        <w:numPr>
          <w:ilvl w:val="0"/>
          <w:numId w:val="3"/>
        </w:numPr>
        <w:rPr>
          <w:rFonts w:ascii="Arial Narrow" w:hAnsi="Arial Narrow"/>
          <w:color w:val="000000" w:themeColor="text1"/>
          <w:sz w:val="22"/>
          <w:szCs w:val="22"/>
        </w:rPr>
      </w:pPr>
      <w:r w:rsidRPr="002F6F43">
        <w:rPr>
          <w:rFonts w:ascii="Arial Narrow" w:hAnsi="Arial Narrow"/>
          <w:color w:val="000000" w:themeColor="text1"/>
          <w:sz w:val="22"/>
          <w:szCs w:val="22"/>
        </w:rPr>
        <w:t>Walker, R, Liddell, C, McKenzie, P, Morris, C, 2013. Evaluating fuel poverty policy in Northern Ireland using a geographic approach, Energy Policy, 63, pp. 765-774</w:t>
      </w:r>
      <w:r>
        <w:rPr>
          <w:rFonts w:ascii="Arial Narrow" w:hAnsi="Arial Narrow"/>
          <w:color w:val="000000" w:themeColor="text1"/>
          <w:sz w:val="22"/>
          <w:szCs w:val="22"/>
        </w:rPr>
        <w:t>.</w:t>
      </w:r>
    </w:p>
    <w:p w14:paraId="04EB6C65" w14:textId="4F187152" w:rsidR="007D3CD1" w:rsidRPr="007D3CD1" w:rsidRDefault="007D3CD1" w:rsidP="007D3CD1">
      <w:pPr>
        <w:pStyle w:val="ListParagraph"/>
        <w:numPr>
          <w:ilvl w:val="0"/>
          <w:numId w:val="3"/>
        </w:numPr>
        <w:rPr>
          <w:rFonts w:ascii="Arial Narrow" w:hAnsi="Arial Narrow"/>
          <w:color w:val="000000" w:themeColor="text1"/>
          <w:sz w:val="22"/>
          <w:szCs w:val="22"/>
        </w:rPr>
      </w:pPr>
      <w:r w:rsidRPr="007D3CD1">
        <w:rPr>
          <w:rFonts w:ascii="Arial Narrow" w:hAnsi="Arial Narrow"/>
          <w:color w:val="000000" w:themeColor="text1"/>
          <w:sz w:val="22"/>
          <w:szCs w:val="22"/>
        </w:rPr>
        <w:t>Walker, R, McKenzie, P, Liddell, C, Morris, C, 2014. Estimating fuel poverty at household level: An integrated approach, Energy and Buildings, 80, pp. 469-479</w:t>
      </w:r>
      <w:r>
        <w:rPr>
          <w:rFonts w:ascii="Arial Narrow" w:hAnsi="Arial Narrow"/>
          <w:color w:val="000000" w:themeColor="text1"/>
          <w:sz w:val="22"/>
          <w:szCs w:val="22"/>
        </w:rPr>
        <w:t>.</w:t>
      </w:r>
    </w:p>
    <w:p w14:paraId="3D1B5F21" w14:textId="45AB3FF9" w:rsidR="00A26CD7" w:rsidRDefault="008B7569" w:rsidP="00EE542F">
      <w:pPr>
        <w:pStyle w:val="ListParagraph"/>
        <w:numPr>
          <w:ilvl w:val="0"/>
          <w:numId w:val="3"/>
        </w:numPr>
        <w:spacing w:line="240" w:lineRule="auto"/>
        <w:jc w:val="both"/>
      </w:pPr>
      <w:r w:rsidRPr="00A90165">
        <w:rPr>
          <w:rFonts w:ascii="Arial Narrow" w:hAnsi="Arial Narrow"/>
          <w:color w:val="000000" w:themeColor="text1"/>
          <w:sz w:val="22"/>
          <w:szCs w:val="22"/>
        </w:rPr>
        <w:t>WHO, 2007. Housing, Energy and Thermal Comfort, World Health Organization, Copenhagen</w:t>
      </w:r>
    </w:p>
    <w:sectPr w:rsidR="00A26CD7" w:rsidSect="008A57B9">
      <w:headerReference w:type="default" r:id="rId11"/>
      <w:footerReference w:type="even" r:id="rId12"/>
      <w:footerReference w:type="default" r:id="rId13"/>
      <w:headerReference w:type="first" r:id="rId14"/>
      <w:footerReference w:type="first" r:id="rId15"/>
      <w:pgSz w:w="11906" w:h="16838" w:code="9"/>
      <w:pgMar w:top="1134" w:right="1361" w:bottom="1134" w:left="567"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1A8FFE" w14:textId="77777777" w:rsidR="003633D1" w:rsidRDefault="003633D1">
      <w:r>
        <w:separator/>
      </w:r>
    </w:p>
  </w:endnote>
  <w:endnote w:type="continuationSeparator" w:id="0">
    <w:p w14:paraId="41298E2A" w14:textId="77777777" w:rsidR="003633D1" w:rsidRDefault="00363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altName w:val="MS Mincho"/>
    <w:panose1 w:val="020B0604020202020204"/>
    <w:charset w:val="80"/>
    <w:family w:val="swiss"/>
    <w:pitch w:val="variable"/>
    <w:sig w:usb0="00000000"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63A42" w14:textId="77777777" w:rsidR="00426FEF" w:rsidRDefault="00426FEF" w:rsidP="00C47B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C5DB6F" w14:textId="77777777" w:rsidR="00426FEF" w:rsidRDefault="00426F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8E1C4" w14:textId="64D802DF" w:rsidR="00426FEF" w:rsidRDefault="00426FEF" w:rsidP="00C47B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7759">
      <w:rPr>
        <w:rStyle w:val="PageNumber"/>
        <w:noProof/>
      </w:rPr>
      <w:t>5</w:t>
    </w:r>
    <w:r>
      <w:rPr>
        <w:rStyle w:val="PageNumber"/>
      </w:rPr>
      <w:fldChar w:fldCharType="end"/>
    </w:r>
  </w:p>
  <w:p w14:paraId="7069F5E4" w14:textId="77777777" w:rsidR="00426FEF" w:rsidRDefault="00426F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2EBF1" w14:textId="77777777" w:rsidR="00426FEF" w:rsidRDefault="00426FEF" w:rsidP="000B1D9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116C1C" w14:textId="77777777" w:rsidR="003633D1" w:rsidRDefault="003633D1">
      <w:r>
        <w:separator/>
      </w:r>
    </w:p>
  </w:footnote>
  <w:footnote w:type="continuationSeparator" w:id="0">
    <w:p w14:paraId="722072E9" w14:textId="77777777" w:rsidR="003633D1" w:rsidRDefault="00363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29BDF" w14:textId="77777777" w:rsidR="00426FEF" w:rsidRPr="00B96A87" w:rsidRDefault="003F3117" w:rsidP="003F3117">
    <w:pPr>
      <w:pStyle w:val="Header"/>
      <w:tabs>
        <w:tab w:val="clear" w:pos="4153"/>
        <w:tab w:val="clear" w:pos="8306"/>
        <w:tab w:val="center" w:pos="5386"/>
      </w:tabs>
      <w:jc w:val="center"/>
      <w:rPr>
        <w:color w:val="4F81BD"/>
      </w:rPr>
    </w:pPr>
    <w:r>
      <w:rPr>
        <w:noProof/>
        <w:color w:val="4F81BD"/>
        <w:lang w:eastAsia="en-GB"/>
      </w:rPr>
      <w:drawing>
        <wp:anchor distT="0" distB="0" distL="114300" distR="114300" simplePos="0" relativeHeight="251658240" behindDoc="0" locked="0" layoutInCell="1" allowOverlap="1" wp14:anchorId="77EF6775" wp14:editId="3660FDBF">
          <wp:simplePos x="0" y="0"/>
          <wp:positionH relativeFrom="column">
            <wp:posOffset>190500</wp:posOffset>
          </wp:positionH>
          <wp:positionV relativeFrom="paragraph">
            <wp:posOffset>-122555</wp:posOffset>
          </wp:positionV>
          <wp:extent cx="6336665" cy="447675"/>
          <wp:effectExtent l="0" t="0" r="0" b="9525"/>
          <wp:wrapTight wrapText="bothSides">
            <wp:wrapPolygon edited="0">
              <wp:start x="0" y="0"/>
              <wp:lineTo x="0" y="20834"/>
              <wp:lineTo x="21472" y="20834"/>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BG2.png"/>
                  <pic:cNvPicPr/>
                </pic:nvPicPr>
                <pic:blipFill>
                  <a:blip r:embed="rId1">
                    <a:extLst>
                      <a:ext uri="{28A0092B-C50C-407E-A947-70E740481C1C}">
                        <a14:useLocalDpi xmlns:a14="http://schemas.microsoft.com/office/drawing/2010/main" val="0"/>
                      </a:ext>
                    </a:extLst>
                  </a:blip>
                  <a:stretch>
                    <a:fillRect/>
                  </a:stretch>
                </pic:blipFill>
                <pic:spPr>
                  <a:xfrm>
                    <a:off x="0" y="0"/>
                    <a:ext cx="6336665" cy="447675"/>
                  </a:xfrm>
                  <a:prstGeom prst="rect">
                    <a:avLst/>
                  </a:prstGeom>
                </pic:spPr>
              </pic:pic>
            </a:graphicData>
          </a:graphic>
          <wp14:sizeRelH relativeFrom="margin">
            <wp14:pctWidth>0</wp14:pctWidth>
          </wp14:sizeRelH>
          <wp14:sizeRelV relativeFrom="margin">
            <wp14:pctHeight>0</wp14:pctHeight>
          </wp14:sizeRelV>
        </wp:anchor>
      </w:drawing>
    </w:r>
  </w:p>
  <w:p w14:paraId="4762987F" w14:textId="77777777" w:rsidR="00426FEF" w:rsidRDefault="00426F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506BB" w14:textId="77777777" w:rsidR="00426FEF" w:rsidRDefault="00BB4FBE" w:rsidP="001B3AA5">
    <w:pPr>
      <w:pStyle w:val="Header"/>
      <w:ind w:left="56"/>
    </w:pPr>
    <w:r>
      <w:rPr>
        <w:noProof/>
        <w:lang w:eastAsia="en-GB"/>
      </w:rPr>
      <w:drawing>
        <wp:inline distT="0" distB="0" distL="0" distR="0" wp14:anchorId="41F3672C" wp14:editId="707392B6">
          <wp:extent cx="6822440" cy="42185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BG.png"/>
                  <pic:cNvPicPr/>
                </pic:nvPicPr>
                <pic:blipFill>
                  <a:blip r:embed="rId1">
                    <a:extLst>
                      <a:ext uri="{28A0092B-C50C-407E-A947-70E740481C1C}">
                        <a14:useLocalDpi xmlns:a14="http://schemas.microsoft.com/office/drawing/2010/main" val="0"/>
                      </a:ext>
                    </a:extLst>
                  </a:blip>
                  <a:stretch>
                    <a:fillRect/>
                  </a:stretch>
                </pic:blipFill>
                <pic:spPr>
                  <a:xfrm>
                    <a:off x="0" y="0"/>
                    <a:ext cx="6822440" cy="4218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D87C6A"/>
    <w:multiLevelType w:val="hybridMultilevel"/>
    <w:tmpl w:val="E7C40C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9E7508"/>
    <w:multiLevelType w:val="hybridMultilevel"/>
    <w:tmpl w:val="F3128BA2"/>
    <w:lvl w:ilvl="0" w:tplc="1B027ECA">
      <w:start w:val="1"/>
      <w:numFmt w:val="bullet"/>
      <w:pStyle w:val="BodyTex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AF963F5"/>
    <w:multiLevelType w:val="hybridMultilevel"/>
    <w:tmpl w:val="6DDAB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A71"/>
    <w:rsid w:val="00001C48"/>
    <w:rsid w:val="000030A5"/>
    <w:rsid w:val="00003733"/>
    <w:rsid w:val="00003D31"/>
    <w:rsid w:val="00006247"/>
    <w:rsid w:val="00006ECA"/>
    <w:rsid w:val="00007D64"/>
    <w:rsid w:val="00010040"/>
    <w:rsid w:val="00010BF2"/>
    <w:rsid w:val="00011841"/>
    <w:rsid w:val="00011C73"/>
    <w:rsid w:val="00011CA1"/>
    <w:rsid w:val="00013945"/>
    <w:rsid w:val="0001601B"/>
    <w:rsid w:val="00016BF2"/>
    <w:rsid w:val="000177F4"/>
    <w:rsid w:val="0002186F"/>
    <w:rsid w:val="0002652C"/>
    <w:rsid w:val="00031F9D"/>
    <w:rsid w:val="00032B0B"/>
    <w:rsid w:val="00032DAC"/>
    <w:rsid w:val="00033B24"/>
    <w:rsid w:val="000355C1"/>
    <w:rsid w:val="00035A52"/>
    <w:rsid w:val="00035C27"/>
    <w:rsid w:val="000410BC"/>
    <w:rsid w:val="00041D3A"/>
    <w:rsid w:val="000428F3"/>
    <w:rsid w:val="00043091"/>
    <w:rsid w:val="00043A37"/>
    <w:rsid w:val="00044DB0"/>
    <w:rsid w:val="00045FD9"/>
    <w:rsid w:val="00046404"/>
    <w:rsid w:val="00047198"/>
    <w:rsid w:val="0004753F"/>
    <w:rsid w:val="000479F5"/>
    <w:rsid w:val="00051E39"/>
    <w:rsid w:val="000529F3"/>
    <w:rsid w:val="00054BFE"/>
    <w:rsid w:val="00055E48"/>
    <w:rsid w:val="00056D92"/>
    <w:rsid w:val="0005731D"/>
    <w:rsid w:val="00057390"/>
    <w:rsid w:val="00060B27"/>
    <w:rsid w:val="00060F1E"/>
    <w:rsid w:val="00061750"/>
    <w:rsid w:val="00063301"/>
    <w:rsid w:val="00064377"/>
    <w:rsid w:val="000666AF"/>
    <w:rsid w:val="000670AE"/>
    <w:rsid w:val="0006766E"/>
    <w:rsid w:val="000676DB"/>
    <w:rsid w:val="00070684"/>
    <w:rsid w:val="00074E3B"/>
    <w:rsid w:val="00075428"/>
    <w:rsid w:val="00075C2F"/>
    <w:rsid w:val="0007709A"/>
    <w:rsid w:val="00081899"/>
    <w:rsid w:val="00082F30"/>
    <w:rsid w:val="00084B79"/>
    <w:rsid w:val="00084C5D"/>
    <w:rsid w:val="00085386"/>
    <w:rsid w:val="000859FE"/>
    <w:rsid w:val="00087576"/>
    <w:rsid w:val="000877CF"/>
    <w:rsid w:val="00091084"/>
    <w:rsid w:val="000919BA"/>
    <w:rsid w:val="00092E15"/>
    <w:rsid w:val="00093C70"/>
    <w:rsid w:val="00096FBC"/>
    <w:rsid w:val="0009795C"/>
    <w:rsid w:val="000A064D"/>
    <w:rsid w:val="000A0765"/>
    <w:rsid w:val="000A30D0"/>
    <w:rsid w:val="000A6EFA"/>
    <w:rsid w:val="000A72B9"/>
    <w:rsid w:val="000A74CE"/>
    <w:rsid w:val="000B02E2"/>
    <w:rsid w:val="000B16C7"/>
    <w:rsid w:val="000B1D4C"/>
    <w:rsid w:val="000B1D91"/>
    <w:rsid w:val="000B26F2"/>
    <w:rsid w:val="000B278D"/>
    <w:rsid w:val="000B2FD1"/>
    <w:rsid w:val="000B546F"/>
    <w:rsid w:val="000B5900"/>
    <w:rsid w:val="000B5CB9"/>
    <w:rsid w:val="000B612D"/>
    <w:rsid w:val="000B68DA"/>
    <w:rsid w:val="000B6B02"/>
    <w:rsid w:val="000B76A2"/>
    <w:rsid w:val="000C0F99"/>
    <w:rsid w:val="000C137F"/>
    <w:rsid w:val="000C1493"/>
    <w:rsid w:val="000C2EFE"/>
    <w:rsid w:val="000C3C83"/>
    <w:rsid w:val="000C4A72"/>
    <w:rsid w:val="000C6997"/>
    <w:rsid w:val="000C798B"/>
    <w:rsid w:val="000D42DD"/>
    <w:rsid w:val="000D5705"/>
    <w:rsid w:val="000D5ADB"/>
    <w:rsid w:val="000D5C42"/>
    <w:rsid w:val="000D63D9"/>
    <w:rsid w:val="000D7CDB"/>
    <w:rsid w:val="000E090A"/>
    <w:rsid w:val="000E1569"/>
    <w:rsid w:val="000E18FD"/>
    <w:rsid w:val="000E1E5E"/>
    <w:rsid w:val="000E1F31"/>
    <w:rsid w:val="000E485C"/>
    <w:rsid w:val="000E605F"/>
    <w:rsid w:val="000E662A"/>
    <w:rsid w:val="000E66C5"/>
    <w:rsid w:val="000F027D"/>
    <w:rsid w:val="000F049E"/>
    <w:rsid w:val="000F1613"/>
    <w:rsid w:val="000F2492"/>
    <w:rsid w:val="000F24BE"/>
    <w:rsid w:val="000F2AAA"/>
    <w:rsid w:val="000F30ED"/>
    <w:rsid w:val="000F4513"/>
    <w:rsid w:val="000F5F3A"/>
    <w:rsid w:val="000F6385"/>
    <w:rsid w:val="000F6520"/>
    <w:rsid w:val="000F79DB"/>
    <w:rsid w:val="00101840"/>
    <w:rsid w:val="00104F01"/>
    <w:rsid w:val="00105009"/>
    <w:rsid w:val="0010543B"/>
    <w:rsid w:val="001056B5"/>
    <w:rsid w:val="00105857"/>
    <w:rsid w:val="00105C69"/>
    <w:rsid w:val="00105C7A"/>
    <w:rsid w:val="001060F8"/>
    <w:rsid w:val="00107B18"/>
    <w:rsid w:val="00110972"/>
    <w:rsid w:val="0011210D"/>
    <w:rsid w:val="001133E3"/>
    <w:rsid w:val="00114095"/>
    <w:rsid w:val="00114FA6"/>
    <w:rsid w:val="00116585"/>
    <w:rsid w:val="00120B3E"/>
    <w:rsid w:val="00121A30"/>
    <w:rsid w:val="00121D9F"/>
    <w:rsid w:val="00122D0D"/>
    <w:rsid w:val="00124F7B"/>
    <w:rsid w:val="00125A49"/>
    <w:rsid w:val="00126CA6"/>
    <w:rsid w:val="00131BD1"/>
    <w:rsid w:val="001331FA"/>
    <w:rsid w:val="00133536"/>
    <w:rsid w:val="001338C4"/>
    <w:rsid w:val="00140810"/>
    <w:rsid w:val="00140A1C"/>
    <w:rsid w:val="00140B3E"/>
    <w:rsid w:val="00141C2F"/>
    <w:rsid w:val="00142C82"/>
    <w:rsid w:val="001436CD"/>
    <w:rsid w:val="00144ABA"/>
    <w:rsid w:val="0014527F"/>
    <w:rsid w:val="0014639B"/>
    <w:rsid w:val="001463F1"/>
    <w:rsid w:val="001515B5"/>
    <w:rsid w:val="001528C7"/>
    <w:rsid w:val="00153442"/>
    <w:rsid w:val="0015392E"/>
    <w:rsid w:val="00154CE2"/>
    <w:rsid w:val="0015720B"/>
    <w:rsid w:val="001609D8"/>
    <w:rsid w:val="00160AFC"/>
    <w:rsid w:val="00162D63"/>
    <w:rsid w:val="00165012"/>
    <w:rsid w:val="0016675F"/>
    <w:rsid w:val="00171FC3"/>
    <w:rsid w:val="001750D2"/>
    <w:rsid w:val="0017551F"/>
    <w:rsid w:val="00175C43"/>
    <w:rsid w:val="00177023"/>
    <w:rsid w:val="001775F0"/>
    <w:rsid w:val="001777A1"/>
    <w:rsid w:val="00177E60"/>
    <w:rsid w:val="00180900"/>
    <w:rsid w:val="00183A1D"/>
    <w:rsid w:val="00184A49"/>
    <w:rsid w:val="00185DC9"/>
    <w:rsid w:val="00186984"/>
    <w:rsid w:val="00186FA7"/>
    <w:rsid w:val="00193C80"/>
    <w:rsid w:val="00194911"/>
    <w:rsid w:val="00195468"/>
    <w:rsid w:val="001955D0"/>
    <w:rsid w:val="00195CEC"/>
    <w:rsid w:val="00195FC5"/>
    <w:rsid w:val="001964E1"/>
    <w:rsid w:val="0019753E"/>
    <w:rsid w:val="0019792E"/>
    <w:rsid w:val="001A3149"/>
    <w:rsid w:val="001A3450"/>
    <w:rsid w:val="001A3CE3"/>
    <w:rsid w:val="001A5025"/>
    <w:rsid w:val="001A64AF"/>
    <w:rsid w:val="001A7B27"/>
    <w:rsid w:val="001A7C6E"/>
    <w:rsid w:val="001B06A0"/>
    <w:rsid w:val="001B2963"/>
    <w:rsid w:val="001B3AA5"/>
    <w:rsid w:val="001B464F"/>
    <w:rsid w:val="001B508E"/>
    <w:rsid w:val="001B5D71"/>
    <w:rsid w:val="001C401F"/>
    <w:rsid w:val="001C57A3"/>
    <w:rsid w:val="001D010F"/>
    <w:rsid w:val="001D0F60"/>
    <w:rsid w:val="001D19C2"/>
    <w:rsid w:val="001D3317"/>
    <w:rsid w:val="001D431B"/>
    <w:rsid w:val="001D4C26"/>
    <w:rsid w:val="001D74FE"/>
    <w:rsid w:val="001D7F1B"/>
    <w:rsid w:val="001E187F"/>
    <w:rsid w:val="001E1F98"/>
    <w:rsid w:val="001E218D"/>
    <w:rsid w:val="001E5C9E"/>
    <w:rsid w:val="001E63CB"/>
    <w:rsid w:val="001E6D89"/>
    <w:rsid w:val="001F17B2"/>
    <w:rsid w:val="001F268E"/>
    <w:rsid w:val="001F4FE5"/>
    <w:rsid w:val="001F59FF"/>
    <w:rsid w:val="001F6F8E"/>
    <w:rsid w:val="001F724A"/>
    <w:rsid w:val="001F78AE"/>
    <w:rsid w:val="002010DB"/>
    <w:rsid w:val="00201483"/>
    <w:rsid w:val="0020172D"/>
    <w:rsid w:val="00201FF7"/>
    <w:rsid w:val="00202A0E"/>
    <w:rsid w:val="00202AE4"/>
    <w:rsid w:val="00202D88"/>
    <w:rsid w:val="00203008"/>
    <w:rsid w:val="00206099"/>
    <w:rsid w:val="0020613E"/>
    <w:rsid w:val="002063A2"/>
    <w:rsid w:val="00206501"/>
    <w:rsid w:val="002072B7"/>
    <w:rsid w:val="0020769D"/>
    <w:rsid w:val="00210EB6"/>
    <w:rsid w:val="00215AA2"/>
    <w:rsid w:val="00216042"/>
    <w:rsid w:val="00220CAC"/>
    <w:rsid w:val="00222434"/>
    <w:rsid w:val="00224C7C"/>
    <w:rsid w:val="00225FA0"/>
    <w:rsid w:val="00226167"/>
    <w:rsid w:val="002275DA"/>
    <w:rsid w:val="002310E0"/>
    <w:rsid w:val="00231713"/>
    <w:rsid w:val="00232D25"/>
    <w:rsid w:val="00232EBF"/>
    <w:rsid w:val="00234FD4"/>
    <w:rsid w:val="00235797"/>
    <w:rsid w:val="00235A73"/>
    <w:rsid w:val="00236CEE"/>
    <w:rsid w:val="00237C5F"/>
    <w:rsid w:val="00240352"/>
    <w:rsid w:val="00246289"/>
    <w:rsid w:val="002465B6"/>
    <w:rsid w:val="00246E99"/>
    <w:rsid w:val="00247C07"/>
    <w:rsid w:val="00247C16"/>
    <w:rsid w:val="00252BC3"/>
    <w:rsid w:val="00253C0D"/>
    <w:rsid w:val="00254817"/>
    <w:rsid w:val="00254D19"/>
    <w:rsid w:val="00255769"/>
    <w:rsid w:val="00255861"/>
    <w:rsid w:val="00257317"/>
    <w:rsid w:val="0026033D"/>
    <w:rsid w:val="0026137D"/>
    <w:rsid w:val="00262358"/>
    <w:rsid w:val="00262EB8"/>
    <w:rsid w:val="00265247"/>
    <w:rsid w:val="00265481"/>
    <w:rsid w:val="0026560F"/>
    <w:rsid w:val="00265D25"/>
    <w:rsid w:val="00265DB2"/>
    <w:rsid w:val="002666B7"/>
    <w:rsid w:val="00266ABA"/>
    <w:rsid w:val="0027043A"/>
    <w:rsid w:val="00270792"/>
    <w:rsid w:val="002709F9"/>
    <w:rsid w:val="00270D3E"/>
    <w:rsid w:val="00271E6F"/>
    <w:rsid w:val="002728FC"/>
    <w:rsid w:val="00272C6B"/>
    <w:rsid w:val="002735A4"/>
    <w:rsid w:val="00274743"/>
    <w:rsid w:val="00274E4E"/>
    <w:rsid w:val="00274F32"/>
    <w:rsid w:val="00275741"/>
    <w:rsid w:val="00275EF9"/>
    <w:rsid w:val="00277743"/>
    <w:rsid w:val="00277F3C"/>
    <w:rsid w:val="00277FCE"/>
    <w:rsid w:val="00280C6D"/>
    <w:rsid w:val="00287736"/>
    <w:rsid w:val="00287E06"/>
    <w:rsid w:val="00291785"/>
    <w:rsid w:val="00292C6E"/>
    <w:rsid w:val="00292D94"/>
    <w:rsid w:val="00293868"/>
    <w:rsid w:val="00295B25"/>
    <w:rsid w:val="00296A5A"/>
    <w:rsid w:val="002A1096"/>
    <w:rsid w:val="002A1611"/>
    <w:rsid w:val="002A1DA7"/>
    <w:rsid w:val="002A58D9"/>
    <w:rsid w:val="002A5ABD"/>
    <w:rsid w:val="002A651C"/>
    <w:rsid w:val="002A691C"/>
    <w:rsid w:val="002A7682"/>
    <w:rsid w:val="002B3708"/>
    <w:rsid w:val="002B4DA7"/>
    <w:rsid w:val="002B69AD"/>
    <w:rsid w:val="002B73AE"/>
    <w:rsid w:val="002C0803"/>
    <w:rsid w:val="002C2E33"/>
    <w:rsid w:val="002C3206"/>
    <w:rsid w:val="002D0414"/>
    <w:rsid w:val="002D05E3"/>
    <w:rsid w:val="002D1A96"/>
    <w:rsid w:val="002D1ED0"/>
    <w:rsid w:val="002D2754"/>
    <w:rsid w:val="002D29D1"/>
    <w:rsid w:val="002D3BC2"/>
    <w:rsid w:val="002D3D07"/>
    <w:rsid w:val="002D430D"/>
    <w:rsid w:val="002D5326"/>
    <w:rsid w:val="002D557F"/>
    <w:rsid w:val="002D72D9"/>
    <w:rsid w:val="002D7901"/>
    <w:rsid w:val="002D7E59"/>
    <w:rsid w:val="002E0864"/>
    <w:rsid w:val="002E1875"/>
    <w:rsid w:val="002E225D"/>
    <w:rsid w:val="002E40CB"/>
    <w:rsid w:val="002E4991"/>
    <w:rsid w:val="002E6160"/>
    <w:rsid w:val="002F00A8"/>
    <w:rsid w:val="002F1116"/>
    <w:rsid w:val="002F1F71"/>
    <w:rsid w:val="002F2146"/>
    <w:rsid w:val="002F243D"/>
    <w:rsid w:val="002F2ACD"/>
    <w:rsid w:val="002F4101"/>
    <w:rsid w:val="002F43A1"/>
    <w:rsid w:val="002F45AC"/>
    <w:rsid w:val="002F49C9"/>
    <w:rsid w:val="002F5232"/>
    <w:rsid w:val="002F5825"/>
    <w:rsid w:val="002F5EF2"/>
    <w:rsid w:val="002F6F43"/>
    <w:rsid w:val="003012F7"/>
    <w:rsid w:val="00304946"/>
    <w:rsid w:val="00304CAE"/>
    <w:rsid w:val="00304FB4"/>
    <w:rsid w:val="00305275"/>
    <w:rsid w:val="0030542D"/>
    <w:rsid w:val="00306709"/>
    <w:rsid w:val="00311FEE"/>
    <w:rsid w:val="0031279E"/>
    <w:rsid w:val="003127BC"/>
    <w:rsid w:val="003133DD"/>
    <w:rsid w:val="0031349A"/>
    <w:rsid w:val="00313931"/>
    <w:rsid w:val="00313ED7"/>
    <w:rsid w:val="0031588A"/>
    <w:rsid w:val="003175E1"/>
    <w:rsid w:val="003201CD"/>
    <w:rsid w:val="00321317"/>
    <w:rsid w:val="0032207C"/>
    <w:rsid w:val="00323EB1"/>
    <w:rsid w:val="003264D1"/>
    <w:rsid w:val="00331A26"/>
    <w:rsid w:val="003336AB"/>
    <w:rsid w:val="00333EF7"/>
    <w:rsid w:val="00334491"/>
    <w:rsid w:val="00334C22"/>
    <w:rsid w:val="00335D0C"/>
    <w:rsid w:val="00336A06"/>
    <w:rsid w:val="00337148"/>
    <w:rsid w:val="003371DA"/>
    <w:rsid w:val="00337C91"/>
    <w:rsid w:val="003404FF"/>
    <w:rsid w:val="00340619"/>
    <w:rsid w:val="00342464"/>
    <w:rsid w:val="00343612"/>
    <w:rsid w:val="00343CE4"/>
    <w:rsid w:val="003449C0"/>
    <w:rsid w:val="003459F3"/>
    <w:rsid w:val="0035061F"/>
    <w:rsid w:val="00350EE5"/>
    <w:rsid w:val="00351563"/>
    <w:rsid w:val="00352448"/>
    <w:rsid w:val="00352743"/>
    <w:rsid w:val="00352BC4"/>
    <w:rsid w:val="00352E44"/>
    <w:rsid w:val="00352E54"/>
    <w:rsid w:val="00354F32"/>
    <w:rsid w:val="0035667C"/>
    <w:rsid w:val="0035705C"/>
    <w:rsid w:val="003575EE"/>
    <w:rsid w:val="003633D1"/>
    <w:rsid w:val="00364136"/>
    <w:rsid w:val="0036413E"/>
    <w:rsid w:val="0036561E"/>
    <w:rsid w:val="0036564E"/>
    <w:rsid w:val="00367A11"/>
    <w:rsid w:val="0037037B"/>
    <w:rsid w:val="003716C9"/>
    <w:rsid w:val="003734F7"/>
    <w:rsid w:val="00373777"/>
    <w:rsid w:val="00374511"/>
    <w:rsid w:val="00376AA1"/>
    <w:rsid w:val="00376D79"/>
    <w:rsid w:val="00377463"/>
    <w:rsid w:val="00377724"/>
    <w:rsid w:val="00377E9D"/>
    <w:rsid w:val="0038031F"/>
    <w:rsid w:val="00381183"/>
    <w:rsid w:val="00381A88"/>
    <w:rsid w:val="00383C45"/>
    <w:rsid w:val="003847C1"/>
    <w:rsid w:val="00385570"/>
    <w:rsid w:val="003865F5"/>
    <w:rsid w:val="00387131"/>
    <w:rsid w:val="0039025D"/>
    <w:rsid w:val="003913DE"/>
    <w:rsid w:val="00392C03"/>
    <w:rsid w:val="0039334B"/>
    <w:rsid w:val="00393465"/>
    <w:rsid w:val="00393EAA"/>
    <w:rsid w:val="00395176"/>
    <w:rsid w:val="0039594D"/>
    <w:rsid w:val="00395B9A"/>
    <w:rsid w:val="003962B3"/>
    <w:rsid w:val="003962B9"/>
    <w:rsid w:val="00396D9E"/>
    <w:rsid w:val="00397173"/>
    <w:rsid w:val="0039789D"/>
    <w:rsid w:val="003A0059"/>
    <w:rsid w:val="003A1107"/>
    <w:rsid w:val="003A22F9"/>
    <w:rsid w:val="003A246C"/>
    <w:rsid w:val="003A35AE"/>
    <w:rsid w:val="003A366F"/>
    <w:rsid w:val="003A45FD"/>
    <w:rsid w:val="003A478E"/>
    <w:rsid w:val="003A51B2"/>
    <w:rsid w:val="003A535C"/>
    <w:rsid w:val="003A5EC0"/>
    <w:rsid w:val="003A6627"/>
    <w:rsid w:val="003A6AF1"/>
    <w:rsid w:val="003A78DB"/>
    <w:rsid w:val="003B2FE2"/>
    <w:rsid w:val="003B314A"/>
    <w:rsid w:val="003B3CEF"/>
    <w:rsid w:val="003B4060"/>
    <w:rsid w:val="003B4E56"/>
    <w:rsid w:val="003B702D"/>
    <w:rsid w:val="003B71C7"/>
    <w:rsid w:val="003C0C9A"/>
    <w:rsid w:val="003C1110"/>
    <w:rsid w:val="003C1962"/>
    <w:rsid w:val="003C1E52"/>
    <w:rsid w:val="003C3553"/>
    <w:rsid w:val="003C4CDE"/>
    <w:rsid w:val="003C550C"/>
    <w:rsid w:val="003C6025"/>
    <w:rsid w:val="003C6CDB"/>
    <w:rsid w:val="003D0B54"/>
    <w:rsid w:val="003D0B6B"/>
    <w:rsid w:val="003D1D60"/>
    <w:rsid w:val="003D262B"/>
    <w:rsid w:val="003D2B0C"/>
    <w:rsid w:val="003D2CD6"/>
    <w:rsid w:val="003D3F3E"/>
    <w:rsid w:val="003D42DF"/>
    <w:rsid w:val="003D755A"/>
    <w:rsid w:val="003D7BE0"/>
    <w:rsid w:val="003E0208"/>
    <w:rsid w:val="003E0B36"/>
    <w:rsid w:val="003E2F15"/>
    <w:rsid w:val="003E371A"/>
    <w:rsid w:val="003E45CA"/>
    <w:rsid w:val="003E465D"/>
    <w:rsid w:val="003E4CAE"/>
    <w:rsid w:val="003E50DA"/>
    <w:rsid w:val="003E5550"/>
    <w:rsid w:val="003E586B"/>
    <w:rsid w:val="003E59BD"/>
    <w:rsid w:val="003E7828"/>
    <w:rsid w:val="003F03C6"/>
    <w:rsid w:val="003F0871"/>
    <w:rsid w:val="003F1021"/>
    <w:rsid w:val="003F13AE"/>
    <w:rsid w:val="003F276E"/>
    <w:rsid w:val="003F3117"/>
    <w:rsid w:val="003F31CB"/>
    <w:rsid w:val="003F400D"/>
    <w:rsid w:val="003F40B2"/>
    <w:rsid w:val="003F5183"/>
    <w:rsid w:val="003F5A6A"/>
    <w:rsid w:val="003F5C94"/>
    <w:rsid w:val="003F6A10"/>
    <w:rsid w:val="003F712B"/>
    <w:rsid w:val="003F7A18"/>
    <w:rsid w:val="0040059F"/>
    <w:rsid w:val="00402132"/>
    <w:rsid w:val="00402704"/>
    <w:rsid w:val="00402957"/>
    <w:rsid w:val="00403AAF"/>
    <w:rsid w:val="00404930"/>
    <w:rsid w:val="00405A5D"/>
    <w:rsid w:val="0040635C"/>
    <w:rsid w:val="00407778"/>
    <w:rsid w:val="004077C3"/>
    <w:rsid w:val="004101F7"/>
    <w:rsid w:val="0041058E"/>
    <w:rsid w:val="00411368"/>
    <w:rsid w:val="004141BF"/>
    <w:rsid w:val="00415C42"/>
    <w:rsid w:val="00416304"/>
    <w:rsid w:val="00417BC4"/>
    <w:rsid w:val="00417F5A"/>
    <w:rsid w:val="00420530"/>
    <w:rsid w:val="004218A3"/>
    <w:rsid w:val="0042392A"/>
    <w:rsid w:val="00425395"/>
    <w:rsid w:val="00426FEF"/>
    <w:rsid w:val="00427459"/>
    <w:rsid w:val="00432234"/>
    <w:rsid w:val="00434C28"/>
    <w:rsid w:val="00434DC7"/>
    <w:rsid w:val="00434F53"/>
    <w:rsid w:val="00437941"/>
    <w:rsid w:val="004403E7"/>
    <w:rsid w:val="00441755"/>
    <w:rsid w:val="00441FC8"/>
    <w:rsid w:val="00444285"/>
    <w:rsid w:val="00444B70"/>
    <w:rsid w:val="00445173"/>
    <w:rsid w:val="00445A0C"/>
    <w:rsid w:val="00445D6A"/>
    <w:rsid w:val="00446965"/>
    <w:rsid w:val="00446A06"/>
    <w:rsid w:val="00451540"/>
    <w:rsid w:val="004515D5"/>
    <w:rsid w:val="00452F75"/>
    <w:rsid w:val="00454783"/>
    <w:rsid w:val="00454979"/>
    <w:rsid w:val="00455668"/>
    <w:rsid w:val="00455E1D"/>
    <w:rsid w:val="00456621"/>
    <w:rsid w:val="00457D49"/>
    <w:rsid w:val="00457D52"/>
    <w:rsid w:val="00461AC5"/>
    <w:rsid w:val="00461E9C"/>
    <w:rsid w:val="004647A6"/>
    <w:rsid w:val="004676E1"/>
    <w:rsid w:val="004730A6"/>
    <w:rsid w:val="00473A88"/>
    <w:rsid w:val="00473B5B"/>
    <w:rsid w:val="004818C1"/>
    <w:rsid w:val="00481D9F"/>
    <w:rsid w:val="00483069"/>
    <w:rsid w:val="00484644"/>
    <w:rsid w:val="00484F58"/>
    <w:rsid w:val="004850D2"/>
    <w:rsid w:val="00485669"/>
    <w:rsid w:val="00485BA9"/>
    <w:rsid w:val="00485D38"/>
    <w:rsid w:val="00491FA1"/>
    <w:rsid w:val="0049210F"/>
    <w:rsid w:val="00492F1C"/>
    <w:rsid w:val="0049302F"/>
    <w:rsid w:val="0049743E"/>
    <w:rsid w:val="004A02A0"/>
    <w:rsid w:val="004A10F3"/>
    <w:rsid w:val="004A7B29"/>
    <w:rsid w:val="004B02C5"/>
    <w:rsid w:val="004B1EA5"/>
    <w:rsid w:val="004B2387"/>
    <w:rsid w:val="004B2656"/>
    <w:rsid w:val="004B2A16"/>
    <w:rsid w:val="004B338F"/>
    <w:rsid w:val="004B3789"/>
    <w:rsid w:val="004B3DAA"/>
    <w:rsid w:val="004B4013"/>
    <w:rsid w:val="004B4FFD"/>
    <w:rsid w:val="004B5014"/>
    <w:rsid w:val="004B673C"/>
    <w:rsid w:val="004B67E7"/>
    <w:rsid w:val="004C0381"/>
    <w:rsid w:val="004C1CD0"/>
    <w:rsid w:val="004C21EA"/>
    <w:rsid w:val="004C26A1"/>
    <w:rsid w:val="004C3A52"/>
    <w:rsid w:val="004C3E3F"/>
    <w:rsid w:val="004C41F9"/>
    <w:rsid w:val="004C67F9"/>
    <w:rsid w:val="004C75F0"/>
    <w:rsid w:val="004D186C"/>
    <w:rsid w:val="004D3A78"/>
    <w:rsid w:val="004D4252"/>
    <w:rsid w:val="004D683B"/>
    <w:rsid w:val="004D6E99"/>
    <w:rsid w:val="004E1D5D"/>
    <w:rsid w:val="004E5183"/>
    <w:rsid w:val="004E7D13"/>
    <w:rsid w:val="004F0B81"/>
    <w:rsid w:val="004F199B"/>
    <w:rsid w:val="004F1E3A"/>
    <w:rsid w:val="004F2962"/>
    <w:rsid w:val="004F39DB"/>
    <w:rsid w:val="004F3FCC"/>
    <w:rsid w:val="004F4EF0"/>
    <w:rsid w:val="004F5CFE"/>
    <w:rsid w:val="004F72D5"/>
    <w:rsid w:val="00500685"/>
    <w:rsid w:val="00501C31"/>
    <w:rsid w:val="00501CBB"/>
    <w:rsid w:val="0050211E"/>
    <w:rsid w:val="005044B7"/>
    <w:rsid w:val="00505835"/>
    <w:rsid w:val="00505984"/>
    <w:rsid w:val="005060D7"/>
    <w:rsid w:val="0050674A"/>
    <w:rsid w:val="00506D4B"/>
    <w:rsid w:val="00506DCC"/>
    <w:rsid w:val="0051186D"/>
    <w:rsid w:val="00512005"/>
    <w:rsid w:val="0051594C"/>
    <w:rsid w:val="005175E2"/>
    <w:rsid w:val="00517B16"/>
    <w:rsid w:val="00520880"/>
    <w:rsid w:val="005209C6"/>
    <w:rsid w:val="00521C96"/>
    <w:rsid w:val="005222C1"/>
    <w:rsid w:val="00523D1E"/>
    <w:rsid w:val="005244D7"/>
    <w:rsid w:val="00525B2D"/>
    <w:rsid w:val="005303A1"/>
    <w:rsid w:val="005305B7"/>
    <w:rsid w:val="00530EB5"/>
    <w:rsid w:val="00535ECD"/>
    <w:rsid w:val="0054130E"/>
    <w:rsid w:val="00542775"/>
    <w:rsid w:val="00542A91"/>
    <w:rsid w:val="00545E5A"/>
    <w:rsid w:val="005467CB"/>
    <w:rsid w:val="00547512"/>
    <w:rsid w:val="005512CB"/>
    <w:rsid w:val="00551D65"/>
    <w:rsid w:val="00553FE3"/>
    <w:rsid w:val="005553D6"/>
    <w:rsid w:val="005567A9"/>
    <w:rsid w:val="005578D7"/>
    <w:rsid w:val="00560181"/>
    <w:rsid w:val="00561860"/>
    <w:rsid w:val="00561C83"/>
    <w:rsid w:val="00561E1B"/>
    <w:rsid w:val="00564204"/>
    <w:rsid w:val="00565260"/>
    <w:rsid w:val="00565407"/>
    <w:rsid w:val="00566FB1"/>
    <w:rsid w:val="005672ED"/>
    <w:rsid w:val="0056768C"/>
    <w:rsid w:val="00570C85"/>
    <w:rsid w:val="0057336B"/>
    <w:rsid w:val="005739BA"/>
    <w:rsid w:val="0057423B"/>
    <w:rsid w:val="00574C57"/>
    <w:rsid w:val="005766E0"/>
    <w:rsid w:val="00577192"/>
    <w:rsid w:val="005825C0"/>
    <w:rsid w:val="00582C6C"/>
    <w:rsid w:val="0058403B"/>
    <w:rsid w:val="005840CA"/>
    <w:rsid w:val="00585DFF"/>
    <w:rsid w:val="00586F80"/>
    <w:rsid w:val="00590022"/>
    <w:rsid w:val="005910CE"/>
    <w:rsid w:val="0059204D"/>
    <w:rsid w:val="005921D1"/>
    <w:rsid w:val="00593316"/>
    <w:rsid w:val="0059378F"/>
    <w:rsid w:val="00594722"/>
    <w:rsid w:val="00595CC6"/>
    <w:rsid w:val="0059671C"/>
    <w:rsid w:val="0059696C"/>
    <w:rsid w:val="00597AC2"/>
    <w:rsid w:val="005A25F4"/>
    <w:rsid w:val="005A39DA"/>
    <w:rsid w:val="005A41B0"/>
    <w:rsid w:val="005A4491"/>
    <w:rsid w:val="005A4ADB"/>
    <w:rsid w:val="005A57EF"/>
    <w:rsid w:val="005A621C"/>
    <w:rsid w:val="005A6273"/>
    <w:rsid w:val="005A6BF6"/>
    <w:rsid w:val="005A7115"/>
    <w:rsid w:val="005B00D0"/>
    <w:rsid w:val="005B1336"/>
    <w:rsid w:val="005B3C31"/>
    <w:rsid w:val="005B6E83"/>
    <w:rsid w:val="005B7036"/>
    <w:rsid w:val="005B7562"/>
    <w:rsid w:val="005C25D2"/>
    <w:rsid w:val="005C415F"/>
    <w:rsid w:val="005C47C2"/>
    <w:rsid w:val="005C59CE"/>
    <w:rsid w:val="005C64D4"/>
    <w:rsid w:val="005C668F"/>
    <w:rsid w:val="005C772A"/>
    <w:rsid w:val="005D2AB6"/>
    <w:rsid w:val="005D311A"/>
    <w:rsid w:val="005D5A45"/>
    <w:rsid w:val="005D5AFA"/>
    <w:rsid w:val="005D5FE3"/>
    <w:rsid w:val="005D6872"/>
    <w:rsid w:val="005D6E6F"/>
    <w:rsid w:val="005D7DD5"/>
    <w:rsid w:val="005E17E8"/>
    <w:rsid w:val="005E2ACD"/>
    <w:rsid w:val="005E3550"/>
    <w:rsid w:val="005E5900"/>
    <w:rsid w:val="005F02DE"/>
    <w:rsid w:val="005F1FA8"/>
    <w:rsid w:val="005F251B"/>
    <w:rsid w:val="005F2534"/>
    <w:rsid w:val="005F2B24"/>
    <w:rsid w:val="005F2F69"/>
    <w:rsid w:val="005F3026"/>
    <w:rsid w:val="005F4F1C"/>
    <w:rsid w:val="005F588E"/>
    <w:rsid w:val="005F6115"/>
    <w:rsid w:val="005F705E"/>
    <w:rsid w:val="005F78DE"/>
    <w:rsid w:val="00601DFB"/>
    <w:rsid w:val="006033F1"/>
    <w:rsid w:val="00603D95"/>
    <w:rsid w:val="00605E8A"/>
    <w:rsid w:val="0060640B"/>
    <w:rsid w:val="0060724F"/>
    <w:rsid w:val="006078DC"/>
    <w:rsid w:val="006120E8"/>
    <w:rsid w:val="00612515"/>
    <w:rsid w:val="0061479F"/>
    <w:rsid w:val="006147F9"/>
    <w:rsid w:val="00615BBE"/>
    <w:rsid w:val="00620135"/>
    <w:rsid w:val="00623ACA"/>
    <w:rsid w:val="00625C82"/>
    <w:rsid w:val="0063026B"/>
    <w:rsid w:val="00630E0F"/>
    <w:rsid w:val="006311CA"/>
    <w:rsid w:val="00631DDD"/>
    <w:rsid w:val="00632896"/>
    <w:rsid w:val="006332A6"/>
    <w:rsid w:val="006334B2"/>
    <w:rsid w:val="00633B2F"/>
    <w:rsid w:val="0063696D"/>
    <w:rsid w:val="00636A64"/>
    <w:rsid w:val="006373EA"/>
    <w:rsid w:val="00640382"/>
    <w:rsid w:val="00640858"/>
    <w:rsid w:val="0064094A"/>
    <w:rsid w:val="00642C12"/>
    <w:rsid w:val="00642C9E"/>
    <w:rsid w:val="00643D06"/>
    <w:rsid w:val="006449D3"/>
    <w:rsid w:val="00646C41"/>
    <w:rsid w:val="00650C51"/>
    <w:rsid w:val="0065168D"/>
    <w:rsid w:val="00652712"/>
    <w:rsid w:val="00653D56"/>
    <w:rsid w:val="006540E9"/>
    <w:rsid w:val="0065487A"/>
    <w:rsid w:val="00655005"/>
    <w:rsid w:val="00657B44"/>
    <w:rsid w:val="00662110"/>
    <w:rsid w:val="00665BF4"/>
    <w:rsid w:val="006676A5"/>
    <w:rsid w:val="0067019A"/>
    <w:rsid w:val="006709AA"/>
    <w:rsid w:val="0067204B"/>
    <w:rsid w:val="00672206"/>
    <w:rsid w:val="00672EE4"/>
    <w:rsid w:val="00673F66"/>
    <w:rsid w:val="00675BF7"/>
    <w:rsid w:val="0067685B"/>
    <w:rsid w:val="006800DB"/>
    <w:rsid w:val="0068314A"/>
    <w:rsid w:val="00683B4D"/>
    <w:rsid w:val="0068750B"/>
    <w:rsid w:val="00690F9F"/>
    <w:rsid w:val="00692B9A"/>
    <w:rsid w:val="00695F07"/>
    <w:rsid w:val="00696813"/>
    <w:rsid w:val="00697759"/>
    <w:rsid w:val="006A0022"/>
    <w:rsid w:val="006A0B2C"/>
    <w:rsid w:val="006A0E30"/>
    <w:rsid w:val="006A1706"/>
    <w:rsid w:val="006A32BD"/>
    <w:rsid w:val="006A4948"/>
    <w:rsid w:val="006A62A6"/>
    <w:rsid w:val="006A635C"/>
    <w:rsid w:val="006A70CD"/>
    <w:rsid w:val="006A7DFB"/>
    <w:rsid w:val="006B17D9"/>
    <w:rsid w:val="006B1A7E"/>
    <w:rsid w:val="006B2820"/>
    <w:rsid w:val="006B438C"/>
    <w:rsid w:val="006B461D"/>
    <w:rsid w:val="006B5C05"/>
    <w:rsid w:val="006C1078"/>
    <w:rsid w:val="006C1DDE"/>
    <w:rsid w:val="006C2B57"/>
    <w:rsid w:val="006C3B36"/>
    <w:rsid w:val="006C3E07"/>
    <w:rsid w:val="006C40D8"/>
    <w:rsid w:val="006C41A0"/>
    <w:rsid w:val="006C7F3A"/>
    <w:rsid w:val="006D1069"/>
    <w:rsid w:val="006D1AA9"/>
    <w:rsid w:val="006D1BA4"/>
    <w:rsid w:val="006D22DA"/>
    <w:rsid w:val="006D2C1E"/>
    <w:rsid w:val="006D2E11"/>
    <w:rsid w:val="006D3A9B"/>
    <w:rsid w:val="006D3F5D"/>
    <w:rsid w:val="006D550E"/>
    <w:rsid w:val="006D761B"/>
    <w:rsid w:val="006D7DAB"/>
    <w:rsid w:val="006E1602"/>
    <w:rsid w:val="006E17FF"/>
    <w:rsid w:val="006E221C"/>
    <w:rsid w:val="006E4B2B"/>
    <w:rsid w:val="006E6734"/>
    <w:rsid w:val="006E70E8"/>
    <w:rsid w:val="006E71DA"/>
    <w:rsid w:val="006F1B4B"/>
    <w:rsid w:val="006F4D01"/>
    <w:rsid w:val="006F72D3"/>
    <w:rsid w:val="006F7F9B"/>
    <w:rsid w:val="00700AC8"/>
    <w:rsid w:val="00701462"/>
    <w:rsid w:val="007014FF"/>
    <w:rsid w:val="00701F45"/>
    <w:rsid w:val="00703A5A"/>
    <w:rsid w:val="0070458C"/>
    <w:rsid w:val="00704FBD"/>
    <w:rsid w:val="0070561B"/>
    <w:rsid w:val="007057BF"/>
    <w:rsid w:val="00705FB3"/>
    <w:rsid w:val="00707D1E"/>
    <w:rsid w:val="00711A29"/>
    <w:rsid w:val="007131DA"/>
    <w:rsid w:val="007135D5"/>
    <w:rsid w:val="00713BDA"/>
    <w:rsid w:val="0071400C"/>
    <w:rsid w:val="00715EEE"/>
    <w:rsid w:val="007162D8"/>
    <w:rsid w:val="00717B2F"/>
    <w:rsid w:val="00720AF9"/>
    <w:rsid w:val="00721053"/>
    <w:rsid w:val="00721108"/>
    <w:rsid w:val="00721C73"/>
    <w:rsid w:val="00723BE5"/>
    <w:rsid w:val="007257A3"/>
    <w:rsid w:val="00725C2F"/>
    <w:rsid w:val="00731D6E"/>
    <w:rsid w:val="007347B9"/>
    <w:rsid w:val="00736962"/>
    <w:rsid w:val="00737432"/>
    <w:rsid w:val="00737CE5"/>
    <w:rsid w:val="00740101"/>
    <w:rsid w:val="00740CF2"/>
    <w:rsid w:val="007422AF"/>
    <w:rsid w:val="00743DE6"/>
    <w:rsid w:val="00744E87"/>
    <w:rsid w:val="007465E6"/>
    <w:rsid w:val="00746D55"/>
    <w:rsid w:val="007510F1"/>
    <w:rsid w:val="00751887"/>
    <w:rsid w:val="00751BB7"/>
    <w:rsid w:val="00752B8F"/>
    <w:rsid w:val="00753A22"/>
    <w:rsid w:val="00754404"/>
    <w:rsid w:val="00756034"/>
    <w:rsid w:val="00757512"/>
    <w:rsid w:val="00760CDD"/>
    <w:rsid w:val="00760FC1"/>
    <w:rsid w:val="0076278E"/>
    <w:rsid w:val="00763965"/>
    <w:rsid w:val="00763AFC"/>
    <w:rsid w:val="00764460"/>
    <w:rsid w:val="0076452D"/>
    <w:rsid w:val="0076497B"/>
    <w:rsid w:val="00765DF6"/>
    <w:rsid w:val="007662F5"/>
    <w:rsid w:val="00766C03"/>
    <w:rsid w:val="00766FC5"/>
    <w:rsid w:val="00770EC8"/>
    <w:rsid w:val="00771256"/>
    <w:rsid w:val="00773308"/>
    <w:rsid w:val="00773957"/>
    <w:rsid w:val="00774506"/>
    <w:rsid w:val="0077478E"/>
    <w:rsid w:val="0078036E"/>
    <w:rsid w:val="00780B5D"/>
    <w:rsid w:val="00784DB6"/>
    <w:rsid w:val="00785854"/>
    <w:rsid w:val="00785C82"/>
    <w:rsid w:val="00787ACB"/>
    <w:rsid w:val="00790D0D"/>
    <w:rsid w:val="00791E63"/>
    <w:rsid w:val="00792365"/>
    <w:rsid w:val="00793571"/>
    <w:rsid w:val="00793CF1"/>
    <w:rsid w:val="00794728"/>
    <w:rsid w:val="007974D1"/>
    <w:rsid w:val="00797EA8"/>
    <w:rsid w:val="007A0539"/>
    <w:rsid w:val="007A0657"/>
    <w:rsid w:val="007A0A8A"/>
    <w:rsid w:val="007A2D8D"/>
    <w:rsid w:val="007A2E53"/>
    <w:rsid w:val="007A30BF"/>
    <w:rsid w:val="007A4823"/>
    <w:rsid w:val="007A4A77"/>
    <w:rsid w:val="007A5296"/>
    <w:rsid w:val="007A5B63"/>
    <w:rsid w:val="007A5CA2"/>
    <w:rsid w:val="007A78A2"/>
    <w:rsid w:val="007B049A"/>
    <w:rsid w:val="007B1248"/>
    <w:rsid w:val="007B225D"/>
    <w:rsid w:val="007B2931"/>
    <w:rsid w:val="007B3923"/>
    <w:rsid w:val="007B4769"/>
    <w:rsid w:val="007B5D1D"/>
    <w:rsid w:val="007B5D87"/>
    <w:rsid w:val="007B69B1"/>
    <w:rsid w:val="007B7B59"/>
    <w:rsid w:val="007C01CD"/>
    <w:rsid w:val="007C074E"/>
    <w:rsid w:val="007C0ABB"/>
    <w:rsid w:val="007C1B12"/>
    <w:rsid w:val="007C1C35"/>
    <w:rsid w:val="007C302A"/>
    <w:rsid w:val="007C310E"/>
    <w:rsid w:val="007C3A6F"/>
    <w:rsid w:val="007C4BE0"/>
    <w:rsid w:val="007C4EAE"/>
    <w:rsid w:val="007C521D"/>
    <w:rsid w:val="007C648D"/>
    <w:rsid w:val="007C6A5E"/>
    <w:rsid w:val="007D0002"/>
    <w:rsid w:val="007D1445"/>
    <w:rsid w:val="007D14C8"/>
    <w:rsid w:val="007D1FC1"/>
    <w:rsid w:val="007D3CD1"/>
    <w:rsid w:val="007D682E"/>
    <w:rsid w:val="007D7C2E"/>
    <w:rsid w:val="007E04A3"/>
    <w:rsid w:val="007E1366"/>
    <w:rsid w:val="007E3B16"/>
    <w:rsid w:val="007E3FB0"/>
    <w:rsid w:val="007E40F8"/>
    <w:rsid w:val="007E5587"/>
    <w:rsid w:val="007E5916"/>
    <w:rsid w:val="007F0300"/>
    <w:rsid w:val="007F0834"/>
    <w:rsid w:val="007F1C45"/>
    <w:rsid w:val="007F2341"/>
    <w:rsid w:val="007F2F9E"/>
    <w:rsid w:val="007F3AC4"/>
    <w:rsid w:val="007F3B7E"/>
    <w:rsid w:val="007F439D"/>
    <w:rsid w:val="007F5254"/>
    <w:rsid w:val="007F56B8"/>
    <w:rsid w:val="007F6988"/>
    <w:rsid w:val="007F71FA"/>
    <w:rsid w:val="007F74F8"/>
    <w:rsid w:val="00803758"/>
    <w:rsid w:val="0080427E"/>
    <w:rsid w:val="008053F8"/>
    <w:rsid w:val="00805865"/>
    <w:rsid w:val="0080655C"/>
    <w:rsid w:val="00807400"/>
    <w:rsid w:val="00814006"/>
    <w:rsid w:val="00815812"/>
    <w:rsid w:val="00820259"/>
    <w:rsid w:val="00820377"/>
    <w:rsid w:val="008220A0"/>
    <w:rsid w:val="00824087"/>
    <w:rsid w:val="00824706"/>
    <w:rsid w:val="00824912"/>
    <w:rsid w:val="0082746C"/>
    <w:rsid w:val="00827A10"/>
    <w:rsid w:val="00827E81"/>
    <w:rsid w:val="00831BF6"/>
    <w:rsid w:val="008329A3"/>
    <w:rsid w:val="0083396D"/>
    <w:rsid w:val="00833C79"/>
    <w:rsid w:val="00833E27"/>
    <w:rsid w:val="0083434D"/>
    <w:rsid w:val="00834A71"/>
    <w:rsid w:val="00834BF0"/>
    <w:rsid w:val="008359B6"/>
    <w:rsid w:val="00842D20"/>
    <w:rsid w:val="00843A70"/>
    <w:rsid w:val="00847D5C"/>
    <w:rsid w:val="0085107F"/>
    <w:rsid w:val="00852EC3"/>
    <w:rsid w:val="008538B4"/>
    <w:rsid w:val="00854497"/>
    <w:rsid w:val="00856C4D"/>
    <w:rsid w:val="0086099D"/>
    <w:rsid w:val="00861A74"/>
    <w:rsid w:val="00862A99"/>
    <w:rsid w:val="008671A1"/>
    <w:rsid w:val="008671F7"/>
    <w:rsid w:val="00870120"/>
    <w:rsid w:val="008704D3"/>
    <w:rsid w:val="0087279A"/>
    <w:rsid w:val="00872C88"/>
    <w:rsid w:val="0087366B"/>
    <w:rsid w:val="00874063"/>
    <w:rsid w:val="008746FD"/>
    <w:rsid w:val="00874DF5"/>
    <w:rsid w:val="00874F84"/>
    <w:rsid w:val="008760A4"/>
    <w:rsid w:val="008764C4"/>
    <w:rsid w:val="00876E6A"/>
    <w:rsid w:val="0087791D"/>
    <w:rsid w:val="00877B60"/>
    <w:rsid w:val="00877D8D"/>
    <w:rsid w:val="008811FF"/>
    <w:rsid w:val="00882DE9"/>
    <w:rsid w:val="00886D08"/>
    <w:rsid w:val="00886EE5"/>
    <w:rsid w:val="008905A0"/>
    <w:rsid w:val="00890FF8"/>
    <w:rsid w:val="00891462"/>
    <w:rsid w:val="0089160D"/>
    <w:rsid w:val="00892320"/>
    <w:rsid w:val="0089269F"/>
    <w:rsid w:val="008938E1"/>
    <w:rsid w:val="008942DA"/>
    <w:rsid w:val="0089519A"/>
    <w:rsid w:val="008951BC"/>
    <w:rsid w:val="008967F6"/>
    <w:rsid w:val="00896A47"/>
    <w:rsid w:val="00896A97"/>
    <w:rsid w:val="008972E2"/>
    <w:rsid w:val="00897A71"/>
    <w:rsid w:val="008A0C41"/>
    <w:rsid w:val="008A1358"/>
    <w:rsid w:val="008A16F9"/>
    <w:rsid w:val="008A1C57"/>
    <w:rsid w:val="008A2BC3"/>
    <w:rsid w:val="008A399A"/>
    <w:rsid w:val="008A3EBB"/>
    <w:rsid w:val="008A471D"/>
    <w:rsid w:val="008A4CA2"/>
    <w:rsid w:val="008A57B9"/>
    <w:rsid w:val="008A598B"/>
    <w:rsid w:val="008A6B8A"/>
    <w:rsid w:val="008A71F2"/>
    <w:rsid w:val="008A7350"/>
    <w:rsid w:val="008A76B2"/>
    <w:rsid w:val="008B13C7"/>
    <w:rsid w:val="008B142C"/>
    <w:rsid w:val="008B1BF8"/>
    <w:rsid w:val="008B1D74"/>
    <w:rsid w:val="008B341D"/>
    <w:rsid w:val="008B4470"/>
    <w:rsid w:val="008B519F"/>
    <w:rsid w:val="008B7451"/>
    <w:rsid w:val="008B7569"/>
    <w:rsid w:val="008C016B"/>
    <w:rsid w:val="008C13E7"/>
    <w:rsid w:val="008C300F"/>
    <w:rsid w:val="008C33B5"/>
    <w:rsid w:val="008C33DA"/>
    <w:rsid w:val="008C3E26"/>
    <w:rsid w:val="008C3EE8"/>
    <w:rsid w:val="008C4203"/>
    <w:rsid w:val="008C4F86"/>
    <w:rsid w:val="008C5A1D"/>
    <w:rsid w:val="008C6163"/>
    <w:rsid w:val="008C6E4A"/>
    <w:rsid w:val="008D094D"/>
    <w:rsid w:val="008D12FF"/>
    <w:rsid w:val="008D145D"/>
    <w:rsid w:val="008D16C2"/>
    <w:rsid w:val="008D1812"/>
    <w:rsid w:val="008D19CE"/>
    <w:rsid w:val="008D1E3A"/>
    <w:rsid w:val="008D2C4E"/>
    <w:rsid w:val="008D42C5"/>
    <w:rsid w:val="008D4FAE"/>
    <w:rsid w:val="008D6066"/>
    <w:rsid w:val="008D7649"/>
    <w:rsid w:val="008D78F3"/>
    <w:rsid w:val="008E0314"/>
    <w:rsid w:val="008E21D5"/>
    <w:rsid w:val="008E2E44"/>
    <w:rsid w:val="008E3AFD"/>
    <w:rsid w:val="008E6EC5"/>
    <w:rsid w:val="008F09A7"/>
    <w:rsid w:val="008F09B9"/>
    <w:rsid w:val="008F19C0"/>
    <w:rsid w:val="008F4738"/>
    <w:rsid w:val="008F5E98"/>
    <w:rsid w:val="008F6E83"/>
    <w:rsid w:val="008F741F"/>
    <w:rsid w:val="00900666"/>
    <w:rsid w:val="00901362"/>
    <w:rsid w:val="00903AB2"/>
    <w:rsid w:val="00903FE4"/>
    <w:rsid w:val="00904157"/>
    <w:rsid w:val="00905308"/>
    <w:rsid w:val="00906AD7"/>
    <w:rsid w:val="00907A62"/>
    <w:rsid w:val="00910918"/>
    <w:rsid w:val="00912687"/>
    <w:rsid w:val="00917ECB"/>
    <w:rsid w:val="00920D6E"/>
    <w:rsid w:val="00921390"/>
    <w:rsid w:val="00921772"/>
    <w:rsid w:val="00921E0F"/>
    <w:rsid w:val="0092385A"/>
    <w:rsid w:val="00923944"/>
    <w:rsid w:val="0092495D"/>
    <w:rsid w:val="0093133C"/>
    <w:rsid w:val="0093184E"/>
    <w:rsid w:val="00932790"/>
    <w:rsid w:val="009331A6"/>
    <w:rsid w:val="00935796"/>
    <w:rsid w:val="009358C6"/>
    <w:rsid w:val="00935E1C"/>
    <w:rsid w:val="00937655"/>
    <w:rsid w:val="00940CA9"/>
    <w:rsid w:val="00940FE9"/>
    <w:rsid w:val="009411D6"/>
    <w:rsid w:val="00942B11"/>
    <w:rsid w:val="00944393"/>
    <w:rsid w:val="0094477B"/>
    <w:rsid w:val="00944C47"/>
    <w:rsid w:val="009458E8"/>
    <w:rsid w:val="00945B94"/>
    <w:rsid w:val="00945C3C"/>
    <w:rsid w:val="0095251F"/>
    <w:rsid w:val="00952E64"/>
    <w:rsid w:val="00956185"/>
    <w:rsid w:val="0095718E"/>
    <w:rsid w:val="00957466"/>
    <w:rsid w:val="00957CB4"/>
    <w:rsid w:val="00960A01"/>
    <w:rsid w:val="009612C5"/>
    <w:rsid w:val="00961AED"/>
    <w:rsid w:val="009627F5"/>
    <w:rsid w:val="00962A4D"/>
    <w:rsid w:val="009637B0"/>
    <w:rsid w:val="00964C5A"/>
    <w:rsid w:val="009656AA"/>
    <w:rsid w:val="00967BE1"/>
    <w:rsid w:val="00971300"/>
    <w:rsid w:val="00974173"/>
    <w:rsid w:val="00974F5F"/>
    <w:rsid w:val="00976B2A"/>
    <w:rsid w:val="00977D3C"/>
    <w:rsid w:val="009815EB"/>
    <w:rsid w:val="00982DD8"/>
    <w:rsid w:val="009843F7"/>
    <w:rsid w:val="009861EC"/>
    <w:rsid w:val="0099173B"/>
    <w:rsid w:val="00991BC9"/>
    <w:rsid w:val="00991D12"/>
    <w:rsid w:val="00991D28"/>
    <w:rsid w:val="00992252"/>
    <w:rsid w:val="00993C02"/>
    <w:rsid w:val="00993CB5"/>
    <w:rsid w:val="00993CD0"/>
    <w:rsid w:val="009A0134"/>
    <w:rsid w:val="009A1530"/>
    <w:rsid w:val="009A25B5"/>
    <w:rsid w:val="009A447C"/>
    <w:rsid w:val="009A46EF"/>
    <w:rsid w:val="009A49A4"/>
    <w:rsid w:val="009A741A"/>
    <w:rsid w:val="009A7850"/>
    <w:rsid w:val="009A7BD8"/>
    <w:rsid w:val="009A7D1B"/>
    <w:rsid w:val="009B08D6"/>
    <w:rsid w:val="009B3545"/>
    <w:rsid w:val="009B5F9F"/>
    <w:rsid w:val="009B644A"/>
    <w:rsid w:val="009B76CF"/>
    <w:rsid w:val="009B7F26"/>
    <w:rsid w:val="009C0FCF"/>
    <w:rsid w:val="009C135F"/>
    <w:rsid w:val="009C1898"/>
    <w:rsid w:val="009C1934"/>
    <w:rsid w:val="009C46B5"/>
    <w:rsid w:val="009C725D"/>
    <w:rsid w:val="009C7E26"/>
    <w:rsid w:val="009D0D89"/>
    <w:rsid w:val="009D0E71"/>
    <w:rsid w:val="009D1906"/>
    <w:rsid w:val="009D20AB"/>
    <w:rsid w:val="009D20DB"/>
    <w:rsid w:val="009D22CC"/>
    <w:rsid w:val="009D3195"/>
    <w:rsid w:val="009D592F"/>
    <w:rsid w:val="009D7764"/>
    <w:rsid w:val="009E0041"/>
    <w:rsid w:val="009E2C01"/>
    <w:rsid w:val="009E42A6"/>
    <w:rsid w:val="009E530F"/>
    <w:rsid w:val="009E61C9"/>
    <w:rsid w:val="009E68FE"/>
    <w:rsid w:val="009E6ACB"/>
    <w:rsid w:val="009E731B"/>
    <w:rsid w:val="009E7465"/>
    <w:rsid w:val="009F0342"/>
    <w:rsid w:val="009F08CD"/>
    <w:rsid w:val="009F17D8"/>
    <w:rsid w:val="009F1A95"/>
    <w:rsid w:val="009F262A"/>
    <w:rsid w:val="009F2D37"/>
    <w:rsid w:val="009F4158"/>
    <w:rsid w:val="009F4804"/>
    <w:rsid w:val="009F5058"/>
    <w:rsid w:val="009F670C"/>
    <w:rsid w:val="009F6C62"/>
    <w:rsid w:val="00A00B2D"/>
    <w:rsid w:val="00A0128E"/>
    <w:rsid w:val="00A035C5"/>
    <w:rsid w:val="00A0459A"/>
    <w:rsid w:val="00A0474F"/>
    <w:rsid w:val="00A04CF8"/>
    <w:rsid w:val="00A0565C"/>
    <w:rsid w:val="00A0574A"/>
    <w:rsid w:val="00A0613B"/>
    <w:rsid w:val="00A06836"/>
    <w:rsid w:val="00A06974"/>
    <w:rsid w:val="00A06DAE"/>
    <w:rsid w:val="00A10558"/>
    <w:rsid w:val="00A1109B"/>
    <w:rsid w:val="00A124BC"/>
    <w:rsid w:val="00A145EF"/>
    <w:rsid w:val="00A14AD0"/>
    <w:rsid w:val="00A166B5"/>
    <w:rsid w:val="00A172B1"/>
    <w:rsid w:val="00A179B1"/>
    <w:rsid w:val="00A200EB"/>
    <w:rsid w:val="00A20717"/>
    <w:rsid w:val="00A20F65"/>
    <w:rsid w:val="00A213A9"/>
    <w:rsid w:val="00A214C8"/>
    <w:rsid w:val="00A266F9"/>
    <w:rsid w:val="00A26CD7"/>
    <w:rsid w:val="00A274C0"/>
    <w:rsid w:val="00A3122C"/>
    <w:rsid w:val="00A31590"/>
    <w:rsid w:val="00A3271A"/>
    <w:rsid w:val="00A337E5"/>
    <w:rsid w:val="00A34A90"/>
    <w:rsid w:val="00A34B03"/>
    <w:rsid w:val="00A359E9"/>
    <w:rsid w:val="00A35DC6"/>
    <w:rsid w:val="00A3655C"/>
    <w:rsid w:val="00A41278"/>
    <w:rsid w:val="00A45B03"/>
    <w:rsid w:val="00A46254"/>
    <w:rsid w:val="00A46922"/>
    <w:rsid w:val="00A47FE2"/>
    <w:rsid w:val="00A50409"/>
    <w:rsid w:val="00A50429"/>
    <w:rsid w:val="00A5360F"/>
    <w:rsid w:val="00A550C7"/>
    <w:rsid w:val="00A56F00"/>
    <w:rsid w:val="00A56F7C"/>
    <w:rsid w:val="00A61A91"/>
    <w:rsid w:val="00A62A7D"/>
    <w:rsid w:val="00A6396D"/>
    <w:rsid w:val="00A64CA0"/>
    <w:rsid w:val="00A65326"/>
    <w:rsid w:val="00A654AF"/>
    <w:rsid w:val="00A700F4"/>
    <w:rsid w:val="00A70895"/>
    <w:rsid w:val="00A70A80"/>
    <w:rsid w:val="00A70D7E"/>
    <w:rsid w:val="00A72EF3"/>
    <w:rsid w:val="00A75601"/>
    <w:rsid w:val="00A80BD3"/>
    <w:rsid w:val="00A82B05"/>
    <w:rsid w:val="00A83C06"/>
    <w:rsid w:val="00A8455C"/>
    <w:rsid w:val="00A846B0"/>
    <w:rsid w:val="00A84B2F"/>
    <w:rsid w:val="00A85897"/>
    <w:rsid w:val="00A873A3"/>
    <w:rsid w:val="00A90165"/>
    <w:rsid w:val="00A91F19"/>
    <w:rsid w:val="00A93B70"/>
    <w:rsid w:val="00A94E5D"/>
    <w:rsid w:val="00A950C9"/>
    <w:rsid w:val="00A97661"/>
    <w:rsid w:val="00A979A5"/>
    <w:rsid w:val="00AA0CB9"/>
    <w:rsid w:val="00AA1725"/>
    <w:rsid w:val="00AA1EE7"/>
    <w:rsid w:val="00AA338D"/>
    <w:rsid w:val="00AB1028"/>
    <w:rsid w:val="00AB2F8D"/>
    <w:rsid w:val="00AB34F1"/>
    <w:rsid w:val="00AB3DDF"/>
    <w:rsid w:val="00AB4A73"/>
    <w:rsid w:val="00AB4D1B"/>
    <w:rsid w:val="00AB61F4"/>
    <w:rsid w:val="00AB663E"/>
    <w:rsid w:val="00AC000B"/>
    <w:rsid w:val="00AC0E3F"/>
    <w:rsid w:val="00AC15D8"/>
    <w:rsid w:val="00AC1E4F"/>
    <w:rsid w:val="00AC271E"/>
    <w:rsid w:val="00AC335F"/>
    <w:rsid w:val="00AC406F"/>
    <w:rsid w:val="00AC4177"/>
    <w:rsid w:val="00AC603F"/>
    <w:rsid w:val="00AC7071"/>
    <w:rsid w:val="00AD0937"/>
    <w:rsid w:val="00AD0F97"/>
    <w:rsid w:val="00AD2170"/>
    <w:rsid w:val="00AD360B"/>
    <w:rsid w:val="00AD423B"/>
    <w:rsid w:val="00AD4E82"/>
    <w:rsid w:val="00AD518D"/>
    <w:rsid w:val="00AD5B2B"/>
    <w:rsid w:val="00AD61D3"/>
    <w:rsid w:val="00AD6B5E"/>
    <w:rsid w:val="00AD7382"/>
    <w:rsid w:val="00AE0BA2"/>
    <w:rsid w:val="00AE129C"/>
    <w:rsid w:val="00AE16ED"/>
    <w:rsid w:val="00AE288B"/>
    <w:rsid w:val="00AE30E5"/>
    <w:rsid w:val="00AE36FA"/>
    <w:rsid w:val="00AE38B1"/>
    <w:rsid w:val="00AE3C56"/>
    <w:rsid w:val="00AE410D"/>
    <w:rsid w:val="00AE47EC"/>
    <w:rsid w:val="00AE61B8"/>
    <w:rsid w:val="00AE6AEF"/>
    <w:rsid w:val="00AE7214"/>
    <w:rsid w:val="00AE7227"/>
    <w:rsid w:val="00AE7914"/>
    <w:rsid w:val="00AE7D40"/>
    <w:rsid w:val="00AF01A3"/>
    <w:rsid w:val="00AF0B34"/>
    <w:rsid w:val="00AF1781"/>
    <w:rsid w:val="00AF3845"/>
    <w:rsid w:val="00AF60B6"/>
    <w:rsid w:val="00AF72DC"/>
    <w:rsid w:val="00AF76B0"/>
    <w:rsid w:val="00B0296A"/>
    <w:rsid w:val="00B02C72"/>
    <w:rsid w:val="00B06842"/>
    <w:rsid w:val="00B075F7"/>
    <w:rsid w:val="00B079AD"/>
    <w:rsid w:val="00B10087"/>
    <w:rsid w:val="00B10372"/>
    <w:rsid w:val="00B10566"/>
    <w:rsid w:val="00B15084"/>
    <w:rsid w:val="00B15446"/>
    <w:rsid w:val="00B15A9A"/>
    <w:rsid w:val="00B20D00"/>
    <w:rsid w:val="00B23226"/>
    <w:rsid w:val="00B23810"/>
    <w:rsid w:val="00B23D8B"/>
    <w:rsid w:val="00B2574E"/>
    <w:rsid w:val="00B25B44"/>
    <w:rsid w:val="00B25CAF"/>
    <w:rsid w:val="00B26032"/>
    <w:rsid w:val="00B30B36"/>
    <w:rsid w:val="00B31C2F"/>
    <w:rsid w:val="00B32276"/>
    <w:rsid w:val="00B32E72"/>
    <w:rsid w:val="00B33A7F"/>
    <w:rsid w:val="00B33B36"/>
    <w:rsid w:val="00B34609"/>
    <w:rsid w:val="00B3586A"/>
    <w:rsid w:val="00B405A1"/>
    <w:rsid w:val="00B40CFC"/>
    <w:rsid w:val="00B421AC"/>
    <w:rsid w:val="00B429F4"/>
    <w:rsid w:val="00B430AC"/>
    <w:rsid w:val="00B4316F"/>
    <w:rsid w:val="00B436FF"/>
    <w:rsid w:val="00B43DEA"/>
    <w:rsid w:val="00B44136"/>
    <w:rsid w:val="00B45019"/>
    <w:rsid w:val="00B46529"/>
    <w:rsid w:val="00B47F3C"/>
    <w:rsid w:val="00B50733"/>
    <w:rsid w:val="00B510E8"/>
    <w:rsid w:val="00B51C14"/>
    <w:rsid w:val="00B532FD"/>
    <w:rsid w:val="00B53F48"/>
    <w:rsid w:val="00B55C51"/>
    <w:rsid w:val="00B563B0"/>
    <w:rsid w:val="00B56B61"/>
    <w:rsid w:val="00B6049D"/>
    <w:rsid w:val="00B6137E"/>
    <w:rsid w:val="00B624A6"/>
    <w:rsid w:val="00B63462"/>
    <w:rsid w:val="00B64411"/>
    <w:rsid w:val="00B64DE5"/>
    <w:rsid w:val="00B66343"/>
    <w:rsid w:val="00B66636"/>
    <w:rsid w:val="00B67982"/>
    <w:rsid w:val="00B706E8"/>
    <w:rsid w:val="00B70750"/>
    <w:rsid w:val="00B70FE9"/>
    <w:rsid w:val="00B7113B"/>
    <w:rsid w:val="00B72001"/>
    <w:rsid w:val="00B72212"/>
    <w:rsid w:val="00B73E0C"/>
    <w:rsid w:val="00B748DC"/>
    <w:rsid w:val="00B74BBE"/>
    <w:rsid w:val="00B74E43"/>
    <w:rsid w:val="00B75A47"/>
    <w:rsid w:val="00B760E1"/>
    <w:rsid w:val="00B77047"/>
    <w:rsid w:val="00B80FA4"/>
    <w:rsid w:val="00B81E35"/>
    <w:rsid w:val="00B822A0"/>
    <w:rsid w:val="00B83DC6"/>
    <w:rsid w:val="00B869C7"/>
    <w:rsid w:val="00B93F93"/>
    <w:rsid w:val="00B94DF3"/>
    <w:rsid w:val="00B95DBC"/>
    <w:rsid w:val="00B9687D"/>
    <w:rsid w:val="00B96A87"/>
    <w:rsid w:val="00B97A84"/>
    <w:rsid w:val="00B97A8A"/>
    <w:rsid w:val="00B97D38"/>
    <w:rsid w:val="00B97DA3"/>
    <w:rsid w:val="00BA0A43"/>
    <w:rsid w:val="00BA179D"/>
    <w:rsid w:val="00BA17C5"/>
    <w:rsid w:val="00BA1BEB"/>
    <w:rsid w:val="00BA24A2"/>
    <w:rsid w:val="00BA283B"/>
    <w:rsid w:val="00BA2EA2"/>
    <w:rsid w:val="00BA48E3"/>
    <w:rsid w:val="00BA4CFF"/>
    <w:rsid w:val="00BA4D47"/>
    <w:rsid w:val="00BA7811"/>
    <w:rsid w:val="00BB0683"/>
    <w:rsid w:val="00BB22EA"/>
    <w:rsid w:val="00BB34BC"/>
    <w:rsid w:val="00BB434C"/>
    <w:rsid w:val="00BB4FBE"/>
    <w:rsid w:val="00BB6DEF"/>
    <w:rsid w:val="00BB71C0"/>
    <w:rsid w:val="00BC0F05"/>
    <w:rsid w:val="00BC19BE"/>
    <w:rsid w:val="00BC4526"/>
    <w:rsid w:val="00BC46F8"/>
    <w:rsid w:val="00BC4C58"/>
    <w:rsid w:val="00BC72BD"/>
    <w:rsid w:val="00BC7E11"/>
    <w:rsid w:val="00BD0443"/>
    <w:rsid w:val="00BD0A67"/>
    <w:rsid w:val="00BD3752"/>
    <w:rsid w:val="00BE06C4"/>
    <w:rsid w:val="00BE1CAD"/>
    <w:rsid w:val="00BE222D"/>
    <w:rsid w:val="00BE403C"/>
    <w:rsid w:val="00BE470A"/>
    <w:rsid w:val="00BE4DAF"/>
    <w:rsid w:val="00BE717C"/>
    <w:rsid w:val="00BF1453"/>
    <w:rsid w:val="00BF2611"/>
    <w:rsid w:val="00BF2AEF"/>
    <w:rsid w:val="00BF6818"/>
    <w:rsid w:val="00BF7E83"/>
    <w:rsid w:val="00C0138F"/>
    <w:rsid w:val="00C015D7"/>
    <w:rsid w:val="00C01BE7"/>
    <w:rsid w:val="00C023CC"/>
    <w:rsid w:val="00C02B62"/>
    <w:rsid w:val="00C03037"/>
    <w:rsid w:val="00C03159"/>
    <w:rsid w:val="00C03D26"/>
    <w:rsid w:val="00C05878"/>
    <w:rsid w:val="00C05D6C"/>
    <w:rsid w:val="00C06038"/>
    <w:rsid w:val="00C060DD"/>
    <w:rsid w:val="00C06895"/>
    <w:rsid w:val="00C07841"/>
    <w:rsid w:val="00C07A61"/>
    <w:rsid w:val="00C12EA6"/>
    <w:rsid w:val="00C13627"/>
    <w:rsid w:val="00C13D18"/>
    <w:rsid w:val="00C14A2C"/>
    <w:rsid w:val="00C1636E"/>
    <w:rsid w:val="00C20447"/>
    <w:rsid w:val="00C206A7"/>
    <w:rsid w:val="00C26582"/>
    <w:rsid w:val="00C275CB"/>
    <w:rsid w:val="00C27DCD"/>
    <w:rsid w:val="00C32406"/>
    <w:rsid w:val="00C3704C"/>
    <w:rsid w:val="00C3798F"/>
    <w:rsid w:val="00C37C5A"/>
    <w:rsid w:val="00C41A1C"/>
    <w:rsid w:val="00C42DF2"/>
    <w:rsid w:val="00C4311B"/>
    <w:rsid w:val="00C43BD4"/>
    <w:rsid w:val="00C456A6"/>
    <w:rsid w:val="00C47AE3"/>
    <w:rsid w:val="00C47B33"/>
    <w:rsid w:val="00C47B3E"/>
    <w:rsid w:val="00C47EB9"/>
    <w:rsid w:val="00C50D41"/>
    <w:rsid w:val="00C512B6"/>
    <w:rsid w:val="00C51EAF"/>
    <w:rsid w:val="00C521CB"/>
    <w:rsid w:val="00C527C9"/>
    <w:rsid w:val="00C5357E"/>
    <w:rsid w:val="00C53BAE"/>
    <w:rsid w:val="00C54256"/>
    <w:rsid w:val="00C550E1"/>
    <w:rsid w:val="00C55D93"/>
    <w:rsid w:val="00C56D2C"/>
    <w:rsid w:val="00C60C59"/>
    <w:rsid w:val="00C61512"/>
    <w:rsid w:val="00C6303E"/>
    <w:rsid w:val="00C63821"/>
    <w:rsid w:val="00C64479"/>
    <w:rsid w:val="00C646CA"/>
    <w:rsid w:val="00C657DA"/>
    <w:rsid w:val="00C66A4F"/>
    <w:rsid w:val="00C67C03"/>
    <w:rsid w:val="00C70BA9"/>
    <w:rsid w:val="00C71010"/>
    <w:rsid w:val="00C7102B"/>
    <w:rsid w:val="00C72B23"/>
    <w:rsid w:val="00C73A97"/>
    <w:rsid w:val="00C73B15"/>
    <w:rsid w:val="00C73E28"/>
    <w:rsid w:val="00C74170"/>
    <w:rsid w:val="00C74C35"/>
    <w:rsid w:val="00C75FC5"/>
    <w:rsid w:val="00C8267B"/>
    <w:rsid w:val="00C82D95"/>
    <w:rsid w:val="00C86333"/>
    <w:rsid w:val="00C86F01"/>
    <w:rsid w:val="00C875DC"/>
    <w:rsid w:val="00C87755"/>
    <w:rsid w:val="00C87DFE"/>
    <w:rsid w:val="00C9101B"/>
    <w:rsid w:val="00C9118A"/>
    <w:rsid w:val="00C91256"/>
    <w:rsid w:val="00C94A04"/>
    <w:rsid w:val="00C95467"/>
    <w:rsid w:val="00C964AF"/>
    <w:rsid w:val="00C973D9"/>
    <w:rsid w:val="00CA2EA1"/>
    <w:rsid w:val="00CA39E4"/>
    <w:rsid w:val="00CA4019"/>
    <w:rsid w:val="00CA6042"/>
    <w:rsid w:val="00CA66D5"/>
    <w:rsid w:val="00CB148F"/>
    <w:rsid w:val="00CB1C03"/>
    <w:rsid w:val="00CB3480"/>
    <w:rsid w:val="00CB3C90"/>
    <w:rsid w:val="00CB63B4"/>
    <w:rsid w:val="00CB68CE"/>
    <w:rsid w:val="00CB742B"/>
    <w:rsid w:val="00CC00EF"/>
    <w:rsid w:val="00CC0280"/>
    <w:rsid w:val="00CC173E"/>
    <w:rsid w:val="00CC23F5"/>
    <w:rsid w:val="00CC3795"/>
    <w:rsid w:val="00CC399D"/>
    <w:rsid w:val="00CC3F8A"/>
    <w:rsid w:val="00CC4349"/>
    <w:rsid w:val="00CC64D5"/>
    <w:rsid w:val="00CC6F34"/>
    <w:rsid w:val="00CC73F5"/>
    <w:rsid w:val="00CD00EA"/>
    <w:rsid w:val="00CD213F"/>
    <w:rsid w:val="00CD3AF0"/>
    <w:rsid w:val="00CD54C4"/>
    <w:rsid w:val="00CD75CD"/>
    <w:rsid w:val="00CE0A8B"/>
    <w:rsid w:val="00CE0B6D"/>
    <w:rsid w:val="00CE3C84"/>
    <w:rsid w:val="00CE457C"/>
    <w:rsid w:val="00CE55CB"/>
    <w:rsid w:val="00CF23F8"/>
    <w:rsid w:val="00CF354D"/>
    <w:rsid w:val="00CF4273"/>
    <w:rsid w:val="00CF46C7"/>
    <w:rsid w:val="00CF4EE2"/>
    <w:rsid w:val="00CF5223"/>
    <w:rsid w:val="00CF5AB7"/>
    <w:rsid w:val="00CF5BCA"/>
    <w:rsid w:val="00CF5C55"/>
    <w:rsid w:val="00CF63A1"/>
    <w:rsid w:val="00CF6829"/>
    <w:rsid w:val="00CF729C"/>
    <w:rsid w:val="00CF7692"/>
    <w:rsid w:val="00D01069"/>
    <w:rsid w:val="00D01787"/>
    <w:rsid w:val="00D02252"/>
    <w:rsid w:val="00D02283"/>
    <w:rsid w:val="00D04A08"/>
    <w:rsid w:val="00D06FD6"/>
    <w:rsid w:val="00D077CC"/>
    <w:rsid w:val="00D100E9"/>
    <w:rsid w:val="00D129D5"/>
    <w:rsid w:val="00D12C3C"/>
    <w:rsid w:val="00D130B1"/>
    <w:rsid w:val="00D142E8"/>
    <w:rsid w:val="00D17669"/>
    <w:rsid w:val="00D17736"/>
    <w:rsid w:val="00D21037"/>
    <w:rsid w:val="00D213FF"/>
    <w:rsid w:val="00D23E9F"/>
    <w:rsid w:val="00D2518A"/>
    <w:rsid w:val="00D26E7D"/>
    <w:rsid w:val="00D2711B"/>
    <w:rsid w:val="00D30F23"/>
    <w:rsid w:val="00D34E17"/>
    <w:rsid w:val="00D361B7"/>
    <w:rsid w:val="00D37061"/>
    <w:rsid w:val="00D37B63"/>
    <w:rsid w:val="00D406C9"/>
    <w:rsid w:val="00D41728"/>
    <w:rsid w:val="00D44608"/>
    <w:rsid w:val="00D458D1"/>
    <w:rsid w:val="00D4680F"/>
    <w:rsid w:val="00D51FE2"/>
    <w:rsid w:val="00D52B1D"/>
    <w:rsid w:val="00D53B3A"/>
    <w:rsid w:val="00D54FE3"/>
    <w:rsid w:val="00D55451"/>
    <w:rsid w:val="00D55E5C"/>
    <w:rsid w:val="00D56262"/>
    <w:rsid w:val="00D56D02"/>
    <w:rsid w:val="00D60B29"/>
    <w:rsid w:val="00D63E42"/>
    <w:rsid w:val="00D66C70"/>
    <w:rsid w:val="00D66E56"/>
    <w:rsid w:val="00D675EB"/>
    <w:rsid w:val="00D72D00"/>
    <w:rsid w:val="00D73C0C"/>
    <w:rsid w:val="00D75418"/>
    <w:rsid w:val="00D8125A"/>
    <w:rsid w:val="00D81887"/>
    <w:rsid w:val="00D835FB"/>
    <w:rsid w:val="00D83D6B"/>
    <w:rsid w:val="00D84227"/>
    <w:rsid w:val="00D85446"/>
    <w:rsid w:val="00D85A36"/>
    <w:rsid w:val="00D86DA3"/>
    <w:rsid w:val="00D87401"/>
    <w:rsid w:val="00D91F83"/>
    <w:rsid w:val="00D920F1"/>
    <w:rsid w:val="00D92188"/>
    <w:rsid w:val="00D938DF"/>
    <w:rsid w:val="00D94362"/>
    <w:rsid w:val="00D9484E"/>
    <w:rsid w:val="00D94AAC"/>
    <w:rsid w:val="00DA0586"/>
    <w:rsid w:val="00DA0A41"/>
    <w:rsid w:val="00DA1C94"/>
    <w:rsid w:val="00DA4B1A"/>
    <w:rsid w:val="00DA6049"/>
    <w:rsid w:val="00DA6360"/>
    <w:rsid w:val="00DA7339"/>
    <w:rsid w:val="00DB0C64"/>
    <w:rsid w:val="00DB1C71"/>
    <w:rsid w:val="00DB2CC5"/>
    <w:rsid w:val="00DB3358"/>
    <w:rsid w:val="00DB379B"/>
    <w:rsid w:val="00DB4C69"/>
    <w:rsid w:val="00DB567C"/>
    <w:rsid w:val="00DB5A83"/>
    <w:rsid w:val="00DB5BF0"/>
    <w:rsid w:val="00DB661E"/>
    <w:rsid w:val="00DB7BE4"/>
    <w:rsid w:val="00DC1F4C"/>
    <w:rsid w:val="00DC36B9"/>
    <w:rsid w:val="00DC3AC9"/>
    <w:rsid w:val="00DC4BA0"/>
    <w:rsid w:val="00DC519F"/>
    <w:rsid w:val="00DC55D6"/>
    <w:rsid w:val="00DC5D16"/>
    <w:rsid w:val="00DC62AA"/>
    <w:rsid w:val="00DC6750"/>
    <w:rsid w:val="00DC74E5"/>
    <w:rsid w:val="00DD052F"/>
    <w:rsid w:val="00DD079B"/>
    <w:rsid w:val="00DD1E28"/>
    <w:rsid w:val="00DD68CD"/>
    <w:rsid w:val="00DD7AF8"/>
    <w:rsid w:val="00DE1766"/>
    <w:rsid w:val="00DE28E7"/>
    <w:rsid w:val="00DF1A55"/>
    <w:rsid w:val="00DF4A14"/>
    <w:rsid w:val="00DF4E6D"/>
    <w:rsid w:val="00DF579F"/>
    <w:rsid w:val="00DF5B68"/>
    <w:rsid w:val="00DF64DF"/>
    <w:rsid w:val="00DF6C5E"/>
    <w:rsid w:val="00DF7C90"/>
    <w:rsid w:val="00E02403"/>
    <w:rsid w:val="00E027F8"/>
    <w:rsid w:val="00E0316C"/>
    <w:rsid w:val="00E036E9"/>
    <w:rsid w:val="00E03BDE"/>
    <w:rsid w:val="00E03FAA"/>
    <w:rsid w:val="00E040A5"/>
    <w:rsid w:val="00E0528F"/>
    <w:rsid w:val="00E05DC2"/>
    <w:rsid w:val="00E108A5"/>
    <w:rsid w:val="00E11590"/>
    <w:rsid w:val="00E12679"/>
    <w:rsid w:val="00E133B4"/>
    <w:rsid w:val="00E140C5"/>
    <w:rsid w:val="00E14E4C"/>
    <w:rsid w:val="00E15AB8"/>
    <w:rsid w:val="00E15C36"/>
    <w:rsid w:val="00E161FA"/>
    <w:rsid w:val="00E1750C"/>
    <w:rsid w:val="00E202C8"/>
    <w:rsid w:val="00E21EFF"/>
    <w:rsid w:val="00E24291"/>
    <w:rsid w:val="00E248F1"/>
    <w:rsid w:val="00E24D3B"/>
    <w:rsid w:val="00E2627B"/>
    <w:rsid w:val="00E26E10"/>
    <w:rsid w:val="00E272AC"/>
    <w:rsid w:val="00E27807"/>
    <w:rsid w:val="00E31390"/>
    <w:rsid w:val="00E315A8"/>
    <w:rsid w:val="00E31E6F"/>
    <w:rsid w:val="00E3256A"/>
    <w:rsid w:val="00E352AD"/>
    <w:rsid w:val="00E35B85"/>
    <w:rsid w:val="00E35D27"/>
    <w:rsid w:val="00E36BAC"/>
    <w:rsid w:val="00E377E3"/>
    <w:rsid w:val="00E3789C"/>
    <w:rsid w:val="00E416E7"/>
    <w:rsid w:val="00E41BE9"/>
    <w:rsid w:val="00E41C92"/>
    <w:rsid w:val="00E42F7A"/>
    <w:rsid w:val="00E44ED7"/>
    <w:rsid w:val="00E452F9"/>
    <w:rsid w:val="00E47DD3"/>
    <w:rsid w:val="00E5128D"/>
    <w:rsid w:val="00E51E52"/>
    <w:rsid w:val="00E53057"/>
    <w:rsid w:val="00E563FF"/>
    <w:rsid w:val="00E60D4F"/>
    <w:rsid w:val="00E61223"/>
    <w:rsid w:val="00E61E4A"/>
    <w:rsid w:val="00E61F2F"/>
    <w:rsid w:val="00E622B8"/>
    <w:rsid w:val="00E63684"/>
    <w:rsid w:val="00E65A88"/>
    <w:rsid w:val="00E67726"/>
    <w:rsid w:val="00E67968"/>
    <w:rsid w:val="00E7091D"/>
    <w:rsid w:val="00E70C7C"/>
    <w:rsid w:val="00E72487"/>
    <w:rsid w:val="00E74974"/>
    <w:rsid w:val="00E769E0"/>
    <w:rsid w:val="00E76B70"/>
    <w:rsid w:val="00E779F7"/>
    <w:rsid w:val="00E80101"/>
    <w:rsid w:val="00E80B9D"/>
    <w:rsid w:val="00E85126"/>
    <w:rsid w:val="00E85791"/>
    <w:rsid w:val="00E864C3"/>
    <w:rsid w:val="00E9040B"/>
    <w:rsid w:val="00E9144F"/>
    <w:rsid w:val="00E91D5D"/>
    <w:rsid w:val="00E91F6C"/>
    <w:rsid w:val="00E9430E"/>
    <w:rsid w:val="00E94802"/>
    <w:rsid w:val="00E9523F"/>
    <w:rsid w:val="00E97303"/>
    <w:rsid w:val="00E97842"/>
    <w:rsid w:val="00EA357D"/>
    <w:rsid w:val="00EA5843"/>
    <w:rsid w:val="00EA6143"/>
    <w:rsid w:val="00EA64D1"/>
    <w:rsid w:val="00EB02D0"/>
    <w:rsid w:val="00EB05A3"/>
    <w:rsid w:val="00EB0804"/>
    <w:rsid w:val="00EB0B19"/>
    <w:rsid w:val="00EB0C4B"/>
    <w:rsid w:val="00EB15D7"/>
    <w:rsid w:val="00EB2276"/>
    <w:rsid w:val="00EB3C2E"/>
    <w:rsid w:val="00EB4C53"/>
    <w:rsid w:val="00EB5419"/>
    <w:rsid w:val="00EB55A9"/>
    <w:rsid w:val="00EB5BA9"/>
    <w:rsid w:val="00EB5D19"/>
    <w:rsid w:val="00EB5D69"/>
    <w:rsid w:val="00EB74A8"/>
    <w:rsid w:val="00EC3BF2"/>
    <w:rsid w:val="00EC4C2A"/>
    <w:rsid w:val="00EC7C15"/>
    <w:rsid w:val="00ED0A9C"/>
    <w:rsid w:val="00ED1581"/>
    <w:rsid w:val="00ED4869"/>
    <w:rsid w:val="00ED4ED0"/>
    <w:rsid w:val="00ED548C"/>
    <w:rsid w:val="00ED5BFB"/>
    <w:rsid w:val="00ED5FC3"/>
    <w:rsid w:val="00ED6542"/>
    <w:rsid w:val="00ED68A0"/>
    <w:rsid w:val="00EE123A"/>
    <w:rsid w:val="00EE21B3"/>
    <w:rsid w:val="00EE4F36"/>
    <w:rsid w:val="00EE532B"/>
    <w:rsid w:val="00EE542F"/>
    <w:rsid w:val="00EE5F3B"/>
    <w:rsid w:val="00EF0D10"/>
    <w:rsid w:val="00EF1BBC"/>
    <w:rsid w:val="00EF25C6"/>
    <w:rsid w:val="00EF2EB8"/>
    <w:rsid w:val="00EF2FC6"/>
    <w:rsid w:val="00EF3F25"/>
    <w:rsid w:val="00EF41B5"/>
    <w:rsid w:val="00EF55AB"/>
    <w:rsid w:val="00EF5C79"/>
    <w:rsid w:val="00EF6278"/>
    <w:rsid w:val="00EF65BB"/>
    <w:rsid w:val="00F001B6"/>
    <w:rsid w:val="00F00F89"/>
    <w:rsid w:val="00F01513"/>
    <w:rsid w:val="00F02F6B"/>
    <w:rsid w:val="00F03EBC"/>
    <w:rsid w:val="00F05220"/>
    <w:rsid w:val="00F0539B"/>
    <w:rsid w:val="00F06CCE"/>
    <w:rsid w:val="00F06E99"/>
    <w:rsid w:val="00F12CD7"/>
    <w:rsid w:val="00F15C26"/>
    <w:rsid w:val="00F167E9"/>
    <w:rsid w:val="00F16DED"/>
    <w:rsid w:val="00F200EA"/>
    <w:rsid w:val="00F20EA2"/>
    <w:rsid w:val="00F20FC8"/>
    <w:rsid w:val="00F21490"/>
    <w:rsid w:val="00F22307"/>
    <w:rsid w:val="00F2232E"/>
    <w:rsid w:val="00F22B38"/>
    <w:rsid w:val="00F25585"/>
    <w:rsid w:val="00F2609E"/>
    <w:rsid w:val="00F265A1"/>
    <w:rsid w:val="00F27114"/>
    <w:rsid w:val="00F27A76"/>
    <w:rsid w:val="00F30355"/>
    <w:rsid w:val="00F309A7"/>
    <w:rsid w:val="00F30BC6"/>
    <w:rsid w:val="00F31D52"/>
    <w:rsid w:val="00F32E83"/>
    <w:rsid w:val="00F3381B"/>
    <w:rsid w:val="00F37C42"/>
    <w:rsid w:val="00F37F89"/>
    <w:rsid w:val="00F41E91"/>
    <w:rsid w:val="00F42375"/>
    <w:rsid w:val="00F43B8B"/>
    <w:rsid w:val="00F44F1B"/>
    <w:rsid w:val="00F457C6"/>
    <w:rsid w:val="00F45E96"/>
    <w:rsid w:val="00F47BDE"/>
    <w:rsid w:val="00F512B3"/>
    <w:rsid w:val="00F52173"/>
    <w:rsid w:val="00F52CE5"/>
    <w:rsid w:val="00F5441F"/>
    <w:rsid w:val="00F56DF6"/>
    <w:rsid w:val="00F577ED"/>
    <w:rsid w:val="00F602F6"/>
    <w:rsid w:val="00F623F8"/>
    <w:rsid w:val="00F6275C"/>
    <w:rsid w:val="00F633FD"/>
    <w:rsid w:val="00F6361A"/>
    <w:rsid w:val="00F64D3E"/>
    <w:rsid w:val="00F66208"/>
    <w:rsid w:val="00F66D0F"/>
    <w:rsid w:val="00F71736"/>
    <w:rsid w:val="00F71CA1"/>
    <w:rsid w:val="00F723E3"/>
    <w:rsid w:val="00F7267C"/>
    <w:rsid w:val="00F730EA"/>
    <w:rsid w:val="00F73BAA"/>
    <w:rsid w:val="00F73CBA"/>
    <w:rsid w:val="00F74AEE"/>
    <w:rsid w:val="00F74D24"/>
    <w:rsid w:val="00F75177"/>
    <w:rsid w:val="00F76F25"/>
    <w:rsid w:val="00F770D1"/>
    <w:rsid w:val="00F77F20"/>
    <w:rsid w:val="00F8007D"/>
    <w:rsid w:val="00F8089D"/>
    <w:rsid w:val="00F8171C"/>
    <w:rsid w:val="00F822B0"/>
    <w:rsid w:val="00F87B0A"/>
    <w:rsid w:val="00F87E9F"/>
    <w:rsid w:val="00F9003F"/>
    <w:rsid w:val="00F921F3"/>
    <w:rsid w:val="00F9233A"/>
    <w:rsid w:val="00F92686"/>
    <w:rsid w:val="00F9277A"/>
    <w:rsid w:val="00F940F9"/>
    <w:rsid w:val="00F95574"/>
    <w:rsid w:val="00FA16FF"/>
    <w:rsid w:val="00FA2578"/>
    <w:rsid w:val="00FA34A9"/>
    <w:rsid w:val="00FA3595"/>
    <w:rsid w:val="00FA39D9"/>
    <w:rsid w:val="00FA5313"/>
    <w:rsid w:val="00FA5F13"/>
    <w:rsid w:val="00FA75D8"/>
    <w:rsid w:val="00FB006D"/>
    <w:rsid w:val="00FB04DB"/>
    <w:rsid w:val="00FB053C"/>
    <w:rsid w:val="00FB11AD"/>
    <w:rsid w:val="00FB22E5"/>
    <w:rsid w:val="00FB3981"/>
    <w:rsid w:val="00FB4364"/>
    <w:rsid w:val="00FB4431"/>
    <w:rsid w:val="00FB7631"/>
    <w:rsid w:val="00FC2742"/>
    <w:rsid w:val="00FC37AE"/>
    <w:rsid w:val="00FC4094"/>
    <w:rsid w:val="00FC55FF"/>
    <w:rsid w:val="00FC60E9"/>
    <w:rsid w:val="00FC618B"/>
    <w:rsid w:val="00FC6C68"/>
    <w:rsid w:val="00FD22CF"/>
    <w:rsid w:val="00FD3835"/>
    <w:rsid w:val="00FD384A"/>
    <w:rsid w:val="00FD4FD2"/>
    <w:rsid w:val="00FD661C"/>
    <w:rsid w:val="00FD7CBA"/>
    <w:rsid w:val="00FE0CA8"/>
    <w:rsid w:val="00FE56B0"/>
    <w:rsid w:val="00FE68DF"/>
    <w:rsid w:val="00FE7241"/>
    <w:rsid w:val="00FF031F"/>
    <w:rsid w:val="00FF1B72"/>
    <w:rsid w:val="00FF1BC4"/>
    <w:rsid w:val="00FF219F"/>
    <w:rsid w:val="00FF4634"/>
    <w:rsid w:val="00FF65AA"/>
    <w:rsid w:val="00FF7B2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19B98F"/>
  <w15:docId w15:val="{038FB1B2-B3FB-4A05-8448-EA34D7D9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40" w:lineRule="atLeast"/>
    </w:pPr>
    <w:rPr>
      <w:rFonts w:ascii="Arial" w:hAnsi="Arial"/>
      <w:szCs w:val="24"/>
      <w:lang w:eastAsia="en-US"/>
    </w:rPr>
  </w:style>
  <w:style w:type="paragraph" w:styleId="Heading2">
    <w:name w:val="heading 2"/>
    <w:basedOn w:val="Normal"/>
    <w:qFormat/>
    <w:pPr>
      <w:spacing w:before="100" w:beforeAutospacing="1" w:after="100" w:afterAutospacing="1"/>
      <w:outlineLvl w:val="1"/>
    </w:pPr>
    <w:rPr>
      <w:rFonts w:ascii="Arial Unicode MS" w:eastAsia="Arial Unicode MS" w:hAnsi="Arial Unicode MS" w:cs="Arial Unicode MS"/>
      <w:b/>
      <w:bCs/>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pPr>
      <w:pageBreakBefore/>
      <w:spacing w:after="360" w:line="240" w:lineRule="auto"/>
    </w:pPr>
    <w:rPr>
      <w:b/>
      <w:sz w:val="36"/>
      <w:szCs w:val="20"/>
    </w:rPr>
  </w:style>
  <w:style w:type="paragraph" w:customStyle="1" w:styleId="BodyTextBullet">
    <w:name w:val="Body Text Bullet"/>
    <w:basedOn w:val="BodyText"/>
    <w:rsid w:val="0064094A"/>
    <w:pPr>
      <w:numPr>
        <w:numId w:val="1"/>
      </w:numPr>
      <w:suppressAutoHyphens/>
      <w:autoSpaceDE w:val="0"/>
      <w:autoSpaceDN w:val="0"/>
      <w:adjustRightInd w:val="0"/>
      <w:spacing w:before="227" w:after="0" w:line="300" w:lineRule="atLeast"/>
      <w:textAlignment w:val="center"/>
    </w:pPr>
    <w:rPr>
      <w:rFonts w:ascii="Franklin Gothic Book" w:hAnsi="Franklin Gothic Book" w:cs="Franklin Gothic Book"/>
      <w:color w:val="000000"/>
      <w:sz w:val="24"/>
      <w:lang w:eastAsia="en-GB"/>
    </w:rPr>
  </w:style>
  <w:style w:type="paragraph" w:styleId="BodyText">
    <w:name w:val="Body Text"/>
    <w:basedOn w:val="Normal"/>
    <w:rsid w:val="0064094A"/>
  </w:style>
  <w:style w:type="paragraph" w:styleId="Header">
    <w:name w:val="header"/>
    <w:basedOn w:val="Normal"/>
    <w:link w:val="HeaderChar"/>
    <w:uiPriority w:val="99"/>
    <w:rsid w:val="00CC3F8A"/>
    <w:pPr>
      <w:tabs>
        <w:tab w:val="center" w:pos="4153"/>
        <w:tab w:val="right" w:pos="8306"/>
      </w:tabs>
    </w:pPr>
  </w:style>
  <w:style w:type="paragraph" w:styleId="Footer">
    <w:name w:val="footer"/>
    <w:basedOn w:val="Normal"/>
    <w:rsid w:val="00CC3F8A"/>
    <w:pPr>
      <w:tabs>
        <w:tab w:val="center" w:pos="4153"/>
        <w:tab w:val="right" w:pos="8306"/>
      </w:tabs>
    </w:pPr>
  </w:style>
  <w:style w:type="character" w:customStyle="1" w:styleId="HeaderChar">
    <w:name w:val="Header Char"/>
    <w:link w:val="Header"/>
    <w:uiPriority w:val="99"/>
    <w:rsid w:val="00B96A87"/>
    <w:rPr>
      <w:rFonts w:ascii="Arial" w:hAnsi="Arial"/>
      <w:szCs w:val="24"/>
      <w:lang w:eastAsia="en-US"/>
    </w:rPr>
  </w:style>
  <w:style w:type="paragraph" w:styleId="BalloonText">
    <w:name w:val="Balloon Text"/>
    <w:basedOn w:val="Normal"/>
    <w:link w:val="BalloonTextChar"/>
    <w:rsid w:val="00B96A87"/>
    <w:pPr>
      <w:spacing w:after="0" w:line="240" w:lineRule="auto"/>
    </w:pPr>
    <w:rPr>
      <w:rFonts w:ascii="Tahoma" w:hAnsi="Tahoma" w:cs="Tahoma"/>
      <w:sz w:val="16"/>
      <w:szCs w:val="16"/>
    </w:rPr>
  </w:style>
  <w:style w:type="character" w:customStyle="1" w:styleId="BalloonTextChar">
    <w:name w:val="Balloon Text Char"/>
    <w:link w:val="BalloonText"/>
    <w:rsid w:val="00B96A87"/>
    <w:rPr>
      <w:rFonts w:ascii="Tahoma" w:hAnsi="Tahoma" w:cs="Tahoma"/>
      <w:sz w:val="16"/>
      <w:szCs w:val="16"/>
      <w:lang w:eastAsia="en-US"/>
    </w:rPr>
  </w:style>
  <w:style w:type="character" w:styleId="Hyperlink">
    <w:name w:val="Hyperlink"/>
    <w:basedOn w:val="DefaultParagraphFont"/>
    <w:rsid w:val="006C1DDE"/>
    <w:rPr>
      <w:color w:val="0000FF" w:themeColor="hyperlink"/>
      <w:u w:val="single"/>
    </w:rPr>
  </w:style>
  <w:style w:type="character" w:styleId="PageNumber">
    <w:name w:val="page number"/>
    <w:basedOn w:val="DefaultParagraphFont"/>
    <w:rsid w:val="00C47B33"/>
  </w:style>
  <w:style w:type="character" w:styleId="FollowedHyperlink">
    <w:name w:val="FollowedHyperlink"/>
    <w:basedOn w:val="DefaultParagraphFont"/>
    <w:rsid w:val="005F705E"/>
    <w:rPr>
      <w:color w:val="800080" w:themeColor="followedHyperlink"/>
      <w:u w:val="single"/>
    </w:rPr>
  </w:style>
  <w:style w:type="paragraph" w:styleId="NormalWeb">
    <w:name w:val="Normal (Web)"/>
    <w:basedOn w:val="Normal"/>
    <w:uiPriority w:val="99"/>
    <w:unhideWhenUsed/>
    <w:rsid w:val="00952E64"/>
    <w:pPr>
      <w:spacing w:after="0" w:line="240" w:lineRule="auto"/>
    </w:pPr>
    <w:rPr>
      <w:rFonts w:ascii="Times New Roman" w:eastAsiaTheme="minorHAnsi" w:hAnsi="Times New Roman"/>
      <w:sz w:val="24"/>
      <w:lang w:eastAsia="en-GB"/>
    </w:rPr>
  </w:style>
  <w:style w:type="table" w:styleId="TableGrid">
    <w:name w:val="Table Grid"/>
    <w:basedOn w:val="TableNormal"/>
    <w:rsid w:val="002F1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4869"/>
    <w:pPr>
      <w:ind w:left="720"/>
      <w:contextualSpacing/>
    </w:pPr>
  </w:style>
  <w:style w:type="paragraph" w:styleId="HTMLPreformatted">
    <w:name w:val="HTML Preformatted"/>
    <w:basedOn w:val="Normal"/>
    <w:link w:val="HTMLPreformattedChar"/>
    <w:uiPriority w:val="99"/>
    <w:semiHidden/>
    <w:unhideWhenUsed/>
    <w:rsid w:val="008B75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8B7569"/>
    <w:rPr>
      <w:rFonts w:ascii="Courier New" w:hAnsi="Courier New" w:cs="Courier New"/>
    </w:rPr>
  </w:style>
  <w:style w:type="character" w:styleId="Emphasis">
    <w:name w:val="Emphasis"/>
    <w:basedOn w:val="DefaultParagraphFont"/>
    <w:uiPriority w:val="20"/>
    <w:qFormat/>
    <w:rsid w:val="008E2E44"/>
    <w:rPr>
      <w:i/>
      <w:iCs/>
    </w:rPr>
  </w:style>
  <w:style w:type="character" w:customStyle="1" w:styleId="label">
    <w:name w:val="label"/>
    <w:basedOn w:val="DefaultParagraphFont"/>
    <w:rsid w:val="008E2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159213">
      <w:bodyDiv w:val="1"/>
      <w:marLeft w:val="0"/>
      <w:marRight w:val="0"/>
      <w:marTop w:val="0"/>
      <w:marBottom w:val="0"/>
      <w:divBdr>
        <w:top w:val="none" w:sz="0" w:space="0" w:color="auto"/>
        <w:left w:val="none" w:sz="0" w:space="0" w:color="auto"/>
        <w:bottom w:val="none" w:sz="0" w:space="0" w:color="auto"/>
        <w:right w:val="none" w:sz="0" w:space="0" w:color="auto"/>
      </w:divBdr>
      <w:divsChild>
        <w:div w:id="1705866679">
          <w:marLeft w:val="0"/>
          <w:marRight w:val="0"/>
          <w:marTop w:val="240"/>
          <w:marBottom w:val="240"/>
          <w:divBdr>
            <w:top w:val="single" w:sz="12" w:space="0" w:color="EBEBEB"/>
            <w:left w:val="none" w:sz="0" w:space="0" w:color="auto"/>
            <w:bottom w:val="single" w:sz="12" w:space="0" w:color="EBEBEB"/>
            <w:right w:val="none" w:sz="0" w:space="0" w:color="auto"/>
          </w:divBdr>
          <w:divsChild>
            <w:div w:id="1036463627">
              <w:marLeft w:val="360"/>
              <w:marRight w:val="360"/>
              <w:marTop w:val="240"/>
              <w:marBottom w:val="300"/>
              <w:divBdr>
                <w:top w:val="none" w:sz="0" w:space="0" w:color="auto"/>
                <w:left w:val="none" w:sz="0" w:space="0" w:color="auto"/>
                <w:bottom w:val="none" w:sz="0" w:space="0" w:color="auto"/>
                <w:right w:val="none" w:sz="0" w:space="0" w:color="auto"/>
              </w:divBdr>
            </w:div>
            <w:div w:id="178337631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91091551">
      <w:bodyDiv w:val="1"/>
      <w:marLeft w:val="0"/>
      <w:marRight w:val="0"/>
      <w:marTop w:val="0"/>
      <w:marBottom w:val="0"/>
      <w:divBdr>
        <w:top w:val="none" w:sz="0" w:space="0" w:color="auto"/>
        <w:left w:val="none" w:sz="0" w:space="0" w:color="auto"/>
        <w:bottom w:val="none" w:sz="0" w:space="0" w:color="auto"/>
        <w:right w:val="none" w:sz="0" w:space="0" w:color="auto"/>
      </w:divBdr>
    </w:div>
    <w:div w:id="1746997823">
      <w:bodyDiv w:val="1"/>
      <w:marLeft w:val="0"/>
      <w:marRight w:val="0"/>
      <w:marTop w:val="0"/>
      <w:marBottom w:val="0"/>
      <w:divBdr>
        <w:top w:val="none" w:sz="0" w:space="0" w:color="auto"/>
        <w:left w:val="none" w:sz="0" w:space="0" w:color="auto"/>
        <w:bottom w:val="none" w:sz="0" w:space="0" w:color="auto"/>
        <w:right w:val="none" w:sz="0" w:space="0" w:color="auto"/>
      </w:divBdr>
    </w:div>
    <w:div w:id="182812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A9561-FC2B-4B9A-9CDE-DEFE812DC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2109</Words>
  <Characters>12026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TSO</Company>
  <LinksUpToDate>false</LinksUpToDate>
  <CharactersWithSpaces>14107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Donnelly, Gary</dc:creator>
  <cp:lastModifiedBy>McKenzie, Paul</cp:lastModifiedBy>
  <cp:revision>5</cp:revision>
  <cp:lastPrinted>2013-10-10T13:33:00Z</cp:lastPrinted>
  <dcterms:created xsi:type="dcterms:W3CDTF">2018-05-15T20:04:00Z</dcterms:created>
  <dcterms:modified xsi:type="dcterms:W3CDTF">2018-05-23T10:26:00Z</dcterms:modified>
</cp:coreProperties>
</file>