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7B4" w:rsidRPr="008D0124" w:rsidRDefault="00E037B4" w:rsidP="006A0590">
      <w:pPr>
        <w:spacing w:before="0" w:line="360" w:lineRule="auto"/>
        <w:rPr>
          <w:rFonts w:ascii="Times New Roman" w:eastAsia="Times New Roman" w:hAnsi="Times New Roman" w:cs="Times New Roman"/>
          <w:lang w:val="en-US" w:eastAsia="en-GB"/>
        </w:rPr>
      </w:pPr>
      <w:bookmarkStart w:id="0" w:name="_GoBack"/>
      <w:r>
        <w:rPr>
          <w:rFonts w:eastAsia="Times New Roman"/>
          <w:b/>
          <w:bCs/>
          <w:color w:val="000000"/>
          <w:sz w:val="28"/>
          <w:szCs w:val="28"/>
          <w:lang w:val="en-US" w:eastAsia="en-GB"/>
        </w:rPr>
        <w:t>Quality of life in men living with advanced and localised prostate cancer</w:t>
      </w:r>
      <w:bookmarkEnd w:id="0"/>
      <w:r>
        <w:rPr>
          <w:rFonts w:eastAsia="Times New Roman"/>
          <w:b/>
          <w:bCs/>
          <w:color w:val="000000"/>
          <w:sz w:val="28"/>
          <w:szCs w:val="28"/>
          <w:lang w:val="en-US" w:eastAsia="en-GB"/>
        </w:rPr>
        <w:t>:</w:t>
      </w:r>
      <w:r w:rsidRPr="008D0124">
        <w:rPr>
          <w:rFonts w:eastAsia="Times New Roman"/>
          <w:b/>
          <w:bCs/>
          <w:color w:val="000000"/>
          <w:sz w:val="28"/>
          <w:szCs w:val="28"/>
          <w:lang w:val="en-US" w:eastAsia="en-GB"/>
        </w:rPr>
        <w:t xml:space="preserve"> A </w:t>
      </w:r>
      <w:r>
        <w:rPr>
          <w:rFonts w:eastAsia="Times New Roman"/>
          <w:b/>
          <w:bCs/>
          <w:color w:val="000000"/>
          <w:sz w:val="28"/>
          <w:szCs w:val="28"/>
          <w:lang w:val="en-US" w:eastAsia="en-GB"/>
        </w:rPr>
        <w:t xml:space="preserve">United Kingdom </w:t>
      </w:r>
      <w:r w:rsidRPr="008D0124">
        <w:rPr>
          <w:rFonts w:eastAsia="Times New Roman"/>
          <w:b/>
          <w:bCs/>
          <w:color w:val="000000"/>
          <w:sz w:val="28"/>
          <w:szCs w:val="28"/>
          <w:lang w:val="en-US" w:eastAsia="en-GB"/>
        </w:rPr>
        <w:t>population-wide patient-reported outcome study</w:t>
      </w:r>
      <w:r>
        <w:rPr>
          <w:rFonts w:eastAsia="Times New Roman"/>
          <w:b/>
          <w:bCs/>
          <w:color w:val="000000"/>
          <w:sz w:val="28"/>
          <w:szCs w:val="28"/>
          <w:lang w:val="en-US" w:eastAsia="en-GB"/>
        </w:rPr>
        <w:t xml:space="preserve"> of 30,000 men</w:t>
      </w:r>
    </w:p>
    <w:p w:rsidR="00E037B4" w:rsidRPr="008D0124" w:rsidRDefault="00E037B4" w:rsidP="006A0590">
      <w:pPr>
        <w:spacing w:before="0" w:line="360" w:lineRule="auto"/>
        <w:rPr>
          <w:rFonts w:ascii="Times New Roman" w:eastAsia="Times New Roman" w:hAnsi="Times New Roman" w:cs="Times New Roman"/>
          <w:lang w:val="en-US" w:eastAsia="en-GB"/>
        </w:rPr>
      </w:pPr>
    </w:p>
    <w:p w:rsidR="00E037B4" w:rsidRPr="008D0124" w:rsidRDefault="00E037B4" w:rsidP="006A0590">
      <w:pPr>
        <w:spacing w:before="0" w:line="360" w:lineRule="auto"/>
        <w:outlineLvl w:val="0"/>
        <w:rPr>
          <w:rFonts w:ascii="Times New Roman" w:eastAsia="Times New Roman" w:hAnsi="Times New Roman" w:cs="Times New Roman"/>
          <w:lang w:val="en-US" w:eastAsia="en-GB"/>
        </w:rPr>
      </w:pPr>
      <w:r w:rsidRPr="008D0124">
        <w:rPr>
          <w:rFonts w:eastAsia="Times New Roman"/>
          <w:b/>
          <w:bCs/>
          <w:color w:val="000000"/>
          <w:sz w:val="22"/>
          <w:szCs w:val="22"/>
          <w:lang w:val="en-US" w:eastAsia="en-GB"/>
        </w:rPr>
        <w:t xml:space="preserve">Authors: </w:t>
      </w:r>
    </w:p>
    <w:p w:rsidR="00E037B4" w:rsidRDefault="00E037B4" w:rsidP="006A0590">
      <w:pPr>
        <w:spacing w:before="0" w:line="360" w:lineRule="auto"/>
        <w:outlineLvl w:val="0"/>
        <w:rPr>
          <w:rFonts w:eastAsia="Times New Roman"/>
          <w:bCs/>
          <w:color w:val="000000"/>
          <w:sz w:val="22"/>
          <w:szCs w:val="22"/>
          <w:lang w:val="en-US" w:eastAsia="en-GB"/>
        </w:rPr>
      </w:pPr>
      <w:r>
        <w:rPr>
          <w:rFonts w:eastAsia="Times New Roman"/>
          <w:bCs/>
          <w:color w:val="000000"/>
          <w:sz w:val="22"/>
          <w:szCs w:val="22"/>
          <w:lang w:val="en-US" w:eastAsia="en-GB"/>
        </w:rPr>
        <w:t>Amy Downing, Penny Wright, Luke Hounsome, Peter Selby, Sarah Wilding, Eila Watson, Richard Wagland, Paul Kind, David W Donnelly, Hugh Butcher, James WF Catto, William Cross, Malcolm Mason, Linda Sharp, David Weller, Galina Velikova, Eilis McCaughan, Rebecca Mottram, Majorie Allen, Therese Kearney, Oonagh McSorley, Dyfed W Huws, David H Brewster, Emma McNair, Anna Gavin*, Adam W Glaser* *Joint senior authors.</w:t>
      </w:r>
    </w:p>
    <w:p w:rsidR="00E037B4" w:rsidRDefault="00E037B4" w:rsidP="006A0590">
      <w:pPr>
        <w:spacing w:before="0" w:line="360" w:lineRule="auto"/>
        <w:outlineLvl w:val="0"/>
        <w:rPr>
          <w:rFonts w:eastAsia="Times New Roman"/>
          <w:bCs/>
          <w:color w:val="000000"/>
          <w:sz w:val="22"/>
          <w:szCs w:val="22"/>
          <w:lang w:val="en-US" w:eastAsia="en-GB"/>
        </w:rPr>
      </w:pPr>
    </w:p>
    <w:p w:rsidR="00E037B4" w:rsidRPr="008D0124" w:rsidRDefault="00E037B4" w:rsidP="00615636">
      <w:pPr>
        <w:spacing w:before="0" w:after="120" w:line="360" w:lineRule="auto"/>
        <w:jc w:val="both"/>
        <w:textAlignment w:val="baseline"/>
        <w:rPr>
          <w:rFonts w:eastAsia="Times New Roman"/>
          <w:color w:val="000000"/>
          <w:sz w:val="22"/>
          <w:szCs w:val="22"/>
          <w:lang w:val="en-US" w:eastAsia="en-GB"/>
        </w:rPr>
      </w:pPr>
      <w:r w:rsidRPr="00F15E98">
        <w:rPr>
          <w:rFonts w:eastAsia="Times New Roman"/>
          <w:color w:val="000000"/>
          <w:sz w:val="22"/>
          <w:szCs w:val="22"/>
          <w:lang w:eastAsia="en-GB"/>
        </w:rPr>
        <w:t>Leeds Institute of Medical Research at St James's</w:t>
      </w:r>
      <w:r w:rsidRPr="008D0124">
        <w:rPr>
          <w:rFonts w:eastAsia="Times New Roman"/>
          <w:color w:val="000000"/>
          <w:sz w:val="22"/>
          <w:szCs w:val="22"/>
          <w:lang w:val="en-US" w:eastAsia="en-GB"/>
        </w:rPr>
        <w:t>, University of Leeds, Leeds, UK</w:t>
      </w:r>
      <w:r>
        <w:rPr>
          <w:rFonts w:eastAsia="Times New Roman"/>
          <w:color w:val="000000"/>
          <w:sz w:val="22"/>
          <w:szCs w:val="22"/>
          <w:lang w:val="en-US" w:eastAsia="en-GB"/>
        </w:rPr>
        <w:t xml:space="preserve"> (A Downing PhD, P Wright PhD, Prof P Selby DSc, S Wilding PhD, H Butcher MSc, Prof G Velikova PhD, R Mottram BHSc, M Allen MSc, Prof A W Glaser DM);</w:t>
      </w:r>
    </w:p>
    <w:p w:rsidR="00E037B4" w:rsidRPr="008D0124" w:rsidRDefault="00E037B4" w:rsidP="00615636">
      <w:pPr>
        <w:spacing w:before="0" w:after="120" w:line="360" w:lineRule="auto"/>
        <w:jc w:val="both"/>
        <w:textAlignment w:val="baseline"/>
        <w:rPr>
          <w:rFonts w:eastAsia="Times New Roman"/>
          <w:color w:val="000000"/>
          <w:sz w:val="22"/>
          <w:szCs w:val="22"/>
          <w:lang w:val="en-US" w:eastAsia="en-GB"/>
        </w:rPr>
      </w:pPr>
      <w:r w:rsidRPr="008D0124">
        <w:rPr>
          <w:rFonts w:eastAsia="Times New Roman"/>
          <w:color w:val="000000"/>
          <w:sz w:val="22"/>
          <w:szCs w:val="22"/>
          <w:lang w:val="en-US" w:eastAsia="en-GB"/>
        </w:rPr>
        <w:t>Leeds Institute of Data Analytics, University of Leeds, Leeds, UK</w:t>
      </w:r>
      <w:r>
        <w:rPr>
          <w:rFonts w:eastAsia="Times New Roman"/>
          <w:color w:val="000000"/>
          <w:sz w:val="22"/>
          <w:szCs w:val="22"/>
          <w:lang w:val="en-US" w:eastAsia="en-GB"/>
        </w:rPr>
        <w:t xml:space="preserve"> (A Downing PhD, S Wilding PhD, R Mottram BHSc, M Allen MSc, Prof A W Glaser DM);</w:t>
      </w:r>
    </w:p>
    <w:p w:rsidR="00E037B4" w:rsidRPr="008D0124" w:rsidRDefault="00E037B4" w:rsidP="00615636">
      <w:pPr>
        <w:spacing w:before="0" w:after="120" w:line="360" w:lineRule="auto"/>
        <w:textAlignment w:val="baseline"/>
        <w:rPr>
          <w:rFonts w:eastAsia="Times New Roman"/>
          <w:color w:val="000000"/>
          <w:sz w:val="22"/>
          <w:szCs w:val="22"/>
          <w:lang w:val="en-US" w:eastAsia="en-GB"/>
        </w:rPr>
      </w:pPr>
      <w:r w:rsidRPr="008D0124">
        <w:rPr>
          <w:rFonts w:eastAsia="Times New Roman"/>
          <w:color w:val="000000"/>
          <w:sz w:val="22"/>
          <w:szCs w:val="22"/>
          <w:lang w:val="en-US" w:eastAsia="en-GB"/>
        </w:rPr>
        <w:t>National Cancer Registration and Analysis Service, Public Health England, Bristol, UK</w:t>
      </w:r>
      <w:r>
        <w:rPr>
          <w:rFonts w:eastAsia="Times New Roman"/>
          <w:color w:val="000000"/>
          <w:sz w:val="22"/>
          <w:szCs w:val="22"/>
          <w:lang w:val="en-US" w:eastAsia="en-GB"/>
        </w:rPr>
        <w:t xml:space="preserve"> (L Hounsome PhD);</w:t>
      </w:r>
    </w:p>
    <w:p w:rsidR="00E037B4" w:rsidRPr="008D0124" w:rsidRDefault="00E037B4" w:rsidP="00615636">
      <w:pPr>
        <w:spacing w:before="0" w:after="120" w:line="360" w:lineRule="auto"/>
        <w:textAlignment w:val="baseline"/>
        <w:rPr>
          <w:rFonts w:eastAsia="Times New Roman"/>
          <w:color w:val="000000"/>
          <w:sz w:val="22"/>
          <w:szCs w:val="22"/>
          <w:lang w:val="en-US" w:eastAsia="en-GB"/>
        </w:rPr>
      </w:pPr>
      <w:r w:rsidRPr="008D0124">
        <w:rPr>
          <w:rFonts w:eastAsia="Times New Roman"/>
          <w:color w:val="000000"/>
          <w:sz w:val="22"/>
          <w:szCs w:val="22"/>
          <w:lang w:val="en-US" w:eastAsia="en-GB"/>
        </w:rPr>
        <w:t>Leeds Teaching Hospitals NHS Trust, Leeds, UK</w:t>
      </w:r>
      <w:r>
        <w:rPr>
          <w:rFonts w:eastAsia="Times New Roman"/>
          <w:color w:val="000000"/>
          <w:sz w:val="22"/>
          <w:szCs w:val="22"/>
          <w:lang w:val="en-US" w:eastAsia="en-GB"/>
        </w:rPr>
        <w:t xml:space="preserve"> (Prof P Selby DSc, W Cross PhD, Prof A W Glaser DM);</w:t>
      </w:r>
    </w:p>
    <w:p w:rsidR="00E037B4" w:rsidRPr="008D0124" w:rsidRDefault="00E037B4" w:rsidP="00615636">
      <w:pPr>
        <w:spacing w:before="0" w:after="120" w:line="360" w:lineRule="auto"/>
        <w:jc w:val="both"/>
        <w:textAlignment w:val="baseline"/>
        <w:rPr>
          <w:rFonts w:eastAsia="Times New Roman"/>
          <w:color w:val="000000"/>
          <w:sz w:val="22"/>
          <w:szCs w:val="22"/>
          <w:lang w:val="en-US" w:eastAsia="en-GB"/>
        </w:rPr>
      </w:pPr>
      <w:r w:rsidRPr="008D0124">
        <w:rPr>
          <w:rFonts w:eastAsia="Times New Roman"/>
          <w:color w:val="000000"/>
          <w:sz w:val="22"/>
          <w:szCs w:val="22"/>
          <w:lang w:val="en-US" w:eastAsia="en-GB"/>
        </w:rPr>
        <w:t xml:space="preserve">Department of Midwifery, Community and Public Health, </w:t>
      </w:r>
      <w:r>
        <w:rPr>
          <w:rFonts w:eastAsia="Times New Roman"/>
          <w:color w:val="000000"/>
          <w:sz w:val="22"/>
          <w:szCs w:val="22"/>
          <w:lang w:val="en-US" w:eastAsia="en-GB"/>
        </w:rPr>
        <w:t xml:space="preserve">School of Nursing and Midwifery, </w:t>
      </w:r>
      <w:r w:rsidRPr="008D0124">
        <w:rPr>
          <w:rFonts w:eastAsia="Times New Roman"/>
          <w:color w:val="000000"/>
          <w:sz w:val="22"/>
          <w:szCs w:val="22"/>
          <w:lang w:val="en-US" w:eastAsia="en-GB"/>
        </w:rPr>
        <w:t>Oxford Brookes University, Oxford, UK</w:t>
      </w:r>
      <w:r>
        <w:rPr>
          <w:rFonts w:eastAsia="Times New Roman"/>
          <w:color w:val="000000"/>
          <w:sz w:val="22"/>
          <w:szCs w:val="22"/>
          <w:lang w:val="en-US" w:eastAsia="en-GB"/>
        </w:rPr>
        <w:t xml:space="preserve"> (Prof E Watson PhD);</w:t>
      </w:r>
    </w:p>
    <w:p w:rsidR="00E037B4" w:rsidRPr="008D0124" w:rsidRDefault="00E037B4" w:rsidP="00615636">
      <w:pPr>
        <w:spacing w:before="0" w:after="120" w:line="360" w:lineRule="auto"/>
        <w:jc w:val="both"/>
        <w:textAlignment w:val="baseline"/>
        <w:rPr>
          <w:rFonts w:eastAsia="Times New Roman"/>
          <w:color w:val="000000"/>
          <w:sz w:val="22"/>
          <w:szCs w:val="22"/>
          <w:lang w:val="en-US" w:eastAsia="en-GB"/>
        </w:rPr>
      </w:pPr>
      <w:r w:rsidRPr="008D0124">
        <w:rPr>
          <w:rFonts w:eastAsia="Times New Roman"/>
          <w:color w:val="000000"/>
          <w:sz w:val="22"/>
          <w:szCs w:val="22"/>
          <w:lang w:val="en-US" w:eastAsia="en-GB"/>
        </w:rPr>
        <w:t>Faculty of Health Sciences, University of Southampton, Southampton, UK</w:t>
      </w:r>
      <w:r>
        <w:rPr>
          <w:rFonts w:eastAsia="Times New Roman"/>
          <w:color w:val="000000"/>
          <w:sz w:val="22"/>
          <w:szCs w:val="22"/>
          <w:lang w:val="en-US" w:eastAsia="en-GB"/>
        </w:rPr>
        <w:t xml:space="preserve"> (R Wagland PhD);</w:t>
      </w:r>
    </w:p>
    <w:p w:rsidR="00E037B4" w:rsidRPr="008D0124" w:rsidRDefault="00E037B4" w:rsidP="00615636">
      <w:pPr>
        <w:spacing w:before="0" w:after="120" w:line="360" w:lineRule="auto"/>
        <w:jc w:val="both"/>
        <w:textAlignment w:val="baseline"/>
        <w:rPr>
          <w:rFonts w:eastAsia="Times New Roman"/>
          <w:color w:val="000000"/>
          <w:sz w:val="22"/>
          <w:szCs w:val="22"/>
          <w:lang w:val="en-US" w:eastAsia="en-GB"/>
        </w:rPr>
      </w:pPr>
      <w:r w:rsidRPr="008D0124">
        <w:rPr>
          <w:rFonts w:eastAsia="Times New Roman"/>
          <w:color w:val="000000"/>
          <w:sz w:val="22"/>
          <w:szCs w:val="22"/>
          <w:lang w:val="en-US" w:eastAsia="en-GB"/>
        </w:rPr>
        <w:t>Academic Unit of Health Economics, University of Leeds, Leeds, UK</w:t>
      </w:r>
      <w:r>
        <w:rPr>
          <w:rFonts w:eastAsia="Times New Roman"/>
          <w:color w:val="000000"/>
          <w:sz w:val="22"/>
          <w:szCs w:val="22"/>
          <w:lang w:val="en-US" w:eastAsia="en-GB"/>
        </w:rPr>
        <w:t xml:space="preserve"> (Prof P Kind MPhil);</w:t>
      </w:r>
    </w:p>
    <w:p w:rsidR="00E037B4" w:rsidRDefault="00E037B4" w:rsidP="00615636">
      <w:pPr>
        <w:spacing w:before="0" w:after="120" w:line="360" w:lineRule="auto"/>
        <w:jc w:val="both"/>
        <w:textAlignment w:val="baseline"/>
        <w:rPr>
          <w:rFonts w:eastAsia="Times New Roman"/>
          <w:color w:val="000000"/>
          <w:sz w:val="22"/>
          <w:szCs w:val="22"/>
          <w:lang w:val="en-US" w:eastAsia="en-GB"/>
        </w:rPr>
      </w:pPr>
      <w:r w:rsidRPr="008D0124">
        <w:rPr>
          <w:rFonts w:eastAsia="Times New Roman"/>
          <w:color w:val="000000"/>
          <w:sz w:val="22"/>
          <w:szCs w:val="22"/>
          <w:lang w:val="en-US" w:eastAsia="en-GB"/>
        </w:rPr>
        <w:t>Northern Ireland Cancer Registry, Queen</w:t>
      </w:r>
      <w:r>
        <w:rPr>
          <w:rFonts w:eastAsia="Times New Roman"/>
          <w:color w:val="000000"/>
          <w:sz w:val="22"/>
          <w:szCs w:val="22"/>
          <w:lang w:val="en-US" w:eastAsia="en-GB"/>
        </w:rPr>
        <w:t>’</w:t>
      </w:r>
      <w:r w:rsidRPr="008D0124">
        <w:rPr>
          <w:rFonts w:eastAsia="Times New Roman"/>
          <w:color w:val="000000"/>
          <w:sz w:val="22"/>
          <w:szCs w:val="22"/>
          <w:lang w:val="en-US" w:eastAsia="en-GB"/>
        </w:rPr>
        <w:t>s University Belfast, Belfast, UK</w:t>
      </w:r>
      <w:r>
        <w:rPr>
          <w:rFonts w:eastAsia="Times New Roman"/>
          <w:color w:val="000000"/>
          <w:sz w:val="22"/>
          <w:szCs w:val="22"/>
          <w:lang w:val="en-US" w:eastAsia="en-GB"/>
        </w:rPr>
        <w:t xml:space="preserve"> (D W Donnelly PhD, T Kearney PhD, A Gavin </w:t>
      </w:r>
      <w:r w:rsidRPr="008E372B">
        <w:rPr>
          <w:rStyle w:val="Emphasis"/>
          <w:i w:val="0"/>
          <w:sz w:val="22"/>
        </w:rPr>
        <w:t>MB BCh BAO</w:t>
      </w:r>
      <w:r>
        <w:rPr>
          <w:rFonts w:eastAsia="Times New Roman"/>
          <w:color w:val="000000"/>
          <w:sz w:val="22"/>
          <w:szCs w:val="22"/>
          <w:lang w:val="en-US" w:eastAsia="en-GB"/>
        </w:rPr>
        <w:t>);</w:t>
      </w:r>
    </w:p>
    <w:p w:rsidR="00E037B4" w:rsidRPr="008D0124" w:rsidRDefault="00E037B4" w:rsidP="00615636">
      <w:pPr>
        <w:spacing w:before="0" w:after="120" w:line="360" w:lineRule="auto"/>
        <w:jc w:val="both"/>
        <w:textAlignment w:val="baseline"/>
        <w:rPr>
          <w:rFonts w:eastAsia="Times New Roman"/>
          <w:color w:val="000000"/>
          <w:sz w:val="22"/>
          <w:szCs w:val="22"/>
          <w:lang w:val="en-US" w:eastAsia="en-GB"/>
        </w:rPr>
      </w:pPr>
      <w:r>
        <w:rPr>
          <w:rFonts w:eastAsia="Times New Roman"/>
          <w:color w:val="000000"/>
          <w:sz w:val="22"/>
          <w:szCs w:val="22"/>
          <w:lang w:val="en-US" w:eastAsia="en-GB"/>
        </w:rPr>
        <w:t>School of Nursing and Midwifery, Queen’s University Belfast, UK (O McSorley PhD);</w:t>
      </w:r>
    </w:p>
    <w:p w:rsidR="00E037B4" w:rsidRPr="008D0124" w:rsidRDefault="00E037B4" w:rsidP="00615636">
      <w:pPr>
        <w:spacing w:before="0" w:after="120" w:line="360" w:lineRule="auto"/>
        <w:jc w:val="both"/>
        <w:textAlignment w:val="baseline"/>
        <w:rPr>
          <w:rFonts w:eastAsia="Times New Roman"/>
          <w:color w:val="000000"/>
          <w:sz w:val="22"/>
          <w:szCs w:val="22"/>
          <w:lang w:val="en-US" w:eastAsia="en-GB"/>
        </w:rPr>
      </w:pPr>
      <w:r w:rsidRPr="008D0124">
        <w:rPr>
          <w:rFonts w:eastAsia="Times New Roman"/>
          <w:color w:val="000000"/>
          <w:sz w:val="22"/>
          <w:szCs w:val="22"/>
          <w:lang w:val="en-US" w:eastAsia="en-GB"/>
        </w:rPr>
        <w:t>Academic Urology Unit, University of Sheffield, Sheffield, UK</w:t>
      </w:r>
      <w:r>
        <w:rPr>
          <w:rFonts w:eastAsia="Times New Roman"/>
          <w:color w:val="000000"/>
          <w:sz w:val="22"/>
          <w:szCs w:val="22"/>
          <w:lang w:val="en-US" w:eastAsia="en-GB"/>
        </w:rPr>
        <w:t xml:space="preserve"> (J W F Catto PhD);</w:t>
      </w:r>
    </w:p>
    <w:p w:rsidR="00E037B4" w:rsidRPr="008D0124" w:rsidRDefault="00E037B4" w:rsidP="00615636">
      <w:pPr>
        <w:spacing w:before="0" w:after="120" w:line="360" w:lineRule="auto"/>
        <w:textAlignment w:val="baseline"/>
        <w:rPr>
          <w:rFonts w:eastAsia="Times New Roman"/>
          <w:color w:val="000000"/>
          <w:sz w:val="22"/>
          <w:szCs w:val="22"/>
          <w:lang w:val="en-US" w:eastAsia="en-GB"/>
        </w:rPr>
      </w:pPr>
      <w:r w:rsidRPr="008D0124">
        <w:rPr>
          <w:rFonts w:eastAsia="Times New Roman"/>
          <w:color w:val="000000"/>
          <w:sz w:val="22"/>
          <w:szCs w:val="22"/>
          <w:lang w:val="en-US" w:eastAsia="en-GB"/>
        </w:rPr>
        <w:t>Division of Cancer and Genetics, School of Medicine, Cardiff University, Cardiff, UK</w:t>
      </w:r>
      <w:r>
        <w:rPr>
          <w:rFonts w:eastAsia="Times New Roman"/>
          <w:color w:val="000000"/>
          <w:sz w:val="22"/>
          <w:szCs w:val="22"/>
          <w:lang w:val="en-US" w:eastAsia="en-GB"/>
        </w:rPr>
        <w:t xml:space="preserve"> (Prof M Mason MD);</w:t>
      </w:r>
    </w:p>
    <w:p w:rsidR="00E037B4" w:rsidRPr="008D0124" w:rsidRDefault="00E037B4" w:rsidP="00615636">
      <w:pPr>
        <w:spacing w:before="0" w:after="120" w:line="360" w:lineRule="auto"/>
        <w:textAlignment w:val="baseline"/>
        <w:rPr>
          <w:rFonts w:eastAsia="Times New Roman"/>
          <w:color w:val="000000"/>
          <w:sz w:val="22"/>
          <w:szCs w:val="22"/>
          <w:lang w:val="en-US" w:eastAsia="en-GB"/>
        </w:rPr>
      </w:pPr>
      <w:r w:rsidRPr="008D0124">
        <w:rPr>
          <w:rFonts w:eastAsia="Times New Roman"/>
          <w:color w:val="000000"/>
          <w:sz w:val="22"/>
          <w:szCs w:val="22"/>
          <w:lang w:val="en-US" w:eastAsia="en-GB"/>
        </w:rPr>
        <w:t xml:space="preserve">Institute </w:t>
      </w:r>
      <w:r>
        <w:rPr>
          <w:rFonts w:eastAsia="Times New Roman"/>
          <w:color w:val="000000"/>
          <w:sz w:val="22"/>
          <w:szCs w:val="22"/>
          <w:lang w:val="en-US" w:eastAsia="en-GB"/>
        </w:rPr>
        <w:t>for</w:t>
      </w:r>
      <w:r w:rsidRPr="008D0124">
        <w:rPr>
          <w:rFonts w:eastAsia="Times New Roman"/>
          <w:color w:val="000000"/>
          <w:sz w:val="22"/>
          <w:szCs w:val="22"/>
          <w:lang w:val="en-US" w:eastAsia="en-GB"/>
        </w:rPr>
        <w:t xml:space="preserve"> Health &amp; Society, Newcastle University, Newcastle upon Tyne, UK</w:t>
      </w:r>
      <w:r>
        <w:rPr>
          <w:rFonts w:eastAsia="Times New Roman"/>
          <w:color w:val="000000"/>
          <w:sz w:val="22"/>
          <w:szCs w:val="22"/>
          <w:lang w:val="en-US" w:eastAsia="en-GB"/>
        </w:rPr>
        <w:t xml:space="preserve"> (Prof L Sharp PhD);</w:t>
      </w:r>
    </w:p>
    <w:p w:rsidR="00E037B4" w:rsidRPr="008D0124" w:rsidRDefault="00E037B4" w:rsidP="00615636">
      <w:pPr>
        <w:spacing w:before="0" w:after="120" w:line="360" w:lineRule="auto"/>
        <w:textAlignment w:val="baseline"/>
        <w:rPr>
          <w:rFonts w:eastAsia="Times New Roman"/>
          <w:color w:val="000000"/>
          <w:sz w:val="22"/>
          <w:szCs w:val="22"/>
          <w:lang w:val="en-US" w:eastAsia="en-GB"/>
        </w:rPr>
      </w:pPr>
      <w:r>
        <w:rPr>
          <w:rFonts w:eastAsia="Times New Roman"/>
          <w:color w:val="000000"/>
          <w:sz w:val="22"/>
          <w:szCs w:val="22"/>
          <w:lang w:val="en-US" w:eastAsia="en-GB"/>
        </w:rPr>
        <w:lastRenderedPageBreak/>
        <w:t xml:space="preserve">Usher Institute of </w:t>
      </w:r>
      <w:r w:rsidRPr="008D0124">
        <w:rPr>
          <w:rFonts w:eastAsia="Times New Roman"/>
          <w:color w:val="000000"/>
          <w:sz w:val="22"/>
          <w:szCs w:val="22"/>
          <w:lang w:val="en-US" w:eastAsia="en-GB"/>
        </w:rPr>
        <w:t>Population Health Sciences</w:t>
      </w:r>
      <w:r>
        <w:rPr>
          <w:rFonts w:eastAsia="Times New Roman"/>
          <w:color w:val="000000"/>
          <w:sz w:val="22"/>
          <w:szCs w:val="22"/>
          <w:lang w:val="en-US" w:eastAsia="en-GB"/>
        </w:rPr>
        <w:t xml:space="preserve"> and Informatics</w:t>
      </w:r>
      <w:r w:rsidRPr="008D0124">
        <w:rPr>
          <w:rFonts w:eastAsia="Times New Roman"/>
          <w:color w:val="000000"/>
          <w:sz w:val="22"/>
          <w:szCs w:val="22"/>
          <w:lang w:val="en-US" w:eastAsia="en-GB"/>
        </w:rPr>
        <w:t>, University of Edinburgh, Edinburgh, UK</w:t>
      </w:r>
      <w:r>
        <w:rPr>
          <w:rFonts w:eastAsia="Times New Roman"/>
          <w:color w:val="000000"/>
          <w:sz w:val="22"/>
          <w:szCs w:val="22"/>
          <w:lang w:val="en-US" w:eastAsia="en-GB"/>
        </w:rPr>
        <w:t xml:space="preserve"> (Prof D Weller PhD);</w:t>
      </w:r>
    </w:p>
    <w:p w:rsidR="00E037B4" w:rsidRPr="008D0124" w:rsidRDefault="00E037B4" w:rsidP="00615636">
      <w:pPr>
        <w:spacing w:before="0" w:after="120" w:line="360" w:lineRule="auto"/>
        <w:jc w:val="both"/>
        <w:textAlignment w:val="baseline"/>
        <w:rPr>
          <w:rFonts w:eastAsia="Times New Roman"/>
          <w:color w:val="000000"/>
          <w:sz w:val="22"/>
          <w:szCs w:val="22"/>
          <w:lang w:val="en-US" w:eastAsia="en-GB"/>
        </w:rPr>
      </w:pPr>
      <w:r>
        <w:rPr>
          <w:rFonts w:eastAsia="Times New Roman"/>
          <w:color w:val="000000"/>
          <w:sz w:val="22"/>
          <w:szCs w:val="22"/>
          <w:lang w:val="en-US" w:eastAsia="en-GB"/>
        </w:rPr>
        <w:t>Institute of Nursing and Health Research, Ulster University, Coleraine, UK (Prof E McC</w:t>
      </w:r>
      <w:r w:rsidRPr="00231021">
        <w:rPr>
          <w:rFonts w:eastAsia="Times New Roman"/>
          <w:color w:val="000000"/>
          <w:sz w:val="22"/>
          <w:szCs w:val="22"/>
          <w:lang w:val="en-US" w:eastAsia="en-GB"/>
        </w:rPr>
        <w:t>aughan</w:t>
      </w:r>
      <w:r>
        <w:rPr>
          <w:rFonts w:eastAsia="Times New Roman"/>
          <w:color w:val="000000"/>
          <w:sz w:val="22"/>
          <w:szCs w:val="22"/>
          <w:lang w:val="en-US" w:eastAsia="en-GB"/>
        </w:rPr>
        <w:t xml:space="preserve"> PhD);</w:t>
      </w:r>
    </w:p>
    <w:p w:rsidR="00E037B4" w:rsidRPr="008D0124" w:rsidRDefault="00E037B4" w:rsidP="00615636">
      <w:pPr>
        <w:spacing w:before="0" w:after="120" w:line="360" w:lineRule="auto"/>
        <w:jc w:val="both"/>
        <w:textAlignment w:val="baseline"/>
        <w:rPr>
          <w:rFonts w:eastAsia="Times New Roman"/>
          <w:color w:val="000000"/>
          <w:sz w:val="22"/>
          <w:szCs w:val="22"/>
          <w:lang w:val="en-US" w:eastAsia="en-GB"/>
        </w:rPr>
      </w:pPr>
      <w:r w:rsidRPr="008D0124">
        <w:rPr>
          <w:rFonts w:eastAsia="Times New Roman"/>
          <w:color w:val="000000"/>
          <w:sz w:val="22"/>
          <w:szCs w:val="22"/>
          <w:lang w:val="en-US" w:eastAsia="en-GB"/>
        </w:rPr>
        <w:t xml:space="preserve">Welsh Cancer Intelligence and Surveillance Unit, </w:t>
      </w:r>
      <w:r>
        <w:rPr>
          <w:rFonts w:eastAsia="Times New Roman"/>
          <w:color w:val="000000"/>
          <w:sz w:val="22"/>
          <w:szCs w:val="22"/>
          <w:lang w:val="en-US" w:eastAsia="en-GB"/>
        </w:rPr>
        <w:t xml:space="preserve">Public Health Wales, </w:t>
      </w:r>
      <w:r w:rsidRPr="008D0124">
        <w:rPr>
          <w:rFonts w:eastAsia="Times New Roman"/>
          <w:color w:val="000000"/>
          <w:sz w:val="22"/>
          <w:szCs w:val="22"/>
          <w:lang w:val="en-US" w:eastAsia="en-GB"/>
        </w:rPr>
        <w:t>Cardiff, UK</w:t>
      </w:r>
      <w:r>
        <w:rPr>
          <w:rFonts w:eastAsia="Times New Roman"/>
          <w:color w:val="000000"/>
          <w:sz w:val="22"/>
          <w:szCs w:val="22"/>
          <w:lang w:val="en-US" w:eastAsia="en-GB"/>
        </w:rPr>
        <w:t xml:space="preserve"> (D W Huws MSc);</w:t>
      </w:r>
    </w:p>
    <w:p w:rsidR="00E037B4" w:rsidRPr="008D0124" w:rsidRDefault="00E037B4" w:rsidP="00615636">
      <w:pPr>
        <w:spacing w:before="0" w:after="120" w:line="360" w:lineRule="auto"/>
        <w:textAlignment w:val="baseline"/>
        <w:rPr>
          <w:rFonts w:eastAsia="Times New Roman"/>
          <w:color w:val="000000"/>
          <w:sz w:val="22"/>
          <w:szCs w:val="22"/>
          <w:lang w:val="en-US" w:eastAsia="en-GB"/>
        </w:rPr>
      </w:pPr>
      <w:r>
        <w:rPr>
          <w:color w:val="000000"/>
          <w:sz w:val="22"/>
          <w:szCs w:val="22"/>
        </w:rPr>
        <w:t xml:space="preserve">Information Services Division, </w:t>
      </w:r>
      <w:r w:rsidRPr="008D0124">
        <w:rPr>
          <w:rFonts w:eastAsia="Times New Roman"/>
          <w:color w:val="000000"/>
          <w:sz w:val="22"/>
          <w:szCs w:val="22"/>
          <w:lang w:val="en-US" w:eastAsia="en-GB"/>
        </w:rPr>
        <w:t>NHS National Services Scotland, Edinburgh, UK</w:t>
      </w:r>
      <w:r>
        <w:rPr>
          <w:rFonts w:eastAsia="Times New Roman"/>
          <w:color w:val="000000"/>
          <w:sz w:val="22"/>
          <w:szCs w:val="22"/>
          <w:lang w:val="en-US" w:eastAsia="en-GB"/>
        </w:rPr>
        <w:t xml:space="preserve"> (E McNair PhD).</w:t>
      </w:r>
    </w:p>
    <w:p w:rsidR="00E037B4" w:rsidRDefault="00E037B4" w:rsidP="006A0590">
      <w:pPr>
        <w:spacing w:before="0" w:line="360" w:lineRule="auto"/>
        <w:outlineLvl w:val="0"/>
        <w:rPr>
          <w:rFonts w:eastAsia="Times New Roman"/>
          <w:b/>
          <w:bCs/>
          <w:color w:val="000000"/>
          <w:sz w:val="22"/>
          <w:szCs w:val="22"/>
          <w:lang w:val="en-US" w:eastAsia="en-GB"/>
        </w:rPr>
      </w:pPr>
    </w:p>
    <w:p w:rsidR="00E037B4" w:rsidRPr="008D0124" w:rsidRDefault="00E037B4" w:rsidP="006A0590">
      <w:pPr>
        <w:spacing w:before="0" w:line="360" w:lineRule="auto"/>
        <w:outlineLvl w:val="0"/>
        <w:rPr>
          <w:rFonts w:ascii="Times New Roman" w:eastAsia="Times New Roman" w:hAnsi="Times New Roman" w:cs="Times New Roman"/>
          <w:lang w:val="en-US" w:eastAsia="en-GB"/>
        </w:rPr>
      </w:pPr>
      <w:r w:rsidRPr="008D0124">
        <w:rPr>
          <w:rFonts w:eastAsia="Times New Roman"/>
          <w:b/>
          <w:bCs/>
          <w:color w:val="000000"/>
          <w:sz w:val="22"/>
          <w:szCs w:val="22"/>
          <w:lang w:val="en-US" w:eastAsia="en-GB"/>
        </w:rPr>
        <w:t xml:space="preserve">Corresponding author: </w:t>
      </w:r>
    </w:p>
    <w:p w:rsidR="00E037B4" w:rsidRDefault="00E037B4" w:rsidP="006A0590">
      <w:pPr>
        <w:spacing w:before="0" w:line="360" w:lineRule="auto"/>
        <w:rPr>
          <w:rFonts w:eastAsia="Times New Roman"/>
          <w:color w:val="000000"/>
          <w:sz w:val="22"/>
          <w:szCs w:val="22"/>
          <w:lang w:val="en-US" w:eastAsia="en-GB"/>
        </w:rPr>
      </w:pPr>
      <w:r>
        <w:rPr>
          <w:rFonts w:eastAsia="Times New Roman"/>
          <w:color w:val="000000"/>
          <w:sz w:val="22"/>
          <w:szCs w:val="22"/>
          <w:lang w:val="en-US" w:eastAsia="en-GB"/>
        </w:rPr>
        <w:t>Dr Amy Downing,</w:t>
      </w:r>
      <w:r w:rsidRPr="008D0124">
        <w:rPr>
          <w:rFonts w:eastAsia="Times New Roman"/>
          <w:color w:val="000000"/>
          <w:sz w:val="22"/>
          <w:szCs w:val="22"/>
          <w:lang w:val="en-US" w:eastAsia="en-GB"/>
        </w:rPr>
        <w:t xml:space="preserve"> </w:t>
      </w:r>
    </w:p>
    <w:p w:rsidR="00E037B4" w:rsidRDefault="00E037B4" w:rsidP="006A0590">
      <w:pPr>
        <w:spacing w:before="0" w:line="360" w:lineRule="auto"/>
        <w:rPr>
          <w:rFonts w:eastAsia="Times New Roman"/>
          <w:color w:val="000000"/>
          <w:sz w:val="22"/>
          <w:szCs w:val="22"/>
          <w:lang w:val="en-US" w:eastAsia="en-GB"/>
        </w:rPr>
      </w:pPr>
      <w:r w:rsidRPr="008D0124">
        <w:rPr>
          <w:rFonts w:eastAsia="Times New Roman"/>
          <w:color w:val="000000"/>
          <w:sz w:val="22"/>
          <w:szCs w:val="22"/>
          <w:lang w:val="en-US" w:eastAsia="en-GB"/>
        </w:rPr>
        <w:t xml:space="preserve">Leeds Institute for Data Analytics, </w:t>
      </w:r>
    </w:p>
    <w:p w:rsidR="00E037B4" w:rsidRDefault="00E037B4" w:rsidP="006A0590">
      <w:pPr>
        <w:spacing w:before="0" w:line="360" w:lineRule="auto"/>
        <w:rPr>
          <w:rFonts w:eastAsia="Times New Roman"/>
          <w:color w:val="000000"/>
          <w:sz w:val="22"/>
          <w:szCs w:val="22"/>
          <w:lang w:val="en-US" w:eastAsia="en-GB"/>
        </w:rPr>
      </w:pPr>
      <w:r w:rsidRPr="008D0124">
        <w:rPr>
          <w:rFonts w:eastAsia="Times New Roman"/>
          <w:color w:val="000000"/>
          <w:sz w:val="22"/>
          <w:szCs w:val="22"/>
          <w:lang w:val="en-US" w:eastAsia="en-GB"/>
        </w:rPr>
        <w:t xml:space="preserve">Level 11 Worsley Building, </w:t>
      </w:r>
    </w:p>
    <w:p w:rsidR="00E037B4" w:rsidRDefault="00E037B4" w:rsidP="006A0590">
      <w:pPr>
        <w:spacing w:before="0" w:line="360" w:lineRule="auto"/>
        <w:rPr>
          <w:rFonts w:eastAsia="Times New Roman"/>
          <w:color w:val="000000"/>
          <w:sz w:val="22"/>
          <w:szCs w:val="22"/>
          <w:lang w:val="en-US" w:eastAsia="en-GB"/>
        </w:rPr>
      </w:pPr>
      <w:r w:rsidRPr="008D0124">
        <w:rPr>
          <w:rFonts w:eastAsia="Times New Roman"/>
          <w:color w:val="000000"/>
          <w:sz w:val="22"/>
          <w:szCs w:val="22"/>
          <w:lang w:val="en-US" w:eastAsia="en-GB"/>
        </w:rPr>
        <w:t xml:space="preserve">University of Leeds, </w:t>
      </w:r>
    </w:p>
    <w:p w:rsidR="00E037B4" w:rsidRPr="008D0124" w:rsidRDefault="00E037B4" w:rsidP="006A0590">
      <w:pPr>
        <w:spacing w:before="0" w:line="360" w:lineRule="auto"/>
        <w:rPr>
          <w:rFonts w:ascii="Times New Roman" w:eastAsia="Times New Roman" w:hAnsi="Times New Roman" w:cs="Times New Roman"/>
          <w:lang w:val="en-US" w:eastAsia="en-GB"/>
        </w:rPr>
      </w:pPr>
      <w:r w:rsidRPr="008D0124">
        <w:rPr>
          <w:rFonts w:eastAsia="Times New Roman"/>
          <w:color w:val="000000"/>
          <w:sz w:val="22"/>
          <w:szCs w:val="22"/>
          <w:lang w:val="en-US" w:eastAsia="en-GB"/>
        </w:rPr>
        <w:t>Leeds, LS2 9N</w:t>
      </w:r>
      <w:r>
        <w:rPr>
          <w:rFonts w:eastAsia="Times New Roman"/>
          <w:color w:val="000000"/>
          <w:sz w:val="22"/>
          <w:szCs w:val="22"/>
          <w:lang w:val="en-US" w:eastAsia="en-GB"/>
        </w:rPr>
        <w:t>L</w:t>
      </w:r>
    </w:p>
    <w:p w:rsidR="00E037B4" w:rsidRDefault="00E037B4" w:rsidP="006A0590">
      <w:pPr>
        <w:spacing w:before="0" w:line="360" w:lineRule="auto"/>
        <w:outlineLvl w:val="0"/>
        <w:rPr>
          <w:rFonts w:eastAsia="Times New Roman"/>
          <w:color w:val="000000"/>
          <w:sz w:val="22"/>
          <w:szCs w:val="22"/>
          <w:lang w:val="en-US" w:eastAsia="en-GB"/>
        </w:rPr>
      </w:pPr>
      <w:r w:rsidRPr="008D0124">
        <w:rPr>
          <w:rFonts w:eastAsia="Times New Roman"/>
          <w:color w:val="000000"/>
          <w:sz w:val="22"/>
          <w:szCs w:val="22"/>
          <w:lang w:val="en-US" w:eastAsia="en-GB"/>
        </w:rPr>
        <w:t xml:space="preserve">Tel: +44 113 343 0308 </w:t>
      </w:r>
    </w:p>
    <w:p w:rsidR="00E037B4" w:rsidRPr="008D0124" w:rsidRDefault="00E037B4" w:rsidP="006A0590">
      <w:pPr>
        <w:spacing w:before="0" w:line="360" w:lineRule="auto"/>
        <w:outlineLvl w:val="0"/>
        <w:rPr>
          <w:rFonts w:ascii="Times New Roman" w:eastAsia="Times New Roman" w:hAnsi="Times New Roman" w:cs="Times New Roman"/>
          <w:lang w:val="en-US" w:eastAsia="en-GB"/>
        </w:rPr>
      </w:pPr>
      <w:r>
        <w:rPr>
          <w:rFonts w:eastAsia="Times New Roman"/>
          <w:color w:val="000000"/>
          <w:sz w:val="22"/>
          <w:szCs w:val="22"/>
          <w:lang w:val="en-US" w:eastAsia="en-GB"/>
        </w:rPr>
        <w:t>E</w:t>
      </w:r>
      <w:r w:rsidRPr="008D0124">
        <w:rPr>
          <w:rFonts w:eastAsia="Times New Roman"/>
          <w:color w:val="000000"/>
          <w:sz w:val="22"/>
          <w:szCs w:val="22"/>
          <w:lang w:val="en-US" w:eastAsia="en-GB"/>
        </w:rPr>
        <w:t xml:space="preserve">mail: </w:t>
      </w:r>
      <w:hyperlink r:id="rId7" w:history="1">
        <w:r w:rsidRPr="008D0124">
          <w:rPr>
            <w:rFonts w:eastAsia="Times New Roman"/>
            <w:color w:val="0000FF"/>
            <w:sz w:val="22"/>
            <w:szCs w:val="22"/>
            <w:u w:val="single"/>
            <w:lang w:val="en-US" w:eastAsia="en-GB"/>
          </w:rPr>
          <w:t>a.downing@leeds.ac.uk</w:t>
        </w:r>
      </w:hyperlink>
    </w:p>
    <w:p w:rsidR="00E037B4" w:rsidRDefault="00E037B4" w:rsidP="006A0590">
      <w:pPr>
        <w:spacing w:before="0" w:line="480" w:lineRule="auto"/>
        <w:rPr>
          <w:rFonts w:eastAsia="Times New Roman"/>
          <w:sz w:val="22"/>
          <w:lang w:val="en-US" w:eastAsia="en-GB"/>
        </w:rPr>
      </w:pPr>
    </w:p>
    <w:p w:rsidR="00E037B4" w:rsidRPr="00E56221" w:rsidRDefault="00E037B4" w:rsidP="006A0590">
      <w:pPr>
        <w:spacing w:before="0" w:line="480" w:lineRule="auto"/>
        <w:rPr>
          <w:rFonts w:eastAsia="Times New Roman"/>
          <w:sz w:val="22"/>
          <w:lang w:val="en-US" w:eastAsia="en-GB"/>
        </w:rPr>
      </w:pPr>
      <w:r w:rsidRPr="00E56221">
        <w:rPr>
          <w:rFonts w:eastAsia="Times New Roman"/>
          <w:sz w:val="22"/>
          <w:lang w:val="en-US" w:eastAsia="en-GB"/>
        </w:rPr>
        <w:t xml:space="preserve"> </w:t>
      </w:r>
    </w:p>
    <w:p w:rsidR="00E037B4" w:rsidRPr="008D0124" w:rsidRDefault="00E037B4" w:rsidP="006A0590">
      <w:pPr>
        <w:spacing w:before="0" w:after="240" w:line="480" w:lineRule="auto"/>
        <w:rPr>
          <w:rFonts w:eastAsia="Times New Roman"/>
          <w:b/>
          <w:bCs/>
          <w:color w:val="000000"/>
          <w:lang w:val="en-US" w:eastAsia="en-GB"/>
        </w:rPr>
      </w:pPr>
      <w:r w:rsidRPr="008D0124">
        <w:rPr>
          <w:rFonts w:eastAsia="Times New Roman"/>
          <w:b/>
          <w:bCs/>
          <w:color w:val="000000"/>
          <w:lang w:val="en-US" w:eastAsia="en-GB"/>
        </w:rPr>
        <w:br w:type="page"/>
      </w:r>
    </w:p>
    <w:p w:rsidR="00E037B4" w:rsidRPr="00B678DE" w:rsidRDefault="00E037B4" w:rsidP="006A0590">
      <w:pPr>
        <w:spacing w:before="0" w:after="240" w:line="480" w:lineRule="auto"/>
        <w:jc w:val="both"/>
        <w:outlineLvl w:val="0"/>
        <w:rPr>
          <w:rFonts w:eastAsiaTheme="minorEastAsia"/>
          <w:b/>
          <w:bCs/>
          <w:caps/>
          <w:sz w:val="22"/>
          <w:szCs w:val="22"/>
        </w:rPr>
      </w:pPr>
      <w:r w:rsidRPr="00B678DE">
        <w:rPr>
          <w:rFonts w:eastAsiaTheme="minorEastAsia"/>
          <w:b/>
          <w:bCs/>
          <w:sz w:val="22"/>
          <w:szCs w:val="22"/>
        </w:rPr>
        <w:lastRenderedPageBreak/>
        <w:t>Research in context</w:t>
      </w:r>
    </w:p>
    <w:p w:rsidR="00E037B4" w:rsidRPr="00B678DE" w:rsidRDefault="00E037B4" w:rsidP="006A0590">
      <w:pPr>
        <w:spacing w:before="0" w:line="480" w:lineRule="auto"/>
        <w:jc w:val="both"/>
        <w:outlineLvl w:val="0"/>
        <w:rPr>
          <w:rFonts w:eastAsiaTheme="minorEastAsia"/>
          <w:b/>
          <w:bCs/>
          <w:caps/>
          <w:sz w:val="22"/>
          <w:szCs w:val="22"/>
        </w:rPr>
      </w:pPr>
      <w:r w:rsidRPr="00B678DE">
        <w:rPr>
          <w:rFonts w:eastAsiaTheme="minorEastAsia"/>
          <w:b/>
          <w:bCs/>
          <w:sz w:val="22"/>
          <w:szCs w:val="22"/>
        </w:rPr>
        <w:t>Evidence before this study</w:t>
      </w:r>
    </w:p>
    <w:p w:rsidR="00E037B4" w:rsidRPr="00A1181E" w:rsidRDefault="00E037B4" w:rsidP="006A0590">
      <w:pPr>
        <w:spacing w:before="0" w:after="240" w:line="480" w:lineRule="auto"/>
        <w:jc w:val="both"/>
        <w:outlineLvl w:val="0"/>
        <w:rPr>
          <w:rFonts w:eastAsiaTheme="minorEastAsia"/>
          <w:bCs/>
          <w:sz w:val="22"/>
          <w:szCs w:val="22"/>
        </w:rPr>
      </w:pPr>
      <w:r w:rsidRPr="00B678DE">
        <w:rPr>
          <w:rFonts w:eastAsiaTheme="minorEastAsia"/>
          <w:bCs/>
          <w:sz w:val="22"/>
          <w:szCs w:val="22"/>
        </w:rPr>
        <w:t>Ovid databases (MEDLINE, Embase, PsychINFO</w:t>
      </w:r>
      <w:r w:rsidRPr="00B678DE">
        <w:rPr>
          <w:rFonts w:eastAsiaTheme="minorEastAsia"/>
          <w:bCs/>
          <w:caps/>
          <w:sz w:val="22"/>
          <w:szCs w:val="22"/>
        </w:rPr>
        <w:t>)</w:t>
      </w:r>
      <w:r w:rsidRPr="00B678DE">
        <w:rPr>
          <w:rFonts w:eastAsiaTheme="minorEastAsia"/>
          <w:bCs/>
          <w:sz w:val="22"/>
          <w:szCs w:val="22"/>
        </w:rPr>
        <w:t xml:space="preserve"> were searched for articles relating to health-related quality of life (HRQL) and </w:t>
      </w:r>
      <w:r w:rsidRPr="00B678DE">
        <w:rPr>
          <w:rFonts w:eastAsiaTheme="minorEastAsia"/>
          <w:bCs/>
          <w:caps/>
          <w:sz w:val="22"/>
          <w:szCs w:val="22"/>
        </w:rPr>
        <w:t>“</w:t>
      </w:r>
      <w:r w:rsidRPr="00B678DE">
        <w:rPr>
          <w:rFonts w:eastAsiaTheme="minorEastAsia"/>
          <w:bCs/>
          <w:sz w:val="22"/>
          <w:szCs w:val="22"/>
        </w:rPr>
        <w:t>localised</w:t>
      </w:r>
      <w:r w:rsidRPr="00B678DE">
        <w:rPr>
          <w:rFonts w:eastAsiaTheme="minorEastAsia"/>
          <w:bCs/>
          <w:caps/>
          <w:sz w:val="22"/>
          <w:szCs w:val="22"/>
        </w:rPr>
        <w:t>”</w:t>
      </w:r>
      <w:r>
        <w:rPr>
          <w:rFonts w:eastAsiaTheme="minorEastAsia"/>
          <w:bCs/>
          <w:sz w:val="22"/>
          <w:szCs w:val="22"/>
        </w:rPr>
        <w:t xml:space="preserve">, </w:t>
      </w:r>
      <w:r w:rsidRPr="00B678DE">
        <w:rPr>
          <w:rFonts w:eastAsiaTheme="minorEastAsia"/>
          <w:bCs/>
          <w:caps/>
          <w:sz w:val="22"/>
          <w:szCs w:val="22"/>
        </w:rPr>
        <w:t>“</w:t>
      </w:r>
      <w:r w:rsidRPr="00B678DE">
        <w:rPr>
          <w:rFonts w:eastAsiaTheme="minorEastAsia"/>
          <w:bCs/>
          <w:sz w:val="22"/>
          <w:szCs w:val="22"/>
        </w:rPr>
        <w:t>advanced</w:t>
      </w:r>
      <w:r w:rsidRPr="00B678DE">
        <w:rPr>
          <w:rFonts w:eastAsiaTheme="minorEastAsia"/>
          <w:bCs/>
          <w:caps/>
          <w:sz w:val="22"/>
          <w:szCs w:val="22"/>
        </w:rPr>
        <w:t>”</w:t>
      </w:r>
      <w:r>
        <w:rPr>
          <w:rFonts w:eastAsiaTheme="minorEastAsia"/>
          <w:bCs/>
          <w:caps/>
          <w:sz w:val="22"/>
          <w:szCs w:val="22"/>
        </w:rPr>
        <w:t>, “</w:t>
      </w:r>
      <w:r w:rsidRPr="003A4663">
        <w:rPr>
          <w:rFonts w:eastAsiaTheme="minorEastAsia"/>
          <w:bCs/>
          <w:sz w:val="22"/>
          <w:szCs w:val="22"/>
        </w:rPr>
        <w:t>metastatic</w:t>
      </w:r>
      <w:r>
        <w:rPr>
          <w:rFonts w:eastAsiaTheme="minorEastAsia"/>
          <w:bCs/>
          <w:caps/>
          <w:sz w:val="22"/>
          <w:szCs w:val="22"/>
        </w:rPr>
        <w:t>”, “</w:t>
      </w:r>
      <w:r w:rsidRPr="00B678DE">
        <w:rPr>
          <w:rFonts w:eastAsiaTheme="minorEastAsia"/>
          <w:bCs/>
          <w:sz w:val="22"/>
          <w:szCs w:val="22"/>
        </w:rPr>
        <w:t>stage</w:t>
      </w:r>
      <w:r w:rsidRPr="00B678DE">
        <w:rPr>
          <w:rFonts w:eastAsiaTheme="minorEastAsia"/>
          <w:bCs/>
          <w:caps/>
          <w:sz w:val="22"/>
          <w:szCs w:val="22"/>
        </w:rPr>
        <w:t>”</w:t>
      </w:r>
      <w:r w:rsidRPr="00B678DE">
        <w:rPr>
          <w:rFonts w:eastAsiaTheme="minorEastAsia"/>
          <w:bCs/>
          <w:sz w:val="22"/>
          <w:szCs w:val="22"/>
        </w:rPr>
        <w:t xml:space="preserve"> and </w:t>
      </w:r>
      <w:r w:rsidRPr="00B678DE">
        <w:rPr>
          <w:rFonts w:eastAsiaTheme="minorEastAsia"/>
          <w:bCs/>
          <w:caps/>
          <w:sz w:val="22"/>
          <w:szCs w:val="22"/>
        </w:rPr>
        <w:t>“</w:t>
      </w:r>
      <w:r w:rsidRPr="00B678DE">
        <w:rPr>
          <w:rFonts w:eastAsiaTheme="minorEastAsia"/>
          <w:bCs/>
          <w:sz w:val="22"/>
          <w:szCs w:val="22"/>
        </w:rPr>
        <w:t>prostate cancer</w:t>
      </w:r>
      <w:r w:rsidRPr="00B678DE">
        <w:rPr>
          <w:rFonts w:eastAsiaTheme="minorEastAsia"/>
          <w:bCs/>
          <w:caps/>
          <w:sz w:val="22"/>
          <w:szCs w:val="22"/>
        </w:rPr>
        <w:t>”</w:t>
      </w:r>
      <w:r w:rsidRPr="00B678DE">
        <w:rPr>
          <w:rFonts w:eastAsiaTheme="minorEastAsia"/>
          <w:bCs/>
          <w:sz w:val="22"/>
          <w:szCs w:val="22"/>
        </w:rPr>
        <w:t xml:space="preserve"> or </w:t>
      </w:r>
      <w:r w:rsidRPr="00B678DE">
        <w:rPr>
          <w:rFonts w:eastAsiaTheme="minorEastAsia"/>
          <w:bCs/>
          <w:caps/>
          <w:sz w:val="22"/>
          <w:szCs w:val="22"/>
        </w:rPr>
        <w:t>“</w:t>
      </w:r>
      <w:r w:rsidRPr="00B678DE">
        <w:rPr>
          <w:rFonts w:eastAsiaTheme="minorEastAsia"/>
          <w:bCs/>
          <w:sz w:val="22"/>
          <w:szCs w:val="22"/>
        </w:rPr>
        <w:t>prostatic neoplasms</w:t>
      </w:r>
      <w:r w:rsidRPr="00B678DE">
        <w:rPr>
          <w:rFonts w:eastAsiaTheme="minorEastAsia"/>
          <w:bCs/>
          <w:caps/>
          <w:sz w:val="22"/>
          <w:szCs w:val="22"/>
        </w:rPr>
        <w:t xml:space="preserve">” </w:t>
      </w:r>
      <w:r>
        <w:rPr>
          <w:rFonts w:eastAsiaTheme="minorEastAsia"/>
          <w:bCs/>
          <w:sz w:val="22"/>
          <w:szCs w:val="22"/>
        </w:rPr>
        <w:t>from June 1996 to</w:t>
      </w:r>
      <w:r w:rsidRPr="00B678DE">
        <w:rPr>
          <w:rFonts w:eastAsiaTheme="minorEastAsia"/>
          <w:bCs/>
          <w:sz w:val="22"/>
          <w:szCs w:val="22"/>
        </w:rPr>
        <w:t xml:space="preserve"> June 2018. </w:t>
      </w:r>
      <w:r>
        <w:rPr>
          <w:rFonts w:eastAsiaTheme="minorEastAsia"/>
          <w:bCs/>
          <w:sz w:val="22"/>
          <w:szCs w:val="22"/>
        </w:rPr>
        <w:t xml:space="preserve"> Studies were excluded if they had no measure of health-related quality of life and were included if they included men with either early, late or combined stage prostate cancer.  Most articles relate to men with localised disease, with good quality evidence </w:t>
      </w:r>
      <w:r w:rsidRPr="00B678DE">
        <w:rPr>
          <w:rFonts w:eastAsiaTheme="minorEastAsia"/>
          <w:bCs/>
          <w:sz w:val="22"/>
          <w:szCs w:val="22"/>
        </w:rPr>
        <w:t xml:space="preserve">collected in the setting of clinical trials </w:t>
      </w:r>
      <w:r>
        <w:rPr>
          <w:rFonts w:eastAsiaTheme="minorEastAsia"/>
          <w:bCs/>
          <w:sz w:val="22"/>
          <w:szCs w:val="22"/>
        </w:rPr>
        <w:t xml:space="preserve">and observational studies of specific cohorts.  Few studies have focused on those </w:t>
      </w:r>
      <w:r w:rsidRPr="00B678DE">
        <w:rPr>
          <w:rFonts w:eastAsiaTheme="minorEastAsia"/>
          <w:bCs/>
          <w:sz w:val="22"/>
          <w:szCs w:val="22"/>
        </w:rPr>
        <w:t xml:space="preserve">diagnosed with </w:t>
      </w:r>
      <w:r>
        <w:rPr>
          <w:rFonts w:eastAsiaTheme="minorEastAsia"/>
          <w:bCs/>
          <w:sz w:val="22"/>
          <w:szCs w:val="22"/>
        </w:rPr>
        <w:t xml:space="preserve">locally </w:t>
      </w:r>
      <w:r w:rsidRPr="00B678DE">
        <w:rPr>
          <w:rFonts w:eastAsiaTheme="minorEastAsia"/>
          <w:bCs/>
          <w:sz w:val="22"/>
          <w:szCs w:val="22"/>
        </w:rPr>
        <w:t xml:space="preserve">advanced </w:t>
      </w:r>
      <w:r>
        <w:rPr>
          <w:rFonts w:eastAsiaTheme="minorEastAsia"/>
          <w:bCs/>
          <w:sz w:val="22"/>
          <w:szCs w:val="22"/>
        </w:rPr>
        <w:t>or metastatic prostate cancer (PCa)</w:t>
      </w:r>
      <w:r w:rsidRPr="00B678DE">
        <w:rPr>
          <w:rFonts w:eastAsiaTheme="minorEastAsia"/>
          <w:bCs/>
          <w:sz w:val="22"/>
          <w:szCs w:val="22"/>
        </w:rPr>
        <w:t>.</w:t>
      </w:r>
      <w:r>
        <w:rPr>
          <w:rFonts w:eastAsiaTheme="minorEastAsia"/>
          <w:bCs/>
          <w:sz w:val="22"/>
          <w:szCs w:val="22"/>
        </w:rPr>
        <w:t xml:space="preserve">  </w:t>
      </w:r>
      <w:r w:rsidRPr="00B678DE">
        <w:rPr>
          <w:rFonts w:eastAsiaTheme="minorEastAsia"/>
          <w:bCs/>
          <w:sz w:val="22"/>
          <w:szCs w:val="22"/>
        </w:rPr>
        <w:t xml:space="preserve">In the small number of studies separating results by stage, poorer HRQL has been associated with later stage of disease. </w:t>
      </w:r>
      <w:r>
        <w:rPr>
          <w:rFonts w:eastAsiaTheme="minorEastAsia"/>
          <w:bCs/>
          <w:sz w:val="22"/>
          <w:szCs w:val="22"/>
        </w:rPr>
        <w:t xml:space="preserve"> </w:t>
      </w:r>
      <w:r w:rsidRPr="00B678DE">
        <w:rPr>
          <w:rFonts w:eastAsiaTheme="minorEastAsia"/>
          <w:bCs/>
          <w:sz w:val="22"/>
          <w:szCs w:val="22"/>
        </w:rPr>
        <w:t xml:space="preserve">However, sample sizes tend to be small. </w:t>
      </w:r>
      <w:r>
        <w:rPr>
          <w:rFonts w:eastAsiaTheme="minorEastAsia"/>
          <w:bCs/>
          <w:sz w:val="22"/>
          <w:szCs w:val="22"/>
        </w:rPr>
        <w:t xml:space="preserve"> </w:t>
      </w:r>
      <w:r w:rsidRPr="00B678DE">
        <w:rPr>
          <w:rFonts w:eastAsiaTheme="minorEastAsia"/>
          <w:bCs/>
          <w:sz w:val="22"/>
          <w:szCs w:val="22"/>
        </w:rPr>
        <w:t>Therefore</w:t>
      </w:r>
      <w:r>
        <w:rPr>
          <w:rFonts w:eastAsiaTheme="minorEastAsia"/>
          <w:bCs/>
          <w:sz w:val="22"/>
          <w:szCs w:val="22"/>
        </w:rPr>
        <w:t>,</w:t>
      </w:r>
      <w:r w:rsidRPr="00B678DE">
        <w:rPr>
          <w:rFonts w:eastAsiaTheme="minorEastAsia"/>
          <w:bCs/>
          <w:sz w:val="22"/>
          <w:szCs w:val="22"/>
        </w:rPr>
        <w:t xml:space="preserve"> little is known about the impacts of </w:t>
      </w:r>
      <w:r>
        <w:rPr>
          <w:rFonts w:eastAsiaTheme="minorEastAsia"/>
          <w:bCs/>
          <w:sz w:val="22"/>
          <w:szCs w:val="22"/>
        </w:rPr>
        <w:t>PCa</w:t>
      </w:r>
      <w:r w:rsidRPr="00B678DE">
        <w:rPr>
          <w:rFonts w:eastAsiaTheme="minorEastAsia"/>
          <w:bCs/>
          <w:sz w:val="22"/>
          <w:szCs w:val="22"/>
        </w:rPr>
        <w:t xml:space="preserve"> in men living with and beyond a diagnosis of advanced disease, </w:t>
      </w:r>
      <w:r>
        <w:rPr>
          <w:rFonts w:eastAsiaTheme="minorEastAsia"/>
          <w:bCs/>
          <w:sz w:val="22"/>
          <w:szCs w:val="22"/>
        </w:rPr>
        <w:t>especially</w:t>
      </w:r>
      <w:r w:rsidRPr="00B678DE">
        <w:rPr>
          <w:rFonts w:eastAsiaTheme="minorEastAsia"/>
          <w:bCs/>
          <w:sz w:val="22"/>
          <w:szCs w:val="22"/>
        </w:rPr>
        <w:t xml:space="preserve"> in comparison </w:t>
      </w:r>
      <w:r>
        <w:rPr>
          <w:rFonts w:eastAsiaTheme="minorEastAsia"/>
          <w:bCs/>
          <w:sz w:val="22"/>
          <w:szCs w:val="22"/>
        </w:rPr>
        <w:t xml:space="preserve">to men </w:t>
      </w:r>
      <w:r w:rsidRPr="00B678DE">
        <w:rPr>
          <w:rFonts w:eastAsiaTheme="minorEastAsia"/>
          <w:bCs/>
          <w:sz w:val="22"/>
          <w:szCs w:val="22"/>
        </w:rPr>
        <w:t xml:space="preserve">with </w:t>
      </w:r>
      <w:r>
        <w:rPr>
          <w:rFonts w:eastAsiaTheme="minorEastAsia"/>
          <w:bCs/>
          <w:sz w:val="22"/>
          <w:szCs w:val="22"/>
        </w:rPr>
        <w:t>non-metastatic disease.</w:t>
      </w:r>
    </w:p>
    <w:p w:rsidR="00E037B4" w:rsidRPr="00B678DE" w:rsidRDefault="00E037B4" w:rsidP="006A0590">
      <w:pPr>
        <w:spacing w:before="0" w:line="480" w:lineRule="auto"/>
        <w:jc w:val="both"/>
        <w:outlineLvl w:val="0"/>
        <w:rPr>
          <w:rFonts w:eastAsiaTheme="minorEastAsia"/>
          <w:b/>
          <w:bCs/>
          <w:caps/>
          <w:sz w:val="22"/>
          <w:szCs w:val="22"/>
        </w:rPr>
      </w:pPr>
      <w:r w:rsidRPr="00B678DE">
        <w:rPr>
          <w:rFonts w:eastAsiaTheme="minorEastAsia"/>
          <w:b/>
          <w:bCs/>
          <w:sz w:val="22"/>
          <w:szCs w:val="22"/>
        </w:rPr>
        <w:t>Added value of the study</w:t>
      </w:r>
    </w:p>
    <w:p w:rsidR="00E037B4" w:rsidRPr="00B678DE" w:rsidRDefault="00E037B4" w:rsidP="006A0590">
      <w:pPr>
        <w:spacing w:before="0" w:after="240" w:line="480" w:lineRule="auto"/>
        <w:jc w:val="both"/>
        <w:outlineLvl w:val="0"/>
        <w:rPr>
          <w:rFonts w:eastAsiaTheme="minorEastAsia"/>
          <w:bCs/>
          <w:caps/>
          <w:sz w:val="22"/>
          <w:szCs w:val="22"/>
        </w:rPr>
      </w:pPr>
      <w:r>
        <w:rPr>
          <w:rFonts w:eastAsiaTheme="minorEastAsia"/>
          <w:bCs/>
          <w:sz w:val="22"/>
          <w:szCs w:val="22"/>
        </w:rPr>
        <w:t>To our knowledge, this is first study able to compare, at scale, the HRQL and functional outcomes of men living with localised and advanced PCa.</w:t>
      </w:r>
      <w:r w:rsidRPr="00B678DE">
        <w:rPr>
          <w:rFonts w:eastAsiaTheme="minorEastAsia"/>
          <w:bCs/>
          <w:sz w:val="22"/>
          <w:szCs w:val="22"/>
        </w:rPr>
        <w:t xml:space="preserve">  Data were </w:t>
      </w:r>
      <w:r>
        <w:rPr>
          <w:rFonts w:eastAsiaTheme="minorEastAsia"/>
          <w:bCs/>
          <w:sz w:val="22"/>
          <w:szCs w:val="22"/>
        </w:rPr>
        <w:t>collected</w:t>
      </w:r>
      <w:r w:rsidRPr="00B678DE">
        <w:rPr>
          <w:rFonts w:eastAsiaTheme="minorEastAsia"/>
          <w:bCs/>
          <w:sz w:val="22"/>
          <w:szCs w:val="22"/>
        </w:rPr>
        <w:t xml:space="preserve"> on 35,823 men</w:t>
      </w:r>
      <w:r>
        <w:rPr>
          <w:rFonts w:eastAsiaTheme="minorEastAsia"/>
          <w:bCs/>
          <w:sz w:val="22"/>
          <w:szCs w:val="22"/>
        </w:rPr>
        <w:t>, with diagnostic stage available on 30,733</w:t>
      </w:r>
      <w:r w:rsidRPr="00B678DE">
        <w:rPr>
          <w:rFonts w:eastAsiaTheme="minorEastAsia"/>
          <w:bCs/>
          <w:sz w:val="22"/>
          <w:szCs w:val="22"/>
        </w:rPr>
        <w:t xml:space="preserve"> of whom 23.</w:t>
      </w:r>
      <w:r>
        <w:rPr>
          <w:rFonts w:eastAsiaTheme="minorEastAsia"/>
          <w:bCs/>
          <w:sz w:val="22"/>
          <w:szCs w:val="22"/>
        </w:rPr>
        <w:t>4</w:t>
      </w:r>
      <w:r w:rsidRPr="00B678DE">
        <w:rPr>
          <w:rFonts w:eastAsiaTheme="minorEastAsia"/>
          <w:bCs/>
          <w:sz w:val="22"/>
          <w:szCs w:val="22"/>
        </w:rPr>
        <w:t>% had stage III disease and 12.</w:t>
      </w:r>
      <w:r>
        <w:rPr>
          <w:rFonts w:eastAsiaTheme="minorEastAsia"/>
          <w:bCs/>
          <w:sz w:val="22"/>
          <w:szCs w:val="22"/>
        </w:rPr>
        <w:t>8</w:t>
      </w:r>
      <w:r w:rsidRPr="00B678DE">
        <w:rPr>
          <w:rFonts w:eastAsiaTheme="minorEastAsia"/>
          <w:bCs/>
          <w:caps/>
          <w:sz w:val="22"/>
          <w:szCs w:val="22"/>
        </w:rPr>
        <w:t>%</w:t>
      </w:r>
      <w:r>
        <w:rPr>
          <w:rFonts w:eastAsiaTheme="minorEastAsia"/>
          <w:bCs/>
          <w:sz w:val="22"/>
          <w:szCs w:val="22"/>
        </w:rPr>
        <w:t xml:space="preserve"> stage IV</w:t>
      </w:r>
      <w:r w:rsidRPr="00B678DE">
        <w:rPr>
          <w:rFonts w:eastAsiaTheme="minorEastAsia"/>
          <w:bCs/>
          <w:sz w:val="22"/>
          <w:szCs w:val="22"/>
        </w:rPr>
        <w:t>.</w:t>
      </w:r>
      <w:r>
        <w:rPr>
          <w:rFonts w:eastAsiaTheme="minorEastAsia"/>
          <w:bCs/>
          <w:sz w:val="22"/>
          <w:szCs w:val="22"/>
        </w:rPr>
        <w:t xml:space="preserve">  The population-based approach enables true definition of the quality of survival of the increasingly prevalent group of men living with and beyond PCa.  We identified that </w:t>
      </w:r>
      <w:r>
        <w:rPr>
          <w:rFonts w:eastAsia="Times New Roman"/>
          <w:color w:val="000000"/>
          <w:sz w:val="22"/>
          <w:szCs w:val="22"/>
          <w:lang w:val="en-US" w:eastAsia="en-GB"/>
        </w:rPr>
        <w:t xml:space="preserve">men with stage III and IV disease reported more problems, including those generic to health and those related to treatment, particularly </w:t>
      </w:r>
      <w:r>
        <w:rPr>
          <w:rFonts w:eastAsiaTheme="minorEastAsia"/>
          <w:bCs/>
          <w:sz w:val="22"/>
          <w:szCs w:val="22"/>
        </w:rPr>
        <w:t>a</w:t>
      </w:r>
      <w:r w:rsidRPr="00B678DE">
        <w:rPr>
          <w:rFonts w:eastAsiaTheme="minorEastAsia"/>
          <w:bCs/>
          <w:sz w:val="22"/>
          <w:szCs w:val="22"/>
        </w:rPr>
        <w:t>ndrogen deprivation therapy (ADT)</w:t>
      </w:r>
      <w:r>
        <w:rPr>
          <w:rFonts w:eastAsia="Times New Roman"/>
          <w:color w:val="000000"/>
          <w:sz w:val="22"/>
          <w:szCs w:val="22"/>
          <w:lang w:val="en-US" w:eastAsia="en-GB"/>
        </w:rPr>
        <w:t xml:space="preserve">.  </w:t>
      </w:r>
      <w:r w:rsidRPr="00B678DE">
        <w:rPr>
          <w:rFonts w:eastAsiaTheme="minorEastAsia"/>
          <w:bCs/>
          <w:sz w:val="22"/>
          <w:szCs w:val="22"/>
        </w:rPr>
        <w:t xml:space="preserve">Poor sexual function was reported </w:t>
      </w:r>
      <w:r>
        <w:rPr>
          <w:rFonts w:eastAsiaTheme="minorEastAsia"/>
          <w:bCs/>
          <w:sz w:val="22"/>
          <w:szCs w:val="22"/>
        </w:rPr>
        <w:t>by most men, regardless of stage, a</w:t>
      </w:r>
      <w:r w:rsidRPr="00B678DE">
        <w:rPr>
          <w:rFonts w:eastAsiaTheme="minorEastAsia"/>
          <w:bCs/>
          <w:sz w:val="22"/>
          <w:szCs w:val="22"/>
        </w:rPr>
        <w:t xml:space="preserve">nd </w:t>
      </w:r>
      <w:r>
        <w:rPr>
          <w:rFonts w:eastAsiaTheme="minorEastAsia"/>
          <w:bCs/>
          <w:sz w:val="22"/>
          <w:szCs w:val="22"/>
        </w:rPr>
        <w:t>the</w:t>
      </w:r>
      <w:r w:rsidRPr="00B678DE">
        <w:rPr>
          <w:rFonts w:eastAsiaTheme="minorEastAsia"/>
          <w:bCs/>
          <w:sz w:val="22"/>
          <w:szCs w:val="22"/>
        </w:rPr>
        <w:t xml:space="preserve"> majority (</w:t>
      </w:r>
      <w:r>
        <w:rPr>
          <w:rFonts w:eastAsiaTheme="minorEastAsia"/>
          <w:bCs/>
          <w:sz w:val="22"/>
          <w:szCs w:val="22"/>
        </w:rPr>
        <w:t>55.8</w:t>
      </w:r>
      <w:r w:rsidRPr="00B678DE">
        <w:rPr>
          <w:rFonts w:eastAsiaTheme="minorEastAsia"/>
          <w:bCs/>
          <w:sz w:val="22"/>
          <w:szCs w:val="22"/>
        </w:rPr>
        <w:t xml:space="preserve">%) </w:t>
      </w:r>
      <w:r>
        <w:rPr>
          <w:rFonts w:eastAsiaTheme="minorEastAsia"/>
          <w:bCs/>
          <w:sz w:val="22"/>
          <w:szCs w:val="22"/>
        </w:rPr>
        <w:t xml:space="preserve">reported not being </w:t>
      </w:r>
      <w:r w:rsidRPr="00B678DE">
        <w:rPr>
          <w:rFonts w:eastAsiaTheme="minorEastAsia"/>
          <w:bCs/>
          <w:sz w:val="22"/>
          <w:szCs w:val="22"/>
        </w:rPr>
        <w:t xml:space="preserve">offered </w:t>
      </w:r>
      <w:r>
        <w:rPr>
          <w:rFonts w:eastAsiaTheme="minorEastAsia"/>
          <w:bCs/>
          <w:sz w:val="22"/>
          <w:szCs w:val="22"/>
        </w:rPr>
        <w:t xml:space="preserve">any </w:t>
      </w:r>
      <w:r w:rsidRPr="00B678DE">
        <w:rPr>
          <w:rFonts w:eastAsiaTheme="minorEastAsia"/>
          <w:bCs/>
          <w:sz w:val="22"/>
          <w:szCs w:val="22"/>
        </w:rPr>
        <w:t xml:space="preserve">intervention or support for this. </w:t>
      </w:r>
      <w:r>
        <w:rPr>
          <w:rFonts w:eastAsiaTheme="minorEastAsia"/>
          <w:bCs/>
          <w:sz w:val="22"/>
          <w:szCs w:val="22"/>
        </w:rPr>
        <w:t xml:space="preserve"> </w:t>
      </w:r>
      <w:r w:rsidRPr="00B678DE">
        <w:rPr>
          <w:rFonts w:eastAsiaTheme="minorEastAsia"/>
          <w:bCs/>
          <w:sz w:val="22"/>
          <w:szCs w:val="22"/>
        </w:rPr>
        <w:t xml:space="preserve">Despite specific functional morbidities, </w:t>
      </w:r>
      <w:r>
        <w:rPr>
          <w:rFonts w:eastAsiaTheme="minorEastAsia"/>
          <w:bCs/>
          <w:sz w:val="22"/>
          <w:szCs w:val="22"/>
        </w:rPr>
        <w:t xml:space="preserve">many </w:t>
      </w:r>
      <w:r w:rsidRPr="00B678DE">
        <w:rPr>
          <w:rFonts w:eastAsiaTheme="minorEastAsia"/>
          <w:bCs/>
          <w:sz w:val="22"/>
          <w:szCs w:val="22"/>
        </w:rPr>
        <w:t xml:space="preserve">men with PCa self-reported their </w:t>
      </w:r>
      <w:r>
        <w:rPr>
          <w:rFonts w:eastAsiaTheme="minorEastAsia"/>
          <w:bCs/>
          <w:sz w:val="22"/>
          <w:szCs w:val="22"/>
        </w:rPr>
        <w:t xml:space="preserve">overall </w:t>
      </w:r>
      <w:r w:rsidRPr="00B678DE">
        <w:rPr>
          <w:rFonts w:eastAsiaTheme="minorEastAsia"/>
          <w:bCs/>
          <w:sz w:val="22"/>
          <w:szCs w:val="22"/>
        </w:rPr>
        <w:t>health to be similar to men in general population studies</w:t>
      </w:r>
      <w:r>
        <w:rPr>
          <w:rFonts w:eastAsiaTheme="minorEastAsia"/>
          <w:bCs/>
          <w:sz w:val="22"/>
          <w:szCs w:val="22"/>
        </w:rPr>
        <w:t xml:space="preserve"> and a</w:t>
      </w:r>
      <w:r w:rsidRPr="00B678DE">
        <w:rPr>
          <w:rFonts w:eastAsiaTheme="minorEastAsia"/>
          <w:bCs/>
          <w:sz w:val="22"/>
          <w:szCs w:val="22"/>
        </w:rPr>
        <w:t xml:space="preserve"> </w:t>
      </w:r>
      <w:r>
        <w:rPr>
          <w:rFonts w:eastAsia="Times New Roman"/>
          <w:color w:val="000000"/>
          <w:sz w:val="22"/>
          <w:szCs w:val="22"/>
          <w:lang w:val="en-US" w:eastAsia="en-GB"/>
        </w:rPr>
        <w:t>substantial proportion of men with stage IV disease (</w:t>
      </w:r>
      <w:r>
        <w:rPr>
          <w:rFonts w:eastAsiaTheme="minorEastAsia"/>
          <w:bCs/>
          <w:sz w:val="22"/>
          <w:szCs w:val="22"/>
        </w:rPr>
        <w:t>23.5%)</w:t>
      </w:r>
      <w:r w:rsidRPr="00B678DE">
        <w:rPr>
          <w:rFonts w:eastAsiaTheme="minorEastAsia"/>
          <w:bCs/>
          <w:sz w:val="22"/>
          <w:szCs w:val="22"/>
        </w:rPr>
        <w:t xml:space="preserve"> </w:t>
      </w:r>
      <w:r w:rsidRPr="00B678DE">
        <w:rPr>
          <w:rFonts w:eastAsiaTheme="minorEastAsia"/>
          <w:bCs/>
          <w:sz w:val="22"/>
          <w:szCs w:val="22"/>
        </w:rPr>
        <w:lastRenderedPageBreak/>
        <w:t>report</w:t>
      </w:r>
      <w:r>
        <w:rPr>
          <w:rFonts w:eastAsiaTheme="minorEastAsia"/>
          <w:bCs/>
          <w:sz w:val="22"/>
          <w:szCs w:val="22"/>
        </w:rPr>
        <w:t>ed</w:t>
      </w:r>
      <w:r w:rsidRPr="00B678DE">
        <w:rPr>
          <w:rFonts w:eastAsiaTheme="minorEastAsia"/>
          <w:bCs/>
          <w:sz w:val="22"/>
          <w:szCs w:val="22"/>
        </w:rPr>
        <w:t xml:space="preserve"> no </w:t>
      </w:r>
      <w:r>
        <w:rPr>
          <w:rFonts w:eastAsiaTheme="minorEastAsia"/>
          <w:bCs/>
          <w:sz w:val="22"/>
          <w:szCs w:val="22"/>
        </w:rPr>
        <w:t>problems</w:t>
      </w:r>
      <w:r w:rsidRPr="00B678DE">
        <w:rPr>
          <w:rFonts w:eastAsiaTheme="minorEastAsia"/>
          <w:bCs/>
          <w:sz w:val="22"/>
          <w:szCs w:val="22"/>
        </w:rPr>
        <w:t xml:space="preserve"> on </w:t>
      </w:r>
      <w:r>
        <w:rPr>
          <w:rFonts w:eastAsiaTheme="minorEastAsia"/>
          <w:bCs/>
          <w:sz w:val="22"/>
          <w:szCs w:val="22"/>
        </w:rPr>
        <w:t xml:space="preserve">any </w:t>
      </w:r>
      <w:r w:rsidRPr="00B678DE">
        <w:rPr>
          <w:rFonts w:eastAsiaTheme="minorEastAsia"/>
          <w:bCs/>
          <w:sz w:val="22"/>
          <w:szCs w:val="22"/>
        </w:rPr>
        <w:t xml:space="preserve">EQ-5D </w:t>
      </w:r>
      <w:r>
        <w:rPr>
          <w:rFonts w:eastAsiaTheme="minorEastAsia"/>
          <w:bCs/>
          <w:sz w:val="22"/>
          <w:szCs w:val="22"/>
        </w:rPr>
        <w:t>dimension.  These results highlight areas of unmet need and will be vital in helping men make informed decisions about their treatment.</w:t>
      </w:r>
    </w:p>
    <w:p w:rsidR="00E037B4" w:rsidRPr="00B678DE" w:rsidRDefault="00E037B4" w:rsidP="006A0590">
      <w:pPr>
        <w:spacing w:before="0" w:line="480" w:lineRule="auto"/>
        <w:jc w:val="both"/>
        <w:outlineLvl w:val="0"/>
        <w:rPr>
          <w:rFonts w:eastAsiaTheme="minorEastAsia"/>
          <w:b/>
          <w:bCs/>
          <w:caps/>
          <w:sz w:val="22"/>
          <w:szCs w:val="22"/>
        </w:rPr>
      </w:pPr>
      <w:r w:rsidRPr="00B678DE">
        <w:rPr>
          <w:rFonts w:eastAsiaTheme="minorEastAsia"/>
          <w:b/>
          <w:bCs/>
          <w:sz w:val="22"/>
          <w:szCs w:val="22"/>
        </w:rPr>
        <w:t>Implications of all the available evidence</w:t>
      </w:r>
    </w:p>
    <w:p w:rsidR="00E037B4" w:rsidRPr="006C3457" w:rsidRDefault="00E037B4" w:rsidP="006A0590">
      <w:pPr>
        <w:spacing w:before="0" w:after="240" w:line="480" w:lineRule="auto"/>
        <w:jc w:val="both"/>
        <w:rPr>
          <w:rFonts w:eastAsiaTheme="minorEastAsia"/>
          <w:bCs/>
          <w:sz w:val="22"/>
          <w:szCs w:val="22"/>
        </w:rPr>
      </w:pPr>
      <w:r w:rsidRPr="00B678DE">
        <w:rPr>
          <w:rFonts w:eastAsiaTheme="minorEastAsia"/>
          <w:bCs/>
          <w:sz w:val="22"/>
          <w:szCs w:val="22"/>
        </w:rPr>
        <w:t xml:space="preserve">Most men living 18-42 months </w:t>
      </w:r>
      <w:r>
        <w:rPr>
          <w:rFonts w:eastAsiaTheme="minorEastAsia"/>
          <w:bCs/>
          <w:sz w:val="22"/>
          <w:szCs w:val="22"/>
        </w:rPr>
        <w:t xml:space="preserve">after a </w:t>
      </w:r>
      <w:r w:rsidRPr="00B678DE">
        <w:rPr>
          <w:rFonts w:eastAsiaTheme="minorEastAsia"/>
          <w:bCs/>
          <w:sz w:val="22"/>
          <w:szCs w:val="22"/>
        </w:rPr>
        <w:t xml:space="preserve">diagnosis of PCa can expect to experience </w:t>
      </w:r>
      <w:r>
        <w:rPr>
          <w:rFonts w:eastAsiaTheme="minorEastAsia"/>
          <w:bCs/>
          <w:sz w:val="22"/>
          <w:szCs w:val="22"/>
        </w:rPr>
        <w:t xml:space="preserve">as </w:t>
      </w:r>
      <w:r w:rsidRPr="00B678DE">
        <w:rPr>
          <w:rFonts w:eastAsiaTheme="minorEastAsia"/>
          <w:bCs/>
          <w:sz w:val="22"/>
          <w:szCs w:val="22"/>
        </w:rPr>
        <w:t xml:space="preserve">good </w:t>
      </w:r>
      <w:r>
        <w:rPr>
          <w:rFonts w:eastAsiaTheme="minorEastAsia"/>
          <w:bCs/>
          <w:sz w:val="22"/>
          <w:szCs w:val="22"/>
        </w:rPr>
        <w:t>HRQL as men in the general population</w:t>
      </w:r>
      <w:r w:rsidRPr="00B678DE">
        <w:rPr>
          <w:rFonts w:eastAsiaTheme="minorEastAsia"/>
          <w:bCs/>
          <w:sz w:val="22"/>
          <w:szCs w:val="22"/>
        </w:rPr>
        <w:t xml:space="preserve">, including those with </w:t>
      </w:r>
      <w:r>
        <w:rPr>
          <w:rFonts w:eastAsiaTheme="minorEastAsia"/>
          <w:bCs/>
          <w:sz w:val="22"/>
          <w:szCs w:val="22"/>
        </w:rPr>
        <w:t>stage III</w:t>
      </w:r>
      <w:r w:rsidRPr="00B678DE">
        <w:rPr>
          <w:rFonts w:eastAsiaTheme="minorEastAsia"/>
          <w:bCs/>
          <w:sz w:val="22"/>
          <w:szCs w:val="22"/>
        </w:rPr>
        <w:t xml:space="preserve"> and a </w:t>
      </w:r>
      <w:r>
        <w:rPr>
          <w:rFonts w:eastAsiaTheme="minorEastAsia"/>
          <w:bCs/>
          <w:sz w:val="22"/>
          <w:szCs w:val="22"/>
        </w:rPr>
        <w:t xml:space="preserve">substantial proportion of those </w:t>
      </w:r>
      <w:r w:rsidRPr="00B678DE">
        <w:rPr>
          <w:rFonts w:eastAsiaTheme="minorEastAsia"/>
          <w:bCs/>
          <w:sz w:val="22"/>
          <w:szCs w:val="22"/>
        </w:rPr>
        <w:t xml:space="preserve">with stage IV disease.  </w:t>
      </w:r>
      <w:r>
        <w:rPr>
          <w:rFonts w:eastAsiaTheme="minorEastAsia"/>
          <w:bCs/>
          <w:sz w:val="22"/>
          <w:szCs w:val="22"/>
        </w:rPr>
        <w:t xml:space="preserve">Although </w:t>
      </w:r>
      <w:r w:rsidRPr="00B678DE">
        <w:rPr>
          <w:rFonts w:eastAsiaTheme="minorEastAsia"/>
          <w:bCs/>
          <w:sz w:val="22"/>
          <w:szCs w:val="22"/>
        </w:rPr>
        <w:t xml:space="preserve">sexual morbidity is </w:t>
      </w:r>
      <w:r>
        <w:rPr>
          <w:rFonts w:eastAsiaTheme="minorEastAsia"/>
          <w:bCs/>
          <w:sz w:val="22"/>
          <w:szCs w:val="22"/>
        </w:rPr>
        <w:t xml:space="preserve">common, the majority of men are not offered </w:t>
      </w:r>
      <w:r w:rsidRPr="00B678DE">
        <w:rPr>
          <w:rFonts w:eastAsiaTheme="minorEastAsia"/>
          <w:bCs/>
          <w:sz w:val="22"/>
          <w:szCs w:val="22"/>
        </w:rPr>
        <w:t xml:space="preserve">helpful intervention or support.  </w:t>
      </w:r>
      <w:r>
        <w:rPr>
          <w:rFonts w:eastAsia="Times New Roman"/>
          <w:color w:val="000000"/>
          <w:sz w:val="22"/>
          <w:szCs w:val="22"/>
          <w:lang w:val="en-US" w:eastAsia="en-GB"/>
        </w:rPr>
        <w:t xml:space="preserve">The evidence suggests that there are subgroups of men who would benefit from service improvements around sexual rehabilitation and measures to minimise the use of ADT.  These include </w:t>
      </w:r>
      <w:r w:rsidRPr="008A0B64">
        <w:rPr>
          <w:color w:val="212121"/>
          <w:sz w:val="22"/>
          <w:szCs w:val="22"/>
          <w:shd w:val="clear" w:color="auto" w:fill="FFFFFF"/>
        </w:rPr>
        <w:t>wider use of intermittent ADT (versus continuous use), the avoidance of unnecessary ADT (i.e. for non-metastatic disease) and the use of shorter neoadjuvant courses (</w:t>
      </w:r>
      <w:r>
        <w:rPr>
          <w:color w:val="212121"/>
          <w:sz w:val="22"/>
          <w:szCs w:val="22"/>
          <w:shd w:val="clear" w:color="auto" w:fill="FFFFFF"/>
        </w:rPr>
        <w:t xml:space="preserve">reduced </w:t>
      </w:r>
      <w:r w:rsidRPr="008A0B64">
        <w:rPr>
          <w:color w:val="212121"/>
          <w:sz w:val="22"/>
          <w:szCs w:val="22"/>
          <w:shd w:val="clear" w:color="auto" w:fill="FFFFFF"/>
        </w:rPr>
        <w:t>from 3 years to 1 year).</w:t>
      </w:r>
      <w:r w:rsidRPr="00F70C12">
        <w:rPr>
          <w:i/>
          <w:color w:val="212121"/>
          <w:shd w:val="clear" w:color="auto" w:fill="FFFFFF"/>
        </w:rPr>
        <w:t xml:space="preserve">  </w:t>
      </w:r>
      <w:r>
        <w:rPr>
          <w:rFonts w:eastAsiaTheme="minorEastAsia"/>
          <w:bCs/>
          <w:sz w:val="22"/>
          <w:szCs w:val="22"/>
        </w:rPr>
        <w:t>This study collected data from men living up to a maximum of 42 months beyond diagnosis.  Those with s</w:t>
      </w:r>
      <w:r w:rsidRPr="006C3457">
        <w:rPr>
          <w:rFonts w:eastAsiaTheme="minorEastAsia"/>
          <w:bCs/>
          <w:sz w:val="22"/>
          <w:szCs w:val="22"/>
        </w:rPr>
        <w:t xml:space="preserve">tage IV </w:t>
      </w:r>
      <w:r>
        <w:rPr>
          <w:rFonts w:eastAsiaTheme="minorEastAsia"/>
          <w:bCs/>
          <w:sz w:val="22"/>
          <w:szCs w:val="22"/>
        </w:rPr>
        <w:t xml:space="preserve">disease </w:t>
      </w:r>
      <w:r w:rsidRPr="006C3457">
        <w:rPr>
          <w:rFonts w:eastAsiaTheme="minorEastAsia"/>
          <w:bCs/>
          <w:sz w:val="22"/>
          <w:szCs w:val="22"/>
        </w:rPr>
        <w:t xml:space="preserve">are likely to experience deterioration in </w:t>
      </w:r>
      <w:r>
        <w:rPr>
          <w:rFonts w:eastAsiaTheme="minorEastAsia"/>
          <w:bCs/>
          <w:sz w:val="22"/>
          <w:szCs w:val="22"/>
        </w:rPr>
        <w:t>their HRQL at some point following this</w:t>
      </w:r>
      <w:r w:rsidRPr="006C3457">
        <w:rPr>
          <w:rFonts w:eastAsiaTheme="minorEastAsia"/>
          <w:bCs/>
          <w:sz w:val="22"/>
          <w:szCs w:val="22"/>
        </w:rPr>
        <w:t xml:space="preserve">. </w:t>
      </w:r>
      <w:r>
        <w:rPr>
          <w:rFonts w:eastAsiaTheme="minorEastAsia"/>
          <w:bCs/>
          <w:sz w:val="22"/>
          <w:szCs w:val="22"/>
        </w:rPr>
        <w:t xml:space="preserve"> F</w:t>
      </w:r>
      <w:r w:rsidRPr="006C3457">
        <w:rPr>
          <w:rFonts w:eastAsiaTheme="minorEastAsia"/>
          <w:bCs/>
          <w:sz w:val="22"/>
          <w:szCs w:val="22"/>
        </w:rPr>
        <w:t xml:space="preserve">urther evidence is needed to inform appropriate service provision </w:t>
      </w:r>
      <w:r>
        <w:rPr>
          <w:rFonts w:eastAsiaTheme="minorEastAsia"/>
          <w:bCs/>
          <w:sz w:val="22"/>
          <w:szCs w:val="22"/>
        </w:rPr>
        <w:t xml:space="preserve">for them </w:t>
      </w:r>
      <w:r w:rsidRPr="006C3457">
        <w:rPr>
          <w:rFonts w:eastAsiaTheme="minorEastAsia"/>
          <w:bCs/>
          <w:sz w:val="22"/>
          <w:szCs w:val="22"/>
        </w:rPr>
        <w:t xml:space="preserve">in </w:t>
      </w:r>
      <w:r>
        <w:rPr>
          <w:rFonts w:eastAsiaTheme="minorEastAsia"/>
          <w:bCs/>
          <w:sz w:val="22"/>
          <w:szCs w:val="22"/>
        </w:rPr>
        <w:t xml:space="preserve">these </w:t>
      </w:r>
      <w:r w:rsidRPr="006C3457">
        <w:rPr>
          <w:rFonts w:eastAsiaTheme="minorEastAsia"/>
          <w:bCs/>
          <w:sz w:val="22"/>
          <w:szCs w:val="22"/>
        </w:rPr>
        <w:t>later years.</w:t>
      </w:r>
    </w:p>
    <w:p w:rsidR="00E037B4" w:rsidRDefault="00E037B4" w:rsidP="006A0590">
      <w:pPr>
        <w:spacing w:before="0" w:after="240" w:line="480" w:lineRule="auto"/>
        <w:jc w:val="both"/>
        <w:outlineLvl w:val="0"/>
        <w:rPr>
          <w:rFonts w:eastAsia="Times New Roman"/>
          <w:b/>
          <w:bCs/>
          <w:color w:val="000000"/>
          <w:lang w:val="en-US" w:eastAsia="en-GB"/>
        </w:rPr>
      </w:pPr>
    </w:p>
    <w:p w:rsidR="00E037B4" w:rsidRDefault="00E037B4">
      <w:pPr>
        <w:spacing w:before="0" w:after="200"/>
        <w:rPr>
          <w:rFonts w:eastAsia="Times New Roman"/>
          <w:b/>
          <w:bCs/>
          <w:color w:val="000000"/>
          <w:lang w:val="en-US" w:eastAsia="en-GB"/>
        </w:rPr>
      </w:pPr>
      <w:r>
        <w:rPr>
          <w:rFonts w:eastAsia="Times New Roman"/>
          <w:b/>
          <w:bCs/>
          <w:color w:val="000000"/>
          <w:lang w:val="en-US" w:eastAsia="en-GB"/>
        </w:rPr>
        <w:br w:type="page"/>
      </w:r>
    </w:p>
    <w:p w:rsidR="00E037B4" w:rsidRPr="007739EF" w:rsidRDefault="00E037B4" w:rsidP="006A0590">
      <w:pPr>
        <w:pStyle w:val="CommentText"/>
        <w:rPr>
          <w:sz w:val="22"/>
        </w:rPr>
      </w:pPr>
      <w:r w:rsidRPr="007739EF">
        <w:rPr>
          <w:rFonts w:eastAsia="Times New Roman"/>
          <w:b/>
          <w:bCs/>
          <w:color w:val="000000"/>
          <w:sz w:val="22"/>
          <w:lang w:val="en-US" w:eastAsia="en-GB"/>
        </w:rPr>
        <w:lastRenderedPageBreak/>
        <w:t>Abstract</w:t>
      </w:r>
    </w:p>
    <w:p w:rsidR="00E037B4" w:rsidRPr="007739EF" w:rsidRDefault="00E037B4" w:rsidP="006A0590">
      <w:pPr>
        <w:pStyle w:val="CommentText"/>
      </w:pPr>
    </w:p>
    <w:p w:rsidR="00E037B4" w:rsidRPr="00CD3423" w:rsidRDefault="00E037B4" w:rsidP="006A0590">
      <w:pPr>
        <w:spacing w:before="0" w:line="480" w:lineRule="auto"/>
        <w:jc w:val="both"/>
        <w:rPr>
          <w:rFonts w:eastAsia="Times New Roman"/>
          <w:color w:val="000000"/>
          <w:sz w:val="22"/>
          <w:szCs w:val="22"/>
          <w:lang w:val="en-US" w:eastAsia="en-GB"/>
        </w:rPr>
      </w:pPr>
      <w:r>
        <w:rPr>
          <w:rFonts w:eastAsia="Times New Roman"/>
          <w:b/>
          <w:bCs/>
          <w:color w:val="000000"/>
          <w:sz w:val="22"/>
          <w:szCs w:val="22"/>
          <w:lang w:val="en-US" w:eastAsia="en-GB"/>
        </w:rPr>
        <w:t>Background</w:t>
      </w:r>
      <w:r w:rsidRPr="008D0124">
        <w:rPr>
          <w:rFonts w:eastAsia="Times New Roman"/>
          <w:b/>
          <w:bCs/>
          <w:color w:val="000000"/>
          <w:sz w:val="22"/>
          <w:szCs w:val="22"/>
          <w:lang w:val="en-US" w:eastAsia="en-GB"/>
        </w:rPr>
        <w:t xml:space="preserve">: </w:t>
      </w:r>
      <w:r>
        <w:rPr>
          <w:rFonts w:eastAsia="Times New Roman"/>
          <w:bCs/>
          <w:color w:val="000000"/>
          <w:sz w:val="22"/>
          <w:szCs w:val="22"/>
          <w:lang w:val="en-US" w:eastAsia="en-GB"/>
        </w:rPr>
        <w:t xml:space="preserve">Little is known about the health-related </w:t>
      </w:r>
      <w:r w:rsidRPr="002F515D">
        <w:rPr>
          <w:rFonts w:eastAsia="Times New Roman"/>
          <w:bCs/>
          <w:color w:val="000000"/>
          <w:sz w:val="22"/>
          <w:szCs w:val="22"/>
          <w:lang w:val="en-US" w:eastAsia="en-GB"/>
        </w:rPr>
        <w:t xml:space="preserve">quality of life </w:t>
      </w:r>
      <w:r>
        <w:rPr>
          <w:rFonts w:eastAsia="Times New Roman"/>
          <w:bCs/>
          <w:color w:val="000000"/>
          <w:sz w:val="22"/>
          <w:szCs w:val="22"/>
          <w:lang w:val="en-US" w:eastAsia="en-GB"/>
        </w:rPr>
        <w:t>(HRQL) of</w:t>
      </w:r>
      <w:r w:rsidRPr="002F515D">
        <w:rPr>
          <w:rFonts w:eastAsia="Times New Roman"/>
          <w:bCs/>
          <w:color w:val="000000"/>
          <w:sz w:val="22"/>
          <w:szCs w:val="22"/>
          <w:lang w:val="en-US" w:eastAsia="en-GB"/>
        </w:rPr>
        <w:t xml:space="preserve"> men </w:t>
      </w:r>
      <w:r>
        <w:rPr>
          <w:rFonts w:eastAsia="Times New Roman"/>
          <w:bCs/>
          <w:color w:val="000000"/>
          <w:sz w:val="22"/>
          <w:szCs w:val="22"/>
          <w:lang w:val="en-US" w:eastAsia="en-GB"/>
        </w:rPr>
        <w:t xml:space="preserve">living with advanced prostate cancer. </w:t>
      </w:r>
      <w:r>
        <w:rPr>
          <w:sz w:val="22"/>
        </w:rPr>
        <w:t xml:space="preserve"> </w:t>
      </w:r>
      <w:r>
        <w:rPr>
          <w:rFonts w:eastAsia="Times New Roman"/>
          <w:color w:val="000000"/>
          <w:sz w:val="22"/>
          <w:szCs w:val="22"/>
          <w:lang w:val="en-US" w:eastAsia="en-GB"/>
        </w:rPr>
        <w:t>We</w:t>
      </w:r>
      <w:r w:rsidRPr="008D0124">
        <w:rPr>
          <w:rFonts w:eastAsia="Times New Roman"/>
          <w:color w:val="000000"/>
          <w:sz w:val="22"/>
          <w:szCs w:val="22"/>
          <w:lang w:val="en-US" w:eastAsia="en-GB"/>
        </w:rPr>
        <w:t xml:space="preserve"> </w:t>
      </w:r>
      <w:r>
        <w:rPr>
          <w:rFonts w:eastAsia="Times New Roman"/>
          <w:color w:val="000000"/>
          <w:sz w:val="22"/>
          <w:szCs w:val="22"/>
          <w:lang w:val="en-US" w:eastAsia="en-GB"/>
        </w:rPr>
        <w:t xml:space="preserve">report population-wide </w:t>
      </w:r>
      <w:r w:rsidRPr="008D0124">
        <w:rPr>
          <w:rFonts w:eastAsia="Times New Roman"/>
          <w:color w:val="000000"/>
          <w:sz w:val="22"/>
          <w:szCs w:val="22"/>
          <w:lang w:val="en-US" w:eastAsia="en-GB"/>
        </w:rPr>
        <w:t xml:space="preserve">functional </w:t>
      </w:r>
      <w:r>
        <w:rPr>
          <w:rFonts w:eastAsia="Times New Roman"/>
          <w:color w:val="000000"/>
          <w:sz w:val="22"/>
          <w:szCs w:val="22"/>
          <w:lang w:val="en-US" w:eastAsia="en-GB"/>
        </w:rPr>
        <w:t xml:space="preserve">outcomes and </w:t>
      </w:r>
      <w:r w:rsidRPr="008D0124">
        <w:rPr>
          <w:rFonts w:eastAsia="Times New Roman"/>
          <w:color w:val="000000"/>
          <w:sz w:val="22"/>
          <w:szCs w:val="22"/>
          <w:lang w:val="en-US" w:eastAsia="en-GB"/>
        </w:rPr>
        <w:t>HRQL</w:t>
      </w:r>
      <w:r>
        <w:rPr>
          <w:rFonts w:eastAsia="Times New Roman"/>
          <w:color w:val="000000"/>
          <w:sz w:val="22"/>
          <w:szCs w:val="22"/>
          <w:lang w:val="en-US" w:eastAsia="en-GB"/>
        </w:rPr>
        <w:t xml:space="preserve"> in men with all stages of prostate cancer, and identify implications for healthcare delivery</w:t>
      </w:r>
      <w:r w:rsidRPr="008D0124">
        <w:rPr>
          <w:rFonts w:eastAsia="Times New Roman"/>
          <w:color w:val="000000"/>
          <w:sz w:val="22"/>
          <w:szCs w:val="22"/>
          <w:lang w:val="en-US" w:eastAsia="en-GB"/>
        </w:rPr>
        <w:t>.</w:t>
      </w:r>
    </w:p>
    <w:p w:rsidR="00E037B4" w:rsidRDefault="00E037B4" w:rsidP="006A0590">
      <w:pPr>
        <w:spacing w:before="0" w:line="480" w:lineRule="auto"/>
        <w:jc w:val="both"/>
        <w:rPr>
          <w:rFonts w:eastAsia="Times New Roman"/>
          <w:color w:val="000000"/>
          <w:sz w:val="22"/>
          <w:szCs w:val="22"/>
          <w:lang w:eastAsia="en-GB"/>
        </w:rPr>
      </w:pPr>
      <w:r>
        <w:rPr>
          <w:rFonts w:eastAsia="Times New Roman"/>
          <w:b/>
          <w:bCs/>
          <w:color w:val="000000"/>
          <w:sz w:val="22"/>
          <w:szCs w:val="22"/>
          <w:lang w:val="en-US" w:eastAsia="en-GB"/>
        </w:rPr>
        <w:t>Methods</w:t>
      </w:r>
      <w:r w:rsidRPr="008D0124">
        <w:rPr>
          <w:rFonts w:eastAsia="Times New Roman"/>
          <w:b/>
          <w:bCs/>
          <w:color w:val="000000"/>
          <w:sz w:val="22"/>
          <w:szCs w:val="22"/>
          <w:lang w:val="en-US" w:eastAsia="en-GB"/>
        </w:rPr>
        <w:t xml:space="preserve">: </w:t>
      </w:r>
      <w:r>
        <w:rPr>
          <w:rFonts w:eastAsia="Times New Roman"/>
          <w:color w:val="000000"/>
          <w:sz w:val="22"/>
          <w:szCs w:val="22"/>
          <w:lang w:eastAsia="en-GB"/>
        </w:rPr>
        <w:t>Men</w:t>
      </w:r>
      <w:r w:rsidRPr="00D33D09">
        <w:rPr>
          <w:rFonts w:eastAsia="Times New Roman"/>
          <w:color w:val="000000"/>
          <w:sz w:val="22"/>
          <w:szCs w:val="22"/>
          <w:lang w:eastAsia="en-GB"/>
        </w:rPr>
        <w:t xml:space="preserve"> </w:t>
      </w:r>
      <w:r>
        <w:rPr>
          <w:rFonts w:eastAsia="Times New Roman"/>
          <w:color w:val="000000"/>
          <w:sz w:val="22"/>
          <w:szCs w:val="22"/>
          <w:lang w:eastAsia="en-GB"/>
        </w:rPr>
        <w:t xml:space="preserve">alive </w:t>
      </w:r>
      <w:r w:rsidRPr="00D33D09">
        <w:rPr>
          <w:rFonts w:eastAsia="Times New Roman"/>
          <w:color w:val="000000"/>
          <w:sz w:val="22"/>
          <w:szCs w:val="22"/>
          <w:lang w:eastAsia="en-GB"/>
        </w:rPr>
        <w:t xml:space="preserve">18-42 months </w:t>
      </w:r>
      <w:r>
        <w:rPr>
          <w:rFonts w:eastAsia="Times New Roman"/>
          <w:color w:val="000000"/>
          <w:sz w:val="22"/>
          <w:szCs w:val="22"/>
          <w:lang w:eastAsia="en-GB"/>
        </w:rPr>
        <w:t xml:space="preserve">after diagnosis of prostate cancer </w:t>
      </w:r>
      <w:r w:rsidRPr="00D33D09">
        <w:rPr>
          <w:rFonts w:eastAsia="Times New Roman"/>
          <w:color w:val="000000"/>
          <w:sz w:val="22"/>
          <w:szCs w:val="22"/>
          <w:lang w:eastAsia="en-GB"/>
        </w:rPr>
        <w:t xml:space="preserve">were identified </w:t>
      </w:r>
      <w:r>
        <w:rPr>
          <w:rFonts w:eastAsia="Times New Roman"/>
          <w:color w:val="000000"/>
          <w:sz w:val="22"/>
          <w:szCs w:val="22"/>
          <w:lang w:eastAsia="en-GB"/>
        </w:rPr>
        <w:t>through cancer registration data</w:t>
      </w:r>
      <w:r w:rsidRPr="00D33D09">
        <w:rPr>
          <w:rFonts w:eastAsia="Times New Roman"/>
          <w:color w:val="000000"/>
          <w:sz w:val="22"/>
          <w:szCs w:val="22"/>
          <w:lang w:eastAsia="en-GB"/>
        </w:rPr>
        <w:t xml:space="preserve">. </w:t>
      </w:r>
      <w:r>
        <w:rPr>
          <w:rFonts w:eastAsia="Times New Roman"/>
          <w:color w:val="000000"/>
          <w:sz w:val="22"/>
          <w:szCs w:val="22"/>
          <w:lang w:eastAsia="en-GB"/>
        </w:rPr>
        <w:t xml:space="preserve"> A postal survey was administered which contained validated measures to assess a) functional outcomes</w:t>
      </w:r>
      <w:r w:rsidRPr="00D33D09">
        <w:rPr>
          <w:rFonts w:eastAsia="Times New Roman"/>
          <w:color w:val="000000"/>
          <w:sz w:val="22"/>
          <w:szCs w:val="22"/>
          <w:lang w:eastAsia="en-GB"/>
        </w:rPr>
        <w:t xml:space="preserve"> (EPIC-26 plus </w:t>
      </w:r>
      <w:r>
        <w:rPr>
          <w:rFonts w:eastAsia="Times New Roman"/>
          <w:color w:val="000000"/>
          <w:sz w:val="22"/>
          <w:szCs w:val="22"/>
          <w:lang w:eastAsia="en-GB"/>
        </w:rPr>
        <w:t xml:space="preserve">use of </w:t>
      </w:r>
      <w:r w:rsidRPr="00D33D09">
        <w:rPr>
          <w:rFonts w:eastAsia="Times New Roman"/>
          <w:color w:val="000000"/>
          <w:sz w:val="22"/>
          <w:szCs w:val="22"/>
          <w:lang w:eastAsia="en-GB"/>
        </w:rPr>
        <w:t>intervent</w:t>
      </w:r>
      <w:r>
        <w:rPr>
          <w:rFonts w:eastAsia="Times New Roman"/>
          <w:color w:val="000000"/>
          <w:sz w:val="22"/>
          <w:szCs w:val="22"/>
          <w:lang w:eastAsia="en-GB"/>
        </w:rPr>
        <w:t>ions for sexual dysfunction) and</w:t>
      </w:r>
      <w:r w:rsidRPr="00D33D09">
        <w:rPr>
          <w:rFonts w:eastAsia="Times New Roman"/>
          <w:color w:val="000000"/>
          <w:sz w:val="22"/>
          <w:szCs w:val="22"/>
          <w:lang w:eastAsia="en-GB"/>
        </w:rPr>
        <w:t xml:space="preserve"> </w:t>
      </w:r>
      <w:r>
        <w:rPr>
          <w:rFonts w:eastAsia="Times New Roman"/>
          <w:color w:val="000000"/>
          <w:sz w:val="22"/>
          <w:szCs w:val="22"/>
          <w:lang w:eastAsia="en-GB"/>
        </w:rPr>
        <w:t xml:space="preserve">b) </w:t>
      </w:r>
      <w:r w:rsidRPr="00D33D09">
        <w:rPr>
          <w:rFonts w:eastAsia="Times New Roman"/>
          <w:color w:val="000000"/>
          <w:sz w:val="22"/>
          <w:szCs w:val="22"/>
          <w:lang w:eastAsia="en-GB"/>
        </w:rPr>
        <w:t xml:space="preserve">generic HRQL (EQ-5D-5L </w:t>
      </w:r>
      <w:r>
        <w:rPr>
          <w:rFonts w:eastAsia="Times New Roman"/>
          <w:color w:val="000000"/>
          <w:sz w:val="22"/>
          <w:szCs w:val="22"/>
          <w:lang w:eastAsia="en-GB"/>
        </w:rPr>
        <w:t>&amp; self-assessed health). Log-linear and binary logistic regression models were used to compare functional outcomes and HRQL across diagnostic stage and self-reported treatment groups.</w:t>
      </w:r>
    </w:p>
    <w:p w:rsidR="00E037B4" w:rsidRDefault="00E037B4" w:rsidP="006A0590">
      <w:pPr>
        <w:spacing w:before="0" w:line="480" w:lineRule="auto"/>
        <w:jc w:val="both"/>
        <w:rPr>
          <w:rFonts w:eastAsia="Times New Roman"/>
          <w:color w:val="000000"/>
          <w:sz w:val="22"/>
          <w:szCs w:val="22"/>
          <w:lang w:val="en-US" w:eastAsia="en-GB"/>
        </w:rPr>
      </w:pPr>
      <w:r>
        <w:rPr>
          <w:rFonts w:eastAsia="Times New Roman"/>
          <w:b/>
          <w:bCs/>
          <w:color w:val="000000"/>
          <w:sz w:val="22"/>
          <w:szCs w:val="22"/>
          <w:lang w:val="en-US" w:eastAsia="en-GB"/>
        </w:rPr>
        <w:t>Findings</w:t>
      </w:r>
      <w:r w:rsidRPr="008D0124">
        <w:rPr>
          <w:rFonts w:eastAsia="Times New Roman"/>
          <w:b/>
          <w:bCs/>
          <w:color w:val="000000"/>
          <w:sz w:val="22"/>
          <w:szCs w:val="22"/>
          <w:lang w:val="en-US" w:eastAsia="en-GB"/>
        </w:rPr>
        <w:t xml:space="preserve">: </w:t>
      </w:r>
      <w:r w:rsidRPr="008D0124">
        <w:rPr>
          <w:rFonts w:eastAsia="Times New Roman"/>
          <w:color w:val="000000"/>
          <w:sz w:val="22"/>
          <w:szCs w:val="22"/>
          <w:lang w:val="en-US" w:eastAsia="en-GB"/>
        </w:rPr>
        <w:t>35,823 (60.8%)</w:t>
      </w:r>
      <w:r>
        <w:rPr>
          <w:rFonts w:eastAsia="Times New Roman"/>
          <w:color w:val="000000"/>
          <w:sz w:val="22"/>
          <w:szCs w:val="22"/>
          <w:lang w:val="en-US" w:eastAsia="en-GB"/>
        </w:rPr>
        <w:t xml:space="preserve"> men </w:t>
      </w:r>
      <w:r w:rsidRPr="008D0124">
        <w:rPr>
          <w:rFonts w:eastAsia="Times New Roman"/>
          <w:color w:val="000000"/>
          <w:sz w:val="22"/>
          <w:szCs w:val="22"/>
          <w:lang w:val="en-US" w:eastAsia="en-GB"/>
        </w:rPr>
        <w:t>responded</w:t>
      </w:r>
      <w:r>
        <w:rPr>
          <w:rFonts w:eastAsia="Times New Roman"/>
          <w:color w:val="000000"/>
          <w:sz w:val="22"/>
          <w:szCs w:val="22"/>
          <w:lang w:val="en-US" w:eastAsia="en-GB"/>
        </w:rPr>
        <w:t>.  Stage was known for 85.8%; 19,599 (63.8%) stage I/II, 7,209 (23.4%) stage III, 3,925 (12.8%) stage IV</w:t>
      </w:r>
      <w:r w:rsidRPr="008D0124">
        <w:rPr>
          <w:rFonts w:eastAsia="Times New Roman"/>
          <w:color w:val="000000"/>
          <w:sz w:val="22"/>
          <w:szCs w:val="22"/>
          <w:lang w:val="en-US" w:eastAsia="en-GB"/>
        </w:rPr>
        <w:t>.  </w:t>
      </w:r>
      <w:r>
        <w:rPr>
          <w:rFonts w:eastAsia="Times New Roman"/>
          <w:color w:val="000000"/>
          <w:sz w:val="22"/>
          <w:szCs w:val="22"/>
          <w:lang w:val="en-US" w:eastAsia="en-GB"/>
        </w:rPr>
        <w:t xml:space="preserve"> Functional outcomes: </w:t>
      </w:r>
      <w:r w:rsidRPr="008D0124">
        <w:rPr>
          <w:rFonts w:eastAsia="Times New Roman"/>
          <w:color w:val="000000"/>
          <w:sz w:val="22"/>
          <w:szCs w:val="22"/>
          <w:lang w:val="en-US" w:eastAsia="en-GB"/>
        </w:rPr>
        <w:t>Poor sexual function was common</w:t>
      </w:r>
      <w:r>
        <w:rPr>
          <w:rFonts w:eastAsia="Times New Roman"/>
          <w:color w:val="000000"/>
          <w:sz w:val="22"/>
          <w:szCs w:val="22"/>
          <w:lang w:val="en-US" w:eastAsia="en-GB"/>
        </w:rPr>
        <w:t xml:space="preserve"> (81.0%), regardless of stage, and over half of men (55.8%) received no intervention</w:t>
      </w:r>
      <w:r w:rsidRPr="008D0124">
        <w:rPr>
          <w:rFonts w:eastAsia="Times New Roman"/>
          <w:color w:val="000000"/>
          <w:sz w:val="22"/>
          <w:szCs w:val="22"/>
          <w:lang w:val="en-US" w:eastAsia="en-GB"/>
        </w:rPr>
        <w:t xml:space="preserve"> </w:t>
      </w:r>
      <w:r>
        <w:rPr>
          <w:rFonts w:eastAsia="Times New Roman"/>
          <w:color w:val="000000"/>
          <w:sz w:val="22"/>
          <w:szCs w:val="22"/>
          <w:lang w:val="en-US" w:eastAsia="en-GB"/>
        </w:rPr>
        <w:t>for this</w:t>
      </w:r>
      <w:r w:rsidRPr="008D0124">
        <w:rPr>
          <w:rFonts w:eastAsia="Times New Roman"/>
          <w:color w:val="000000"/>
          <w:sz w:val="22"/>
          <w:szCs w:val="22"/>
          <w:lang w:val="en-US" w:eastAsia="en-GB"/>
        </w:rPr>
        <w:t>.</w:t>
      </w:r>
      <w:r>
        <w:rPr>
          <w:rFonts w:eastAsia="Times New Roman"/>
          <w:color w:val="000000"/>
          <w:sz w:val="22"/>
          <w:szCs w:val="22"/>
          <w:lang w:val="en-US" w:eastAsia="en-GB"/>
        </w:rPr>
        <w:t xml:space="preserve"> </w:t>
      </w:r>
      <w:r w:rsidRPr="008D0124">
        <w:rPr>
          <w:rFonts w:eastAsia="Times New Roman"/>
          <w:color w:val="000000"/>
          <w:sz w:val="22"/>
          <w:szCs w:val="22"/>
          <w:lang w:val="en-US" w:eastAsia="en-GB"/>
        </w:rPr>
        <w:t xml:space="preserve"> </w:t>
      </w:r>
      <w:r>
        <w:rPr>
          <w:rFonts w:eastAsia="Times New Roman"/>
          <w:color w:val="000000"/>
          <w:sz w:val="22"/>
          <w:szCs w:val="22"/>
          <w:lang w:val="en-US" w:eastAsia="en-GB"/>
        </w:rPr>
        <w:t xml:space="preserve">Differences in urinary and bowel morbidity were greater with respect to treatment than stage.  In men treated with androgen deprivation therapy (ADT), 30.7% reported moderate/big problems with hot flushes, 29.4% with lack of energy and 22.5% with weight gain.  HRQL: Overall self-assessed health was similar in men with stage I-III disease, and whilst reduced in those with stage IV cancer, 23.5% with metastatic disease reported no problems on any EQ-5D dimension.  </w:t>
      </w:r>
    </w:p>
    <w:p w:rsidR="00E037B4" w:rsidRPr="00CD3423" w:rsidRDefault="00E037B4" w:rsidP="006A0590">
      <w:pPr>
        <w:spacing w:before="0" w:line="480" w:lineRule="auto"/>
        <w:jc w:val="both"/>
        <w:outlineLvl w:val="0"/>
        <w:rPr>
          <w:rFonts w:eastAsia="Times New Roman"/>
          <w:b/>
          <w:color w:val="000000"/>
          <w:sz w:val="22"/>
          <w:szCs w:val="22"/>
          <w:lang w:val="en-US" w:eastAsia="en-GB"/>
        </w:rPr>
      </w:pPr>
      <w:r w:rsidRPr="00CD3423">
        <w:rPr>
          <w:rFonts w:eastAsia="Times New Roman"/>
          <w:b/>
          <w:color w:val="000000"/>
          <w:sz w:val="22"/>
          <w:szCs w:val="22"/>
          <w:lang w:val="en-US" w:eastAsia="en-GB"/>
        </w:rPr>
        <w:t>Interpretation</w:t>
      </w:r>
      <w:r w:rsidRPr="003F6052">
        <w:rPr>
          <w:rFonts w:eastAsia="Times New Roman"/>
          <w:color w:val="000000"/>
          <w:sz w:val="22"/>
          <w:szCs w:val="22"/>
          <w:lang w:val="en-US" w:eastAsia="en-GB"/>
        </w:rPr>
        <w:t xml:space="preserve">: </w:t>
      </w:r>
      <w:r>
        <w:rPr>
          <w:rFonts w:eastAsia="Times New Roman"/>
          <w:color w:val="000000"/>
          <w:sz w:val="22"/>
          <w:szCs w:val="22"/>
          <w:lang w:val="en-US" w:eastAsia="en-GB"/>
        </w:rPr>
        <w:t xml:space="preserve">Men </w:t>
      </w:r>
      <w:r>
        <w:rPr>
          <w:color w:val="000000"/>
          <w:sz w:val="22"/>
          <w:szCs w:val="22"/>
        </w:rPr>
        <w:t xml:space="preserve">diagnosed with advanced disease do not report markedly different HRQL outcomes to those diagnosed with localised disease, although substantial problems with hormonal function and fatigue are reported amongst men treated with ADT.  </w:t>
      </w:r>
      <w:r>
        <w:rPr>
          <w:rFonts w:eastAsiaTheme="minorEastAsia"/>
          <w:bCs/>
          <w:sz w:val="22"/>
          <w:szCs w:val="22"/>
        </w:rPr>
        <w:t>Sexual dysfunction</w:t>
      </w:r>
      <w:r w:rsidRPr="00B678DE">
        <w:rPr>
          <w:rFonts w:eastAsiaTheme="minorEastAsia"/>
          <w:bCs/>
          <w:sz w:val="22"/>
          <w:szCs w:val="22"/>
        </w:rPr>
        <w:t xml:space="preserve"> is </w:t>
      </w:r>
      <w:r>
        <w:rPr>
          <w:rFonts w:eastAsiaTheme="minorEastAsia"/>
          <w:bCs/>
          <w:sz w:val="22"/>
          <w:szCs w:val="22"/>
        </w:rPr>
        <w:t xml:space="preserve">common and the majority of men are not offered </w:t>
      </w:r>
      <w:r w:rsidRPr="00B678DE">
        <w:rPr>
          <w:rFonts w:eastAsiaTheme="minorEastAsia"/>
          <w:bCs/>
          <w:sz w:val="22"/>
          <w:szCs w:val="22"/>
        </w:rPr>
        <w:t xml:space="preserve">helpful intervention or support.  </w:t>
      </w:r>
      <w:r>
        <w:rPr>
          <w:rFonts w:eastAsia="Times New Roman"/>
          <w:color w:val="000000"/>
          <w:sz w:val="22"/>
          <w:szCs w:val="22"/>
          <w:lang w:val="en-US" w:eastAsia="en-GB"/>
        </w:rPr>
        <w:t xml:space="preserve">Service improvements around sexual rehabilitation and measures to reduce the impact of ADT are required.  </w:t>
      </w:r>
    </w:p>
    <w:p w:rsidR="00E037B4" w:rsidRDefault="00E037B4" w:rsidP="006A0590">
      <w:pPr>
        <w:spacing w:before="0" w:line="480" w:lineRule="auto"/>
        <w:jc w:val="both"/>
        <w:rPr>
          <w:rFonts w:eastAsia="Times New Roman"/>
          <w:color w:val="000000"/>
          <w:sz w:val="22"/>
          <w:szCs w:val="22"/>
          <w:lang w:val="en-US" w:eastAsia="en-GB"/>
        </w:rPr>
      </w:pPr>
      <w:r>
        <w:rPr>
          <w:rFonts w:eastAsia="Times New Roman"/>
          <w:b/>
          <w:sz w:val="22"/>
          <w:lang w:val="en-US" w:eastAsia="en-GB"/>
        </w:rPr>
        <w:t xml:space="preserve">Funding: </w:t>
      </w:r>
      <w:r w:rsidRPr="00197225">
        <w:rPr>
          <w:rFonts w:eastAsia="Times New Roman"/>
          <w:bCs/>
          <w:sz w:val="22"/>
          <w:lang w:val="en-US" w:eastAsia="en-GB"/>
        </w:rPr>
        <w:t xml:space="preserve">The </w:t>
      </w:r>
      <w:r w:rsidRPr="008D0124">
        <w:rPr>
          <w:rFonts w:eastAsia="Times New Roman"/>
          <w:color w:val="000000"/>
          <w:sz w:val="22"/>
          <w:szCs w:val="22"/>
          <w:lang w:val="en-US" w:eastAsia="en-GB"/>
        </w:rPr>
        <w:t xml:space="preserve">Movember Foundation, in partnership with Prostate Cancer UK. </w:t>
      </w:r>
    </w:p>
    <w:p w:rsidR="00E037B4" w:rsidRPr="008D0124" w:rsidRDefault="00E037B4" w:rsidP="006A0590">
      <w:pPr>
        <w:spacing w:before="0" w:after="240" w:line="480" w:lineRule="auto"/>
        <w:outlineLvl w:val="0"/>
        <w:rPr>
          <w:rFonts w:eastAsia="Times New Roman"/>
          <w:szCs w:val="22"/>
          <w:lang w:val="en-US" w:eastAsia="en-GB"/>
        </w:rPr>
      </w:pPr>
      <w:r w:rsidRPr="008D0124">
        <w:rPr>
          <w:rFonts w:eastAsia="Times New Roman"/>
          <w:b/>
          <w:bCs/>
          <w:color w:val="000000"/>
          <w:lang w:val="en-US" w:eastAsia="en-GB"/>
        </w:rPr>
        <w:br w:type="page"/>
      </w:r>
      <w:r w:rsidRPr="008D0124">
        <w:rPr>
          <w:rFonts w:eastAsia="Times New Roman"/>
          <w:b/>
          <w:bCs/>
          <w:color w:val="000000"/>
          <w:szCs w:val="22"/>
          <w:lang w:val="en-US" w:eastAsia="en-GB"/>
        </w:rPr>
        <w:lastRenderedPageBreak/>
        <w:t xml:space="preserve">Background </w:t>
      </w:r>
    </w:p>
    <w:p w:rsidR="00E037B4" w:rsidRPr="00E17D3C" w:rsidRDefault="00E037B4">
      <w:pPr>
        <w:spacing w:before="0" w:after="240" w:line="480" w:lineRule="auto"/>
        <w:jc w:val="both"/>
        <w:rPr>
          <w:sz w:val="22"/>
          <w:szCs w:val="22"/>
          <w:lang w:val="en-US"/>
        </w:rPr>
      </w:pPr>
      <w:r>
        <w:rPr>
          <w:sz w:val="22"/>
          <w:szCs w:val="22"/>
        </w:rPr>
        <w:t xml:space="preserve">The number of prostate cancer (PCa) survivors has increased rapidly over recent decades.  According to population-based cancer registry data, 10-year survival has tripled in the last 40 </w:t>
      </w:r>
      <w:r w:rsidRPr="0020265A">
        <w:rPr>
          <w:sz w:val="22"/>
          <w:szCs w:val="22"/>
        </w:rPr>
        <w:t>years</w:t>
      </w:r>
      <w:r>
        <w:rPr>
          <w:sz w:val="22"/>
          <w:szCs w:val="22"/>
        </w:rPr>
        <w:t xml:space="preserve"> in the United Kingdom (UK)</w:t>
      </w:r>
      <w:r w:rsidRPr="006D67DF">
        <w:rPr>
          <w:noProof/>
          <w:sz w:val="22"/>
          <w:szCs w:val="22"/>
          <w:vertAlign w:val="superscript"/>
        </w:rPr>
        <w:t>1</w:t>
      </w:r>
      <w:r>
        <w:rPr>
          <w:sz w:val="22"/>
          <w:szCs w:val="22"/>
        </w:rPr>
        <w:t>.  In England, there are an estimated 325,000 men alive having been diagnosed with PCa between 1995 and 2015</w:t>
      </w:r>
      <w:r w:rsidRPr="0028411E">
        <w:rPr>
          <w:noProof/>
          <w:sz w:val="22"/>
          <w:szCs w:val="22"/>
          <w:vertAlign w:val="superscript"/>
        </w:rPr>
        <w:t>2</w:t>
      </w:r>
      <w:r w:rsidRPr="0020265A">
        <w:rPr>
          <w:sz w:val="22"/>
          <w:szCs w:val="22"/>
        </w:rPr>
        <w:t xml:space="preserve">. </w:t>
      </w:r>
      <w:r>
        <w:rPr>
          <w:sz w:val="22"/>
          <w:szCs w:val="22"/>
        </w:rPr>
        <w:t xml:space="preserve"> A</w:t>
      </w:r>
      <w:r w:rsidRPr="0020265A">
        <w:rPr>
          <w:color w:val="000000"/>
          <w:sz w:val="22"/>
          <w:szCs w:val="22"/>
          <w:lang w:val="en-US"/>
        </w:rPr>
        <w:t xml:space="preserve"> principal challenge </w:t>
      </w:r>
      <w:r>
        <w:rPr>
          <w:color w:val="000000"/>
          <w:sz w:val="22"/>
          <w:szCs w:val="22"/>
          <w:lang w:val="en-US"/>
        </w:rPr>
        <w:t xml:space="preserve">for healthcare </w:t>
      </w:r>
      <w:r w:rsidRPr="0020265A">
        <w:rPr>
          <w:color w:val="000000"/>
          <w:sz w:val="22"/>
          <w:szCs w:val="22"/>
          <w:lang w:val="en-US"/>
        </w:rPr>
        <w:t>is to understand the needs</w:t>
      </w:r>
      <w:r>
        <w:rPr>
          <w:color w:val="000000"/>
          <w:sz w:val="22"/>
          <w:szCs w:val="22"/>
          <w:lang w:val="en-US"/>
        </w:rPr>
        <w:t xml:space="preserve"> of this growing group of men, in particular the problems and challenges faced by those living with advanced disease </w:t>
      </w:r>
      <w:r>
        <w:rPr>
          <w:rFonts w:eastAsia="Times New Roman"/>
          <w:color w:val="000000"/>
          <w:sz w:val="22"/>
          <w:szCs w:val="22"/>
          <w:lang w:val="en-US" w:eastAsia="en-GB"/>
        </w:rPr>
        <w:t>(30% of men with distant metastases now survive at least five years</w:t>
      </w:r>
      <w:r w:rsidRPr="0028411E">
        <w:rPr>
          <w:rFonts w:eastAsia="Times New Roman"/>
          <w:noProof/>
          <w:color w:val="000000"/>
          <w:sz w:val="22"/>
          <w:szCs w:val="22"/>
          <w:vertAlign w:val="superscript"/>
          <w:lang w:val="en-US" w:eastAsia="en-GB"/>
        </w:rPr>
        <w:t>3</w:t>
      </w:r>
      <w:r>
        <w:rPr>
          <w:rFonts w:eastAsia="Times New Roman"/>
          <w:color w:val="000000"/>
          <w:sz w:val="22"/>
          <w:szCs w:val="22"/>
          <w:lang w:val="en-US" w:eastAsia="en-GB"/>
        </w:rPr>
        <w:t>)</w:t>
      </w:r>
      <w:r w:rsidRPr="0020265A">
        <w:rPr>
          <w:color w:val="000000"/>
          <w:sz w:val="22"/>
          <w:szCs w:val="22"/>
          <w:lang w:val="en-US"/>
        </w:rPr>
        <w:t>.</w:t>
      </w:r>
      <w:r>
        <w:rPr>
          <w:color w:val="000000"/>
          <w:sz w:val="22"/>
          <w:szCs w:val="22"/>
          <w:lang w:val="en-US"/>
        </w:rPr>
        <w:t xml:space="preserve">  </w:t>
      </w:r>
      <w:r w:rsidRPr="00E17D3C">
        <w:rPr>
          <w:sz w:val="22"/>
          <w:szCs w:val="22"/>
          <w:lang w:val="en-US"/>
        </w:rPr>
        <w:t xml:space="preserve">The quality of survival experienced, with definition of the specific impacts of the disease and </w:t>
      </w:r>
      <w:r>
        <w:rPr>
          <w:sz w:val="22"/>
          <w:szCs w:val="22"/>
          <w:lang w:val="en-US"/>
        </w:rPr>
        <w:t>its treatment</w:t>
      </w:r>
      <w:r w:rsidRPr="00E17D3C">
        <w:rPr>
          <w:sz w:val="22"/>
          <w:szCs w:val="22"/>
          <w:lang w:val="en-US"/>
        </w:rPr>
        <w:t>, must be robustly determined to facilitate ap</w:t>
      </w:r>
      <w:r>
        <w:rPr>
          <w:sz w:val="22"/>
          <w:szCs w:val="22"/>
          <w:lang w:val="en-US"/>
        </w:rPr>
        <w:t xml:space="preserve">propriate </w:t>
      </w:r>
      <w:r w:rsidRPr="00E17D3C">
        <w:rPr>
          <w:sz w:val="22"/>
          <w:szCs w:val="22"/>
          <w:lang w:val="en-US"/>
        </w:rPr>
        <w:t>care provision</w:t>
      </w:r>
      <w:r w:rsidRPr="0028411E">
        <w:rPr>
          <w:rFonts w:eastAsia="Times New Roman"/>
          <w:noProof/>
          <w:sz w:val="22"/>
          <w:szCs w:val="22"/>
          <w:vertAlign w:val="superscript"/>
          <w:lang w:val="en-US" w:eastAsia="en-GB"/>
        </w:rPr>
        <w:t>4</w:t>
      </w:r>
      <w:r w:rsidRPr="00E17D3C">
        <w:rPr>
          <w:rFonts w:eastAsia="Times New Roman"/>
          <w:sz w:val="22"/>
          <w:szCs w:val="22"/>
          <w:lang w:val="en-US" w:eastAsia="en-GB"/>
        </w:rPr>
        <w:t>. </w:t>
      </w:r>
    </w:p>
    <w:p w:rsidR="00E037B4" w:rsidRPr="008D0124" w:rsidRDefault="00E037B4">
      <w:pPr>
        <w:spacing w:before="0" w:after="240" w:line="480" w:lineRule="auto"/>
        <w:jc w:val="both"/>
        <w:rPr>
          <w:rFonts w:eastAsia="Times New Roman"/>
          <w:sz w:val="22"/>
          <w:szCs w:val="22"/>
          <w:lang w:val="en-US" w:eastAsia="en-GB"/>
        </w:rPr>
      </w:pPr>
      <w:r>
        <w:rPr>
          <w:rFonts w:eastAsia="Times New Roman"/>
          <w:color w:val="000000"/>
          <w:sz w:val="22"/>
          <w:szCs w:val="22"/>
          <w:lang w:val="en-US" w:eastAsia="en-GB"/>
        </w:rPr>
        <w:t>Significant sexual, urinary and bowel morbidities have been identified following treatment of localised PCa, with the pattern and severity of morbidity varying according to the type and intensity of treatment received</w:t>
      </w:r>
      <w:r w:rsidRPr="0028411E">
        <w:rPr>
          <w:rFonts w:eastAsia="Times New Roman"/>
          <w:noProof/>
          <w:color w:val="000000"/>
          <w:sz w:val="22"/>
          <w:szCs w:val="22"/>
          <w:vertAlign w:val="superscript"/>
          <w:lang w:val="en-US" w:eastAsia="en-GB"/>
        </w:rPr>
        <w:t>5-8</w:t>
      </w:r>
      <w:r>
        <w:rPr>
          <w:rFonts w:eastAsia="Times New Roman"/>
          <w:color w:val="000000"/>
          <w:sz w:val="22"/>
          <w:szCs w:val="22"/>
          <w:lang w:val="en-US" w:eastAsia="en-GB"/>
        </w:rPr>
        <w:t xml:space="preserve">.  Most intelligence originates from </w:t>
      </w:r>
      <w:r w:rsidRPr="008D0124">
        <w:rPr>
          <w:rFonts w:eastAsia="Times New Roman"/>
          <w:color w:val="000000"/>
          <w:sz w:val="22"/>
          <w:szCs w:val="22"/>
          <w:lang w:val="en-US" w:eastAsia="en-GB"/>
        </w:rPr>
        <w:t>randomi</w:t>
      </w:r>
      <w:r>
        <w:rPr>
          <w:rFonts w:eastAsia="Times New Roman"/>
          <w:color w:val="000000"/>
          <w:sz w:val="22"/>
          <w:szCs w:val="22"/>
          <w:lang w:val="en-US" w:eastAsia="en-GB"/>
        </w:rPr>
        <w:t>s</w:t>
      </w:r>
      <w:r w:rsidRPr="008D0124">
        <w:rPr>
          <w:rFonts w:eastAsia="Times New Roman"/>
          <w:color w:val="000000"/>
          <w:sz w:val="22"/>
          <w:szCs w:val="22"/>
          <w:lang w:val="en-US" w:eastAsia="en-GB"/>
        </w:rPr>
        <w:t>ed controlled trials and observational studies of specific cohorts</w:t>
      </w:r>
      <w:r>
        <w:rPr>
          <w:rFonts w:eastAsia="Times New Roman"/>
          <w:color w:val="000000"/>
          <w:sz w:val="22"/>
          <w:szCs w:val="22"/>
          <w:lang w:val="en-US" w:eastAsia="en-GB"/>
        </w:rPr>
        <w:t xml:space="preserve">, </w:t>
      </w:r>
      <w:r w:rsidRPr="008D0124">
        <w:rPr>
          <w:rFonts w:eastAsia="Times New Roman"/>
          <w:color w:val="000000"/>
          <w:sz w:val="22"/>
          <w:szCs w:val="22"/>
          <w:lang w:val="en-US" w:eastAsia="en-GB"/>
        </w:rPr>
        <w:t xml:space="preserve">often reporting outcomes following surgery compared to </w:t>
      </w:r>
      <w:r>
        <w:rPr>
          <w:rFonts w:eastAsia="Times New Roman"/>
          <w:color w:val="000000"/>
          <w:sz w:val="22"/>
          <w:szCs w:val="22"/>
          <w:lang w:val="en-US" w:eastAsia="en-GB"/>
        </w:rPr>
        <w:t>radio</w:t>
      </w:r>
      <w:r w:rsidRPr="008D0124">
        <w:rPr>
          <w:rFonts w:eastAsia="Times New Roman"/>
          <w:color w:val="000000"/>
          <w:sz w:val="22"/>
          <w:szCs w:val="22"/>
          <w:lang w:val="en-US" w:eastAsia="en-GB"/>
        </w:rPr>
        <w:t>therapy and surveillance</w:t>
      </w:r>
      <w:r>
        <w:rPr>
          <w:rFonts w:eastAsia="Times New Roman"/>
          <w:color w:val="000000"/>
          <w:sz w:val="22"/>
          <w:szCs w:val="22"/>
          <w:lang w:val="en-US" w:eastAsia="en-GB"/>
        </w:rPr>
        <w:t xml:space="preserve"> in men with</w:t>
      </w:r>
      <w:r w:rsidRPr="008D0124">
        <w:rPr>
          <w:rFonts w:eastAsia="Times New Roman"/>
          <w:color w:val="000000"/>
          <w:sz w:val="22"/>
          <w:szCs w:val="22"/>
          <w:lang w:val="en-US" w:eastAsia="en-GB"/>
        </w:rPr>
        <w:t xml:space="preserve"> locali</w:t>
      </w:r>
      <w:r>
        <w:rPr>
          <w:rFonts w:eastAsia="Times New Roman"/>
          <w:color w:val="000000"/>
          <w:sz w:val="22"/>
          <w:szCs w:val="22"/>
          <w:lang w:val="en-US" w:eastAsia="en-GB"/>
        </w:rPr>
        <w:t>s</w:t>
      </w:r>
      <w:r w:rsidRPr="008D0124">
        <w:rPr>
          <w:rFonts w:eastAsia="Times New Roman"/>
          <w:color w:val="000000"/>
          <w:sz w:val="22"/>
          <w:szCs w:val="22"/>
          <w:lang w:val="en-US" w:eastAsia="en-GB"/>
        </w:rPr>
        <w:t>ed PCa</w:t>
      </w:r>
      <w:r w:rsidRPr="0028411E">
        <w:rPr>
          <w:rFonts w:eastAsia="Times New Roman"/>
          <w:noProof/>
          <w:color w:val="000000"/>
          <w:sz w:val="22"/>
          <w:szCs w:val="22"/>
          <w:vertAlign w:val="superscript"/>
          <w:lang w:val="en-US" w:eastAsia="en-GB"/>
        </w:rPr>
        <w:t>9</w:t>
      </w:r>
      <w:r>
        <w:rPr>
          <w:rFonts w:eastAsia="Times New Roman"/>
          <w:color w:val="000000"/>
          <w:sz w:val="22"/>
          <w:szCs w:val="22"/>
          <w:lang w:val="en-US" w:eastAsia="en-GB"/>
        </w:rPr>
        <w:t>.  Evidence</w:t>
      </w:r>
      <w:r w:rsidRPr="008D0124">
        <w:rPr>
          <w:rFonts w:eastAsia="Times New Roman"/>
          <w:color w:val="000000"/>
          <w:sz w:val="22"/>
          <w:szCs w:val="22"/>
          <w:lang w:val="en-US" w:eastAsia="en-GB"/>
        </w:rPr>
        <w:t xml:space="preserve"> </w:t>
      </w:r>
      <w:r>
        <w:rPr>
          <w:rFonts w:eastAsia="Times New Roman"/>
          <w:color w:val="000000"/>
          <w:sz w:val="22"/>
          <w:szCs w:val="22"/>
          <w:lang w:val="en-US" w:eastAsia="en-GB"/>
        </w:rPr>
        <w:t xml:space="preserve">for the UK </w:t>
      </w:r>
      <w:r w:rsidRPr="008D0124">
        <w:rPr>
          <w:rFonts w:eastAsia="Times New Roman"/>
          <w:color w:val="000000"/>
          <w:sz w:val="22"/>
          <w:szCs w:val="22"/>
          <w:lang w:val="en-US" w:eastAsia="en-GB"/>
        </w:rPr>
        <w:t>has not been generated at an unselected population level.  </w:t>
      </w:r>
      <w:r>
        <w:rPr>
          <w:rFonts w:eastAsia="Times New Roman"/>
          <w:color w:val="000000"/>
          <w:sz w:val="22"/>
          <w:szCs w:val="22"/>
          <w:lang w:val="en-US" w:eastAsia="en-GB"/>
        </w:rPr>
        <w:t>In addition, few studies have reported outcomes in men with locally advanced or metastatic disease.  Such studies tend to be small and are mostly</w:t>
      </w:r>
      <w:r w:rsidRPr="00B31F03">
        <w:rPr>
          <w:rFonts w:eastAsia="Times New Roman"/>
          <w:color w:val="000000"/>
          <w:sz w:val="22"/>
          <w:szCs w:val="22"/>
          <w:lang w:val="en-US" w:eastAsia="en-GB"/>
        </w:rPr>
        <w:t xml:space="preserve"> clinical trials</w:t>
      </w:r>
      <w:r>
        <w:rPr>
          <w:rFonts w:eastAsia="Times New Roman"/>
          <w:color w:val="000000"/>
          <w:sz w:val="22"/>
          <w:szCs w:val="22"/>
          <w:lang w:val="en-US" w:eastAsia="en-GB"/>
        </w:rPr>
        <w:t xml:space="preserve"> </w:t>
      </w:r>
      <w:r w:rsidRPr="00B31F03">
        <w:rPr>
          <w:rFonts w:eastAsia="Times New Roman"/>
          <w:color w:val="000000"/>
          <w:sz w:val="22"/>
          <w:szCs w:val="22"/>
          <w:lang w:val="en-US" w:eastAsia="en-GB"/>
        </w:rPr>
        <w:t>comparing specific treatment types</w:t>
      </w:r>
      <w:r w:rsidRPr="0028411E">
        <w:rPr>
          <w:rFonts w:eastAsia="Times New Roman"/>
          <w:noProof/>
          <w:color w:val="000000"/>
          <w:sz w:val="22"/>
          <w:szCs w:val="22"/>
          <w:vertAlign w:val="superscript"/>
          <w:lang w:val="en-US" w:eastAsia="en-GB"/>
        </w:rPr>
        <w:t>10-12</w:t>
      </w:r>
      <w:r>
        <w:rPr>
          <w:rFonts w:eastAsia="Times New Roman"/>
          <w:color w:val="000000"/>
          <w:sz w:val="22"/>
          <w:szCs w:val="22"/>
          <w:lang w:val="en-US" w:eastAsia="en-GB"/>
        </w:rPr>
        <w:t xml:space="preserve">. </w:t>
      </w:r>
      <w:r w:rsidRPr="00B31F03" w:rsidDel="00B31F03">
        <w:rPr>
          <w:rFonts w:eastAsia="Times New Roman"/>
          <w:color w:val="000000"/>
          <w:sz w:val="22"/>
          <w:szCs w:val="22"/>
          <w:lang w:val="en-US" w:eastAsia="en-GB"/>
        </w:rPr>
        <w:t xml:space="preserve"> </w:t>
      </w:r>
    </w:p>
    <w:p w:rsidR="00E037B4" w:rsidRDefault="00E037B4" w:rsidP="006A0590">
      <w:pPr>
        <w:spacing w:before="0" w:after="360" w:line="480" w:lineRule="auto"/>
        <w:jc w:val="both"/>
        <w:rPr>
          <w:rFonts w:eastAsia="Times New Roman"/>
          <w:color w:val="000000"/>
          <w:sz w:val="22"/>
          <w:szCs w:val="22"/>
          <w:lang w:val="en-US" w:eastAsia="en-GB"/>
        </w:rPr>
      </w:pPr>
      <w:r w:rsidRPr="008D0124">
        <w:rPr>
          <w:rFonts w:eastAsia="Times New Roman"/>
          <w:color w:val="000000"/>
          <w:sz w:val="22"/>
          <w:szCs w:val="22"/>
          <w:lang w:val="en-US" w:eastAsia="en-GB"/>
        </w:rPr>
        <w:t xml:space="preserve">The Life After Prostate Cancer Diagnosis (LAPCD) </w:t>
      </w:r>
      <w:r>
        <w:rPr>
          <w:rFonts w:eastAsia="Times New Roman"/>
          <w:color w:val="000000"/>
          <w:sz w:val="22"/>
          <w:szCs w:val="22"/>
          <w:lang w:val="en-US" w:eastAsia="en-GB"/>
        </w:rPr>
        <w:t>study adopts an established approach to the measurement of population-level health-related quality of life (HRQL), previously used in a national population of colorectal cancer survivors</w:t>
      </w:r>
      <w:r w:rsidRPr="0028411E">
        <w:rPr>
          <w:rFonts w:eastAsia="Times New Roman"/>
          <w:noProof/>
          <w:color w:val="000000"/>
          <w:sz w:val="22"/>
          <w:szCs w:val="22"/>
          <w:vertAlign w:val="superscript"/>
          <w:lang w:val="en-US" w:eastAsia="en-GB"/>
        </w:rPr>
        <w:t>13</w:t>
      </w:r>
      <w:r>
        <w:rPr>
          <w:rFonts w:eastAsia="Times New Roman"/>
          <w:color w:val="000000"/>
          <w:sz w:val="22"/>
          <w:szCs w:val="22"/>
          <w:lang w:val="en-US" w:eastAsia="en-GB"/>
        </w:rPr>
        <w:t xml:space="preserve">, and extends this to men living with all stages of PCa 18-42 months post diagnosis.  </w:t>
      </w:r>
      <w:r w:rsidRPr="00AD661E">
        <w:rPr>
          <w:bCs/>
          <w:iCs/>
          <w:color w:val="212121"/>
          <w:sz w:val="22"/>
          <w:szCs w:val="22"/>
          <w:shd w:val="clear" w:color="auto" w:fill="FFFFFF"/>
        </w:rPr>
        <w:t>This timeframe was chosen as it represents the period when initial treatment is complete and side effects/HRQL have begun to stabilise</w:t>
      </w:r>
      <w:r w:rsidRPr="008E372B">
        <w:rPr>
          <w:bCs/>
          <w:iCs/>
          <w:noProof/>
          <w:color w:val="212121"/>
          <w:sz w:val="22"/>
          <w:szCs w:val="22"/>
          <w:shd w:val="clear" w:color="auto" w:fill="FFFFFF"/>
          <w:vertAlign w:val="superscript"/>
        </w:rPr>
        <w:t>5</w:t>
      </w:r>
      <w:r w:rsidRPr="00AD661E">
        <w:rPr>
          <w:bCs/>
          <w:iCs/>
          <w:color w:val="212121"/>
          <w:sz w:val="22"/>
          <w:szCs w:val="22"/>
          <w:shd w:val="clear" w:color="auto" w:fill="FFFFFF"/>
        </w:rPr>
        <w:t xml:space="preserve">.  In men with advanced disease, treatment with androgen deprivation therapy (ADT) starts at diagnosis and therefore any ADT-related effects would be captured. </w:t>
      </w:r>
      <w:r w:rsidRPr="0042302A">
        <w:rPr>
          <w:color w:val="212121"/>
          <w:shd w:val="clear" w:color="auto" w:fill="FFFFFF"/>
        </w:rPr>
        <w:t xml:space="preserve"> </w:t>
      </w:r>
      <w:r>
        <w:rPr>
          <w:rFonts w:eastAsia="Times New Roman"/>
          <w:color w:val="000000"/>
          <w:sz w:val="22"/>
          <w:szCs w:val="22"/>
          <w:lang w:val="en-US" w:eastAsia="en-GB"/>
        </w:rPr>
        <w:t xml:space="preserve">An internationally recommended series of outcome measures has been utilised to facilitate comparison and </w:t>
      </w:r>
      <w:r>
        <w:rPr>
          <w:rFonts w:eastAsia="Times New Roman"/>
          <w:color w:val="000000"/>
          <w:sz w:val="22"/>
          <w:szCs w:val="22"/>
          <w:lang w:val="en-US" w:eastAsia="en-GB"/>
        </w:rPr>
        <w:lastRenderedPageBreak/>
        <w:t>interpretation, with specific enquiry as to the impact of interventions offered for sexual dysfunction</w:t>
      </w:r>
      <w:r w:rsidRPr="0017062A">
        <w:rPr>
          <w:rFonts w:eastAsia="Times New Roman"/>
          <w:noProof/>
          <w:color w:val="000000"/>
          <w:sz w:val="22"/>
          <w:szCs w:val="22"/>
          <w:vertAlign w:val="superscript"/>
          <w:lang w:val="en-US" w:eastAsia="en-GB"/>
        </w:rPr>
        <w:t>14</w:t>
      </w:r>
      <w:r>
        <w:rPr>
          <w:rFonts w:eastAsia="Times New Roman"/>
          <w:color w:val="000000"/>
          <w:sz w:val="22"/>
          <w:szCs w:val="22"/>
          <w:lang w:val="en-US" w:eastAsia="en-GB"/>
        </w:rPr>
        <w:t xml:space="preserve">.  </w:t>
      </w:r>
    </w:p>
    <w:p w:rsidR="00E037B4" w:rsidRDefault="00E037B4" w:rsidP="006A0590">
      <w:pPr>
        <w:spacing w:before="0" w:after="360" w:line="480" w:lineRule="auto"/>
        <w:jc w:val="both"/>
        <w:rPr>
          <w:rFonts w:eastAsia="Times New Roman"/>
          <w:color w:val="000000"/>
          <w:sz w:val="22"/>
          <w:szCs w:val="22"/>
          <w:lang w:val="en-US" w:eastAsia="en-GB"/>
        </w:rPr>
      </w:pPr>
      <w:r>
        <w:rPr>
          <w:rFonts w:eastAsia="Times New Roman"/>
          <w:color w:val="000000"/>
          <w:sz w:val="22"/>
          <w:szCs w:val="22"/>
          <w:lang w:val="en-US" w:eastAsia="en-GB"/>
        </w:rPr>
        <w:t>Here we</w:t>
      </w:r>
      <w:r w:rsidRPr="008D0124">
        <w:rPr>
          <w:rFonts w:eastAsia="Times New Roman"/>
          <w:color w:val="000000"/>
          <w:sz w:val="22"/>
          <w:szCs w:val="22"/>
          <w:lang w:val="en-US" w:eastAsia="en-GB"/>
        </w:rPr>
        <w:t xml:space="preserve"> </w:t>
      </w:r>
      <w:r>
        <w:rPr>
          <w:rFonts w:eastAsia="Times New Roman"/>
          <w:color w:val="000000"/>
          <w:sz w:val="22"/>
          <w:szCs w:val="22"/>
          <w:lang w:val="en-US" w:eastAsia="en-GB"/>
        </w:rPr>
        <w:t xml:space="preserve">quantify and compare a) </w:t>
      </w:r>
      <w:r w:rsidRPr="008D0124">
        <w:rPr>
          <w:rFonts w:eastAsia="Times New Roman"/>
          <w:color w:val="000000"/>
          <w:sz w:val="22"/>
          <w:szCs w:val="22"/>
          <w:lang w:val="en-US" w:eastAsia="en-GB"/>
        </w:rPr>
        <w:t xml:space="preserve">functional </w:t>
      </w:r>
      <w:r>
        <w:rPr>
          <w:rFonts w:eastAsia="Times New Roman"/>
          <w:color w:val="000000"/>
          <w:sz w:val="22"/>
          <w:szCs w:val="22"/>
          <w:lang w:val="en-US" w:eastAsia="en-GB"/>
        </w:rPr>
        <w:t xml:space="preserve">outcomes (urinary, bowel, sexual and vitality/hormonal) and b) </w:t>
      </w:r>
      <w:r w:rsidRPr="008D0124">
        <w:rPr>
          <w:rFonts w:eastAsia="Times New Roman"/>
          <w:color w:val="000000"/>
          <w:sz w:val="22"/>
          <w:szCs w:val="22"/>
          <w:lang w:val="en-US" w:eastAsia="en-GB"/>
        </w:rPr>
        <w:t>HRQL</w:t>
      </w:r>
      <w:r>
        <w:rPr>
          <w:rFonts w:eastAsia="Times New Roman"/>
          <w:color w:val="000000"/>
          <w:sz w:val="22"/>
          <w:szCs w:val="22"/>
          <w:lang w:val="en-US" w:eastAsia="en-GB"/>
        </w:rPr>
        <w:t xml:space="preserve"> of men with PCa across all disease stages and treatment groups, and identify implications for healthcare delivery</w:t>
      </w:r>
      <w:r w:rsidRPr="008D0124">
        <w:rPr>
          <w:rFonts w:eastAsia="Times New Roman"/>
          <w:color w:val="000000"/>
          <w:sz w:val="22"/>
          <w:szCs w:val="22"/>
          <w:lang w:val="en-US" w:eastAsia="en-GB"/>
        </w:rPr>
        <w:t>.</w:t>
      </w:r>
    </w:p>
    <w:p w:rsidR="00E037B4" w:rsidRPr="008D0124" w:rsidRDefault="00E037B4" w:rsidP="006A0590">
      <w:pPr>
        <w:spacing w:before="0" w:line="480" w:lineRule="auto"/>
        <w:jc w:val="both"/>
        <w:rPr>
          <w:rFonts w:eastAsia="Times New Roman"/>
          <w:szCs w:val="22"/>
          <w:lang w:val="en-US" w:eastAsia="en-GB"/>
        </w:rPr>
      </w:pPr>
      <w:r w:rsidRPr="008D0124">
        <w:rPr>
          <w:rFonts w:eastAsia="Times New Roman"/>
          <w:b/>
          <w:bCs/>
          <w:color w:val="000000"/>
          <w:szCs w:val="22"/>
          <w:lang w:val="en-US" w:eastAsia="en-GB"/>
        </w:rPr>
        <w:t>Methods</w:t>
      </w:r>
    </w:p>
    <w:p w:rsidR="00E037B4" w:rsidRPr="008D0124" w:rsidRDefault="00E037B4" w:rsidP="006A0590">
      <w:pPr>
        <w:spacing w:before="0" w:after="240" w:line="480" w:lineRule="auto"/>
        <w:jc w:val="both"/>
        <w:rPr>
          <w:rFonts w:eastAsia="Times New Roman"/>
          <w:sz w:val="22"/>
          <w:szCs w:val="22"/>
          <w:lang w:val="en-US" w:eastAsia="en-GB"/>
        </w:rPr>
      </w:pPr>
      <w:r w:rsidRPr="008D0124">
        <w:rPr>
          <w:rFonts w:eastAsia="Times New Roman"/>
          <w:color w:val="000000"/>
          <w:sz w:val="22"/>
          <w:szCs w:val="22"/>
          <w:lang w:val="en-US" w:eastAsia="en-GB"/>
        </w:rPr>
        <w:t>The LAPCD methodology has been reported in full</w:t>
      </w:r>
      <w:r w:rsidRPr="0017062A">
        <w:rPr>
          <w:rFonts w:eastAsia="Times New Roman"/>
          <w:noProof/>
          <w:color w:val="000000"/>
          <w:sz w:val="22"/>
          <w:szCs w:val="22"/>
          <w:vertAlign w:val="superscript"/>
          <w:lang w:val="en-US" w:eastAsia="en-GB"/>
        </w:rPr>
        <w:t>15</w:t>
      </w:r>
      <w:r w:rsidRPr="008D0124">
        <w:rPr>
          <w:rFonts w:eastAsia="Times New Roman"/>
          <w:color w:val="000000"/>
          <w:sz w:val="22"/>
          <w:szCs w:val="22"/>
          <w:lang w:val="en-US" w:eastAsia="en-GB"/>
        </w:rPr>
        <w:t xml:space="preserve"> </w:t>
      </w:r>
      <w:r>
        <w:rPr>
          <w:rFonts w:eastAsia="Times New Roman"/>
          <w:color w:val="000000"/>
          <w:sz w:val="22"/>
          <w:szCs w:val="22"/>
          <w:lang w:val="en-US" w:eastAsia="en-GB"/>
        </w:rPr>
        <w:t>but</w:t>
      </w:r>
      <w:r w:rsidRPr="008D0124">
        <w:rPr>
          <w:rFonts w:eastAsia="Times New Roman"/>
          <w:color w:val="000000"/>
          <w:sz w:val="22"/>
          <w:szCs w:val="22"/>
          <w:lang w:val="en-US" w:eastAsia="en-GB"/>
        </w:rPr>
        <w:t xml:space="preserve"> is outlined below.</w:t>
      </w:r>
    </w:p>
    <w:p w:rsidR="00E037B4" w:rsidRPr="008D0124" w:rsidRDefault="00E037B4" w:rsidP="006A0590">
      <w:pPr>
        <w:spacing w:before="0" w:line="480" w:lineRule="auto"/>
        <w:jc w:val="both"/>
        <w:outlineLvl w:val="0"/>
        <w:rPr>
          <w:rFonts w:eastAsia="Times New Roman"/>
          <w:sz w:val="22"/>
          <w:szCs w:val="22"/>
          <w:lang w:val="en-US" w:eastAsia="en-GB"/>
        </w:rPr>
      </w:pPr>
      <w:r>
        <w:rPr>
          <w:rFonts w:eastAsia="Times New Roman"/>
          <w:b/>
          <w:bCs/>
          <w:color w:val="000000"/>
          <w:sz w:val="22"/>
          <w:szCs w:val="22"/>
          <w:lang w:val="en-US" w:eastAsia="en-GB"/>
        </w:rPr>
        <w:t>Study design and p</w:t>
      </w:r>
      <w:r w:rsidRPr="008D0124">
        <w:rPr>
          <w:rFonts w:eastAsia="Times New Roman"/>
          <w:b/>
          <w:bCs/>
          <w:color w:val="000000"/>
          <w:sz w:val="22"/>
          <w:szCs w:val="22"/>
          <w:lang w:val="en-US" w:eastAsia="en-GB"/>
        </w:rPr>
        <w:t>articipants</w:t>
      </w:r>
    </w:p>
    <w:p w:rsidR="00E037B4" w:rsidRDefault="00E037B4" w:rsidP="006A0590">
      <w:pPr>
        <w:spacing w:before="0" w:after="240" w:line="480" w:lineRule="auto"/>
        <w:jc w:val="both"/>
        <w:rPr>
          <w:rFonts w:eastAsia="Times New Roman"/>
          <w:color w:val="000000"/>
          <w:sz w:val="22"/>
          <w:szCs w:val="22"/>
          <w:lang w:val="en-US" w:eastAsia="en-GB"/>
        </w:rPr>
      </w:pPr>
      <w:r w:rsidRPr="008D0124">
        <w:rPr>
          <w:rFonts w:eastAsia="Times New Roman"/>
          <w:color w:val="000000"/>
          <w:sz w:val="22"/>
          <w:szCs w:val="22"/>
          <w:lang w:val="en-US" w:eastAsia="en-GB"/>
        </w:rPr>
        <w:t xml:space="preserve">All National Health Service (NHS) Hospital Trusts/Health Boards treating PCa </w:t>
      </w:r>
      <w:r>
        <w:rPr>
          <w:rFonts w:eastAsia="Times New Roman"/>
          <w:color w:val="000000"/>
          <w:sz w:val="22"/>
          <w:szCs w:val="22"/>
          <w:lang w:val="en-US" w:eastAsia="en-GB"/>
        </w:rPr>
        <w:t xml:space="preserve">in the UK </w:t>
      </w:r>
      <w:r w:rsidRPr="008D0124">
        <w:rPr>
          <w:rFonts w:eastAsia="Times New Roman"/>
          <w:color w:val="000000"/>
          <w:sz w:val="22"/>
          <w:szCs w:val="22"/>
          <w:lang w:val="en-US" w:eastAsia="en-GB"/>
        </w:rPr>
        <w:t xml:space="preserve">were approached.  In England, 111 of 136 Trusts participated; 21 declined and 4 were involved in overlapping studies.  All </w:t>
      </w:r>
      <w:r>
        <w:rPr>
          <w:rFonts w:eastAsia="Times New Roman"/>
          <w:color w:val="000000"/>
          <w:sz w:val="22"/>
          <w:szCs w:val="22"/>
          <w:lang w:val="en-US" w:eastAsia="en-GB"/>
        </w:rPr>
        <w:t>Trusts/</w:t>
      </w:r>
      <w:r w:rsidRPr="008D0124">
        <w:rPr>
          <w:rFonts w:eastAsia="Times New Roman"/>
          <w:color w:val="000000"/>
          <w:sz w:val="22"/>
          <w:szCs w:val="22"/>
          <w:lang w:val="en-US" w:eastAsia="en-GB"/>
        </w:rPr>
        <w:t xml:space="preserve">Health Boards in Northern Ireland (NI; </w:t>
      </w:r>
      <w:r w:rsidRPr="008D0124">
        <w:rPr>
          <w:rFonts w:eastAsia="Times New Roman"/>
          <w:i/>
          <w:iCs/>
          <w:color w:val="000000"/>
          <w:sz w:val="22"/>
          <w:szCs w:val="22"/>
          <w:lang w:val="en-US" w:eastAsia="en-GB"/>
        </w:rPr>
        <w:t>n</w:t>
      </w:r>
      <w:r w:rsidRPr="008D0124">
        <w:rPr>
          <w:rFonts w:eastAsia="Times New Roman"/>
          <w:color w:val="000000"/>
          <w:sz w:val="22"/>
          <w:szCs w:val="22"/>
          <w:lang w:val="en-US" w:eastAsia="en-GB"/>
        </w:rPr>
        <w:t>=5), Scotland (</w:t>
      </w:r>
      <w:r w:rsidRPr="008D0124">
        <w:rPr>
          <w:rFonts w:eastAsia="Times New Roman"/>
          <w:i/>
          <w:iCs/>
          <w:color w:val="000000"/>
          <w:sz w:val="22"/>
          <w:szCs w:val="22"/>
          <w:lang w:val="en-US" w:eastAsia="en-GB"/>
        </w:rPr>
        <w:t>n</w:t>
      </w:r>
      <w:r w:rsidRPr="008D0124">
        <w:rPr>
          <w:rFonts w:eastAsia="Times New Roman"/>
          <w:color w:val="000000"/>
          <w:sz w:val="22"/>
          <w:szCs w:val="22"/>
          <w:lang w:val="en-US" w:eastAsia="en-GB"/>
        </w:rPr>
        <w:t>=14) and Wales (</w:t>
      </w:r>
      <w:r w:rsidRPr="008D0124">
        <w:rPr>
          <w:rFonts w:eastAsia="Times New Roman"/>
          <w:i/>
          <w:iCs/>
          <w:color w:val="000000"/>
          <w:sz w:val="22"/>
          <w:szCs w:val="22"/>
          <w:lang w:val="en-US" w:eastAsia="en-GB"/>
        </w:rPr>
        <w:t>n</w:t>
      </w:r>
      <w:r w:rsidRPr="008D0124">
        <w:rPr>
          <w:rFonts w:eastAsia="Times New Roman"/>
          <w:color w:val="000000"/>
          <w:sz w:val="22"/>
          <w:szCs w:val="22"/>
          <w:lang w:val="en-US" w:eastAsia="en-GB"/>
        </w:rPr>
        <w:t>=</w:t>
      </w:r>
      <w:r>
        <w:rPr>
          <w:rFonts w:eastAsia="Times New Roman"/>
          <w:color w:val="000000"/>
          <w:sz w:val="22"/>
          <w:szCs w:val="22"/>
          <w:lang w:val="en-US" w:eastAsia="en-GB"/>
        </w:rPr>
        <w:t>6</w:t>
      </w:r>
      <w:r w:rsidRPr="008D0124">
        <w:rPr>
          <w:rFonts w:eastAsia="Times New Roman"/>
          <w:color w:val="000000"/>
          <w:sz w:val="22"/>
          <w:szCs w:val="22"/>
          <w:lang w:val="en-US" w:eastAsia="en-GB"/>
        </w:rPr>
        <w:t>) participated.  Men alive 18-42 months after a PCa diagnosis (ICD10</w:t>
      </w:r>
      <w:r w:rsidRPr="0017062A">
        <w:rPr>
          <w:rFonts w:eastAsia="Times New Roman"/>
          <w:noProof/>
          <w:color w:val="000000"/>
          <w:sz w:val="22"/>
          <w:szCs w:val="22"/>
          <w:vertAlign w:val="superscript"/>
          <w:lang w:val="en-US" w:eastAsia="en-GB"/>
        </w:rPr>
        <w:t>16</w:t>
      </w:r>
      <w:r w:rsidRPr="008D0124">
        <w:rPr>
          <w:rFonts w:eastAsia="Times New Roman"/>
          <w:color w:val="000000"/>
          <w:sz w:val="22"/>
          <w:szCs w:val="22"/>
          <w:lang w:val="en-US" w:eastAsia="en-GB"/>
        </w:rPr>
        <w:t xml:space="preserve"> C61) in participating Trusts/Boards were identified from national population-based cancer registries in England, NI and Wales.  In Scotland, due to privacy restrictions, men were identified through hospital activity data and verified through the cancer registry.  </w:t>
      </w:r>
      <w:r>
        <w:rPr>
          <w:rFonts w:eastAsia="Times New Roman"/>
          <w:color w:val="000000"/>
          <w:sz w:val="22"/>
          <w:szCs w:val="22"/>
          <w:lang w:val="en-US" w:eastAsia="en-GB"/>
        </w:rPr>
        <w:t xml:space="preserve">There was no age limit for inclusion. </w:t>
      </w:r>
      <w:r w:rsidRPr="008D0124">
        <w:rPr>
          <w:rFonts w:eastAsia="Times New Roman"/>
          <w:color w:val="000000"/>
          <w:sz w:val="22"/>
          <w:szCs w:val="22"/>
          <w:lang w:val="en-US" w:eastAsia="en-GB"/>
        </w:rPr>
        <w:t>Approximately 82% of eligible men with PCa across the UK were invited to participate.    </w:t>
      </w:r>
    </w:p>
    <w:p w:rsidR="00DF75A4" w:rsidRPr="00DF75A4" w:rsidRDefault="00E037B4" w:rsidP="00DF75A4">
      <w:pPr>
        <w:spacing w:before="0" w:after="240" w:line="480" w:lineRule="auto"/>
        <w:jc w:val="both"/>
        <w:rPr>
          <w:rFonts w:eastAsia="Times New Roman"/>
          <w:sz w:val="20"/>
          <w:szCs w:val="22"/>
          <w:lang w:val="en-US" w:eastAsia="en-GB"/>
        </w:rPr>
      </w:pPr>
      <w:r w:rsidRPr="008D0124">
        <w:rPr>
          <w:rFonts w:eastAsia="Times New Roman"/>
          <w:color w:val="000000"/>
          <w:sz w:val="22"/>
          <w:szCs w:val="22"/>
          <w:lang w:val="en-US" w:eastAsia="en-GB"/>
        </w:rPr>
        <w:t>The study received the following approvals: Newcastle &amp; North Tyneside 1 Research Ethics Committee (15/NE/0036), Confidentiality Advisory Group (15/CAG/0110), NHS Scotland Public Benefi</w:t>
      </w:r>
      <w:r>
        <w:rPr>
          <w:rFonts w:eastAsia="Times New Roman"/>
          <w:color w:val="000000"/>
          <w:sz w:val="22"/>
          <w:szCs w:val="22"/>
          <w:lang w:val="en-US" w:eastAsia="en-GB"/>
        </w:rPr>
        <w:t>t and Privacy Panel (0516-0364)</w:t>
      </w:r>
      <w:r w:rsidRPr="008D0124">
        <w:rPr>
          <w:rFonts w:eastAsia="Times New Roman"/>
          <w:color w:val="000000"/>
          <w:sz w:val="22"/>
          <w:szCs w:val="22"/>
          <w:lang w:val="en-US" w:eastAsia="en-GB"/>
        </w:rPr>
        <w:t xml:space="preserve"> and NHS R&amp;D approval from Wales, Scotland and Northern Ireland.  </w:t>
      </w:r>
      <w:r>
        <w:rPr>
          <w:rFonts w:eastAsia="Times New Roman"/>
          <w:color w:val="000000"/>
          <w:sz w:val="22"/>
          <w:szCs w:val="22"/>
          <w:lang w:val="en-US" w:eastAsia="en-GB"/>
        </w:rPr>
        <w:t>These approvals allowed men to be contacted using details held within cancer registration/hospital activity data.</w:t>
      </w:r>
      <w:r w:rsidR="00DF75A4">
        <w:rPr>
          <w:rFonts w:eastAsia="Times New Roman"/>
          <w:color w:val="000000"/>
          <w:sz w:val="22"/>
          <w:szCs w:val="22"/>
          <w:lang w:val="en-US" w:eastAsia="en-GB"/>
        </w:rPr>
        <w:t xml:space="preserve">  The study protocol can be found at </w:t>
      </w:r>
      <w:hyperlink r:id="rId8" w:history="1">
        <w:r w:rsidR="00DF75A4" w:rsidRPr="00DF75A4">
          <w:rPr>
            <w:rStyle w:val="Hyperlink"/>
            <w:sz w:val="22"/>
            <w:shd w:val="clear" w:color="auto" w:fill="FFFFFF"/>
          </w:rPr>
          <w:t>https://bmjopen.bmj.com/content/6/12/e013555</w:t>
        </w:r>
      </w:hyperlink>
      <w:r w:rsidR="00DF75A4">
        <w:rPr>
          <w:rStyle w:val="Hyperlink"/>
          <w:sz w:val="22"/>
          <w:shd w:val="clear" w:color="auto" w:fill="FFFFFF"/>
        </w:rPr>
        <w:t>.</w:t>
      </w:r>
    </w:p>
    <w:p w:rsidR="00E037B4" w:rsidRPr="00DF75A4" w:rsidRDefault="00E037B4" w:rsidP="006A0590">
      <w:pPr>
        <w:spacing w:before="0" w:after="240" w:line="480" w:lineRule="auto"/>
        <w:jc w:val="both"/>
        <w:rPr>
          <w:rFonts w:eastAsia="Times New Roman"/>
          <w:sz w:val="20"/>
          <w:szCs w:val="22"/>
          <w:lang w:val="en-US" w:eastAsia="en-GB"/>
        </w:rPr>
      </w:pPr>
    </w:p>
    <w:p w:rsidR="00E037B4" w:rsidRPr="0006755C" w:rsidRDefault="00E037B4" w:rsidP="006A0590">
      <w:pPr>
        <w:spacing w:before="0" w:line="480" w:lineRule="auto"/>
        <w:jc w:val="both"/>
        <w:outlineLvl w:val="0"/>
        <w:rPr>
          <w:rFonts w:eastAsia="Times New Roman"/>
          <w:b/>
          <w:bCs/>
          <w:color w:val="000000"/>
          <w:sz w:val="22"/>
          <w:szCs w:val="22"/>
          <w:lang w:val="en-US" w:eastAsia="en-GB"/>
        </w:rPr>
      </w:pPr>
      <w:r>
        <w:rPr>
          <w:rFonts w:eastAsia="Times New Roman"/>
          <w:b/>
          <w:bCs/>
          <w:color w:val="000000"/>
          <w:sz w:val="22"/>
          <w:szCs w:val="22"/>
          <w:lang w:val="en-US" w:eastAsia="en-GB"/>
        </w:rPr>
        <w:lastRenderedPageBreak/>
        <w:t>Procedures</w:t>
      </w:r>
    </w:p>
    <w:p w:rsidR="00E037B4" w:rsidRPr="008D0124" w:rsidRDefault="00E037B4" w:rsidP="006A0590">
      <w:pPr>
        <w:spacing w:before="0" w:after="240" w:line="480" w:lineRule="auto"/>
        <w:jc w:val="both"/>
        <w:rPr>
          <w:rFonts w:eastAsia="Times New Roman"/>
          <w:sz w:val="22"/>
          <w:szCs w:val="22"/>
          <w:lang w:val="en-US" w:eastAsia="en-GB"/>
        </w:rPr>
      </w:pPr>
      <w:r w:rsidRPr="008D0124">
        <w:rPr>
          <w:rFonts w:eastAsia="Times New Roman"/>
          <w:color w:val="000000"/>
          <w:sz w:val="22"/>
          <w:szCs w:val="22"/>
          <w:lang w:val="en-US" w:eastAsia="en-GB"/>
        </w:rPr>
        <w:t>Men were sent a postal survey (</w:t>
      </w:r>
      <w:r w:rsidR="006A0590">
        <w:rPr>
          <w:rFonts w:eastAsia="Times New Roman"/>
          <w:color w:val="000000"/>
          <w:sz w:val="22"/>
          <w:szCs w:val="22"/>
          <w:lang w:val="en-US" w:eastAsia="en-GB"/>
        </w:rPr>
        <w:t>Appendix p2-22</w:t>
      </w:r>
      <w:r w:rsidRPr="008D0124">
        <w:rPr>
          <w:rFonts w:eastAsia="Times New Roman"/>
          <w:color w:val="000000"/>
          <w:sz w:val="22"/>
          <w:szCs w:val="22"/>
          <w:lang w:val="en-US" w:eastAsia="en-GB"/>
        </w:rPr>
        <w:t xml:space="preserve">) </w:t>
      </w:r>
      <w:r>
        <w:rPr>
          <w:rFonts w:eastAsia="Times New Roman"/>
          <w:color w:val="000000"/>
          <w:sz w:val="22"/>
          <w:szCs w:val="22"/>
          <w:lang w:val="en-US" w:eastAsia="en-GB"/>
        </w:rPr>
        <w:t>on behalf of</w:t>
      </w:r>
      <w:r w:rsidRPr="008D0124">
        <w:rPr>
          <w:rFonts w:eastAsia="Times New Roman"/>
          <w:color w:val="000000"/>
          <w:sz w:val="22"/>
          <w:szCs w:val="22"/>
          <w:lang w:val="en-US" w:eastAsia="en-GB"/>
        </w:rPr>
        <w:t xml:space="preserve"> their treating Trust/Board.  </w:t>
      </w:r>
      <w:r>
        <w:rPr>
          <w:rFonts w:eastAsia="Times New Roman"/>
          <w:color w:val="000000"/>
          <w:sz w:val="22"/>
          <w:szCs w:val="22"/>
          <w:lang w:val="en-US" w:eastAsia="en-GB"/>
        </w:rPr>
        <w:t>Men</w:t>
      </w:r>
      <w:r w:rsidRPr="008D0124">
        <w:rPr>
          <w:rFonts w:eastAsia="Times New Roman"/>
          <w:color w:val="000000"/>
          <w:sz w:val="22"/>
          <w:szCs w:val="22"/>
          <w:lang w:val="en-US" w:eastAsia="en-GB"/>
        </w:rPr>
        <w:t xml:space="preserve"> consented by returning completed surveys and declined by not returning them, returning them unanswered or </w:t>
      </w:r>
      <w:r>
        <w:rPr>
          <w:rFonts w:eastAsia="Times New Roman"/>
          <w:color w:val="000000"/>
          <w:sz w:val="22"/>
          <w:szCs w:val="22"/>
          <w:lang w:val="en-US" w:eastAsia="en-GB"/>
        </w:rPr>
        <w:t>opting out via a</w:t>
      </w:r>
      <w:r w:rsidRPr="008D0124">
        <w:rPr>
          <w:rFonts w:eastAsia="Times New Roman"/>
          <w:color w:val="000000"/>
          <w:sz w:val="22"/>
          <w:szCs w:val="22"/>
          <w:lang w:val="en-US" w:eastAsia="en-GB"/>
        </w:rPr>
        <w:t xml:space="preserve"> free</w:t>
      </w:r>
      <w:r>
        <w:rPr>
          <w:rFonts w:eastAsia="Times New Roman"/>
          <w:color w:val="000000"/>
          <w:sz w:val="22"/>
          <w:szCs w:val="22"/>
          <w:lang w:val="en-US" w:eastAsia="en-GB"/>
        </w:rPr>
        <w:t>-phone</w:t>
      </w:r>
      <w:r w:rsidRPr="008D0124">
        <w:rPr>
          <w:rFonts w:eastAsia="Times New Roman"/>
          <w:color w:val="000000"/>
          <w:sz w:val="22"/>
          <w:szCs w:val="22"/>
          <w:lang w:val="en-US" w:eastAsia="en-GB"/>
        </w:rPr>
        <w:t xml:space="preserve"> helpline.  Up to two reminders were sent to non-responders.  </w:t>
      </w:r>
      <w:r>
        <w:rPr>
          <w:rFonts w:eastAsia="Times New Roman"/>
          <w:color w:val="000000"/>
          <w:sz w:val="22"/>
          <w:szCs w:val="22"/>
          <w:lang w:val="en-US" w:eastAsia="en-GB"/>
        </w:rPr>
        <w:t xml:space="preserve">The data collection period differed by nation: England 16/10/2015-21/04/2016; NI 14/06/2016-18/10/2016; Scotland 20/07/2016-01/11/2016; Wales 28/07/2016-09/11/2016).  The survey included a range of validated measures, including those </w:t>
      </w:r>
      <w:r w:rsidRPr="008D0124">
        <w:rPr>
          <w:rFonts w:eastAsia="Times New Roman"/>
          <w:color w:val="000000"/>
          <w:sz w:val="22"/>
          <w:szCs w:val="22"/>
          <w:lang w:val="en-US" w:eastAsia="en-GB"/>
        </w:rPr>
        <w:t>defined in the International Consortium on Health Outcome Measurement (ICHOM) minimum outcome dataset</w:t>
      </w:r>
      <w:r w:rsidRPr="0017062A">
        <w:rPr>
          <w:rFonts w:eastAsia="Times New Roman"/>
          <w:noProof/>
          <w:color w:val="000000"/>
          <w:sz w:val="22"/>
          <w:szCs w:val="22"/>
          <w:vertAlign w:val="superscript"/>
          <w:lang w:val="en-US" w:eastAsia="en-GB"/>
        </w:rPr>
        <w:t>14</w:t>
      </w:r>
      <w:r w:rsidRPr="008D0124">
        <w:rPr>
          <w:rFonts w:eastAsia="Times New Roman"/>
          <w:color w:val="000000"/>
          <w:sz w:val="22"/>
          <w:szCs w:val="22"/>
          <w:lang w:val="en-US" w:eastAsia="en-GB"/>
        </w:rPr>
        <w:t xml:space="preserve">: </w:t>
      </w:r>
      <w:r>
        <w:rPr>
          <w:rFonts w:eastAsia="Times New Roman"/>
          <w:color w:val="000000"/>
          <w:sz w:val="22"/>
          <w:szCs w:val="22"/>
          <w:lang w:val="en-US" w:eastAsia="en-GB"/>
        </w:rPr>
        <w:t>t</w:t>
      </w:r>
      <w:r w:rsidRPr="008D0124">
        <w:rPr>
          <w:rFonts w:eastAsia="Times New Roman"/>
          <w:color w:val="000000"/>
          <w:sz w:val="22"/>
          <w:szCs w:val="22"/>
          <w:lang w:val="en-US" w:eastAsia="en-GB"/>
        </w:rPr>
        <w:t>he Expanded Prostate cancer Index Composite short form (EPIC-26)</w:t>
      </w:r>
      <w:r w:rsidRPr="0028411E">
        <w:rPr>
          <w:rFonts w:eastAsia="Times New Roman"/>
          <w:noProof/>
          <w:color w:val="000000"/>
          <w:sz w:val="22"/>
          <w:szCs w:val="22"/>
          <w:vertAlign w:val="superscript"/>
          <w:lang w:val="en-US" w:eastAsia="en-GB"/>
        </w:rPr>
        <w:t>17</w:t>
      </w:r>
      <w:r>
        <w:rPr>
          <w:rFonts w:eastAsia="Times New Roman"/>
          <w:color w:val="000000"/>
          <w:sz w:val="22"/>
          <w:szCs w:val="22"/>
          <w:lang w:val="en-US" w:eastAsia="en-GB"/>
        </w:rPr>
        <w:t>;</w:t>
      </w:r>
      <w:r w:rsidRPr="008D0124">
        <w:rPr>
          <w:rFonts w:eastAsia="Times New Roman"/>
          <w:color w:val="000000"/>
          <w:sz w:val="22"/>
          <w:szCs w:val="22"/>
          <w:lang w:val="en-US" w:eastAsia="en-GB"/>
        </w:rPr>
        <w:t xml:space="preserve"> items on use of interventions to improve sexual function</w:t>
      </w:r>
      <w:r>
        <w:rPr>
          <w:rFonts w:eastAsia="Times New Roman"/>
          <w:color w:val="000000"/>
          <w:sz w:val="22"/>
          <w:szCs w:val="22"/>
          <w:lang w:val="en-US" w:eastAsia="en-GB"/>
        </w:rPr>
        <w:t>;</w:t>
      </w:r>
      <w:r w:rsidRPr="008D0124">
        <w:rPr>
          <w:rFonts w:eastAsia="Times New Roman"/>
          <w:color w:val="000000"/>
          <w:sz w:val="22"/>
          <w:szCs w:val="22"/>
          <w:lang w:val="en-US" w:eastAsia="en-GB"/>
        </w:rPr>
        <w:t xml:space="preserve"> and EQ-5D-5L</w:t>
      </w:r>
      <w:r w:rsidRPr="0028411E">
        <w:rPr>
          <w:rFonts w:eastAsia="Times New Roman"/>
          <w:noProof/>
          <w:color w:val="000000"/>
          <w:sz w:val="22"/>
          <w:szCs w:val="22"/>
          <w:vertAlign w:val="superscript"/>
          <w:lang w:val="en-US" w:eastAsia="en-GB"/>
        </w:rPr>
        <w:t>18</w:t>
      </w:r>
      <w:r w:rsidRPr="008D0124">
        <w:rPr>
          <w:rFonts w:eastAsia="Times New Roman"/>
          <w:color w:val="000000"/>
          <w:sz w:val="22"/>
          <w:szCs w:val="22"/>
          <w:lang w:val="en-US" w:eastAsia="en-GB"/>
        </w:rPr>
        <w:t xml:space="preserve">.  The survey </w:t>
      </w:r>
      <w:r>
        <w:rPr>
          <w:rFonts w:eastAsia="Times New Roman"/>
          <w:color w:val="000000"/>
          <w:sz w:val="22"/>
          <w:szCs w:val="22"/>
          <w:lang w:val="en-US" w:eastAsia="en-GB"/>
        </w:rPr>
        <w:t xml:space="preserve">additionally </w:t>
      </w:r>
      <w:r w:rsidRPr="008D0124">
        <w:rPr>
          <w:rFonts w:eastAsia="Times New Roman"/>
          <w:color w:val="000000"/>
          <w:sz w:val="22"/>
          <w:szCs w:val="22"/>
          <w:lang w:val="en-US" w:eastAsia="en-GB"/>
        </w:rPr>
        <w:t xml:space="preserve">included </w:t>
      </w:r>
      <w:r>
        <w:rPr>
          <w:rFonts w:eastAsia="Times New Roman"/>
          <w:color w:val="000000"/>
          <w:sz w:val="22"/>
          <w:szCs w:val="22"/>
          <w:lang w:val="en-US" w:eastAsia="en-GB"/>
        </w:rPr>
        <w:t>questions relating to socio-demographics and treatments received.</w:t>
      </w:r>
    </w:p>
    <w:p w:rsidR="00E037B4" w:rsidRDefault="00E037B4" w:rsidP="006A0590">
      <w:pPr>
        <w:snapToGrid w:val="0"/>
        <w:spacing w:before="0" w:after="240" w:line="480" w:lineRule="auto"/>
        <w:jc w:val="both"/>
        <w:rPr>
          <w:rFonts w:eastAsia="Times New Roman"/>
          <w:color w:val="000000"/>
          <w:sz w:val="22"/>
          <w:szCs w:val="22"/>
          <w:lang w:val="en-US" w:eastAsia="en-GB"/>
        </w:rPr>
      </w:pPr>
      <w:r w:rsidRPr="008D0124">
        <w:rPr>
          <w:rFonts w:eastAsia="Times New Roman"/>
          <w:color w:val="000000"/>
          <w:sz w:val="22"/>
          <w:szCs w:val="22"/>
          <w:lang w:val="en-US" w:eastAsia="en-GB"/>
        </w:rPr>
        <w:t>Stage at diagnosis was obtained from national cancer registration records.  </w:t>
      </w:r>
      <w:r>
        <w:rPr>
          <w:rFonts w:eastAsia="Times New Roman"/>
          <w:color w:val="000000"/>
          <w:sz w:val="22"/>
          <w:szCs w:val="22"/>
          <w:lang w:val="en-US" w:eastAsia="en-GB"/>
        </w:rPr>
        <w:t>Stage I and II were combined into a ‘localised disease’ group and compared to stage III and IV separately.  An area-based measure of socio-economic d</w:t>
      </w:r>
      <w:r w:rsidRPr="008D0124">
        <w:rPr>
          <w:rFonts w:eastAsia="Times New Roman"/>
          <w:color w:val="000000"/>
          <w:sz w:val="22"/>
          <w:szCs w:val="22"/>
          <w:lang w:val="en-US" w:eastAsia="en-GB"/>
        </w:rPr>
        <w:t xml:space="preserve">eprivation </w:t>
      </w:r>
      <w:r>
        <w:rPr>
          <w:rFonts w:eastAsia="Times New Roman"/>
          <w:color w:val="000000"/>
          <w:sz w:val="22"/>
          <w:szCs w:val="22"/>
          <w:lang w:val="en-US" w:eastAsia="en-GB"/>
        </w:rPr>
        <w:t xml:space="preserve">(split into quintiles) </w:t>
      </w:r>
      <w:r w:rsidRPr="008D0124">
        <w:rPr>
          <w:rFonts w:eastAsia="Times New Roman"/>
          <w:color w:val="000000"/>
          <w:sz w:val="22"/>
          <w:szCs w:val="22"/>
          <w:lang w:val="en-US" w:eastAsia="en-GB"/>
        </w:rPr>
        <w:t xml:space="preserve">was derived using </w:t>
      </w:r>
      <w:r>
        <w:rPr>
          <w:rFonts w:eastAsia="Times New Roman"/>
          <w:color w:val="000000"/>
          <w:sz w:val="22"/>
          <w:szCs w:val="22"/>
          <w:lang w:val="en-US" w:eastAsia="en-GB"/>
        </w:rPr>
        <w:t>postcode</w:t>
      </w:r>
      <w:r w:rsidRPr="008D0124">
        <w:rPr>
          <w:rFonts w:eastAsia="Times New Roman"/>
          <w:color w:val="000000"/>
          <w:sz w:val="22"/>
          <w:szCs w:val="22"/>
          <w:lang w:val="en-US" w:eastAsia="en-GB"/>
        </w:rPr>
        <w:t xml:space="preserve"> of residence</w:t>
      </w:r>
      <w:r>
        <w:rPr>
          <w:rFonts w:eastAsia="Times New Roman"/>
          <w:noProof/>
          <w:color w:val="000000"/>
          <w:sz w:val="22"/>
          <w:szCs w:val="22"/>
          <w:vertAlign w:val="superscript"/>
          <w:lang w:val="en-US" w:eastAsia="en-GB"/>
        </w:rPr>
        <w:t>19-22</w:t>
      </w:r>
      <w:r w:rsidRPr="008D0124">
        <w:rPr>
          <w:rFonts w:eastAsia="Times New Roman"/>
          <w:color w:val="000000"/>
          <w:sz w:val="22"/>
          <w:szCs w:val="22"/>
          <w:lang w:val="en-US" w:eastAsia="en-GB"/>
        </w:rPr>
        <w:t xml:space="preserve">.  Age, presence of other long-term conditions and treatments </w:t>
      </w:r>
      <w:r>
        <w:rPr>
          <w:rFonts w:eastAsia="Times New Roman"/>
          <w:color w:val="000000"/>
          <w:sz w:val="22"/>
          <w:szCs w:val="22"/>
          <w:lang w:val="en-US" w:eastAsia="en-GB"/>
        </w:rPr>
        <w:t xml:space="preserve">received were derived from the survey response data.  </w:t>
      </w:r>
      <w:r w:rsidRPr="00FE4A8E">
        <w:rPr>
          <w:rFonts w:eastAsia="Times New Roman"/>
          <w:color w:val="000000"/>
          <w:sz w:val="22"/>
          <w:szCs w:val="22"/>
          <w:lang w:val="en-US" w:eastAsia="en-GB"/>
        </w:rPr>
        <w:t xml:space="preserve">Age was categorised as &lt;55, 55-64, 65-74, 75-84, and ≥85 years.  </w:t>
      </w:r>
      <w:r>
        <w:rPr>
          <w:rFonts w:eastAsia="Times New Roman"/>
          <w:color w:val="000000"/>
          <w:sz w:val="22"/>
          <w:szCs w:val="22"/>
          <w:lang w:val="en-US" w:eastAsia="en-GB"/>
        </w:rPr>
        <w:t>Where missing, t</w:t>
      </w:r>
      <w:r w:rsidRPr="00FE4A8E">
        <w:rPr>
          <w:rFonts w:eastAsia="Times New Roman"/>
          <w:color w:val="000000"/>
          <w:sz w:val="22"/>
          <w:szCs w:val="22"/>
          <w:lang w:val="en-US" w:eastAsia="en-GB"/>
        </w:rPr>
        <w:t>his was supplemented by cancer registration data</w:t>
      </w:r>
      <w:r>
        <w:rPr>
          <w:rFonts w:eastAsia="Times New Roman"/>
          <w:color w:val="000000"/>
          <w:sz w:val="22"/>
          <w:szCs w:val="22"/>
          <w:lang w:val="en-US" w:eastAsia="en-GB"/>
        </w:rPr>
        <w:t xml:space="preserve"> (accounting for the lag between diagnosis and survey)</w:t>
      </w:r>
      <w:r w:rsidRPr="00FE4A8E">
        <w:rPr>
          <w:rFonts w:eastAsia="Times New Roman"/>
          <w:color w:val="000000"/>
          <w:sz w:val="22"/>
          <w:szCs w:val="22"/>
          <w:lang w:val="en-US" w:eastAsia="en-GB"/>
        </w:rPr>
        <w:t xml:space="preserve">.  </w:t>
      </w:r>
      <w:r>
        <w:rPr>
          <w:rFonts w:eastAsia="Times New Roman"/>
          <w:color w:val="000000"/>
          <w:sz w:val="22"/>
          <w:szCs w:val="22"/>
          <w:lang w:val="en-US" w:eastAsia="en-GB"/>
        </w:rPr>
        <w:t>Other long-term conditions</w:t>
      </w:r>
      <w:r w:rsidRPr="00FE4A8E">
        <w:rPr>
          <w:rFonts w:eastAsia="Times New Roman"/>
          <w:color w:val="000000"/>
          <w:sz w:val="22"/>
          <w:szCs w:val="22"/>
          <w:lang w:val="en-US" w:eastAsia="en-GB"/>
        </w:rPr>
        <w:t xml:space="preserve"> (</w:t>
      </w:r>
      <w:r w:rsidR="007F65C7">
        <w:rPr>
          <w:rFonts w:eastAsia="Times New Roman"/>
          <w:color w:val="000000"/>
          <w:sz w:val="22"/>
          <w:szCs w:val="22"/>
          <w:lang w:val="en-US" w:eastAsia="en-GB"/>
        </w:rPr>
        <w:t>Appendix, p</w:t>
      </w:r>
      <w:r w:rsidR="006A0590">
        <w:rPr>
          <w:rFonts w:eastAsia="Times New Roman"/>
          <w:color w:val="000000"/>
          <w:sz w:val="22"/>
          <w:szCs w:val="22"/>
          <w:lang w:val="en-US" w:eastAsia="en-GB"/>
        </w:rPr>
        <w:t xml:space="preserve">19 </w:t>
      </w:r>
      <w:r w:rsidRPr="00FE4A8E">
        <w:rPr>
          <w:rFonts w:eastAsia="Times New Roman"/>
          <w:color w:val="000000"/>
          <w:sz w:val="22"/>
          <w:szCs w:val="22"/>
          <w:lang w:val="en-US" w:eastAsia="en-GB"/>
        </w:rPr>
        <w:t xml:space="preserve">question 84) were counted and categorised as none, 1, 2, </w:t>
      </w:r>
      <w:r>
        <w:rPr>
          <w:rFonts w:eastAsia="Times New Roman"/>
          <w:color w:val="000000"/>
          <w:sz w:val="22"/>
          <w:szCs w:val="22"/>
          <w:lang w:val="en-US" w:eastAsia="en-GB"/>
        </w:rPr>
        <w:t>3, ≥4.  Treatments (</w:t>
      </w:r>
      <w:r w:rsidR="006A0590">
        <w:rPr>
          <w:rFonts w:eastAsia="Times New Roman"/>
          <w:color w:val="000000"/>
          <w:sz w:val="22"/>
          <w:szCs w:val="22"/>
          <w:lang w:val="en-US" w:eastAsia="en-GB"/>
        </w:rPr>
        <w:t xml:space="preserve">Appendix, p5-6 </w:t>
      </w:r>
      <w:r>
        <w:rPr>
          <w:rFonts w:eastAsia="Times New Roman"/>
          <w:color w:val="000000"/>
          <w:sz w:val="22"/>
          <w:szCs w:val="22"/>
          <w:lang w:val="en-US" w:eastAsia="en-GB"/>
        </w:rPr>
        <w:t>question 8)</w:t>
      </w:r>
      <w:r w:rsidRPr="00FE4A8E">
        <w:rPr>
          <w:rFonts w:eastAsia="Times New Roman"/>
          <w:color w:val="000000"/>
          <w:sz w:val="22"/>
          <w:szCs w:val="22"/>
          <w:lang w:val="en-US" w:eastAsia="en-GB"/>
        </w:rPr>
        <w:t xml:space="preserve"> were categorised into single therapies (e.g. surgery alone or external beam radiotherapy [EBRT] alone) or combinations therapies (e.g. EBRT and ADT) </w:t>
      </w:r>
      <w:r w:rsidRPr="008D0124">
        <w:rPr>
          <w:rFonts w:eastAsia="Times New Roman"/>
          <w:color w:val="000000"/>
          <w:sz w:val="22"/>
          <w:szCs w:val="22"/>
          <w:lang w:val="en-US" w:eastAsia="en-GB"/>
        </w:rPr>
        <w:t>(</w:t>
      </w:r>
      <w:r w:rsidR="006A0590">
        <w:rPr>
          <w:rFonts w:eastAsia="Times New Roman"/>
          <w:color w:val="000000"/>
          <w:sz w:val="22"/>
          <w:szCs w:val="22"/>
          <w:lang w:val="en-US" w:eastAsia="en-GB"/>
        </w:rPr>
        <w:t>Appendix p23</w:t>
      </w:r>
      <w:r w:rsidRPr="008D0124">
        <w:rPr>
          <w:rFonts w:eastAsia="Times New Roman"/>
          <w:color w:val="000000"/>
          <w:sz w:val="22"/>
          <w:szCs w:val="22"/>
          <w:lang w:val="en-US" w:eastAsia="en-GB"/>
        </w:rPr>
        <w:t>).</w:t>
      </w:r>
      <w:r>
        <w:rPr>
          <w:rFonts w:eastAsia="Times New Roman"/>
          <w:color w:val="000000"/>
          <w:sz w:val="22"/>
          <w:szCs w:val="22"/>
          <w:lang w:val="en-US" w:eastAsia="en-GB"/>
        </w:rPr>
        <w:t xml:space="preserve">  </w:t>
      </w:r>
    </w:p>
    <w:p w:rsidR="00E037B4" w:rsidRPr="008D0124" w:rsidRDefault="00E037B4" w:rsidP="006A0590">
      <w:pPr>
        <w:spacing w:before="0" w:after="240" w:line="480" w:lineRule="auto"/>
        <w:jc w:val="both"/>
        <w:rPr>
          <w:rFonts w:eastAsia="Times New Roman"/>
          <w:sz w:val="22"/>
          <w:szCs w:val="22"/>
          <w:lang w:val="en-US" w:eastAsia="en-GB"/>
        </w:rPr>
      </w:pPr>
      <w:r w:rsidRPr="005C656B">
        <w:rPr>
          <w:color w:val="212121"/>
          <w:sz w:val="22"/>
          <w:shd w:val="clear" w:color="auto" w:fill="FFFFFF"/>
        </w:rPr>
        <w:t>A User Advisory Group, including 6 PCa survivors, was chaired by HB (co-investigator and PCa survivor).  The group has been involved in all stages of the study from design through to interpretation and dissemination of results</w:t>
      </w:r>
      <w:r>
        <w:rPr>
          <w:color w:val="212121"/>
          <w:sz w:val="22"/>
          <w:shd w:val="clear" w:color="auto" w:fill="FFFFFF"/>
        </w:rPr>
        <w:t>.</w:t>
      </w:r>
      <w:r w:rsidRPr="005C656B">
        <w:rPr>
          <w:rFonts w:eastAsia="Times New Roman"/>
          <w:color w:val="000000"/>
          <w:sz w:val="20"/>
          <w:szCs w:val="22"/>
          <w:lang w:val="en-US" w:eastAsia="en-GB"/>
        </w:rPr>
        <w:t xml:space="preserve"> </w:t>
      </w:r>
    </w:p>
    <w:p w:rsidR="00E037B4" w:rsidRPr="00782F8B" w:rsidRDefault="00E037B4" w:rsidP="006A0590">
      <w:pPr>
        <w:spacing w:before="0" w:line="480" w:lineRule="auto"/>
        <w:jc w:val="both"/>
        <w:rPr>
          <w:rFonts w:eastAsia="Times New Roman"/>
          <w:b/>
          <w:bCs/>
          <w:color w:val="000000"/>
          <w:sz w:val="22"/>
          <w:szCs w:val="22"/>
          <w:lang w:val="en-US" w:eastAsia="en-GB"/>
        </w:rPr>
      </w:pPr>
      <w:r w:rsidRPr="00782F8B">
        <w:rPr>
          <w:rFonts w:eastAsia="Times New Roman"/>
          <w:b/>
          <w:bCs/>
          <w:color w:val="000000"/>
          <w:sz w:val="22"/>
          <w:szCs w:val="22"/>
          <w:lang w:val="en-US" w:eastAsia="en-GB"/>
        </w:rPr>
        <w:t>Outcomes</w:t>
      </w:r>
    </w:p>
    <w:p w:rsidR="00E037B4" w:rsidRPr="008D0124" w:rsidRDefault="00E037B4" w:rsidP="006A0590">
      <w:pPr>
        <w:spacing w:before="0" w:after="240" w:line="480" w:lineRule="auto"/>
        <w:jc w:val="both"/>
        <w:rPr>
          <w:rFonts w:eastAsia="Times New Roman"/>
          <w:sz w:val="22"/>
          <w:szCs w:val="22"/>
          <w:lang w:val="en-US" w:eastAsia="en-GB"/>
        </w:rPr>
      </w:pPr>
      <w:r>
        <w:rPr>
          <w:rFonts w:eastAsia="Times New Roman"/>
          <w:color w:val="000000"/>
          <w:sz w:val="22"/>
          <w:szCs w:val="22"/>
          <w:lang w:val="en-US" w:eastAsia="en-GB"/>
        </w:rPr>
        <w:lastRenderedPageBreak/>
        <w:t xml:space="preserve">Functional outcomes: </w:t>
      </w:r>
      <w:r w:rsidRPr="008D0124">
        <w:rPr>
          <w:rFonts w:eastAsia="Times New Roman"/>
          <w:color w:val="000000"/>
          <w:sz w:val="22"/>
          <w:szCs w:val="22"/>
          <w:lang w:val="en-US" w:eastAsia="en-GB"/>
        </w:rPr>
        <w:t xml:space="preserve">EPIC-26 measures function across five domains (urinary incontinence, urinary irritation and obstruction, bowel, sexual, </w:t>
      </w:r>
      <w:r>
        <w:rPr>
          <w:rFonts w:eastAsia="Times New Roman"/>
          <w:color w:val="000000"/>
          <w:sz w:val="22"/>
          <w:szCs w:val="22"/>
          <w:lang w:val="en-US" w:eastAsia="en-GB"/>
        </w:rPr>
        <w:t>vitality/hormone</w:t>
      </w:r>
      <w:r w:rsidRPr="008D0124">
        <w:rPr>
          <w:rFonts w:eastAsia="Times New Roman"/>
          <w:color w:val="000000"/>
          <w:sz w:val="22"/>
          <w:szCs w:val="22"/>
          <w:lang w:val="en-US" w:eastAsia="en-GB"/>
        </w:rPr>
        <w:t>)</w:t>
      </w:r>
      <w:r>
        <w:rPr>
          <w:rFonts w:eastAsia="Times New Roman"/>
          <w:color w:val="000000"/>
          <w:sz w:val="22"/>
          <w:szCs w:val="22"/>
          <w:lang w:val="en-US" w:eastAsia="en-GB"/>
        </w:rPr>
        <w:t xml:space="preserve">, </w:t>
      </w:r>
      <w:r w:rsidRPr="008D0124">
        <w:rPr>
          <w:rFonts w:eastAsia="Times New Roman"/>
          <w:color w:val="000000"/>
          <w:sz w:val="22"/>
          <w:szCs w:val="22"/>
          <w:lang w:val="en-US" w:eastAsia="en-GB"/>
        </w:rPr>
        <w:t xml:space="preserve">using 26 items.  Domain scores range from 0-100, with 100 representing best </w:t>
      </w:r>
      <w:r>
        <w:rPr>
          <w:rFonts w:eastAsia="Times New Roman"/>
          <w:color w:val="000000"/>
          <w:sz w:val="22"/>
          <w:szCs w:val="22"/>
          <w:lang w:val="en-US" w:eastAsia="en-GB"/>
        </w:rPr>
        <w:t xml:space="preserve">possible </w:t>
      </w:r>
      <w:r w:rsidRPr="008D0124">
        <w:rPr>
          <w:rFonts w:eastAsia="Times New Roman"/>
          <w:color w:val="000000"/>
          <w:sz w:val="22"/>
          <w:szCs w:val="22"/>
          <w:lang w:val="en-US" w:eastAsia="en-GB"/>
        </w:rPr>
        <w:t>function.  </w:t>
      </w:r>
      <w:r>
        <w:rPr>
          <w:rFonts w:eastAsia="Times New Roman"/>
          <w:color w:val="000000"/>
          <w:sz w:val="22"/>
          <w:szCs w:val="22"/>
          <w:lang w:val="en-US" w:eastAsia="en-GB"/>
        </w:rPr>
        <w:t xml:space="preserve">Mean domain scores were calculated.  </w:t>
      </w:r>
      <w:r w:rsidRPr="008D0124">
        <w:rPr>
          <w:rFonts w:eastAsia="Times New Roman"/>
          <w:color w:val="000000"/>
          <w:sz w:val="22"/>
          <w:szCs w:val="22"/>
          <w:lang w:val="en-US" w:eastAsia="en-GB"/>
        </w:rPr>
        <w:t xml:space="preserve">Where one item </w:t>
      </w:r>
      <w:r>
        <w:rPr>
          <w:rFonts w:eastAsia="Times New Roman"/>
          <w:color w:val="000000"/>
          <w:sz w:val="22"/>
          <w:szCs w:val="22"/>
          <w:lang w:val="en-US" w:eastAsia="en-GB"/>
        </w:rPr>
        <w:t>in a</w:t>
      </w:r>
      <w:r w:rsidRPr="008D0124">
        <w:rPr>
          <w:rFonts w:eastAsia="Times New Roman"/>
          <w:color w:val="000000"/>
          <w:sz w:val="22"/>
          <w:szCs w:val="22"/>
          <w:lang w:val="en-US" w:eastAsia="en-GB"/>
        </w:rPr>
        <w:t xml:space="preserve"> domain was missing, this was substituted with the mean of the available items, as per the scoring guidance</w:t>
      </w:r>
      <w:r w:rsidRPr="0028411E">
        <w:rPr>
          <w:rFonts w:eastAsia="Times New Roman"/>
          <w:noProof/>
          <w:color w:val="000000"/>
          <w:sz w:val="22"/>
          <w:szCs w:val="22"/>
          <w:vertAlign w:val="superscript"/>
          <w:lang w:val="en-US" w:eastAsia="en-GB"/>
        </w:rPr>
        <w:t>23</w:t>
      </w:r>
      <w:r>
        <w:rPr>
          <w:rFonts w:eastAsia="Times New Roman"/>
          <w:color w:val="000000"/>
          <w:sz w:val="22"/>
          <w:szCs w:val="22"/>
          <w:lang w:val="en-US" w:eastAsia="en-GB"/>
        </w:rPr>
        <w:t xml:space="preserve">. </w:t>
      </w:r>
      <w:r w:rsidRPr="008D0124">
        <w:rPr>
          <w:rFonts w:eastAsia="Times New Roman"/>
          <w:color w:val="000000"/>
          <w:sz w:val="22"/>
          <w:szCs w:val="22"/>
          <w:lang w:val="en-US" w:eastAsia="en-GB"/>
        </w:rPr>
        <w:t xml:space="preserve"> In addition to mean scores, individual item responses </w:t>
      </w:r>
      <w:r>
        <w:rPr>
          <w:rFonts w:eastAsia="Times New Roman"/>
          <w:color w:val="000000"/>
          <w:sz w:val="22"/>
          <w:szCs w:val="22"/>
          <w:lang w:val="en-US" w:eastAsia="en-GB"/>
        </w:rPr>
        <w:t xml:space="preserve">were used to derive </w:t>
      </w:r>
      <w:r w:rsidRPr="008D0124">
        <w:rPr>
          <w:rFonts w:eastAsia="Times New Roman"/>
          <w:color w:val="000000"/>
          <w:sz w:val="22"/>
          <w:szCs w:val="22"/>
          <w:lang w:val="en-US" w:eastAsia="en-GB"/>
        </w:rPr>
        <w:t>the proportion reporting a moderate/</w:t>
      </w:r>
      <w:r>
        <w:rPr>
          <w:rFonts w:eastAsia="Times New Roman"/>
          <w:color w:val="000000"/>
          <w:sz w:val="22"/>
          <w:szCs w:val="22"/>
          <w:lang w:val="en-US" w:eastAsia="en-GB"/>
        </w:rPr>
        <w:t>big</w:t>
      </w:r>
      <w:r w:rsidRPr="008D0124">
        <w:rPr>
          <w:rFonts w:eastAsia="Times New Roman"/>
          <w:color w:val="000000"/>
          <w:sz w:val="22"/>
          <w:szCs w:val="22"/>
          <w:lang w:val="en-US" w:eastAsia="en-GB"/>
        </w:rPr>
        <w:t xml:space="preserve"> problem </w:t>
      </w:r>
      <w:r>
        <w:rPr>
          <w:rFonts w:eastAsia="Times New Roman"/>
          <w:color w:val="000000"/>
          <w:sz w:val="22"/>
          <w:szCs w:val="22"/>
          <w:lang w:val="en-US" w:eastAsia="en-GB"/>
        </w:rPr>
        <w:t>(</w:t>
      </w:r>
      <w:r w:rsidRPr="008D0124">
        <w:rPr>
          <w:rFonts w:eastAsia="Times New Roman"/>
          <w:color w:val="000000"/>
          <w:sz w:val="22"/>
          <w:szCs w:val="22"/>
          <w:lang w:val="en-US" w:eastAsia="en-GB"/>
        </w:rPr>
        <w:t>or equivalent</w:t>
      </w:r>
      <w:r>
        <w:rPr>
          <w:rFonts w:eastAsia="Times New Roman"/>
          <w:color w:val="000000"/>
          <w:sz w:val="22"/>
          <w:szCs w:val="22"/>
          <w:lang w:val="en-US" w:eastAsia="en-GB"/>
        </w:rPr>
        <w:t xml:space="preserve">), </w:t>
      </w:r>
      <w:r w:rsidRPr="008D0124">
        <w:rPr>
          <w:rFonts w:eastAsia="Times New Roman"/>
          <w:color w:val="000000"/>
          <w:sz w:val="22"/>
          <w:szCs w:val="22"/>
          <w:lang w:val="en-US" w:eastAsia="en-GB"/>
        </w:rPr>
        <w:t>as per Watson et al</w:t>
      </w:r>
      <w:r w:rsidRPr="0028411E">
        <w:rPr>
          <w:rFonts w:eastAsia="Times New Roman"/>
          <w:noProof/>
          <w:color w:val="000000"/>
          <w:sz w:val="22"/>
          <w:szCs w:val="22"/>
          <w:vertAlign w:val="superscript"/>
          <w:lang w:val="en-US" w:eastAsia="en-GB"/>
        </w:rPr>
        <w:t>24</w:t>
      </w:r>
      <w:r w:rsidRPr="008D0124">
        <w:rPr>
          <w:rFonts w:eastAsia="Times New Roman"/>
          <w:color w:val="000000"/>
          <w:sz w:val="22"/>
          <w:szCs w:val="22"/>
          <w:lang w:val="en-US" w:eastAsia="en-GB"/>
        </w:rPr>
        <w:t>.</w:t>
      </w:r>
    </w:p>
    <w:p w:rsidR="00E037B4" w:rsidRPr="008D0124" w:rsidRDefault="00E037B4" w:rsidP="006A0590">
      <w:pPr>
        <w:spacing w:before="0" w:after="240" w:line="480" w:lineRule="auto"/>
        <w:jc w:val="both"/>
        <w:rPr>
          <w:rFonts w:eastAsia="Times New Roman"/>
          <w:sz w:val="22"/>
          <w:szCs w:val="22"/>
          <w:lang w:val="en-US" w:eastAsia="en-GB"/>
        </w:rPr>
      </w:pPr>
      <w:r w:rsidRPr="008D0124">
        <w:rPr>
          <w:rFonts w:eastAsia="Times New Roman"/>
          <w:color w:val="000000"/>
          <w:sz w:val="22"/>
          <w:szCs w:val="22"/>
          <w:lang w:val="en-US" w:eastAsia="en-GB"/>
        </w:rPr>
        <w:t xml:space="preserve">The ICHOM dataset includes two items </w:t>
      </w:r>
      <w:r>
        <w:rPr>
          <w:rFonts w:eastAsia="Times New Roman"/>
          <w:color w:val="000000"/>
          <w:sz w:val="22"/>
          <w:szCs w:val="22"/>
          <w:lang w:val="en-US" w:eastAsia="en-GB"/>
        </w:rPr>
        <w:t>assessing</w:t>
      </w:r>
      <w:r w:rsidRPr="008D0124">
        <w:rPr>
          <w:rFonts w:eastAsia="Times New Roman"/>
          <w:color w:val="000000"/>
          <w:sz w:val="22"/>
          <w:szCs w:val="22"/>
          <w:lang w:val="en-US" w:eastAsia="en-GB"/>
        </w:rPr>
        <w:t xml:space="preserve"> use of medications and devices for erectile dysfunction</w:t>
      </w:r>
      <w:r w:rsidRPr="0028411E">
        <w:rPr>
          <w:rFonts w:eastAsia="Times New Roman"/>
          <w:noProof/>
          <w:color w:val="000000"/>
          <w:sz w:val="22"/>
          <w:szCs w:val="22"/>
          <w:vertAlign w:val="superscript"/>
          <w:lang w:val="en-US" w:eastAsia="en-GB"/>
        </w:rPr>
        <w:t>25</w:t>
      </w:r>
      <w:r w:rsidRPr="008D0124">
        <w:rPr>
          <w:rFonts w:eastAsia="Times New Roman"/>
          <w:color w:val="000000"/>
          <w:sz w:val="22"/>
          <w:szCs w:val="22"/>
          <w:lang w:val="en-US" w:eastAsia="en-GB"/>
        </w:rPr>
        <w:t>.  These were amended to avoid drug/trade names (</w:t>
      </w:r>
      <w:r w:rsidR="006A0590">
        <w:rPr>
          <w:rFonts w:eastAsia="Times New Roman"/>
          <w:color w:val="000000"/>
          <w:sz w:val="22"/>
          <w:szCs w:val="22"/>
          <w:lang w:val="en-US" w:eastAsia="en-GB"/>
        </w:rPr>
        <w:t>Appendix</w:t>
      </w:r>
      <w:r w:rsidRPr="008D0124">
        <w:rPr>
          <w:rFonts w:eastAsia="Times New Roman"/>
          <w:color w:val="000000"/>
          <w:sz w:val="22"/>
          <w:szCs w:val="22"/>
          <w:lang w:val="en-US" w:eastAsia="en-GB"/>
        </w:rPr>
        <w:t xml:space="preserve">, </w:t>
      </w:r>
      <w:r w:rsidR="006A0590">
        <w:rPr>
          <w:rFonts w:eastAsia="Times New Roman"/>
          <w:color w:val="000000"/>
          <w:sz w:val="22"/>
          <w:szCs w:val="22"/>
          <w:lang w:val="en-US" w:eastAsia="en-GB"/>
        </w:rPr>
        <w:t xml:space="preserve">p12 </w:t>
      </w:r>
      <w:r w:rsidRPr="008D0124">
        <w:rPr>
          <w:rFonts w:eastAsia="Times New Roman"/>
          <w:color w:val="000000"/>
          <w:sz w:val="22"/>
          <w:szCs w:val="22"/>
          <w:lang w:val="en-US" w:eastAsia="en-GB"/>
        </w:rPr>
        <w:t>questions 25-26).  An extra item on use of specialist services to help with sex life was included (</w:t>
      </w:r>
      <w:r w:rsidR="006A0590">
        <w:rPr>
          <w:rFonts w:eastAsia="Times New Roman"/>
          <w:color w:val="000000"/>
          <w:sz w:val="22"/>
          <w:szCs w:val="22"/>
          <w:lang w:val="en-US" w:eastAsia="en-GB"/>
        </w:rPr>
        <w:t>Appendix</w:t>
      </w:r>
      <w:r w:rsidRPr="008D0124">
        <w:rPr>
          <w:rFonts w:eastAsia="Times New Roman"/>
          <w:color w:val="000000"/>
          <w:sz w:val="22"/>
          <w:szCs w:val="22"/>
          <w:lang w:val="en-US" w:eastAsia="en-GB"/>
        </w:rPr>
        <w:t xml:space="preserve">, </w:t>
      </w:r>
      <w:r w:rsidR="006A0590">
        <w:rPr>
          <w:rFonts w:eastAsia="Times New Roman"/>
          <w:color w:val="000000"/>
          <w:sz w:val="22"/>
          <w:szCs w:val="22"/>
          <w:lang w:val="en-US" w:eastAsia="en-GB"/>
        </w:rPr>
        <w:t xml:space="preserve">p13 </w:t>
      </w:r>
      <w:r w:rsidRPr="008D0124">
        <w:rPr>
          <w:rFonts w:eastAsia="Times New Roman"/>
          <w:color w:val="000000"/>
          <w:sz w:val="22"/>
          <w:szCs w:val="22"/>
          <w:lang w:val="en-US" w:eastAsia="en-GB"/>
        </w:rPr>
        <w:t>question 27).  </w:t>
      </w:r>
      <w:r>
        <w:rPr>
          <w:rFonts w:eastAsia="Times New Roman"/>
          <w:color w:val="000000"/>
          <w:sz w:val="22"/>
          <w:szCs w:val="22"/>
          <w:lang w:val="en-US" w:eastAsia="en-GB"/>
        </w:rPr>
        <w:t>The possible response categories were grouped as ‘not offered’, ‘offered but did not want/try it’, ‘offered but did not help’, ‘offered and it helped’.</w:t>
      </w:r>
      <w:r w:rsidRPr="008D0124">
        <w:rPr>
          <w:rFonts w:eastAsia="Times New Roman"/>
          <w:color w:val="000000"/>
          <w:sz w:val="22"/>
          <w:szCs w:val="22"/>
          <w:lang w:val="en-US" w:eastAsia="en-GB"/>
        </w:rPr>
        <w:t> </w:t>
      </w:r>
    </w:p>
    <w:p w:rsidR="00E037B4" w:rsidRPr="008D0124" w:rsidRDefault="00E037B4" w:rsidP="006A0590">
      <w:pPr>
        <w:spacing w:before="0" w:after="240" w:line="480" w:lineRule="auto"/>
        <w:jc w:val="both"/>
        <w:rPr>
          <w:rFonts w:eastAsia="Times New Roman"/>
          <w:sz w:val="22"/>
          <w:szCs w:val="22"/>
          <w:lang w:val="en-US" w:eastAsia="en-GB"/>
        </w:rPr>
      </w:pPr>
      <w:r>
        <w:rPr>
          <w:rFonts w:eastAsia="Times New Roman"/>
          <w:color w:val="000000"/>
          <w:sz w:val="22"/>
          <w:szCs w:val="22"/>
          <w:lang w:val="en-US" w:eastAsia="en-GB"/>
        </w:rPr>
        <w:t xml:space="preserve">HRQL: </w:t>
      </w:r>
      <w:r w:rsidRPr="008D0124">
        <w:rPr>
          <w:rFonts w:eastAsia="Times New Roman"/>
          <w:color w:val="000000"/>
          <w:sz w:val="22"/>
          <w:szCs w:val="22"/>
          <w:lang w:val="en-US" w:eastAsia="en-GB"/>
        </w:rPr>
        <w:t>EQ-5D-5L records information on five dimensions (mobility, self-care, usual activities, pain/discomfort, anxiety/depression)</w:t>
      </w:r>
      <w:r>
        <w:rPr>
          <w:rFonts w:eastAsia="Times New Roman"/>
          <w:color w:val="000000"/>
          <w:sz w:val="22"/>
          <w:szCs w:val="22"/>
          <w:lang w:val="en-US" w:eastAsia="en-GB"/>
        </w:rPr>
        <w:t>,</w:t>
      </w:r>
      <w:r w:rsidRPr="008D0124">
        <w:rPr>
          <w:rFonts w:eastAsia="Times New Roman"/>
          <w:color w:val="000000"/>
          <w:sz w:val="22"/>
          <w:szCs w:val="22"/>
          <w:lang w:val="en-US" w:eastAsia="en-GB"/>
        </w:rPr>
        <w:t xml:space="preserve"> plus a rating of self-assessed health (SAH) based on “how good or bad your health is today” (</w:t>
      </w:r>
      <w:r>
        <w:rPr>
          <w:rFonts w:eastAsia="Times New Roman"/>
          <w:color w:val="000000"/>
          <w:sz w:val="22"/>
          <w:szCs w:val="22"/>
          <w:lang w:val="en-US" w:eastAsia="en-GB"/>
        </w:rPr>
        <w:t>valued</w:t>
      </w:r>
      <w:r w:rsidRPr="008D0124">
        <w:rPr>
          <w:rFonts w:eastAsia="Times New Roman"/>
          <w:color w:val="000000"/>
          <w:sz w:val="22"/>
          <w:szCs w:val="22"/>
          <w:lang w:val="en-US" w:eastAsia="en-GB"/>
        </w:rPr>
        <w:t xml:space="preserve"> 0-100, where 100 represents best possible health).  The proportion of respondents reporting any problem, regardless of severity, in each dimension separately and across all five dimensions was </w:t>
      </w:r>
      <w:r>
        <w:rPr>
          <w:rFonts w:eastAsia="Times New Roman"/>
          <w:color w:val="000000"/>
          <w:sz w:val="22"/>
          <w:szCs w:val="22"/>
          <w:lang w:val="en-US" w:eastAsia="en-GB"/>
        </w:rPr>
        <w:t>derived</w:t>
      </w:r>
      <w:r w:rsidRPr="008D0124">
        <w:rPr>
          <w:rFonts w:eastAsia="Times New Roman"/>
          <w:color w:val="000000"/>
          <w:sz w:val="22"/>
          <w:szCs w:val="22"/>
          <w:lang w:val="en-US" w:eastAsia="en-GB"/>
        </w:rPr>
        <w:t>.  Mean SAH ratings were calculated.</w:t>
      </w:r>
    </w:p>
    <w:p w:rsidR="00E037B4" w:rsidRPr="0006755C" w:rsidRDefault="00E037B4" w:rsidP="006A0590">
      <w:pPr>
        <w:spacing w:before="0" w:line="480" w:lineRule="auto"/>
        <w:jc w:val="both"/>
        <w:outlineLvl w:val="0"/>
        <w:rPr>
          <w:rFonts w:eastAsia="Times New Roman"/>
          <w:b/>
          <w:bCs/>
          <w:color w:val="000000"/>
          <w:sz w:val="22"/>
          <w:szCs w:val="22"/>
          <w:lang w:val="en-US" w:eastAsia="en-GB"/>
        </w:rPr>
      </w:pPr>
      <w:r w:rsidRPr="008D0124">
        <w:rPr>
          <w:rFonts w:eastAsia="Times New Roman"/>
          <w:b/>
          <w:bCs/>
          <w:color w:val="000000"/>
          <w:sz w:val="22"/>
          <w:szCs w:val="22"/>
          <w:lang w:val="en-US" w:eastAsia="en-GB"/>
        </w:rPr>
        <w:t>Statistical analysis</w:t>
      </w:r>
    </w:p>
    <w:p w:rsidR="00E037B4" w:rsidRPr="008D0124" w:rsidRDefault="00E037B4" w:rsidP="006A0590">
      <w:pPr>
        <w:spacing w:before="0" w:after="240" w:line="480" w:lineRule="auto"/>
        <w:jc w:val="both"/>
        <w:rPr>
          <w:rFonts w:eastAsia="Times New Roman"/>
          <w:sz w:val="22"/>
          <w:szCs w:val="22"/>
          <w:lang w:val="en-US" w:eastAsia="en-GB"/>
        </w:rPr>
      </w:pPr>
      <w:r>
        <w:rPr>
          <w:rFonts w:eastAsia="Times New Roman"/>
          <w:color w:val="000000"/>
          <w:sz w:val="22"/>
          <w:szCs w:val="22"/>
          <w:lang w:val="en-US" w:eastAsia="en-GB"/>
        </w:rPr>
        <w:t>All men who completed questionnaires were included in analyses.  However, as not all men completed every item, records</w:t>
      </w:r>
      <w:r w:rsidRPr="008D0124">
        <w:rPr>
          <w:rFonts w:eastAsia="Times New Roman"/>
          <w:color w:val="000000"/>
          <w:sz w:val="22"/>
          <w:szCs w:val="22"/>
          <w:lang w:val="en-US" w:eastAsia="en-GB"/>
        </w:rPr>
        <w:t xml:space="preserve"> with missing responses were excluded on a question-by-question basis, thus </w:t>
      </w:r>
      <w:r>
        <w:rPr>
          <w:rFonts w:eastAsia="Times New Roman"/>
          <w:color w:val="000000"/>
          <w:sz w:val="22"/>
          <w:szCs w:val="22"/>
          <w:lang w:val="en-US" w:eastAsia="en-GB"/>
        </w:rPr>
        <w:t>results</w:t>
      </w:r>
      <w:r w:rsidRPr="008D0124">
        <w:rPr>
          <w:rFonts w:eastAsia="Times New Roman"/>
          <w:color w:val="000000"/>
          <w:sz w:val="22"/>
          <w:szCs w:val="22"/>
          <w:lang w:val="en-US" w:eastAsia="en-GB"/>
        </w:rPr>
        <w:t xml:space="preserve"> refer to the men who responded to that question.</w:t>
      </w:r>
      <w:r>
        <w:rPr>
          <w:rFonts w:eastAsia="Times New Roman"/>
          <w:color w:val="000000"/>
          <w:sz w:val="22"/>
          <w:szCs w:val="22"/>
          <w:lang w:val="en-US" w:eastAsia="en-GB"/>
        </w:rPr>
        <w:t xml:space="preserve">  Log-linear regression was used to model the continuous outcomes (mean </w:t>
      </w:r>
      <w:r w:rsidRPr="00907060">
        <w:rPr>
          <w:rFonts w:eastAsia="Times New Roman"/>
          <w:color w:val="000000"/>
          <w:sz w:val="22"/>
          <w:szCs w:val="22"/>
          <w:lang w:val="en-US" w:eastAsia="en-GB"/>
        </w:rPr>
        <w:t>EPIC-26 domain score</w:t>
      </w:r>
      <w:r>
        <w:rPr>
          <w:rFonts w:eastAsia="Times New Roman"/>
          <w:color w:val="000000"/>
          <w:sz w:val="22"/>
          <w:szCs w:val="22"/>
          <w:lang w:val="en-US" w:eastAsia="en-GB"/>
        </w:rPr>
        <w:t>s</w:t>
      </w:r>
      <w:r w:rsidRPr="00907060">
        <w:rPr>
          <w:rFonts w:eastAsia="Times New Roman"/>
          <w:color w:val="000000"/>
          <w:sz w:val="22"/>
          <w:szCs w:val="22"/>
          <w:lang w:val="en-US" w:eastAsia="en-GB"/>
        </w:rPr>
        <w:t xml:space="preserve"> and </w:t>
      </w:r>
      <w:r>
        <w:rPr>
          <w:rFonts w:eastAsia="Times New Roman"/>
          <w:color w:val="000000"/>
          <w:sz w:val="22"/>
          <w:szCs w:val="22"/>
          <w:lang w:val="en-US" w:eastAsia="en-GB"/>
        </w:rPr>
        <w:t>mean</w:t>
      </w:r>
      <w:r w:rsidRPr="00907060">
        <w:rPr>
          <w:rFonts w:eastAsia="Times New Roman"/>
          <w:color w:val="000000"/>
          <w:sz w:val="22"/>
          <w:szCs w:val="22"/>
          <w:lang w:val="en-US" w:eastAsia="en-GB"/>
        </w:rPr>
        <w:t xml:space="preserve"> EQ-5D </w:t>
      </w:r>
      <w:r>
        <w:rPr>
          <w:rFonts w:eastAsia="Times New Roman"/>
          <w:color w:val="000000"/>
          <w:sz w:val="22"/>
          <w:szCs w:val="22"/>
          <w:lang w:val="en-US" w:eastAsia="en-GB"/>
        </w:rPr>
        <w:t>SAH</w:t>
      </w:r>
      <w:r w:rsidRPr="00907060">
        <w:rPr>
          <w:rFonts w:eastAsia="Times New Roman"/>
          <w:color w:val="000000"/>
          <w:sz w:val="22"/>
          <w:szCs w:val="22"/>
          <w:lang w:val="en-US" w:eastAsia="en-GB"/>
        </w:rPr>
        <w:t xml:space="preserve"> score</w:t>
      </w:r>
      <w:r>
        <w:rPr>
          <w:rFonts w:eastAsia="Times New Roman"/>
          <w:color w:val="000000"/>
          <w:sz w:val="22"/>
          <w:szCs w:val="22"/>
          <w:lang w:val="en-US" w:eastAsia="en-GB"/>
        </w:rPr>
        <w:t xml:space="preserve">), as this approach provided a better fit to the data than a linear one. </w:t>
      </w:r>
      <w:r w:rsidRPr="00907060">
        <w:rPr>
          <w:rFonts w:eastAsia="Times New Roman"/>
          <w:color w:val="000000"/>
          <w:sz w:val="22"/>
          <w:szCs w:val="22"/>
          <w:lang w:val="en-US" w:eastAsia="en-GB"/>
        </w:rPr>
        <w:t xml:space="preserve"> </w:t>
      </w:r>
      <w:r>
        <w:rPr>
          <w:rFonts w:eastAsia="Times New Roman"/>
          <w:color w:val="000000"/>
          <w:sz w:val="22"/>
          <w:szCs w:val="22"/>
          <w:lang w:val="en-US" w:eastAsia="en-GB"/>
        </w:rPr>
        <w:t>Binary l</w:t>
      </w:r>
      <w:r w:rsidRPr="00907060">
        <w:rPr>
          <w:rFonts w:eastAsia="Times New Roman"/>
          <w:color w:val="000000"/>
          <w:sz w:val="22"/>
          <w:szCs w:val="22"/>
          <w:lang w:val="en-US" w:eastAsia="en-GB"/>
        </w:rPr>
        <w:t xml:space="preserve">ogistic regression models were developed for </w:t>
      </w:r>
      <w:r>
        <w:rPr>
          <w:rFonts w:eastAsia="Times New Roman"/>
          <w:color w:val="000000"/>
          <w:sz w:val="22"/>
          <w:szCs w:val="22"/>
          <w:lang w:val="en-US" w:eastAsia="en-GB"/>
        </w:rPr>
        <w:t xml:space="preserve">each </w:t>
      </w:r>
      <w:r w:rsidRPr="00907060">
        <w:rPr>
          <w:rFonts w:eastAsia="Times New Roman"/>
          <w:color w:val="000000"/>
          <w:sz w:val="22"/>
          <w:szCs w:val="22"/>
          <w:lang w:val="en-US" w:eastAsia="en-GB"/>
        </w:rPr>
        <w:t xml:space="preserve">individual EPIC-26 </w:t>
      </w:r>
      <w:r>
        <w:rPr>
          <w:rFonts w:eastAsia="Times New Roman"/>
          <w:color w:val="000000"/>
          <w:sz w:val="22"/>
          <w:szCs w:val="22"/>
          <w:lang w:val="en-US" w:eastAsia="en-GB"/>
        </w:rPr>
        <w:t>item (</w:t>
      </w:r>
      <w:r w:rsidRPr="00907060">
        <w:rPr>
          <w:rFonts w:eastAsia="Times New Roman"/>
          <w:color w:val="000000"/>
          <w:sz w:val="22"/>
          <w:szCs w:val="22"/>
          <w:lang w:val="en-US" w:eastAsia="en-GB"/>
        </w:rPr>
        <w:t>with moderate/big problems</w:t>
      </w:r>
      <w:r>
        <w:rPr>
          <w:rFonts w:eastAsia="Times New Roman"/>
          <w:color w:val="000000"/>
          <w:sz w:val="22"/>
          <w:szCs w:val="22"/>
          <w:lang w:val="en-US" w:eastAsia="en-GB"/>
        </w:rPr>
        <w:t xml:space="preserve">, or equivalent, as the outcome) and each EQ-5D dimension (with </w:t>
      </w:r>
      <w:r>
        <w:rPr>
          <w:rFonts w:eastAsia="Times New Roman"/>
          <w:color w:val="000000"/>
          <w:sz w:val="22"/>
          <w:szCs w:val="22"/>
          <w:lang w:val="en-US" w:eastAsia="en-GB"/>
        </w:rPr>
        <w:lastRenderedPageBreak/>
        <w:t>reporting of any problem as the outcome)</w:t>
      </w:r>
      <w:r w:rsidRPr="00907060">
        <w:rPr>
          <w:rFonts w:eastAsia="Times New Roman"/>
          <w:color w:val="000000"/>
          <w:sz w:val="22"/>
          <w:szCs w:val="22"/>
          <w:lang w:val="en-US" w:eastAsia="en-GB"/>
        </w:rPr>
        <w:t xml:space="preserve">. </w:t>
      </w:r>
      <w:r>
        <w:rPr>
          <w:rFonts w:eastAsia="Times New Roman"/>
          <w:color w:val="000000"/>
          <w:sz w:val="22"/>
          <w:szCs w:val="22"/>
          <w:lang w:val="en-US" w:eastAsia="en-GB"/>
        </w:rPr>
        <w:t xml:space="preserve"> For each outcome, results were generated by disease stage and treatment group, by adding these variables separately to the models.</w:t>
      </w:r>
      <w:r w:rsidRPr="00907060">
        <w:rPr>
          <w:rFonts w:eastAsia="Times New Roman"/>
          <w:color w:val="000000"/>
          <w:sz w:val="22"/>
          <w:szCs w:val="22"/>
          <w:lang w:val="en-US" w:eastAsia="en-GB"/>
        </w:rPr>
        <w:t xml:space="preserve"> </w:t>
      </w:r>
      <w:r>
        <w:rPr>
          <w:rFonts w:eastAsia="Times New Roman"/>
          <w:color w:val="000000"/>
          <w:sz w:val="22"/>
          <w:szCs w:val="22"/>
          <w:lang w:val="en-US" w:eastAsia="en-GB"/>
        </w:rPr>
        <w:t xml:space="preserve"> Each model included adjustment for age (as a linear term), socio-economic deprivation and number of other long-term conditions</w:t>
      </w:r>
      <w:r w:rsidRPr="00907060">
        <w:rPr>
          <w:rFonts w:eastAsia="Times New Roman"/>
          <w:color w:val="000000"/>
          <w:sz w:val="22"/>
          <w:szCs w:val="22"/>
          <w:lang w:val="en-US" w:eastAsia="en-GB"/>
        </w:rPr>
        <w:t>.</w:t>
      </w:r>
      <w:r>
        <w:rPr>
          <w:rFonts w:eastAsia="Times New Roman"/>
          <w:color w:val="000000"/>
          <w:sz w:val="22"/>
          <w:szCs w:val="22"/>
          <w:lang w:val="en-US" w:eastAsia="en-GB"/>
        </w:rPr>
        <w:t xml:space="preserve">  Subgroup analyses by age group were adjusted for socio-economic deprivation and other long-term conditions.  R</w:t>
      </w:r>
      <w:r w:rsidRPr="00907060">
        <w:rPr>
          <w:rFonts w:eastAsia="Times New Roman"/>
          <w:color w:val="000000"/>
          <w:sz w:val="22"/>
          <w:szCs w:val="22"/>
          <w:lang w:val="en-US" w:eastAsia="en-GB"/>
        </w:rPr>
        <w:t xml:space="preserve">esulting </w:t>
      </w:r>
      <w:r>
        <w:rPr>
          <w:rFonts w:eastAsia="Times New Roman"/>
          <w:color w:val="000000"/>
          <w:sz w:val="22"/>
          <w:szCs w:val="22"/>
          <w:lang w:val="en-US" w:eastAsia="en-GB"/>
        </w:rPr>
        <w:t>model coefficients</w:t>
      </w:r>
      <w:r w:rsidRPr="00907060">
        <w:rPr>
          <w:rFonts w:eastAsia="Times New Roman"/>
          <w:color w:val="000000"/>
          <w:sz w:val="22"/>
          <w:szCs w:val="22"/>
          <w:lang w:val="en-US" w:eastAsia="en-GB"/>
        </w:rPr>
        <w:t xml:space="preserve"> were used to predict the mean scores </w:t>
      </w:r>
      <w:r>
        <w:rPr>
          <w:rFonts w:eastAsia="Times New Roman"/>
          <w:color w:val="000000"/>
          <w:sz w:val="22"/>
          <w:szCs w:val="22"/>
          <w:lang w:val="en-US" w:eastAsia="en-GB"/>
        </w:rPr>
        <w:t xml:space="preserve">(for the EPIC-26 domains and SAH) </w:t>
      </w:r>
      <w:r w:rsidRPr="00907060">
        <w:rPr>
          <w:rFonts w:eastAsia="Times New Roman"/>
          <w:color w:val="000000"/>
          <w:sz w:val="22"/>
          <w:szCs w:val="22"/>
          <w:lang w:val="en-US" w:eastAsia="en-GB"/>
        </w:rPr>
        <w:t>and proportions</w:t>
      </w:r>
      <w:r>
        <w:rPr>
          <w:rFonts w:eastAsia="Times New Roman"/>
          <w:color w:val="000000"/>
          <w:sz w:val="22"/>
          <w:szCs w:val="22"/>
          <w:lang w:val="en-US" w:eastAsia="en-GB"/>
        </w:rPr>
        <w:t xml:space="preserve"> reporting problems (for the individual EPIC-26 items and EQ-5D dimensions)</w:t>
      </w:r>
      <w:r w:rsidRPr="00907060">
        <w:rPr>
          <w:rFonts w:eastAsia="Times New Roman"/>
          <w:color w:val="000000"/>
          <w:sz w:val="22"/>
          <w:szCs w:val="22"/>
          <w:lang w:val="en-US" w:eastAsia="en-GB"/>
        </w:rPr>
        <w:t xml:space="preserve"> </w:t>
      </w:r>
      <w:r>
        <w:rPr>
          <w:rFonts w:eastAsia="Times New Roman"/>
          <w:color w:val="000000"/>
          <w:sz w:val="22"/>
          <w:szCs w:val="22"/>
          <w:lang w:val="en-US" w:eastAsia="en-GB"/>
        </w:rPr>
        <w:t xml:space="preserve">along with 95% confidence intervals </w:t>
      </w:r>
      <w:r w:rsidRPr="00907060">
        <w:rPr>
          <w:rFonts w:eastAsia="Times New Roman"/>
          <w:color w:val="000000"/>
          <w:sz w:val="22"/>
          <w:szCs w:val="22"/>
          <w:lang w:val="en-US" w:eastAsia="en-GB"/>
        </w:rPr>
        <w:t xml:space="preserve">for each </w:t>
      </w:r>
      <w:r>
        <w:rPr>
          <w:rFonts w:eastAsia="Times New Roman"/>
          <w:color w:val="000000"/>
          <w:sz w:val="22"/>
          <w:szCs w:val="22"/>
          <w:lang w:val="en-US" w:eastAsia="en-GB"/>
        </w:rPr>
        <w:t>stage and treatment group</w:t>
      </w:r>
      <w:r w:rsidRPr="00907060">
        <w:rPr>
          <w:rFonts w:eastAsia="Times New Roman"/>
          <w:color w:val="000000"/>
          <w:sz w:val="22"/>
          <w:szCs w:val="22"/>
          <w:lang w:val="en-US" w:eastAsia="en-GB"/>
        </w:rPr>
        <w:t>, tak</w:t>
      </w:r>
      <w:r>
        <w:rPr>
          <w:rFonts w:eastAsia="Times New Roman"/>
          <w:color w:val="000000"/>
          <w:sz w:val="22"/>
          <w:szCs w:val="22"/>
          <w:lang w:val="en-US" w:eastAsia="en-GB"/>
        </w:rPr>
        <w:t xml:space="preserve">ing </w:t>
      </w:r>
      <w:r w:rsidRPr="00907060">
        <w:rPr>
          <w:rFonts w:eastAsia="Times New Roman"/>
          <w:color w:val="000000"/>
          <w:sz w:val="22"/>
          <w:szCs w:val="22"/>
          <w:lang w:val="en-US" w:eastAsia="en-GB"/>
        </w:rPr>
        <w:t>account of the differen</w:t>
      </w:r>
      <w:r>
        <w:rPr>
          <w:rFonts w:eastAsia="Times New Roman"/>
          <w:color w:val="000000"/>
          <w:sz w:val="22"/>
          <w:szCs w:val="22"/>
          <w:lang w:val="en-US" w:eastAsia="en-GB"/>
        </w:rPr>
        <w:t>t case-</w:t>
      </w:r>
      <w:r w:rsidRPr="00907060">
        <w:rPr>
          <w:rFonts w:eastAsia="Times New Roman"/>
          <w:color w:val="000000"/>
          <w:sz w:val="22"/>
          <w:szCs w:val="22"/>
          <w:lang w:val="en-US" w:eastAsia="en-GB"/>
        </w:rPr>
        <w:t xml:space="preserve">mix </w:t>
      </w:r>
      <w:r>
        <w:rPr>
          <w:rFonts w:eastAsia="Times New Roman"/>
          <w:color w:val="000000"/>
          <w:sz w:val="22"/>
          <w:szCs w:val="22"/>
          <w:lang w:val="en-US" w:eastAsia="en-GB"/>
        </w:rPr>
        <w:t xml:space="preserve">profiles of </w:t>
      </w:r>
      <w:r w:rsidRPr="00907060">
        <w:rPr>
          <w:rFonts w:eastAsia="Times New Roman"/>
          <w:color w:val="000000"/>
          <w:sz w:val="22"/>
          <w:szCs w:val="22"/>
          <w:lang w:val="en-US" w:eastAsia="en-GB"/>
        </w:rPr>
        <w:t xml:space="preserve">each </w:t>
      </w:r>
      <w:r>
        <w:rPr>
          <w:rFonts w:eastAsia="Times New Roman"/>
          <w:color w:val="000000"/>
          <w:sz w:val="22"/>
          <w:szCs w:val="22"/>
          <w:lang w:val="en-US" w:eastAsia="en-GB"/>
        </w:rPr>
        <w:t>group</w:t>
      </w:r>
      <w:r w:rsidRPr="00907060">
        <w:rPr>
          <w:rFonts w:eastAsia="Times New Roman"/>
          <w:color w:val="000000"/>
          <w:sz w:val="22"/>
          <w:szCs w:val="22"/>
          <w:lang w:val="en-US" w:eastAsia="en-GB"/>
        </w:rPr>
        <w:t>.</w:t>
      </w:r>
      <w:r>
        <w:t xml:space="preserve"> </w:t>
      </w:r>
      <w:r>
        <w:rPr>
          <w:rFonts w:eastAsia="Times New Roman"/>
          <w:color w:val="000000"/>
          <w:sz w:val="22"/>
          <w:szCs w:val="22"/>
          <w:lang w:val="en-US" w:eastAsia="en-GB"/>
        </w:rPr>
        <w:t xml:space="preserve"> Analysis of the use of interventions for sexual dysfunction was based on the raw survey responses, in order to reflect ‘real world’ provision of sexual support to men with prostate cancer.  </w:t>
      </w:r>
      <w:r w:rsidRPr="008D0124">
        <w:rPr>
          <w:rFonts w:eastAsia="Times New Roman"/>
          <w:color w:val="000000"/>
          <w:sz w:val="22"/>
          <w:szCs w:val="22"/>
          <w:lang w:val="en-US" w:eastAsia="en-GB"/>
        </w:rPr>
        <w:t> </w:t>
      </w:r>
      <w:r>
        <w:rPr>
          <w:rFonts w:eastAsia="Times New Roman"/>
          <w:color w:val="000000"/>
          <w:sz w:val="22"/>
          <w:szCs w:val="22"/>
          <w:lang w:val="en-US" w:eastAsia="en-GB"/>
        </w:rPr>
        <w:t>Due to the large number of men included in the study, statistical significance can be achieved with only small differences in outcomes, and these may not be clinically relevant.  As such, to aid interpretation, results are presented alongside previously estimated minimally important differences (MIDs), where available</w:t>
      </w:r>
      <w:r w:rsidRPr="007D798A">
        <w:rPr>
          <w:rFonts w:eastAsia="Times New Roman"/>
          <w:noProof/>
          <w:color w:val="000000"/>
          <w:sz w:val="22"/>
          <w:szCs w:val="22"/>
          <w:vertAlign w:val="superscript"/>
          <w:lang w:val="en-US" w:eastAsia="en-GB"/>
        </w:rPr>
        <w:t>26-28</w:t>
      </w:r>
      <w:r>
        <w:rPr>
          <w:rFonts w:eastAsia="Times New Roman"/>
          <w:color w:val="000000"/>
          <w:sz w:val="22"/>
          <w:szCs w:val="22"/>
          <w:lang w:val="en-US" w:eastAsia="en-GB"/>
        </w:rPr>
        <w:t xml:space="preserve">.  </w:t>
      </w:r>
      <w:r w:rsidRPr="008D0124">
        <w:rPr>
          <w:rFonts w:eastAsia="Times New Roman"/>
          <w:color w:val="000000"/>
          <w:sz w:val="22"/>
          <w:szCs w:val="22"/>
          <w:lang w:val="en-US" w:eastAsia="en-GB"/>
        </w:rPr>
        <w:t>Analyses were performed using Stata version 15.0</w:t>
      </w:r>
      <w:r>
        <w:rPr>
          <w:rFonts w:eastAsia="Times New Roman"/>
          <w:color w:val="000000"/>
          <w:sz w:val="22"/>
          <w:szCs w:val="22"/>
          <w:lang w:val="en-US" w:eastAsia="en-GB"/>
        </w:rPr>
        <w:t xml:space="preserve"> (StataCorp, TX, USA)</w:t>
      </w:r>
      <w:r w:rsidRPr="008D0124">
        <w:rPr>
          <w:rFonts w:eastAsia="Times New Roman"/>
          <w:color w:val="000000"/>
          <w:sz w:val="22"/>
          <w:szCs w:val="22"/>
          <w:lang w:val="en-US" w:eastAsia="en-GB"/>
        </w:rPr>
        <w:t xml:space="preserve">. </w:t>
      </w:r>
    </w:p>
    <w:p w:rsidR="00E037B4" w:rsidRDefault="00E037B4" w:rsidP="006A0590">
      <w:pPr>
        <w:spacing w:before="0" w:line="480" w:lineRule="auto"/>
        <w:outlineLvl w:val="0"/>
        <w:rPr>
          <w:sz w:val="23"/>
          <w:szCs w:val="23"/>
        </w:rPr>
      </w:pPr>
      <w:r>
        <w:rPr>
          <w:b/>
          <w:sz w:val="22"/>
          <w:szCs w:val="22"/>
        </w:rPr>
        <w:t>Role of the funding source</w:t>
      </w:r>
    </w:p>
    <w:p w:rsidR="00E037B4" w:rsidRDefault="00E037B4" w:rsidP="006A0590">
      <w:pPr>
        <w:spacing w:before="0" w:after="360" w:line="480" w:lineRule="auto"/>
        <w:jc w:val="both"/>
        <w:rPr>
          <w:sz w:val="22"/>
          <w:szCs w:val="22"/>
        </w:rPr>
      </w:pPr>
      <w:r>
        <w:rPr>
          <w:sz w:val="22"/>
          <w:szCs w:val="22"/>
        </w:rPr>
        <w:t xml:space="preserve">The funders of the LAPCD study had no role in the design of the study, the data collection, analysis and interpretation, the writing of the manuscript or the decision to submit for publication.  Anonymised study data were available to AD and SW. The corresponding author had full access to the anonymised data and had final responsibility to submit the article for publication.  </w:t>
      </w:r>
    </w:p>
    <w:p w:rsidR="00E037B4" w:rsidRPr="008D0124" w:rsidRDefault="00E037B4" w:rsidP="006A0590">
      <w:pPr>
        <w:spacing w:before="0" w:after="240" w:line="480" w:lineRule="auto"/>
        <w:jc w:val="both"/>
        <w:outlineLvl w:val="0"/>
        <w:rPr>
          <w:rFonts w:eastAsia="Times New Roman"/>
          <w:szCs w:val="22"/>
          <w:lang w:val="en-US" w:eastAsia="en-GB"/>
        </w:rPr>
      </w:pPr>
      <w:r w:rsidRPr="008D0124">
        <w:rPr>
          <w:rFonts w:eastAsia="Times New Roman"/>
          <w:b/>
          <w:bCs/>
          <w:color w:val="000000"/>
          <w:szCs w:val="22"/>
          <w:lang w:val="en-US" w:eastAsia="en-GB"/>
        </w:rPr>
        <w:t>Results</w:t>
      </w:r>
    </w:p>
    <w:p w:rsidR="007F65C7" w:rsidRDefault="00E037B4" w:rsidP="006A0590">
      <w:pPr>
        <w:spacing w:before="0" w:after="240" w:line="480" w:lineRule="auto"/>
        <w:jc w:val="both"/>
        <w:rPr>
          <w:rFonts w:eastAsia="Times New Roman"/>
          <w:color w:val="000000"/>
          <w:sz w:val="22"/>
          <w:szCs w:val="22"/>
          <w:lang w:val="en-US" w:eastAsia="en-GB"/>
        </w:rPr>
      </w:pPr>
      <w:r>
        <w:rPr>
          <w:rFonts w:eastAsia="Times New Roman"/>
          <w:color w:val="000000"/>
          <w:sz w:val="22"/>
          <w:szCs w:val="22"/>
          <w:lang w:val="en-US" w:eastAsia="en-GB"/>
        </w:rPr>
        <w:t>A total of</w:t>
      </w:r>
      <w:r w:rsidRPr="008D0124">
        <w:rPr>
          <w:rFonts w:eastAsia="Times New Roman"/>
          <w:color w:val="000000"/>
          <w:sz w:val="22"/>
          <w:szCs w:val="22"/>
          <w:lang w:val="en-US" w:eastAsia="en-GB"/>
        </w:rPr>
        <w:t xml:space="preserve"> 59,990 eligible men were identified; 1,060 (1.8%) died during the study period, giving a final sample of 58,930.  Of these, 35,823 ret</w:t>
      </w:r>
      <w:r>
        <w:rPr>
          <w:rFonts w:eastAsia="Times New Roman"/>
          <w:color w:val="000000"/>
          <w:sz w:val="22"/>
          <w:szCs w:val="22"/>
          <w:lang w:val="en-US" w:eastAsia="en-GB"/>
        </w:rPr>
        <w:t>urned completed questionnaires (</w:t>
      </w:r>
      <w:r w:rsidRPr="008D0124">
        <w:rPr>
          <w:rFonts w:eastAsia="Times New Roman"/>
          <w:color w:val="000000"/>
          <w:sz w:val="22"/>
          <w:szCs w:val="22"/>
          <w:lang w:val="en-US" w:eastAsia="en-GB"/>
        </w:rPr>
        <w:t>60.8% response</w:t>
      </w:r>
      <w:r>
        <w:rPr>
          <w:rFonts w:eastAsia="Times New Roman"/>
          <w:color w:val="000000"/>
          <w:sz w:val="22"/>
          <w:szCs w:val="22"/>
          <w:lang w:val="en-US" w:eastAsia="en-GB"/>
        </w:rPr>
        <w:t>)</w:t>
      </w:r>
      <w:r w:rsidRPr="008D0124">
        <w:rPr>
          <w:rFonts w:eastAsia="Times New Roman"/>
          <w:color w:val="000000"/>
          <w:sz w:val="22"/>
          <w:szCs w:val="22"/>
          <w:lang w:val="en-US" w:eastAsia="en-GB"/>
        </w:rPr>
        <w:t xml:space="preserve"> (</w:t>
      </w:r>
      <w:r w:rsidR="006A0590">
        <w:rPr>
          <w:rFonts w:eastAsia="Times New Roman"/>
          <w:color w:val="000000"/>
          <w:sz w:val="22"/>
          <w:szCs w:val="22"/>
          <w:lang w:val="en-US" w:eastAsia="en-GB"/>
        </w:rPr>
        <w:t>Appendix p28</w:t>
      </w:r>
      <w:r w:rsidRPr="008D0124">
        <w:rPr>
          <w:rFonts w:eastAsia="Times New Roman"/>
          <w:color w:val="000000"/>
          <w:sz w:val="22"/>
          <w:szCs w:val="22"/>
          <w:lang w:val="en-US" w:eastAsia="en-GB"/>
        </w:rPr>
        <w:t xml:space="preserve">).  Men aged under 55 </w:t>
      </w:r>
      <w:r>
        <w:rPr>
          <w:rFonts w:eastAsia="Times New Roman"/>
          <w:color w:val="000000"/>
          <w:sz w:val="22"/>
          <w:szCs w:val="22"/>
          <w:lang w:val="en-US" w:eastAsia="en-GB"/>
        </w:rPr>
        <w:t xml:space="preserve">(51.8% response) </w:t>
      </w:r>
      <w:r w:rsidRPr="008D0124">
        <w:rPr>
          <w:rFonts w:eastAsia="Times New Roman"/>
          <w:color w:val="000000"/>
          <w:sz w:val="22"/>
          <w:szCs w:val="22"/>
          <w:lang w:val="en-US" w:eastAsia="en-GB"/>
        </w:rPr>
        <w:t>or over 85</w:t>
      </w:r>
      <w:r>
        <w:rPr>
          <w:rFonts w:eastAsia="Times New Roman"/>
          <w:color w:val="000000"/>
          <w:sz w:val="22"/>
          <w:szCs w:val="22"/>
          <w:lang w:val="en-US" w:eastAsia="en-GB"/>
        </w:rPr>
        <w:t xml:space="preserve"> (36.9% response)</w:t>
      </w:r>
      <w:r w:rsidRPr="008D0124">
        <w:rPr>
          <w:rFonts w:eastAsia="Times New Roman"/>
          <w:color w:val="000000"/>
          <w:sz w:val="22"/>
          <w:szCs w:val="22"/>
          <w:lang w:val="en-US" w:eastAsia="en-GB"/>
        </w:rPr>
        <w:t xml:space="preserve">, from non-white ethnic groups </w:t>
      </w:r>
      <w:r>
        <w:rPr>
          <w:rFonts w:eastAsia="Times New Roman"/>
          <w:color w:val="000000"/>
          <w:sz w:val="22"/>
          <w:szCs w:val="22"/>
          <w:lang w:val="en-US" w:eastAsia="en-GB"/>
        </w:rPr>
        <w:t xml:space="preserve">(38.0% response) </w:t>
      </w:r>
      <w:r w:rsidRPr="008D0124">
        <w:rPr>
          <w:rFonts w:eastAsia="Times New Roman"/>
          <w:color w:val="000000"/>
          <w:sz w:val="22"/>
          <w:szCs w:val="22"/>
          <w:lang w:val="en-US" w:eastAsia="en-GB"/>
        </w:rPr>
        <w:t>and those living in the most socio-</w:t>
      </w:r>
      <w:r w:rsidRPr="008D0124">
        <w:rPr>
          <w:rFonts w:eastAsia="Times New Roman"/>
          <w:color w:val="000000"/>
          <w:sz w:val="22"/>
          <w:szCs w:val="22"/>
          <w:lang w:val="en-US" w:eastAsia="en-GB"/>
        </w:rPr>
        <w:lastRenderedPageBreak/>
        <w:t xml:space="preserve">economically deprived areas </w:t>
      </w:r>
      <w:r>
        <w:rPr>
          <w:rFonts w:eastAsia="Times New Roman"/>
          <w:color w:val="000000"/>
          <w:sz w:val="22"/>
          <w:szCs w:val="22"/>
          <w:lang w:val="en-US" w:eastAsia="en-GB"/>
        </w:rPr>
        <w:t xml:space="preserve">(48.3% response) </w:t>
      </w:r>
      <w:r w:rsidRPr="008D0124">
        <w:rPr>
          <w:rFonts w:eastAsia="Times New Roman"/>
          <w:color w:val="000000"/>
          <w:sz w:val="22"/>
          <w:szCs w:val="22"/>
          <w:lang w:val="en-US" w:eastAsia="en-GB"/>
        </w:rPr>
        <w:t>were less likely to participate (</w:t>
      </w:r>
      <w:r w:rsidR="006A0590">
        <w:rPr>
          <w:rFonts w:eastAsia="Times New Roman"/>
          <w:color w:val="000000"/>
          <w:sz w:val="22"/>
          <w:szCs w:val="22"/>
          <w:lang w:val="en-US" w:eastAsia="en-GB"/>
        </w:rPr>
        <w:t>Appendix p24</w:t>
      </w:r>
      <w:r w:rsidRPr="008D0124">
        <w:rPr>
          <w:rFonts w:eastAsia="Times New Roman"/>
          <w:color w:val="000000"/>
          <w:sz w:val="22"/>
          <w:szCs w:val="22"/>
          <w:lang w:val="en-US" w:eastAsia="en-GB"/>
        </w:rPr>
        <w:t xml:space="preserve">). </w:t>
      </w:r>
      <w:r>
        <w:rPr>
          <w:rFonts w:eastAsia="Times New Roman"/>
          <w:color w:val="000000"/>
          <w:sz w:val="22"/>
          <w:szCs w:val="22"/>
          <w:lang w:val="en-US" w:eastAsia="en-GB"/>
        </w:rPr>
        <w:t xml:space="preserve"> By stage, response rates were highest in the men diagnosed with stage III cancer (65.7%) and lowest in those diagnosed with stage IV disease (58.1%). Within the completed questionnaires, levels of m</w:t>
      </w:r>
      <w:r w:rsidRPr="008D0124">
        <w:rPr>
          <w:rFonts w:eastAsia="Times New Roman"/>
          <w:color w:val="000000"/>
          <w:sz w:val="22"/>
          <w:szCs w:val="22"/>
          <w:lang w:val="en-US" w:eastAsia="en-GB"/>
        </w:rPr>
        <w:t xml:space="preserve">issing data were </w:t>
      </w:r>
      <w:r>
        <w:rPr>
          <w:rFonts w:eastAsia="Times New Roman"/>
          <w:color w:val="000000"/>
          <w:sz w:val="22"/>
          <w:szCs w:val="22"/>
          <w:lang w:val="en-US" w:eastAsia="en-GB"/>
        </w:rPr>
        <w:t xml:space="preserve">generally </w:t>
      </w:r>
      <w:r w:rsidRPr="008D0124">
        <w:rPr>
          <w:rFonts w:eastAsia="Times New Roman"/>
          <w:color w:val="000000"/>
          <w:sz w:val="22"/>
          <w:szCs w:val="22"/>
          <w:lang w:val="en-US" w:eastAsia="en-GB"/>
        </w:rPr>
        <w:t>low</w:t>
      </w:r>
      <w:r>
        <w:rPr>
          <w:rFonts w:eastAsia="Times New Roman"/>
          <w:color w:val="000000"/>
          <w:sz w:val="22"/>
          <w:szCs w:val="22"/>
          <w:lang w:val="en-US" w:eastAsia="en-GB"/>
        </w:rPr>
        <w:t xml:space="preserve"> e.g. &lt;3% missing for EQ-5D (</w:t>
      </w:r>
      <w:r w:rsidR="006A0590">
        <w:rPr>
          <w:rFonts w:eastAsia="Times New Roman"/>
          <w:color w:val="000000"/>
          <w:sz w:val="22"/>
          <w:szCs w:val="22"/>
          <w:lang w:val="en-US" w:eastAsia="en-GB"/>
        </w:rPr>
        <w:t>Appendix p25</w:t>
      </w:r>
      <w:r>
        <w:rPr>
          <w:rFonts w:eastAsia="Times New Roman"/>
          <w:color w:val="000000"/>
          <w:sz w:val="22"/>
          <w:szCs w:val="22"/>
          <w:lang w:val="en-US" w:eastAsia="en-GB"/>
        </w:rPr>
        <w:t xml:space="preserve">).  </w:t>
      </w:r>
      <w:r w:rsidRPr="008D0124">
        <w:rPr>
          <w:rFonts w:eastAsia="Times New Roman"/>
          <w:color w:val="000000"/>
          <w:sz w:val="22"/>
          <w:szCs w:val="22"/>
          <w:lang w:val="en-US" w:eastAsia="en-GB"/>
        </w:rPr>
        <w:t>EPIC-26</w:t>
      </w:r>
      <w:r>
        <w:rPr>
          <w:rFonts w:eastAsia="Times New Roman"/>
          <w:color w:val="000000"/>
          <w:sz w:val="22"/>
          <w:szCs w:val="22"/>
          <w:lang w:val="en-US" w:eastAsia="en-GB"/>
        </w:rPr>
        <w:t xml:space="preserve"> items were less well completed and domain scores could not be calculated in 9-18% of cases.  Completion was highest for the sexual function domain and lowest for the urinary irritation domain.</w:t>
      </w:r>
      <w:r w:rsidRPr="008D0124">
        <w:rPr>
          <w:rFonts w:eastAsia="Times New Roman"/>
          <w:color w:val="000000"/>
          <w:sz w:val="22"/>
          <w:szCs w:val="22"/>
          <w:lang w:val="en-US" w:eastAsia="en-GB"/>
        </w:rPr>
        <w:t xml:space="preserve"> </w:t>
      </w:r>
    </w:p>
    <w:p w:rsidR="00E037B4" w:rsidRDefault="00E037B4" w:rsidP="006A0590">
      <w:pPr>
        <w:spacing w:before="0" w:after="240" w:line="480" w:lineRule="auto"/>
        <w:jc w:val="both"/>
        <w:rPr>
          <w:rFonts w:eastAsia="Times New Roman"/>
          <w:color w:val="000000"/>
          <w:sz w:val="22"/>
          <w:szCs w:val="22"/>
          <w:lang w:val="en-US" w:eastAsia="en-GB"/>
        </w:rPr>
      </w:pPr>
      <w:r>
        <w:rPr>
          <w:rFonts w:eastAsia="Times New Roman"/>
          <w:color w:val="000000"/>
          <w:sz w:val="22"/>
          <w:szCs w:val="22"/>
          <w:lang w:val="en-US" w:eastAsia="en-GB"/>
        </w:rPr>
        <w:t>Of the 35,823 men who completed questionnaires, 16,638</w:t>
      </w:r>
      <w:r w:rsidRPr="008D0124">
        <w:rPr>
          <w:rFonts w:eastAsia="Times New Roman"/>
          <w:color w:val="000000"/>
          <w:sz w:val="22"/>
          <w:szCs w:val="22"/>
          <w:lang w:val="en-US" w:eastAsia="en-GB"/>
        </w:rPr>
        <w:t xml:space="preserve"> (46.4%) were aged 65-74 at survey (median 71 years, </w:t>
      </w:r>
      <w:r>
        <w:rPr>
          <w:rFonts w:eastAsia="Times New Roman"/>
          <w:color w:val="000000"/>
          <w:sz w:val="22"/>
          <w:szCs w:val="22"/>
          <w:lang w:val="en-US" w:eastAsia="en-GB"/>
        </w:rPr>
        <w:t>IQR</w:t>
      </w:r>
      <w:r w:rsidRPr="008D0124">
        <w:rPr>
          <w:rFonts w:eastAsia="Times New Roman"/>
          <w:color w:val="000000"/>
          <w:sz w:val="22"/>
          <w:szCs w:val="22"/>
          <w:lang w:val="en-US" w:eastAsia="en-GB"/>
        </w:rPr>
        <w:t xml:space="preserve"> 67-77) (</w:t>
      </w:r>
      <w:r>
        <w:rPr>
          <w:rFonts w:eastAsia="Times New Roman"/>
          <w:color w:val="000000"/>
          <w:sz w:val="22"/>
          <w:szCs w:val="22"/>
          <w:lang w:val="en-US" w:eastAsia="en-GB"/>
        </w:rPr>
        <w:t>Table 1</w:t>
      </w:r>
      <w:r w:rsidRPr="008D0124">
        <w:rPr>
          <w:rFonts w:eastAsia="Times New Roman"/>
          <w:color w:val="000000"/>
          <w:sz w:val="22"/>
          <w:szCs w:val="22"/>
          <w:lang w:val="en-US" w:eastAsia="en-GB"/>
        </w:rPr>
        <w:t>).  </w:t>
      </w:r>
      <w:r>
        <w:rPr>
          <w:rFonts w:eastAsia="Times New Roman"/>
          <w:color w:val="000000"/>
          <w:sz w:val="22"/>
          <w:szCs w:val="22"/>
          <w:lang w:val="en-US" w:eastAsia="en-GB"/>
        </w:rPr>
        <w:t xml:space="preserve">A quarter (9,408; 26.3%) of the men lived in the least socio-economically deprived areas and 3,620 (10.1%) lived in the most deprived areas.  </w:t>
      </w:r>
      <w:r w:rsidRPr="008D0124">
        <w:rPr>
          <w:rFonts w:eastAsia="Times New Roman"/>
          <w:color w:val="000000"/>
          <w:sz w:val="22"/>
          <w:szCs w:val="22"/>
          <w:lang w:val="en-US" w:eastAsia="en-GB"/>
        </w:rPr>
        <w:t xml:space="preserve">Most </w:t>
      </w:r>
      <w:r>
        <w:rPr>
          <w:rFonts w:eastAsia="Times New Roman"/>
          <w:color w:val="000000"/>
          <w:sz w:val="22"/>
          <w:szCs w:val="22"/>
          <w:lang w:val="en-US" w:eastAsia="en-GB"/>
        </w:rPr>
        <w:t xml:space="preserve">men </w:t>
      </w:r>
      <w:r w:rsidRPr="008D0124">
        <w:rPr>
          <w:rFonts w:eastAsia="Times New Roman"/>
          <w:color w:val="000000"/>
          <w:sz w:val="22"/>
          <w:szCs w:val="22"/>
          <w:lang w:val="en-US" w:eastAsia="en-GB"/>
        </w:rPr>
        <w:t>(</w:t>
      </w:r>
      <w:r>
        <w:rPr>
          <w:rFonts w:eastAsia="Times New Roman"/>
          <w:color w:val="000000"/>
          <w:sz w:val="22"/>
          <w:szCs w:val="22"/>
          <w:lang w:val="en-US" w:eastAsia="en-GB"/>
        </w:rPr>
        <w:t xml:space="preserve">25,418; </w:t>
      </w:r>
      <w:r w:rsidRPr="008D0124">
        <w:rPr>
          <w:rFonts w:eastAsia="Times New Roman"/>
          <w:color w:val="000000"/>
          <w:sz w:val="22"/>
          <w:szCs w:val="22"/>
          <w:lang w:val="en-US" w:eastAsia="en-GB"/>
        </w:rPr>
        <w:t xml:space="preserve">71.0%) reported at least one other </w:t>
      </w:r>
      <w:r>
        <w:rPr>
          <w:rFonts w:eastAsia="Times New Roman"/>
          <w:color w:val="000000"/>
          <w:sz w:val="22"/>
          <w:szCs w:val="22"/>
          <w:lang w:val="en-US" w:eastAsia="en-GB"/>
        </w:rPr>
        <w:t>long-term condition</w:t>
      </w:r>
      <w:r w:rsidRPr="008D0124">
        <w:rPr>
          <w:rFonts w:eastAsia="Times New Roman"/>
          <w:color w:val="000000"/>
          <w:sz w:val="22"/>
          <w:szCs w:val="22"/>
          <w:lang w:val="en-US" w:eastAsia="en-GB"/>
        </w:rPr>
        <w:t xml:space="preserve">, with </w:t>
      </w:r>
      <w:r>
        <w:rPr>
          <w:rFonts w:eastAsia="Times New Roman"/>
          <w:color w:val="000000"/>
          <w:sz w:val="22"/>
          <w:szCs w:val="22"/>
          <w:lang w:val="en-US" w:eastAsia="en-GB"/>
        </w:rPr>
        <w:t>2,563 (</w:t>
      </w:r>
      <w:r w:rsidRPr="008D0124">
        <w:rPr>
          <w:rFonts w:eastAsia="Times New Roman"/>
          <w:color w:val="000000"/>
          <w:sz w:val="22"/>
          <w:szCs w:val="22"/>
          <w:lang w:val="en-US" w:eastAsia="en-GB"/>
        </w:rPr>
        <w:t>7.2%</w:t>
      </w:r>
      <w:r>
        <w:rPr>
          <w:rFonts w:eastAsia="Times New Roman"/>
          <w:color w:val="000000"/>
          <w:sz w:val="22"/>
          <w:szCs w:val="22"/>
          <w:lang w:val="en-US" w:eastAsia="en-GB"/>
        </w:rPr>
        <w:t>)</w:t>
      </w:r>
      <w:r w:rsidRPr="008D0124">
        <w:rPr>
          <w:rFonts w:eastAsia="Times New Roman"/>
          <w:color w:val="000000"/>
          <w:sz w:val="22"/>
          <w:szCs w:val="22"/>
          <w:lang w:val="en-US" w:eastAsia="en-GB"/>
        </w:rPr>
        <w:t xml:space="preserve"> reporting four or more</w:t>
      </w:r>
      <w:r>
        <w:rPr>
          <w:rFonts w:eastAsia="Times New Roman"/>
          <w:color w:val="000000"/>
          <w:sz w:val="22"/>
          <w:szCs w:val="22"/>
          <w:lang w:val="en-US" w:eastAsia="en-GB"/>
        </w:rPr>
        <w:t xml:space="preserve">. </w:t>
      </w:r>
      <w:r w:rsidRPr="008D0124">
        <w:rPr>
          <w:rFonts w:eastAsia="Times New Roman"/>
          <w:color w:val="000000"/>
          <w:sz w:val="22"/>
          <w:szCs w:val="22"/>
          <w:lang w:val="en-US" w:eastAsia="en-GB"/>
        </w:rPr>
        <w:t xml:space="preserve"> </w:t>
      </w:r>
    </w:p>
    <w:p w:rsidR="00E037B4" w:rsidRPr="008D0124" w:rsidRDefault="00E037B4" w:rsidP="006A0590">
      <w:pPr>
        <w:spacing w:before="0" w:after="240" w:line="480" w:lineRule="auto"/>
        <w:jc w:val="both"/>
        <w:rPr>
          <w:rFonts w:eastAsia="Times New Roman"/>
          <w:sz w:val="22"/>
          <w:szCs w:val="22"/>
          <w:lang w:val="en-US" w:eastAsia="en-GB"/>
        </w:rPr>
      </w:pPr>
      <w:r>
        <w:rPr>
          <w:rFonts w:eastAsia="Times New Roman"/>
          <w:color w:val="000000"/>
          <w:sz w:val="22"/>
          <w:szCs w:val="22"/>
          <w:lang w:val="en-US" w:eastAsia="en-GB"/>
        </w:rPr>
        <w:t>Stage at diagnosis was known for 30,733 (85.8%) of respondents, of whom 19,599 (63.8%) had stage I or II disease, 7,209 (23.4%) stage III, and 3,925 (12.8%) stage IV</w:t>
      </w:r>
      <w:r w:rsidRPr="008D0124">
        <w:rPr>
          <w:rFonts w:eastAsia="Times New Roman"/>
          <w:color w:val="000000"/>
          <w:sz w:val="22"/>
          <w:szCs w:val="22"/>
          <w:lang w:val="en-US" w:eastAsia="en-GB"/>
        </w:rPr>
        <w:t>.  </w:t>
      </w:r>
      <w:r>
        <w:rPr>
          <w:rFonts w:eastAsia="Times New Roman"/>
          <w:color w:val="000000"/>
          <w:sz w:val="22"/>
          <w:szCs w:val="22"/>
          <w:lang w:val="en-US" w:eastAsia="en-GB"/>
        </w:rPr>
        <w:t xml:space="preserve">Table 1 details the characteristics of each stage group, including those with unknown stage.  The men diagnosed with stage IV disease (median age 73 years, IQR 68-79) were older than those with stage I/II disease (median age 71 years, IQR 66-76).  The median age of the group with unknown stage was 73 (IQR 67-79).  The socio-economic deprivation and long-term condition profiles were similar across the known stage groups, whilst a higher proportion of the group with unknown stage lived in the least socio-economically deprived areas (p&lt;0.001).   </w:t>
      </w:r>
    </w:p>
    <w:p w:rsidR="00E037B4" w:rsidRPr="008D0124" w:rsidRDefault="00E037B4" w:rsidP="006A0590">
      <w:pPr>
        <w:spacing w:before="0" w:after="240" w:line="480" w:lineRule="auto"/>
        <w:jc w:val="both"/>
        <w:rPr>
          <w:rFonts w:eastAsia="Times New Roman"/>
          <w:sz w:val="22"/>
          <w:szCs w:val="22"/>
          <w:lang w:val="en-US" w:eastAsia="en-GB"/>
        </w:rPr>
      </w:pPr>
      <w:r>
        <w:rPr>
          <w:rFonts w:eastAsia="Times New Roman"/>
          <w:color w:val="000000"/>
          <w:sz w:val="22"/>
          <w:szCs w:val="22"/>
          <w:lang w:val="en-US" w:eastAsia="en-GB"/>
        </w:rPr>
        <w:t xml:space="preserve">The treatments reported by the men are detailed in Table 1. Across the whole cohort, 7,488 (20.9%) reported receiving </w:t>
      </w:r>
      <w:r w:rsidRPr="008D0124">
        <w:rPr>
          <w:rFonts w:eastAsia="Times New Roman"/>
          <w:color w:val="000000"/>
          <w:sz w:val="22"/>
          <w:szCs w:val="22"/>
          <w:lang w:val="en-US" w:eastAsia="en-GB"/>
        </w:rPr>
        <w:t xml:space="preserve">combined EBRT </w:t>
      </w:r>
      <w:r>
        <w:rPr>
          <w:rFonts w:eastAsia="Times New Roman"/>
          <w:color w:val="000000"/>
          <w:sz w:val="22"/>
          <w:szCs w:val="22"/>
          <w:lang w:val="en-US" w:eastAsia="en-GB"/>
        </w:rPr>
        <w:t>and</w:t>
      </w:r>
      <w:r w:rsidRPr="008D0124">
        <w:rPr>
          <w:rFonts w:eastAsia="Times New Roman"/>
          <w:color w:val="000000"/>
          <w:sz w:val="22"/>
          <w:szCs w:val="22"/>
          <w:lang w:val="en-US" w:eastAsia="en-GB"/>
        </w:rPr>
        <w:t xml:space="preserve"> ADT</w:t>
      </w:r>
      <w:r>
        <w:rPr>
          <w:rFonts w:eastAsia="Times New Roman"/>
          <w:color w:val="000000"/>
          <w:sz w:val="22"/>
          <w:szCs w:val="22"/>
          <w:lang w:val="en-US" w:eastAsia="en-GB"/>
        </w:rPr>
        <w:t xml:space="preserve">, with a further 7,054 (19.7%) reporting having surgery alone </w:t>
      </w:r>
      <w:r w:rsidRPr="008D0124">
        <w:rPr>
          <w:rFonts w:eastAsia="Times New Roman"/>
          <w:color w:val="000000"/>
          <w:sz w:val="22"/>
          <w:szCs w:val="22"/>
          <w:lang w:val="en-US" w:eastAsia="en-GB"/>
        </w:rPr>
        <w:t>(</w:t>
      </w:r>
      <w:r>
        <w:rPr>
          <w:rFonts w:eastAsia="Times New Roman"/>
          <w:color w:val="000000"/>
          <w:sz w:val="22"/>
          <w:szCs w:val="22"/>
          <w:lang w:val="en-US" w:eastAsia="en-GB"/>
        </w:rPr>
        <w:t>Table 1</w:t>
      </w:r>
      <w:r w:rsidRPr="008D0124">
        <w:rPr>
          <w:rFonts w:eastAsia="Times New Roman"/>
          <w:color w:val="000000"/>
          <w:sz w:val="22"/>
          <w:szCs w:val="22"/>
          <w:lang w:val="en-US" w:eastAsia="en-GB"/>
        </w:rPr>
        <w:t xml:space="preserve">). </w:t>
      </w:r>
      <w:r>
        <w:rPr>
          <w:rFonts w:eastAsia="Times New Roman"/>
          <w:color w:val="000000"/>
          <w:sz w:val="22"/>
          <w:szCs w:val="22"/>
          <w:lang w:val="en-US" w:eastAsia="en-GB"/>
        </w:rPr>
        <w:t xml:space="preserve"> Of those diagnosed with stage I/II disease, 3,986 (20.3%) reported being on a monitoring regime (</w:t>
      </w:r>
      <w:r w:rsidRPr="008D0124">
        <w:rPr>
          <w:rFonts w:eastAsia="Times New Roman"/>
          <w:color w:val="000000"/>
          <w:sz w:val="22"/>
          <w:szCs w:val="22"/>
          <w:lang w:val="en-US" w:eastAsia="en-GB"/>
        </w:rPr>
        <w:t>active surveillance</w:t>
      </w:r>
      <w:r>
        <w:rPr>
          <w:rFonts w:eastAsia="Times New Roman"/>
          <w:color w:val="000000"/>
          <w:sz w:val="22"/>
          <w:szCs w:val="22"/>
          <w:lang w:val="en-US" w:eastAsia="en-GB"/>
        </w:rPr>
        <w:t xml:space="preserve"> (AS)</w:t>
      </w:r>
      <w:r w:rsidRPr="008D0124">
        <w:rPr>
          <w:rFonts w:eastAsia="Times New Roman"/>
          <w:color w:val="000000"/>
          <w:sz w:val="22"/>
          <w:szCs w:val="22"/>
          <w:lang w:val="en-US" w:eastAsia="en-GB"/>
        </w:rPr>
        <w:t xml:space="preserve"> </w:t>
      </w:r>
      <w:r>
        <w:rPr>
          <w:rFonts w:eastAsia="Times New Roman"/>
          <w:color w:val="000000"/>
          <w:sz w:val="22"/>
          <w:szCs w:val="22"/>
          <w:lang w:val="en-US" w:eastAsia="en-GB"/>
        </w:rPr>
        <w:t xml:space="preserve">or watchful waiting) and 4,606 (23.5%) reported having surgery alone.  Most men diagnosed with stage IV cancer were </w:t>
      </w:r>
      <w:r>
        <w:rPr>
          <w:rFonts w:eastAsia="Times New Roman"/>
          <w:color w:val="000000"/>
          <w:sz w:val="22"/>
          <w:szCs w:val="22"/>
          <w:lang w:val="en-US" w:eastAsia="en-GB"/>
        </w:rPr>
        <w:lastRenderedPageBreak/>
        <w:t xml:space="preserve">receiving ADT at the time of survey, either alone (1,116; 28.4%) or in combination with EBRT and/or other systemic therapy (chemotherapy, Abiraterone, Enzalutamide) (1,597; 40.7%).  </w:t>
      </w:r>
    </w:p>
    <w:p w:rsidR="00E037B4" w:rsidRPr="000B594B" w:rsidRDefault="00E037B4" w:rsidP="006A0590">
      <w:pPr>
        <w:shd w:val="clear" w:color="auto" w:fill="FFFFFF" w:themeFill="background1"/>
        <w:spacing w:before="0" w:after="240" w:line="480" w:lineRule="auto"/>
        <w:jc w:val="both"/>
        <w:rPr>
          <w:rFonts w:eastAsia="Times New Roman"/>
          <w:sz w:val="22"/>
          <w:szCs w:val="22"/>
          <w:lang w:val="en-US" w:eastAsia="en-GB"/>
        </w:rPr>
      </w:pPr>
      <w:r w:rsidRPr="008D0124">
        <w:rPr>
          <w:rFonts w:eastAsia="Times New Roman"/>
          <w:color w:val="000000"/>
          <w:sz w:val="22"/>
          <w:szCs w:val="22"/>
          <w:lang w:val="en-US" w:eastAsia="en-GB"/>
        </w:rPr>
        <w:t xml:space="preserve">Mean </w:t>
      </w:r>
      <w:r>
        <w:rPr>
          <w:rFonts w:eastAsia="Times New Roman"/>
          <w:color w:val="000000"/>
          <w:sz w:val="22"/>
          <w:szCs w:val="22"/>
          <w:lang w:val="en-US" w:eastAsia="en-GB"/>
        </w:rPr>
        <w:t xml:space="preserve">adjusted </w:t>
      </w:r>
      <w:r w:rsidRPr="008D0124">
        <w:rPr>
          <w:rFonts w:eastAsia="Times New Roman"/>
          <w:color w:val="000000"/>
          <w:sz w:val="22"/>
          <w:szCs w:val="22"/>
          <w:lang w:val="en-US" w:eastAsia="en-GB"/>
        </w:rPr>
        <w:t>EPIC-26 domain scores</w:t>
      </w:r>
      <w:r>
        <w:rPr>
          <w:rFonts w:eastAsia="Times New Roman"/>
          <w:color w:val="000000"/>
          <w:sz w:val="22"/>
          <w:szCs w:val="22"/>
          <w:lang w:val="en-US" w:eastAsia="en-GB"/>
        </w:rPr>
        <w:t xml:space="preserve"> </w:t>
      </w:r>
      <w:r w:rsidRPr="008D0124">
        <w:rPr>
          <w:rFonts w:eastAsia="Times New Roman"/>
          <w:color w:val="000000"/>
          <w:sz w:val="22"/>
          <w:szCs w:val="22"/>
          <w:lang w:val="en-US" w:eastAsia="en-GB"/>
        </w:rPr>
        <w:t>were high</w:t>
      </w:r>
      <w:r>
        <w:rPr>
          <w:rFonts w:eastAsia="Times New Roman"/>
          <w:color w:val="000000"/>
          <w:sz w:val="22"/>
          <w:szCs w:val="22"/>
          <w:lang w:val="en-US" w:eastAsia="en-GB"/>
        </w:rPr>
        <w:t>,</w:t>
      </w:r>
      <w:r w:rsidRPr="008D0124">
        <w:rPr>
          <w:rFonts w:eastAsia="Times New Roman"/>
          <w:color w:val="000000"/>
          <w:sz w:val="22"/>
          <w:szCs w:val="22"/>
          <w:lang w:val="en-US" w:eastAsia="en-GB"/>
        </w:rPr>
        <w:t xml:space="preserve"> indicating good function, except for sexual function where scores were much lower (2</w:t>
      </w:r>
      <w:r>
        <w:rPr>
          <w:rFonts w:eastAsia="Times New Roman"/>
          <w:color w:val="000000"/>
          <w:sz w:val="22"/>
          <w:szCs w:val="22"/>
          <w:lang w:val="en-US" w:eastAsia="en-GB"/>
        </w:rPr>
        <w:t>4.0, 95% CI 23.6-24.2</w:t>
      </w:r>
      <w:r w:rsidRPr="008D0124">
        <w:rPr>
          <w:rFonts w:eastAsia="Times New Roman"/>
          <w:color w:val="000000"/>
          <w:sz w:val="22"/>
          <w:szCs w:val="22"/>
          <w:lang w:val="en-US" w:eastAsia="en-GB"/>
        </w:rPr>
        <w:t xml:space="preserve">) (Table </w:t>
      </w:r>
      <w:r>
        <w:rPr>
          <w:rFonts w:eastAsia="Times New Roman"/>
          <w:color w:val="000000"/>
          <w:sz w:val="22"/>
          <w:szCs w:val="22"/>
          <w:lang w:val="en-US" w:eastAsia="en-GB"/>
        </w:rPr>
        <w:t>2</w:t>
      </w:r>
      <w:r w:rsidRPr="008D0124">
        <w:rPr>
          <w:rFonts w:eastAsia="Times New Roman"/>
          <w:color w:val="000000"/>
          <w:sz w:val="22"/>
          <w:szCs w:val="22"/>
          <w:lang w:val="en-US" w:eastAsia="en-GB"/>
        </w:rPr>
        <w:t xml:space="preserve">). </w:t>
      </w:r>
      <w:r>
        <w:rPr>
          <w:rFonts w:eastAsia="Times New Roman"/>
          <w:color w:val="000000"/>
          <w:sz w:val="22"/>
          <w:szCs w:val="22"/>
          <w:lang w:val="en-US" w:eastAsia="en-GB"/>
        </w:rPr>
        <w:t xml:space="preserve"> U</w:t>
      </w:r>
      <w:r w:rsidRPr="000B594B">
        <w:rPr>
          <w:rFonts w:eastAsia="Times New Roman"/>
          <w:color w:val="000000"/>
          <w:sz w:val="22"/>
          <w:szCs w:val="22"/>
          <w:lang w:val="en-US" w:eastAsia="en-GB"/>
        </w:rPr>
        <w:t xml:space="preserve">rinary and bowel function </w:t>
      </w:r>
      <w:r>
        <w:rPr>
          <w:rFonts w:eastAsia="Times New Roman"/>
          <w:color w:val="000000"/>
          <w:sz w:val="22"/>
          <w:szCs w:val="22"/>
          <w:lang w:val="en-US" w:eastAsia="en-GB"/>
        </w:rPr>
        <w:t>were similar across all disease stages (&lt;3 point difference)</w:t>
      </w:r>
      <w:r w:rsidRPr="000B594B">
        <w:rPr>
          <w:rFonts w:eastAsia="Times New Roman"/>
          <w:color w:val="000000"/>
          <w:sz w:val="22"/>
          <w:szCs w:val="22"/>
          <w:lang w:val="en-US" w:eastAsia="en-GB"/>
        </w:rPr>
        <w:t xml:space="preserve">, </w:t>
      </w:r>
      <w:r>
        <w:rPr>
          <w:rFonts w:eastAsia="Times New Roman"/>
          <w:color w:val="000000"/>
          <w:sz w:val="22"/>
          <w:szCs w:val="22"/>
          <w:lang w:val="en-US" w:eastAsia="en-GB"/>
        </w:rPr>
        <w:t>whereas</w:t>
      </w:r>
      <w:r w:rsidRPr="000B594B">
        <w:rPr>
          <w:rFonts w:eastAsia="Times New Roman"/>
          <w:color w:val="000000"/>
          <w:sz w:val="22"/>
          <w:szCs w:val="22"/>
          <w:lang w:val="en-US" w:eastAsia="en-GB"/>
        </w:rPr>
        <w:t xml:space="preserve"> </w:t>
      </w:r>
      <w:r>
        <w:rPr>
          <w:rFonts w:eastAsia="Times New Roman"/>
          <w:color w:val="000000"/>
          <w:sz w:val="22"/>
          <w:szCs w:val="22"/>
          <w:lang w:val="en-US" w:eastAsia="en-GB"/>
        </w:rPr>
        <w:t>vitality/</w:t>
      </w:r>
      <w:r w:rsidRPr="000B594B">
        <w:rPr>
          <w:rFonts w:eastAsia="Times New Roman"/>
          <w:color w:val="000000"/>
          <w:sz w:val="22"/>
          <w:szCs w:val="22"/>
          <w:lang w:val="en-US" w:eastAsia="en-GB"/>
        </w:rPr>
        <w:t>hormon</w:t>
      </w:r>
      <w:r>
        <w:rPr>
          <w:rFonts w:eastAsia="Times New Roman"/>
          <w:color w:val="000000"/>
          <w:sz w:val="22"/>
          <w:szCs w:val="22"/>
          <w:lang w:val="en-US" w:eastAsia="en-GB"/>
        </w:rPr>
        <w:t>e</w:t>
      </w:r>
      <w:r w:rsidRPr="000B594B">
        <w:rPr>
          <w:rFonts w:eastAsia="Times New Roman"/>
          <w:color w:val="000000"/>
          <w:sz w:val="22"/>
          <w:szCs w:val="22"/>
          <w:lang w:val="en-US" w:eastAsia="en-GB"/>
        </w:rPr>
        <w:t xml:space="preserve"> and sexual function were </w:t>
      </w:r>
      <w:r>
        <w:rPr>
          <w:rFonts w:eastAsia="Times New Roman"/>
          <w:color w:val="000000"/>
          <w:sz w:val="22"/>
          <w:szCs w:val="22"/>
          <w:lang w:val="en-US" w:eastAsia="en-GB"/>
        </w:rPr>
        <w:t>substantially</w:t>
      </w:r>
      <w:r w:rsidRPr="000B594B">
        <w:rPr>
          <w:rFonts w:eastAsia="Times New Roman"/>
          <w:color w:val="000000"/>
          <w:sz w:val="22"/>
          <w:szCs w:val="22"/>
          <w:lang w:val="en-US" w:eastAsia="en-GB"/>
        </w:rPr>
        <w:t xml:space="preserve"> reduced in men with </w:t>
      </w:r>
      <w:r>
        <w:rPr>
          <w:rFonts w:eastAsia="Times New Roman"/>
          <w:color w:val="000000"/>
          <w:sz w:val="22"/>
          <w:szCs w:val="22"/>
          <w:lang w:val="en-US" w:eastAsia="en-GB"/>
        </w:rPr>
        <w:t xml:space="preserve">stage III and IV </w:t>
      </w:r>
      <w:r w:rsidRPr="000B594B">
        <w:rPr>
          <w:rFonts w:eastAsia="Times New Roman"/>
          <w:color w:val="000000"/>
          <w:sz w:val="22"/>
          <w:szCs w:val="22"/>
          <w:lang w:val="en-US" w:eastAsia="en-GB"/>
        </w:rPr>
        <w:t>PCa</w:t>
      </w:r>
      <w:r>
        <w:rPr>
          <w:rFonts w:eastAsia="Times New Roman"/>
          <w:color w:val="000000"/>
          <w:sz w:val="22"/>
          <w:szCs w:val="22"/>
          <w:lang w:val="en-US" w:eastAsia="en-GB"/>
        </w:rPr>
        <w:t xml:space="preserve"> compared to those with localised disease (8-16 point difference for hormone function and 12-17 point difference for sexual function)</w:t>
      </w:r>
      <w:r w:rsidRPr="000B594B">
        <w:rPr>
          <w:rFonts w:eastAsia="Times New Roman"/>
          <w:color w:val="000000"/>
          <w:sz w:val="22"/>
          <w:szCs w:val="22"/>
          <w:lang w:val="en-US" w:eastAsia="en-GB"/>
        </w:rPr>
        <w:t>.  </w:t>
      </w:r>
      <w:r>
        <w:rPr>
          <w:rFonts w:eastAsia="Times New Roman"/>
          <w:color w:val="000000"/>
          <w:sz w:val="22"/>
          <w:szCs w:val="22"/>
          <w:lang w:val="en-US" w:eastAsia="en-GB"/>
        </w:rPr>
        <w:t>Men treated surgically reported more urinary incontinence, whilst those on ADT reported worse hormonal and sexual function</w:t>
      </w:r>
      <w:r w:rsidRPr="000B594B">
        <w:rPr>
          <w:rFonts w:eastAsia="Times New Roman"/>
          <w:color w:val="000000"/>
          <w:sz w:val="22"/>
          <w:szCs w:val="22"/>
          <w:lang w:val="en-US" w:eastAsia="en-GB"/>
        </w:rPr>
        <w:t>.</w:t>
      </w:r>
      <w:r>
        <w:rPr>
          <w:rFonts w:eastAsia="Times New Roman"/>
          <w:color w:val="000000"/>
          <w:sz w:val="22"/>
          <w:szCs w:val="22"/>
          <w:lang w:val="en-US" w:eastAsia="en-GB"/>
        </w:rPr>
        <w:t xml:space="preserve">  </w:t>
      </w:r>
      <w:r w:rsidRPr="000B594B">
        <w:rPr>
          <w:rFonts w:eastAsia="Times New Roman"/>
          <w:color w:val="000000"/>
          <w:sz w:val="22"/>
          <w:szCs w:val="22"/>
          <w:lang w:val="en-US" w:eastAsia="en-GB"/>
        </w:rPr>
        <w:t xml:space="preserve">  </w:t>
      </w:r>
    </w:p>
    <w:p w:rsidR="00E037B4" w:rsidRPr="000B594B" w:rsidRDefault="00E037B4" w:rsidP="006A0590">
      <w:pPr>
        <w:shd w:val="clear" w:color="auto" w:fill="FFFFFF" w:themeFill="background1"/>
        <w:spacing w:before="0" w:after="240" w:line="480" w:lineRule="auto"/>
        <w:jc w:val="both"/>
        <w:rPr>
          <w:rFonts w:eastAsia="Times New Roman"/>
          <w:sz w:val="22"/>
          <w:szCs w:val="22"/>
          <w:lang w:val="en-US" w:eastAsia="en-GB"/>
        </w:rPr>
      </w:pPr>
      <w:r w:rsidRPr="000B594B">
        <w:rPr>
          <w:rFonts w:eastAsia="Times New Roman"/>
          <w:color w:val="000000"/>
          <w:sz w:val="22"/>
          <w:szCs w:val="22"/>
          <w:lang w:val="en-US" w:eastAsia="en-GB"/>
        </w:rPr>
        <w:t xml:space="preserve">Needing to urinate frequently was the most common </w:t>
      </w:r>
      <w:r>
        <w:rPr>
          <w:rFonts w:eastAsia="Times New Roman"/>
          <w:color w:val="000000"/>
          <w:sz w:val="22"/>
          <w:szCs w:val="22"/>
          <w:lang w:val="en-US" w:eastAsia="en-GB"/>
        </w:rPr>
        <w:t xml:space="preserve">urinary </w:t>
      </w:r>
      <w:r w:rsidRPr="000B594B">
        <w:rPr>
          <w:rFonts w:eastAsia="Times New Roman"/>
          <w:color w:val="000000"/>
          <w:sz w:val="22"/>
          <w:szCs w:val="22"/>
          <w:lang w:val="en-US" w:eastAsia="en-GB"/>
        </w:rPr>
        <w:t xml:space="preserve">symptom </w:t>
      </w:r>
      <w:r>
        <w:rPr>
          <w:rFonts w:eastAsia="Times New Roman"/>
          <w:color w:val="000000"/>
          <w:sz w:val="22"/>
          <w:szCs w:val="22"/>
          <w:lang w:val="en-US" w:eastAsia="en-GB"/>
        </w:rPr>
        <w:t>(adjusted proportion: 18.6</w:t>
      </w:r>
      <w:r w:rsidRPr="000B594B">
        <w:rPr>
          <w:rFonts w:eastAsia="Times New Roman"/>
          <w:color w:val="000000"/>
          <w:sz w:val="22"/>
          <w:szCs w:val="22"/>
          <w:lang w:val="en-US" w:eastAsia="en-GB"/>
        </w:rPr>
        <w:t>%</w:t>
      </w:r>
      <w:r>
        <w:rPr>
          <w:rFonts w:eastAsia="Times New Roman"/>
          <w:color w:val="000000"/>
          <w:sz w:val="22"/>
          <w:szCs w:val="22"/>
          <w:lang w:val="en-US" w:eastAsia="en-GB"/>
        </w:rPr>
        <w:t>, 95% CI 18.1-19.0</w:t>
      </w:r>
      <w:r w:rsidRPr="000B594B">
        <w:rPr>
          <w:rFonts w:eastAsia="Times New Roman"/>
          <w:color w:val="000000"/>
          <w:sz w:val="22"/>
          <w:szCs w:val="22"/>
          <w:lang w:val="en-US" w:eastAsia="en-GB"/>
        </w:rPr>
        <w:t xml:space="preserve"> report</w:t>
      </w:r>
      <w:r>
        <w:rPr>
          <w:rFonts w:eastAsia="Times New Roman"/>
          <w:color w:val="000000"/>
          <w:sz w:val="22"/>
          <w:szCs w:val="22"/>
          <w:lang w:val="en-US" w:eastAsia="en-GB"/>
        </w:rPr>
        <w:t>ed</w:t>
      </w:r>
      <w:r w:rsidRPr="000B594B">
        <w:rPr>
          <w:rFonts w:eastAsia="Times New Roman"/>
          <w:color w:val="000000"/>
          <w:sz w:val="22"/>
          <w:szCs w:val="22"/>
          <w:lang w:val="en-US" w:eastAsia="en-GB"/>
        </w:rPr>
        <w:t xml:space="preserve"> a moderate/big problem</w:t>
      </w:r>
      <w:r>
        <w:rPr>
          <w:rFonts w:eastAsia="Times New Roman"/>
          <w:color w:val="000000"/>
          <w:sz w:val="22"/>
          <w:szCs w:val="22"/>
          <w:lang w:val="en-US" w:eastAsia="en-GB"/>
        </w:rPr>
        <w:t xml:space="preserve">), followed by leaking at least once per day (adjusted proportion: 12.7%, 95% CI 12.3-13.0).  </w:t>
      </w:r>
      <w:r w:rsidRPr="000B594B">
        <w:rPr>
          <w:rFonts w:eastAsia="Times New Roman"/>
          <w:color w:val="000000"/>
          <w:sz w:val="22"/>
          <w:szCs w:val="22"/>
          <w:lang w:val="en-US" w:eastAsia="en-GB"/>
        </w:rPr>
        <w:t>There were only small differences in the reporting of urinary symptoms by stage (Figure 1a).  Men who underwent surgery reported high levels of urinary incontinence (23.</w:t>
      </w:r>
      <w:r>
        <w:rPr>
          <w:rFonts w:eastAsia="Times New Roman"/>
          <w:color w:val="000000"/>
          <w:sz w:val="22"/>
          <w:szCs w:val="22"/>
          <w:lang w:val="en-US" w:eastAsia="en-GB"/>
        </w:rPr>
        <w:t>4</w:t>
      </w:r>
      <w:r w:rsidRPr="000B594B">
        <w:rPr>
          <w:rFonts w:eastAsia="Times New Roman"/>
          <w:color w:val="000000"/>
          <w:sz w:val="22"/>
          <w:szCs w:val="22"/>
          <w:lang w:val="en-US" w:eastAsia="en-GB"/>
        </w:rPr>
        <w:t>%</w:t>
      </w:r>
      <w:r>
        <w:rPr>
          <w:rFonts w:eastAsia="Times New Roman"/>
          <w:color w:val="000000"/>
          <w:sz w:val="22"/>
          <w:szCs w:val="22"/>
          <w:lang w:val="en-US" w:eastAsia="en-GB"/>
        </w:rPr>
        <w:t>, 95% CI 22.3-24.5</w:t>
      </w:r>
      <w:r w:rsidRPr="000B594B">
        <w:rPr>
          <w:rFonts w:eastAsia="Times New Roman"/>
          <w:color w:val="000000"/>
          <w:sz w:val="22"/>
          <w:szCs w:val="22"/>
          <w:lang w:val="en-US" w:eastAsia="en-GB"/>
        </w:rPr>
        <w:t xml:space="preserve"> leaked </w:t>
      </w:r>
      <w:r>
        <w:rPr>
          <w:rFonts w:eastAsia="Times New Roman"/>
          <w:color w:val="000000"/>
          <w:sz w:val="22"/>
          <w:szCs w:val="22"/>
          <w:lang w:val="en-US" w:eastAsia="en-GB"/>
        </w:rPr>
        <w:t>at least once per day</w:t>
      </w:r>
      <w:r w:rsidRPr="000B594B">
        <w:rPr>
          <w:rFonts w:eastAsia="Times New Roman"/>
          <w:color w:val="000000"/>
          <w:sz w:val="22"/>
          <w:szCs w:val="22"/>
          <w:lang w:val="en-US" w:eastAsia="en-GB"/>
        </w:rPr>
        <w:t xml:space="preserve"> and </w:t>
      </w:r>
      <w:r>
        <w:rPr>
          <w:rFonts w:eastAsia="Times New Roman"/>
          <w:color w:val="000000"/>
          <w:sz w:val="22"/>
          <w:szCs w:val="22"/>
          <w:lang w:val="en-US" w:eastAsia="en-GB"/>
        </w:rPr>
        <w:t>31.4</w:t>
      </w:r>
      <w:r w:rsidRPr="000B594B">
        <w:rPr>
          <w:rFonts w:eastAsia="Times New Roman"/>
          <w:color w:val="000000"/>
          <w:sz w:val="22"/>
          <w:szCs w:val="22"/>
          <w:lang w:val="en-US" w:eastAsia="en-GB"/>
        </w:rPr>
        <w:t>%</w:t>
      </w:r>
      <w:r>
        <w:rPr>
          <w:rFonts w:eastAsia="Times New Roman"/>
          <w:color w:val="000000"/>
          <w:sz w:val="22"/>
          <w:szCs w:val="22"/>
          <w:lang w:val="en-US" w:eastAsia="en-GB"/>
        </w:rPr>
        <w:t>, 95% CI 30.2-32.6</w:t>
      </w:r>
      <w:r w:rsidRPr="000B594B">
        <w:rPr>
          <w:rFonts w:eastAsia="Times New Roman"/>
          <w:color w:val="000000"/>
          <w:sz w:val="22"/>
          <w:szCs w:val="22"/>
          <w:lang w:val="en-US" w:eastAsia="en-GB"/>
        </w:rPr>
        <w:t xml:space="preserve"> used </w:t>
      </w:r>
      <w:r>
        <w:rPr>
          <w:rFonts w:eastAsia="Times New Roman"/>
          <w:color w:val="000000"/>
          <w:sz w:val="22"/>
          <w:szCs w:val="22"/>
          <w:lang w:val="en-US" w:eastAsia="en-GB"/>
        </w:rPr>
        <w:t>one or more</w:t>
      </w:r>
      <w:r w:rsidRPr="000B594B">
        <w:rPr>
          <w:rFonts w:eastAsia="Times New Roman"/>
          <w:color w:val="000000"/>
          <w:sz w:val="22"/>
          <w:szCs w:val="22"/>
          <w:lang w:val="en-US" w:eastAsia="en-GB"/>
        </w:rPr>
        <w:t xml:space="preserve"> pad</w:t>
      </w:r>
      <w:r>
        <w:rPr>
          <w:rFonts w:eastAsia="Times New Roman"/>
          <w:color w:val="000000"/>
          <w:sz w:val="22"/>
          <w:szCs w:val="22"/>
          <w:lang w:val="en-US" w:eastAsia="en-GB"/>
        </w:rPr>
        <w:t xml:space="preserve">s per </w:t>
      </w:r>
      <w:r w:rsidRPr="000B594B">
        <w:rPr>
          <w:rFonts w:eastAsia="Times New Roman"/>
          <w:color w:val="000000"/>
          <w:sz w:val="22"/>
          <w:szCs w:val="22"/>
          <w:lang w:val="en-US" w:eastAsia="en-GB"/>
        </w:rPr>
        <w:t>day in the surgery alone group) (</w:t>
      </w:r>
      <w:r>
        <w:rPr>
          <w:rFonts w:eastAsia="Times New Roman"/>
          <w:color w:val="000000"/>
          <w:sz w:val="22"/>
          <w:szCs w:val="22"/>
          <w:lang w:val="en-US" w:eastAsia="en-GB"/>
        </w:rPr>
        <w:t xml:space="preserve">adjusted proportions: </w:t>
      </w:r>
      <w:r w:rsidR="006A0590">
        <w:rPr>
          <w:rFonts w:eastAsia="Times New Roman"/>
          <w:color w:val="000000"/>
          <w:sz w:val="22"/>
          <w:szCs w:val="22"/>
          <w:lang w:val="en-US" w:eastAsia="en-GB"/>
        </w:rPr>
        <w:t>Appendix p26</w:t>
      </w:r>
      <w:r w:rsidRPr="000B594B">
        <w:rPr>
          <w:rFonts w:eastAsia="Times New Roman"/>
          <w:color w:val="000000"/>
          <w:sz w:val="22"/>
          <w:szCs w:val="22"/>
          <w:lang w:val="en-US" w:eastAsia="en-GB"/>
        </w:rPr>
        <w:t>).  Problems with urinary frequency and weak stream/incomplete emptying were less of a problem in the ‘surgery alone’ group</w:t>
      </w:r>
      <w:r>
        <w:rPr>
          <w:rFonts w:eastAsia="Times New Roman"/>
          <w:color w:val="000000"/>
          <w:sz w:val="22"/>
          <w:szCs w:val="22"/>
          <w:lang w:val="en-US" w:eastAsia="en-GB"/>
        </w:rPr>
        <w:t xml:space="preserve"> than in other treatment groups</w:t>
      </w:r>
      <w:r w:rsidRPr="000B594B">
        <w:rPr>
          <w:rFonts w:eastAsia="Times New Roman"/>
          <w:color w:val="000000"/>
          <w:sz w:val="22"/>
          <w:szCs w:val="22"/>
          <w:lang w:val="en-US" w:eastAsia="en-GB"/>
        </w:rPr>
        <w:t>.   </w:t>
      </w:r>
    </w:p>
    <w:p w:rsidR="00E037B4" w:rsidRPr="000B594B" w:rsidRDefault="00E037B4" w:rsidP="006A0590">
      <w:pPr>
        <w:shd w:val="clear" w:color="auto" w:fill="FFFFFF" w:themeFill="background1"/>
        <w:spacing w:before="0" w:after="240" w:line="480" w:lineRule="auto"/>
        <w:jc w:val="both"/>
        <w:rPr>
          <w:rFonts w:eastAsia="Times New Roman"/>
          <w:sz w:val="22"/>
          <w:szCs w:val="22"/>
          <w:lang w:val="en-US" w:eastAsia="en-GB"/>
        </w:rPr>
      </w:pPr>
      <w:r w:rsidRPr="000B594B">
        <w:rPr>
          <w:rFonts w:eastAsia="Times New Roman"/>
          <w:color w:val="000000"/>
          <w:sz w:val="22"/>
          <w:szCs w:val="22"/>
          <w:lang w:val="en-US" w:eastAsia="en-GB"/>
        </w:rPr>
        <w:t>Problems with bowel function were relatively infrequent compared to other domains and varied little by stage of disease</w:t>
      </w:r>
      <w:r>
        <w:rPr>
          <w:rFonts w:eastAsia="Times New Roman"/>
          <w:color w:val="000000"/>
          <w:sz w:val="22"/>
          <w:szCs w:val="22"/>
          <w:lang w:val="en-US" w:eastAsia="en-GB"/>
        </w:rPr>
        <w:t xml:space="preserve"> </w:t>
      </w:r>
      <w:r w:rsidRPr="000B594B">
        <w:rPr>
          <w:rFonts w:eastAsia="Times New Roman"/>
          <w:color w:val="000000"/>
          <w:sz w:val="22"/>
          <w:szCs w:val="22"/>
          <w:lang w:val="en-US" w:eastAsia="en-GB"/>
        </w:rPr>
        <w:t>(Figure 1a</w:t>
      </w:r>
      <w:r w:rsidRPr="000E18F3">
        <w:rPr>
          <w:rFonts w:eastAsia="Times New Roman"/>
          <w:color w:val="000000"/>
          <w:sz w:val="22"/>
          <w:szCs w:val="22"/>
          <w:lang w:val="en-US" w:eastAsia="en-GB"/>
        </w:rPr>
        <w:t>)</w:t>
      </w:r>
      <w:r w:rsidRPr="000E18F3">
        <w:rPr>
          <w:rFonts w:eastAsia="Times New Roman"/>
          <w:iCs/>
          <w:color w:val="000000"/>
          <w:sz w:val="22"/>
          <w:szCs w:val="22"/>
          <w:lang w:val="en-US" w:eastAsia="en-GB"/>
        </w:rPr>
        <w:t>.  </w:t>
      </w:r>
      <w:r w:rsidRPr="000E18F3">
        <w:rPr>
          <w:rFonts w:eastAsia="Times New Roman"/>
          <w:color w:val="000000"/>
          <w:sz w:val="22"/>
          <w:szCs w:val="22"/>
          <w:lang w:val="en-US" w:eastAsia="en-GB"/>
        </w:rPr>
        <w:t>B</w:t>
      </w:r>
      <w:r w:rsidRPr="000B594B">
        <w:rPr>
          <w:rFonts w:eastAsia="Times New Roman"/>
          <w:color w:val="000000"/>
          <w:sz w:val="22"/>
          <w:szCs w:val="22"/>
          <w:lang w:val="en-US" w:eastAsia="en-GB"/>
        </w:rPr>
        <w:t>owel urgency was the most common</w:t>
      </w:r>
      <w:r>
        <w:rPr>
          <w:rFonts w:eastAsia="Times New Roman"/>
          <w:color w:val="000000"/>
          <w:sz w:val="22"/>
          <w:szCs w:val="22"/>
          <w:lang w:val="en-US" w:eastAsia="en-GB"/>
        </w:rPr>
        <w:t xml:space="preserve"> </w:t>
      </w:r>
      <w:r w:rsidRPr="000B594B">
        <w:rPr>
          <w:rFonts w:eastAsia="Times New Roman"/>
          <w:color w:val="000000"/>
          <w:sz w:val="22"/>
          <w:szCs w:val="22"/>
          <w:lang w:val="en-US" w:eastAsia="en-GB"/>
        </w:rPr>
        <w:t>bowel problem (</w:t>
      </w:r>
      <w:r>
        <w:rPr>
          <w:rFonts w:eastAsia="Times New Roman"/>
          <w:color w:val="000000"/>
          <w:sz w:val="22"/>
          <w:szCs w:val="22"/>
          <w:lang w:val="en-US" w:eastAsia="en-GB"/>
        </w:rPr>
        <w:t>adjusted proportion: 8.8</w:t>
      </w:r>
      <w:r w:rsidRPr="000B594B">
        <w:rPr>
          <w:rFonts w:eastAsia="Times New Roman"/>
          <w:color w:val="000000"/>
          <w:sz w:val="22"/>
          <w:szCs w:val="22"/>
          <w:lang w:val="en-US" w:eastAsia="en-GB"/>
        </w:rPr>
        <w:t>%</w:t>
      </w:r>
      <w:r>
        <w:rPr>
          <w:rFonts w:eastAsia="Times New Roman"/>
          <w:color w:val="000000"/>
          <w:sz w:val="22"/>
          <w:szCs w:val="22"/>
          <w:lang w:val="en-US" w:eastAsia="en-GB"/>
        </w:rPr>
        <w:t>, 95% CI 8.5-9.2</w:t>
      </w:r>
      <w:r w:rsidRPr="000B594B">
        <w:rPr>
          <w:rFonts w:eastAsia="Times New Roman"/>
          <w:color w:val="000000"/>
          <w:sz w:val="22"/>
          <w:szCs w:val="22"/>
          <w:lang w:val="en-US" w:eastAsia="en-GB"/>
        </w:rPr>
        <w:t xml:space="preserve"> report</w:t>
      </w:r>
      <w:r>
        <w:rPr>
          <w:rFonts w:eastAsia="Times New Roman"/>
          <w:color w:val="000000"/>
          <w:sz w:val="22"/>
          <w:szCs w:val="22"/>
          <w:lang w:val="en-US" w:eastAsia="en-GB"/>
        </w:rPr>
        <w:t>ed</w:t>
      </w:r>
      <w:r w:rsidRPr="000B594B">
        <w:rPr>
          <w:rFonts w:eastAsia="Times New Roman"/>
          <w:color w:val="000000"/>
          <w:sz w:val="22"/>
          <w:szCs w:val="22"/>
          <w:lang w:val="en-US" w:eastAsia="en-GB"/>
        </w:rPr>
        <w:t xml:space="preserve"> a moderate/big problem</w:t>
      </w:r>
      <w:r w:rsidRPr="000E18F3">
        <w:rPr>
          <w:rFonts w:eastAsia="Times New Roman"/>
          <w:iCs/>
          <w:color w:val="000000"/>
          <w:sz w:val="22"/>
          <w:szCs w:val="22"/>
          <w:lang w:val="en-US" w:eastAsia="en-GB"/>
        </w:rPr>
        <w:t>)</w:t>
      </w:r>
      <w:r>
        <w:rPr>
          <w:rFonts w:eastAsia="Times New Roman"/>
          <w:iCs/>
          <w:color w:val="000000"/>
          <w:sz w:val="22"/>
          <w:szCs w:val="22"/>
          <w:lang w:val="en-US" w:eastAsia="en-GB"/>
        </w:rPr>
        <w:t>.</w:t>
      </w:r>
      <w:r w:rsidRPr="000B594B">
        <w:rPr>
          <w:rFonts w:eastAsia="Times New Roman"/>
          <w:i/>
          <w:iCs/>
          <w:color w:val="000000"/>
          <w:sz w:val="22"/>
          <w:szCs w:val="22"/>
          <w:lang w:val="en-US" w:eastAsia="en-GB"/>
        </w:rPr>
        <w:t xml:space="preserve"> </w:t>
      </w:r>
      <w:r>
        <w:rPr>
          <w:rFonts w:eastAsia="Times New Roman"/>
          <w:i/>
          <w:iCs/>
          <w:color w:val="000000"/>
          <w:sz w:val="22"/>
          <w:szCs w:val="22"/>
          <w:lang w:val="en-US" w:eastAsia="en-GB"/>
        </w:rPr>
        <w:t xml:space="preserve"> </w:t>
      </w:r>
      <w:r w:rsidRPr="000B594B">
        <w:rPr>
          <w:rFonts w:eastAsia="Times New Roman"/>
          <w:color w:val="000000"/>
          <w:sz w:val="22"/>
          <w:szCs w:val="22"/>
          <w:lang w:val="en-US" w:eastAsia="en-GB"/>
        </w:rPr>
        <w:t>Bowel problems were more frequent following EBRT, alone or in combination</w:t>
      </w:r>
      <w:r>
        <w:rPr>
          <w:rFonts w:eastAsia="Times New Roman"/>
          <w:color w:val="000000"/>
          <w:sz w:val="22"/>
          <w:szCs w:val="22"/>
          <w:lang w:val="en-US" w:eastAsia="en-GB"/>
        </w:rPr>
        <w:t>.  For example,</w:t>
      </w:r>
      <w:r w:rsidRPr="000B594B">
        <w:rPr>
          <w:rFonts w:eastAsia="Times New Roman"/>
          <w:color w:val="000000"/>
          <w:sz w:val="22"/>
          <w:szCs w:val="22"/>
          <w:lang w:val="en-US" w:eastAsia="en-GB"/>
        </w:rPr>
        <w:t xml:space="preserve"> </w:t>
      </w:r>
      <w:r>
        <w:rPr>
          <w:rFonts w:eastAsia="Times New Roman"/>
          <w:color w:val="000000"/>
          <w:sz w:val="22"/>
          <w:szCs w:val="22"/>
          <w:lang w:val="en-US" w:eastAsia="en-GB"/>
        </w:rPr>
        <w:t>11.4</w:t>
      </w:r>
      <w:r w:rsidRPr="000B594B">
        <w:rPr>
          <w:rFonts w:eastAsia="Times New Roman"/>
          <w:color w:val="000000"/>
          <w:sz w:val="22"/>
          <w:szCs w:val="22"/>
          <w:lang w:val="en-US" w:eastAsia="en-GB"/>
        </w:rPr>
        <w:t xml:space="preserve">% </w:t>
      </w:r>
      <w:r>
        <w:rPr>
          <w:rFonts w:eastAsia="Times New Roman"/>
          <w:color w:val="000000"/>
          <w:sz w:val="22"/>
          <w:szCs w:val="22"/>
          <w:lang w:val="en-US" w:eastAsia="en-GB"/>
        </w:rPr>
        <w:t xml:space="preserve">(95% CI 10.2-12.7) </w:t>
      </w:r>
      <w:r w:rsidRPr="000B594B">
        <w:rPr>
          <w:rFonts w:eastAsia="Times New Roman"/>
          <w:color w:val="000000"/>
          <w:sz w:val="22"/>
          <w:szCs w:val="22"/>
          <w:lang w:val="en-US" w:eastAsia="en-GB"/>
        </w:rPr>
        <w:t xml:space="preserve">of </w:t>
      </w:r>
      <w:r>
        <w:rPr>
          <w:rFonts w:eastAsia="Times New Roman"/>
          <w:color w:val="000000"/>
          <w:sz w:val="22"/>
          <w:szCs w:val="22"/>
          <w:lang w:val="en-US" w:eastAsia="en-GB"/>
        </w:rPr>
        <w:t xml:space="preserve">the </w:t>
      </w:r>
      <w:r w:rsidRPr="000B594B">
        <w:rPr>
          <w:rFonts w:eastAsia="Times New Roman"/>
          <w:color w:val="000000"/>
          <w:sz w:val="22"/>
          <w:szCs w:val="22"/>
          <w:lang w:val="en-US" w:eastAsia="en-GB"/>
        </w:rPr>
        <w:t>‘EBRT alone’ group reported moderate/big problems with bowel urgency compared to 4.</w:t>
      </w:r>
      <w:r>
        <w:rPr>
          <w:rFonts w:eastAsia="Times New Roman"/>
          <w:color w:val="000000"/>
          <w:sz w:val="22"/>
          <w:szCs w:val="22"/>
          <w:lang w:val="en-US" w:eastAsia="en-GB"/>
        </w:rPr>
        <w:t>4</w:t>
      </w:r>
      <w:r w:rsidRPr="000B594B">
        <w:rPr>
          <w:rFonts w:eastAsia="Times New Roman"/>
          <w:color w:val="000000"/>
          <w:sz w:val="22"/>
          <w:szCs w:val="22"/>
          <w:lang w:val="en-US" w:eastAsia="en-GB"/>
        </w:rPr>
        <w:t xml:space="preserve">% </w:t>
      </w:r>
      <w:r>
        <w:rPr>
          <w:rFonts w:eastAsia="Times New Roman"/>
          <w:color w:val="000000"/>
          <w:sz w:val="22"/>
          <w:szCs w:val="22"/>
          <w:lang w:val="en-US" w:eastAsia="en-GB"/>
        </w:rPr>
        <w:t xml:space="preserve">(95% CI 3.9-4.9) </w:t>
      </w:r>
      <w:r w:rsidRPr="000B594B">
        <w:rPr>
          <w:rFonts w:eastAsia="Times New Roman"/>
          <w:color w:val="000000"/>
          <w:sz w:val="22"/>
          <w:szCs w:val="22"/>
          <w:lang w:val="en-US" w:eastAsia="en-GB"/>
        </w:rPr>
        <w:t>in the ‘surgery alone’ group (</w:t>
      </w:r>
      <w:r>
        <w:rPr>
          <w:rFonts w:eastAsia="Times New Roman"/>
          <w:color w:val="000000"/>
          <w:sz w:val="22"/>
          <w:szCs w:val="22"/>
          <w:lang w:val="en-US" w:eastAsia="en-GB"/>
        </w:rPr>
        <w:t xml:space="preserve">adjusted proportions: </w:t>
      </w:r>
      <w:r w:rsidR="006A0590">
        <w:rPr>
          <w:rFonts w:eastAsia="Times New Roman"/>
          <w:color w:val="000000"/>
          <w:sz w:val="22"/>
          <w:szCs w:val="22"/>
          <w:lang w:val="en-US" w:eastAsia="en-GB"/>
        </w:rPr>
        <w:t>Appendix p26</w:t>
      </w:r>
      <w:r w:rsidRPr="000B594B">
        <w:rPr>
          <w:rFonts w:eastAsia="Times New Roman"/>
          <w:color w:val="000000"/>
          <w:sz w:val="22"/>
          <w:szCs w:val="22"/>
          <w:lang w:val="en-US" w:eastAsia="en-GB"/>
        </w:rPr>
        <w:t>).</w:t>
      </w:r>
    </w:p>
    <w:p w:rsidR="00E037B4" w:rsidRPr="000B594B" w:rsidRDefault="00E037B4" w:rsidP="006A0590">
      <w:pPr>
        <w:shd w:val="clear" w:color="auto" w:fill="FFFFFF" w:themeFill="background1"/>
        <w:spacing w:before="0" w:after="240" w:line="480" w:lineRule="auto"/>
        <w:jc w:val="both"/>
        <w:rPr>
          <w:rFonts w:eastAsia="Times New Roman"/>
          <w:sz w:val="22"/>
          <w:szCs w:val="22"/>
          <w:lang w:val="en-US" w:eastAsia="en-GB"/>
        </w:rPr>
      </w:pPr>
      <w:r>
        <w:rPr>
          <w:rFonts w:eastAsia="Times New Roman"/>
          <w:color w:val="000000"/>
          <w:sz w:val="22"/>
          <w:szCs w:val="22"/>
          <w:lang w:val="en-US" w:eastAsia="en-GB"/>
        </w:rPr>
        <w:lastRenderedPageBreak/>
        <w:t>With respect to vitality/hormone function, p</w:t>
      </w:r>
      <w:r w:rsidRPr="000B594B">
        <w:rPr>
          <w:rFonts w:eastAsia="Times New Roman"/>
          <w:color w:val="000000"/>
          <w:sz w:val="22"/>
          <w:szCs w:val="22"/>
          <w:lang w:val="en-US" w:eastAsia="en-GB"/>
        </w:rPr>
        <w:t>roblems with lack of energy</w:t>
      </w:r>
      <w:r>
        <w:rPr>
          <w:rFonts w:eastAsia="Times New Roman"/>
          <w:color w:val="000000"/>
          <w:sz w:val="22"/>
          <w:szCs w:val="22"/>
          <w:lang w:val="en-US" w:eastAsia="en-GB"/>
        </w:rPr>
        <w:t xml:space="preserve">, </w:t>
      </w:r>
      <w:r w:rsidRPr="000B594B">
        <w:rPr>
          <w:rFonts w:eastAsia="Times New Roman"/>
          <w:color w:val="000000"/>
          <w:sz w:val="22"/>
          <w:szCs w:val="22"/>
          <w:lang w:val="en-US" w:eastAsia="en-GB"/>
        </w:rPr>
        <w:t xml:space="preserve">hot flushes </w:t>
      </w:r>
      <w:r>
        <w:rPr>
          <w:rFonts w:eastAsia="Times New Roman"/>
          <w:color w:val="000000"/>
          <w:sz w:val="22"/>
          <w:szCs w:val="22"/>
          <w:lang w:val="en-US" w:eastAsia="en-GB"/>
        </w:rPr>
        <w:t>and weight gain were most commonly reported</w:t>
      </w:r>
      <w:r w:rsidRPr="000B594B">
        <w:rPr>
          <w:rFonts w:eastAsia="Times New Roman"/>
          <w:color w:val="000000"/>
          <w:sz w:val="22"/>
          <w:szCs w:val="22"/>
          <w:lang w:val="en-US" w:eastAsia="en-GB"/>
        </w:rPr>
        <w:t xml:space="preserve">.  There were </w:t>
      </w:r>
      <w:r>
        <w:rPr>
          <w:rFonts w:eastAsia="Times New Roman"/>
          <w:color w:val="000000"/>
          <w:sz w:val="22"/>
          <w:szCs w:val="22"/>
          <w:lang w:val="en-US" w:eastAsia="en-GB"/>
        </w:rPr>
        <w:t xml:space="preserve">much </w:t>
      </w:r>
      <w:r w:rsidRPr="000B594B">
        <w:rPr>
          <w:rFonts w:eastAsia="Times New Roman"/>
          <w:color w:val="000000"/>
          <w:sz w:val="22"/>
          <w:szCs w:val="22"/>
          <w:lang w:val="en-US" w:eastAsia="en-GB"/>
        </w:rPr>
        <w:t>large</w:t>
      </w:r>
      <w:r>
        <w:rPr>
          <w:rFonts w:eastAsia="Times New Roman"/>
          <w:color w:val="000000"/>
          <w:sz w:val="22"/>
          <w:szCs w:val="22"/>
          <w:lang w:val="en-US" w:eastAsia="en-GB"/>
        </w:rPr>
        <w:t>r</w:t>
      </w:r>
      <w:r w:rsidRPr="000B594B">
        <w:rPr>
          <w:rFonts w:eastAsia="Times New Roman"/>
          <w:color w:val="000000"/>
          <w:sz w:val="22"/>
          <w:szCs w:val="22"/>
          <w:lang w:val="en-US" w:eastAsia="en-GB"/>
        </w:rPr>
        <w:t xml:space="preserve"> differences in the reporting of these symptoms by stage</w:t>
      </w:r>
      <w:r>
        <w:rPr>
          <w:rFonts w:eastAsia="Times New Roman"/>
          <w:color w:val="000000"/>
          <w:sz w:val="22"/>
          <w:szCs w:val="22"/>
          <w:lang w:val="en-US" w:eastAsia="en-GB"/>
        </w:rPr>
        <w:t xml:space="preserve"> than was seen for urinary and bowel function (Figure 1a), however, this is</w:t>
      </w:r>
      <w:r w:rsidRPr="000B594B">
        <w:rPr>
          <w:rFonts w:eastAsia="Times New Roman"/>
          <w:color w:val="000000"/>
          <w:sz w:val="22"/>
          <w:szCs w:val="22"/>
          <w:lang w:val="en-US" w:eastAsia="en-GB"/>
        </w:rPr>
        <w:t xml:space="preserve"> related to the treatment received</w:t>
      </w:r>
      <w:r>
        <w:rPr>
          <w:rFonts w:eastAsia="Times New Roman"/>
          <w:color w:val="000000"/>
          <w:sz w:val="22"/>
          <w:szCs w:val="22"/>
          <w:lang w:val="en-US" w:eastAsia="en-GB"/>
        </w:rPr>
        <w:t xml:space="preserve">. </w:t>
      </w:r>
      <w:r w:rsidRPr="000B594B">
        <w:rPr>
          <w:rFonts w:eastAsia="Times New Roman"/>
          <w:color w:val="000000"/>
          <w:sz w:val="22"/>
          <w:szCs w:val="22"/>
          <w:lang w:val="en-US" w:eastAsia="en-GB"/>
        </w:rPr>
        <w:t xml:space="preserve"> </w:t>
      </w:r>
      <w:r>
        <w:rPr>
          <w:rFonts w:eastAsia="Times New Roman"/>
          <w:color w:val="000000"/>
          <w:sz w:val="22"/>
          <w:szCs w:val="22"/>
          <w:lang w:val="en-US" w:eastAsia="en-GB"/>
        </w:rPr>
        <w:t>M</w:t>
      </w:r>
      <w:r w:rsidRPr="000B594B">
        <w:rPr>
          <w:rFonts w:eastAsia="Times New Roman"/>
          <w:color w:val="000000"/>
          <w:sz w:val="22"/>
          <w:szCs w:val="22"/>
          <w:lang w:val="en-US" w:eastAsia="en-GB"/>
        </w:rPr>
        <w:t xml:space="preserve">en treated with ADT, alone or in combination with other therapy, reported </w:t>
      </w:r>
      <w:r>
        <w:rPr>
          <w:rFonts w:eastAsia="Times New Roman"/>
          <w:color w:val="000000"/>
          <w:sz w:val="22"/>
          <w:szCs w:val="22"/>
          <w:lang w:val="en-US" w:eastAsia="en-GB"/>
        </w:rPr>
        <w:t xml:space="preserve">much </w:t>
      </w:r>
      <w:r w:rsidRPr="000B594B">
        <w:rPr>
          <w:rFonts w:eastAsia="Times New Roman"/>
          <w:color w:val="000000"/>
          <w:sz w:val="22"/>
          <w:szCs w:val="22"/>
          <w:lang w:val="en-US" w:eastAsia="en-GB"/>
        </w:rPr>
        <w:t>higher rates of problems with hormonal function and fatigue</w:t>
      </w:r>
      <w:r>
        <w:rPr>
          <w:rFonts w:eastAsia="Times New Roman"/>
          <w:color w:val="000000"/>
          <w:sz w:val="22"/>
          <w:szCs w:val="22"/>
          <w:lang w:val="en-US" w:eastAsia="en-GB"/>
        </w:rPr>
        <w:t>.</w:t>
      </w:r>
      <w:r w:rsidRPr="000B594B">
        <w:rPr>
          <w:rFonts w:eastAsia="Times New Roman"/>
          <w:color w:val="000000"/>
          <w:sz w:val="22"/>
          <w:szCs w:val="22"/>
          <w:lang w:val="en-US" w:eastAsia="en-GB"/>
        </w:rPr>
        <w:t xml:space="preserve"> </w:t>
      </w:r>
      <w:r>
        <w:rPr>
          <w:rFonts w:eastAsia="Times New Roman"/>
          <w:color w:val="000000"/>
          <w:sz w:val="22"/>
          <w:szCs w:val="22"/>
          <w:lang w:val="en-US" w:eastAsia="en-GB"/>
        </w:rPr>
        <w:t xml:space="preserve"> For example, 30.7% (95% CI 29.8-31.6) of men treated with ADT reported moderate/big problems with hot flushes (compared to 5.4%, 95% CI 5.0-5.8 in the no-ADT group) and 29.4% (95% CI 28.6-30.3) of men treated with ADT reported problems with lack of energy (compared to 14.7%, 95% CI 14.2-15.3 in the no-ADT group) (</w:t>
      </w:r>
      <w:r w:rsidR="00E753C5">
        <w:rPr>
          <w:rFonts w:eastAsia="Times New Roman"/>
          <w:color w:val="000000"/>
          <w:sz w:val="22"/>
          <w:szCs w:val="22"/>
          <w:lang w:val="en-US" w:eastAsia="en-GB"/>
        </w:rPr>
        <w:t xml:space="preserve">adjusted proportions: </w:t>
      </w:r>
      <w:r>
        <w:rPr>
          <w:rFonts w:eastAsia="Times New Roman"/>
          <w:color w:val="000000"/>
          <w:sz w:val="22"/>
          <w:szCs w:val="22"/>
          <w:lang w:val="en-US" w:eastAsia="en-GB"/>
        </w:rPr>
        <w:t>Figure 1b).  There was a smaller difference in the reporting of depression between the ADT and no-ADT groups (11.4%, 95% CI 10.8-12.0 and 6.6%, 95% CI 6.2-7.0 reporting moderate/big problems).</w:t>
      </w:r>
    </w:p>
    <w:p w:rsidR="00E037B4" w:rsidRPr="000B594B" w:rsidRDefault="00E037B4" w:rsidP="006A0590">
      <w:pPr>
        <w:shd w:val="clear" w:color="auto" w:fill="FFFFFF" w:themeFill="background1"/>
        <w:spacing w:before="0" w:after="240" w:line="480" w:lineRule="auto"/>
        <w:jc w:val="both"/>
        <w:rPr>
          <w:rFonts w:eastAsia="Times New Roman"/>
          <w:sz w:val="22"/>
          <w:szCs w:val="22"/>
          <w:lang w:val="en-US" w:eastAsia="en-GB"/>
        </w:rPr>
      </w:pPr>
      <w:r w:rsidRPr="000B594B">
        <w:rPr>
          <w:rFonts w:eastAsia="Times New Roman"/>
          <w:color w:val="000000"/>
          <w:sz w:val="22"/>
          <w:szCs w:val="22"/>
          <w:lang w:val="en-US" w:eastAsia="en-GB"/>
        </w:rPr>
        <w:t>Problems with sexual function were more comm</w:t>
      </w:r>
      <w:r>
        <w:rPr>
          <w:rFonts w:eastAsia="Times New Roman"/>
          <w:color w:val="000000"/>
          <w:sz w:val="22"/>
          <w:szCs w:val="22"/>
          <w:lang w:val="en-US" w:eastAsia="en-GB"/>
        </w:rPr>
        <w:t>on than issues in other domains:</w:t>
      </w:r>
      <w:r w:rsidRPr="000B594B">
        <w:rPr>
          <w:rFonts w:eastAsia="Times New Roman"/>
          <w:color w:val="000000"/>
          <w:sz w:val="22"/>
          <w:szCs w:val="22"/>
          <w:lang w:val="en-US" w:eastAsia="en-GB"/>
        </w:rPr>
        <w:t xml:space="preserve"> poor/very poor erections (</w:t>
      </w:r>
      <w:r>
        <w:rPr>
          <w:rFonts w:eastAsia="Times New Roman"/>
          <w:color w:val="000000"/>
          <w:sz w:val="22"/>
          <w:szCs w:val="22"/>
          <w:lang w:val="en-US" w:eastAsia="en-GB"/>
        </w:rPr>
        <w:t>81</w:t>
      </w:r>
      <w:r w:rsidRPr="000B594B">
        <w:rPr>
          <w:rFonts w:eastAsia="Times New Roman"/>
          <w:color w:val="000000"/>
          <w:sz w:val="22"/>
          <w:szCs w:val="22"/>
          <w:lang w:val="en-US" w:eastAsia="en-GB"/>
        </w:rPr>
        <w:t>.5%</w:t>
      </w:r>
      <w:r>
        <w:rPr>
          <w:rFonts w:eastAsia="Times New Roman"/>
          <w:color w:val="000000"/>
          <w:sz w:val="22"/>
          <w:szCs w:val="22"/>
          <w:lang w:val="en-US" w:eastAsia="en-GB"/>
        </w:rPr>
        <w:t>, 95% CI 81.1-82.0</w:t>
      </w:r>
      <w:r w:rsidRPr="000B594B">
        <w:rPr>
          <w:rFonts w:eastAsia="Times New Roman"/>
          <w:color w:val="000000"/>
          <w:sz w:val="22"/>
          <w:szCs w:val="22"/>
          <w:lang w:val="en-US" w:eastAsia="en-GB"/>
        </w:rPr>
        <w:t>), poor/very poor ability to reach orgasm (</w:t>
      </w:r>
      <w:r>
        <w:rPr>
          <w:rFonts w:eastAsia="Times New Roman"/>
          <w:color w:val="000000"/>
          <w:sz w:val="22"/>
          <w:szCs w:val="22"/>
          <w:lang w:val="en-US" w:eastAsia="en-GB"/>
        </w:rPr>
        <w:t>76.6</w:t>
      </w:r>
      <w:r w:rsidRPr="000B594B">
        <w:rPr>
          <w:rFonts w:eastAsia="Times New Roman"/>
          <w:color w:val="000000"/>
          <w:sz w:val="22"/>
          <w:szCs w:val="22"/>
          <w:lang w:val="en-US" w:eastAsia="en-GB"/>
        </w:rPr>
        <w:t>%</w:t>
      </w:r>
      <w:r>
        <w:rPr>
          <w:rFonts w:eastAsia="Times New Roman"/>
          <w:color w:val="000000"/>
          <w:sz w:val="22"/>
          <w:szCs w:val="22"/>
          <w:lang w:val="en-US" w:eastAsia="en-GB"/>
        </w:rPr>
        <w:t>, 95% CI 76.1-77.1</w:t>
      </w:r>
      <w:r w:rsidRPr="000B594B">
        <w:rPr>
          <w:rFonts w:eastAsia="Times New Roman"/>
          <w:color w:val="000000"/>
          <w:sz w:val="22"/>
          <w:szCs w:val="22"/>
          <w:lang w:val="en-US" w:eastAsia="en-GB"/>
        </w:rPr>
        <w:t>) and poor/very poor overall sexual function (</w:t>
      </w:r>
      <w:r>
        <w:rPr>
          <w:rFonts w:eastAsia="Times New Roman"/>
          <w:color w:val="000000"/>
          <w:sz w:val="22"/>
          <w:szCs w:val="22"/>
          <w:lang w:val="en-US" w:eastAsia="en-GB"/>
        </w:rPr>
        <w:t>81.0</w:t>
      </w:r>
      <w:r w:rsidRPr="000B594B">
        <w:rPr>
          <w:rFonts w:eastAsia="Times New Roman"/>
          <w:color w:val="000000"/>
          <w:sz w:val="22"/>
          <w:szCs w:val="22"/>
          <w:lang w:val="en-US" w:eastAsia="en-GB"/>
        </w:rPr>
        <w:t>%</w:t>
      </w:r>
      <w:r>
        <w:rPr>
          <w:rFonts w:eastAsia="Times New Roman"/>
          <w:color w:val="000000"/>
          <w:sz w:val="22"/>
          <w:szCs w:val="22"/>
          <w:lang w:val="en-US" w:eastAsia="en-GB"/>
        </w:rPr>
        <w:t>, 95% CI 80.6-81.5</w:t>
      </w:r>
      <w:r w:rsidRPr="000B594B">
        <w:rPr>
          <w:rFonts w:eastAsia="Times New Roman"/>
          <w:color w:val="000000"/>
          <w:sz w:val="22"/>
          <w:szCs w:val="22"/>
          <w:lang w:val="en-US" w:eastAsia="en-GB"/>
        </w:rPr>
        <w:t>).  In men with locali</w:t>
      </w:r>
      <w:r>
        <w:rPr>
          <w:rFonts w:eastAsia="Times New Roman"/>
          <w:color w:val="000000"/>
          <w:sz w:val="22"/>
          <w:szCs w:val="22"/>
          <w:lang w:val="en-US" w:eastAsia="en-GB"/>
        </w:rPr>
        <w:t>s</w:t>
      </w:r>
      <w:r w:rsidRPr="000B594B">
        <w:rPr>
          <w:rFonts w:eastAsia="Times New Roman"/>
          <w:color w:val="000000"/>
          <w:sz w:val="22"/>
          <w:szCs w:val="22"/>
          <w:lang w:val="en-US" w:eastAsia="en-GB"/>
        </w:rPr>
        <w:t xml:space="preserve">ed disease, </w:t>
      </w:r>
      <w:r>
        <w:rPr>
          <w:rFonts w:eastAsia="Times New Roman"/>
          <w:color w:val="000000"/>
          <w:sz w:val="22"/>
          <w:szCs w:val="22"/>
          <w:lang w:val="en-US" w:eastAsia="en-GB"/>
        </w:rPr>
        <w:t>75.0</w:t>
      </w:r>
      <w:r w:rsidRPr="000B594B">
        <w:rPr>
          <w:rFonts w:eastAsia="Times New Roman"/>
          <w:color w:val="000000"/>
          <w:sz w:val="22"/>
          <w:szCs w:val="22"/>
          <w:lang w:val="en-US" w:eastAsia="en-GB"/>
        </w:rPr>
        <w:t xml:space="preserve">% </w:t>
      </w:r>
      <w:r>
        <w:rPr>
          <w:rFonts w:eastAsia="Times New Roman"/>
          <w:color w:val="000000"/>
          <w:sz w:val="22"/>
          <w:szCs w:val="22"/>
          <w:lang w:val="en-US" w:eastAsia="en-GB"/>
        </w:rPr>
        <w:t xml:space="preserve">(95% CI 74.3-75.6) </w:t>
      </w:r>
      <w:r w:rsidRPr="000B594B">
        <w:rPr>
          <w:rFonts w:eastAsia="Times New Roman"/>
          <w:color w:val="000000"/>
          <w:sz w:val="22"/>
          <w:szCs w:val="22"/>
          <w:lang w:val="en-US" w:eastAsia="en-GB"/>
        </w:rPr>
        <w:t xml:space="preserve">reported poor/very poor sexual function, as did </w:t>
      </w:r>
      <w:r>
        <w:rPr>
          <w:rFonts w:eastAsia="Times New Roman"/>
          <w:color w:val="000000"/>
          <w:sz w:val="22"/>
          <w:szCs w:val="22"/>
          <w:lang w:val="en-US" w:eastAsia="en-GB"/>
        </w:rPr>
        <w:t>90.4</w:t>
      </w:r>
      <w:r w:rsidRPr="000B594B">
        <w:rPr>
          <w:rFonts w:eastAsia="Times New Roman"/>
          <w:color w:val="000000"/>
          <w:sz w:val="22"/>
          <w:szCs w:val="22"/>
          <w:lang w:val="en-US" w:eastAsia="en-GB"/>
        </w:rPr>
        <w:t xml:space="preserve">% </w:t>
      </w:r>
      <w:r>
        <w:rPr>
          <w:rFonts w:eastAsia="Times New Roman"/>
          <w:color w:val="000000"/>
          <w:sz w:val="22"/>
          <w:szCs w:val="22"/>
          <w:lang w:val="en-US" w:eastAsia="en-GB"/>
        </w:rPr>
        <w:t xml:space="preserve">(95% CI 89.7-91.1) </w:t>
      </w:r>
      <w:r w:rsidRPr="000B594B">
        <w:rPr>
          <w:rFonts w:eastAsia="Times New Roman"/>
          <w:color w:val="000000"/>
          <w:sz w:val="22"/>
          <w:szCs w:val="22"/>
          <w:lang w:val="en-US" w:eastAsia="en-GB"/>
        </w:rPr>
        <w:t xml:space="preserve">of men with stage III and </w:t>
      </w:r>
      <w:r>
        <w:rPr>
          <w:rFonts w:eastAsia="Times New Roman"/>
          <w:color w:val="000000"/>
          <w:sz w:val="22"/>
          <w:szCs w:val="22"/>
          <w:lang w:val="en-US" w:eastAsia="en-GB"/>
        </w:rPr>
        <w:t>96.0</w:t>
      </w:r>
      <w:r w:rsidRPr="000B594B">
        <w:rPr>
          <w:rFonts w:eastAsia="Times New Roman"/>
          <w:color w:val="000000"/>
          <w:sz w:val="22"/>
          <w:szCs w:val="22"/>
          <w:lang w:val="en-US" w:eastAsia="en-GB"/>
        </w:rPr>
        <w:t>%</w:t>
      </w:r>
      <w:r>
        <w:rPr>
          <w:rFonts w:eastAsia="Times New Roman"/>
          <w:color w:val="000000"/>
          <w:sz w:val="22"/>
          <w:szCs w:val="22"/>
          <w:lang w:val="en-US" w:eastAsia="en-GB"/>
        </w:rPr>
        <w:t xml:space="preserve"> (95% CI 95.3-96.6)</w:t>
      </w:r>
      <w:r w:rsidRPr="000B594B">
        <w:rPr>
          <w:rFonts w:eastAsia="Times New Roman"/>
          <w:color w:val="000000"/>
          <w:sz w:val="22"/>
          <w:szCs w:val="22"/>
          <w:lang w:val="en-US" w:eastAsia="en-GB"/>
        </w:rPr>
        <w:t xml:space="preserve"> of men with stage IV cancer (</w:t>
      </w:r>
      <w:r>
        <w:rPr>
          <w:rFonts w:eastAsia="Times New Roman"/>
          <w:color w:val="000000"/>
          <w:sz w:val="22"/>
          <w:szCs w:val="22"/>
          <w:lang w:val="en-US" w:eastAsia="en-GB"/>
        </w:rPr>
        <w:t xml:space="preserve">adjusted proportions: </w:t>
      </w:r>
      <w:r w:rsidRPr="000B594B">
        <w:rPr>
          <w:rFonts w:eastAsia="Times New Roman"/>
          <w:color w:val="000000"/>
          <w:sz w:val="22"/>
          <w:szCs w:val="22"/>
          <w:lang w:val="en-US" w:eastAsia="en-GB"/>
        </w:rPr>
        <w:t xml:space="preserve">Figure </w:t>
      </w:r>
      <w:r>
        <w:rPr>
          <w:rFonts w:eastAsia="Times New Roman"/>
          <w:color w:val="000000"/>
          <w:sz w:val="22"/>
          <w:szCs w:val="22"/>
          <w:lang w:val="en-US" w:eastAsia="en-GB"/>
        </w:rPr>
        <w:t>2a</w:t>
      </w:r>
      <w:r w:rsidRPr="000B594B">
        <w:rPr>
          <w:rFonts w:eastAsia="Times New Roman"/>
          <w:color w:val="000000"/>
          <w:sz w:val="22"/>
          <w:szCs w:val="22"/>
          <w:lang w:val="en-US" w:eastAsia="en-GB"/>
        </w:rPr>
        <w:t xml:space="preserve">).  By treatment, just </w:t>
      </w:r>
      <w:r>
        <w:rPr>
          <w:rFonts w:eastAsia="Times New Roman"/>
          <w:color w:val="000000"/>
          <w:sz w:val="22"/>
          <w:szCs w:val="22"/>
          <w:lang w:val="en-US" w:eastAsia="en-GB"/>
        </w:rPr>
        <w:t>over</w:t>
      </w:r>
      <w:r w:rsidRPr="000B594B">
        <w:rPr>
          <w:rFonts w:eastAsia="Times New Roman"/>
          <w:color w:val="000000"/>
          <w:sz w:val="22"/>
          <w:szCs w:val="22"/>
          <w:lang w:val="en-US" w:eastAsia="en-GB"/>
        </w:rPr>
        <w:t xml:space="preserve"> half of men on AS (</w:t>
      </w:r>
      <w:r>
        <w:rPr>
          <w:rFonts w:eastAsia="Times New Roman"/>
          <w:color w:val="000000"/>
          <w:sz w:val="22"/>
          <w:szCs w:val="22"/>
          <w:lang w:val="en-US" w:eastAsia="en-GB"/>
        </w:rPr>
        <w:t>51.1</w:t>
      </w:r>
      <w:r w:rsidRPr="000B594B">
        <w:rPr>
          <w:rFonts w:eastAsia="Times New Roman"/>
          <w:color w:val="000000"/>
          <w:sz w:val="22"/>
          <w:szCs w:val="22"/>
          <w:lang w:val="en-US" w:eastAsia="en-GB"/>
        </w:rPr>
        <w:t>%</w:t>
      </w:r>
      <w:r>
        <w:rPr>
          <w:rFonts w:eastAsia="Times New Roman"/>
          <w:color w:val="000000"/>
          <w:sz w:val="22"/>
          <w:szCs w:val="22"/>
          <w:lang w:val="en-US" w:eastAsia="en-GB"/>
        </w:rPr>
        <w:t>, 95% CI 49.1-53.1</w:t>
      </w:r>
      <w:r w:rsidRPr="000B594B">
        <w:rPr>
          <w:rFonts w:eastAsia="Times New Roman"/>
          <w:color w:val="000000"/>
          <w:sz w:val="22"/>
          <w:szCs w:val="22"/>
          <w:lang w:val="en-US" w:eastAsia="en-GB"/>
        </w:rPr>
        <w:t xml:space="preserve">) reported poor/very poor overall sexual function, increasing to </w:t>
      </w:r>
      <w:r>
        <w:rPr>
          <w:rFonts w:eastAsia="Times New Roman"/>
          <w:color w:val="000000"/>
          <w:sz w:val="22"/>
          <w:szCs w:val="22"/>
          <w:lang w:val="en-US" w:eastAsia="en-GB"/>
        </w:rPr>
        <w:t>83.7</w:t>
      </w:r>
      <w:r w:rsidRPr="000B594B">
        <w:rPr>
          <w:rFonts w:eastAsia="Times New Roman"/>
          <w:color w:val="000000"/>
          <w:sz w:val="22"/>
          <w:szCs w:val="22"/>
          <w:lang w:val="en-US" w:eastAsia="en-GB"/>
        </w:rPr>
        <w:t xml:space="preserve">% </w:t>
      </w:r>
      <w:r>
        <w:rPr>
          <w:rFonts w:eastAsia="Times New Roman"/>
          <w:color w:val="000000"/>
          <w:sz w:val="22"/>
          <w:szCs w:val="22"/>
          <w:lang w:val="en-US" w:eastAsia="en-GB"/>
        </w:rPr>
        <w:t xml:space="preserve">(95% CI 82.8-84.6) </w:t>
      </w:r>
      <w:r w:rsidRPr="000B594B">
        <w:rPr>
          <w:rFonts w:eastAsia="Times New Roman"/>
          <w:color w:val="000000"/>
          <w:sz w:val="22"/>
          <w:szCs w:val="22"/>
          <w:lang w:val="en-US" w:eastAsia="en-GB"/>
        </w:rPr>
        <w:t xml:space="preserve">of men who had surgery alone and </w:t>
      </w:r>
      <w:r>
        <w:rPr>
          <w:rFonts w:eastAsia="Times New Roman"/>
          <w:color w:val="000000"/>
          <w:sz w:val="22"/>
          <w:szCs w:val="22"/>
          <w:lang w:val="en-US" w:eastAsia="en-GB"/>
        </w:rPr>
        <w:t>93.6</w:t>
      </w:r>
      <w:r w:rsidRPr="000B594B">
        <w:rPr>
          <w:rFonts w:eastAsia="Times New Roman"/>
          <w:color w:val="000000"/>
          <w:sz w:val="22"/>
          <w:szCs w:val="22"/>
          <w:lang w:val="en-US" w:eastAsia="en-GB"/>
        </w:rPr>
        <w:t xml:space="preserve">% </w:t>
      </w:r>
      <w:r>
        <w:rPr>
          <w:rFonts w:eastAsia="Times New Roman"/>
          <w:color w:val="000000"/>
          <w:sz w:val="22"/>
          <w:szCs w:val="22"/>
          <w:lang w:val="en-US" w:eastAsia="en-GB"/>
        </w:rPr>
        <w:t xml:space="preserve">(95% CI 92.4-94.7) </w:t>
      </w:r>
      <w:r w:rsidRPr="000B594B">
        <w:rPr>
          <w:rFonts w:eastAsia="Times New Roman"/>
          <w:color w:val="000000"/>
          <w:sz w:val="22"/>
          <w:szCs w:val="22"/>
          <w:lang w:val="en-US" w:eastAsia="en-GB"/>
        </w:rPr>
        <w:t>receiving ADT alone (</w:t>
      </w:r>
      <w:r>
        <w:rPr>
          <w:rFonts w:eastAsia="Times New Roman"/>
          <w:color w:val="000000"/>
          <w:sz w:val="22"/>
          <w:szCs w:val="22"/>
          <w:lang w:val="en-US" w:eastAsia="en-GB"/>
        </w:rPr>
        <w:t xml:space="preserve">adjusted proportions: </w:t>
      </w:r>
      <w:r w:rsidR="00E753C5">
        <w:rPr>
          <w:rFonts w:eastAsia="Times New Roman"/>
          <w:color w:val="000000"/>
          <w:sz w:val="22"/>
          <w:szCs w:val="22"/>
          <w:lang w:val="en-US" w:eastAsia="en-GB"/>
        </w:rPr>
        <w:t>Appendix p26</w:t>
      </w:r>
      <w:r w:rsidRPr="000B594B">
        <w:rPr>
          <w:rFonts w:eastAsia="Times New Roman"/>
          <w:color w:val="000000"/>
          <w:sz w:val="22"/>
          <w:szCs w:val="22"/>
          <w:lang w:val="en-US" w:eastAsia="en-GB"/>
        </w:rPr>
        <w:t>).  </w:t>
      </w:r>
      <w:r>
        <w:rPr>
          <w:rFonts w:eastAsia="Times New Roman"/>
          <w:color w:val="000000"/>
          <w:sz w:val="22"/>
          <w:szCs w:val="22"/>
          <w:lang w:val="en-US" w:eastAsia="en-GB"/>
        </w:rPr>
        <w:t xml:space="preserve">By age, just over half (54.5%, 95% CI 50.7-58.4) of </w:t>
      </w:r>
      <w:r w:rsidRPr="000B594B">
        <w:rPr>
          <w:rFonts w:eastAsia="Times New Roman"/>
          <w:color w:val="000000"/>
          <w:sz w:val="22"/>
          <w:szCs w:val="22"/>
          <w:lang w:val="en-US" w:eastAsia="en-GB"/>
        </w:rPr>
        <w:t xml:space="preserve">the </w:t>
      </w:r>
      <w:r>
        <w:rPr>
          <w:rFonts w:eastAsia="Times New Roman"/>
          <w:color w:val="000000"/>
          <w:sz w:val="22"/>
          <w:szCs w:val="22"/>
          <w:lang w:val="en-US" w:eastAsia="en-GB"/>
        </w:rPr>
        <w:t>m</w:t>
      </w:r>
      <w:r w:rsidRPr="000B594B">
        <w:rPr>
          <w:rFonts w:eastAsia="Times New Roman"/>
          <w:color w:val="000000"/>
          <w:sz w:val="22"/>
          <w:szCs w:val="22"/>
          <w:lang w:val="en-US" w:eastAsia="en-GB"/>
        </w:rPr>
        <w:t xml:space="preserve">en </w:t>
      </w:r>
      <w:r>
        <w:rPr>
          <w:rFonts w:eastAsia="Times New Roman"/>
          <w:color w:val="000000"/>
          <w:sz w:val="22"/>
          <w:szCs w:val="22"/>
          <w:lang w:val="en-US" w:eastAsia="en-GB"/>
        </w:rPr>
        <w:t>aged &lt;55</w:t>
      </w:r>
      <w:r w:rsidRPr="000B594B">
        <w:rPr>
          <w:rFonts w:eastAsia="Times New Roman"/>
          <w:color w:val="000000"/>
          <w:sz w:val="22"/>
          <w:szCs w:val="22"/>
          <w:lang w:val="en-US" w:eastAsia="en-GB"/>
        </w:rPr>
        <w:t xml:space="preserve"> reported poor</w:t>
      </w:r>
      <w:r>
        <w:rPr>
          <w:rFonts w:eastAsia="Times New Roman"/>
          <w:color w:val="000000"/>
          <w:sz w:val="22"/>
          <w:szCs w:val="22"/>
          <w:lang w:val="en-US" w:eastAsia="en-GB"/>
        </w:rPr>
        <w:t>/very poor</w:t>
      </w:r>
      <w:r w:rsidRPr="000B594B">
        <w:rPr>
          <w:rFonts w:eastAsia="Times New Roman"/>
          <w:color w:val="000000"/>
          <w:sz w:val="22"/>
          <w:szCs w:val="22"/>
          <w:lang w:val="en-US" w:eastAsia="en-GB"/>
        </w:rPr>
        <w:t xml:space="preserve"> sexual function and this increased </w:t>
      </w:r>
      <w:r>
        <w:rPr>
          <w:rFonts w:eastAsia="Times New Roman"/>
          <w:color w:val="000000"/>
          <w:sz w:val="22"/>
          <w:szCs w:val="22"/>
          <w:lang w:val="en-US" w:eastAsia="en-GB"/>
        </w:rPr>
        <w:t xml:space="preserve">sharply </w:t>
      </w:r>
      <w:r w:rsidRPr="000B594B">
        <w:rPr>
          <w:rFonts w:eastAsia="Times New Roman"/>
          <w:color w:val="000000"/>
          <w:sz w:val="22"/>
          <w:szCs w:val="22"/>
          <w:lang w:val="en-US" w:eastAsia="en-GB"/>
        </w:rPr>
        <w:t>with age</w:t>
      </w:r>
      <w:r>
        <w:rPr>
          <w:rFonts w:eastAsia="Times New Roman"/>
          <w:color w:val="000000"/>
          <w:sz w:val="22"/>
          <w:szCs w:val="22"/>
          <w:lang w:val="en-US" w:eastAsia="en-GB"/>
        </w:rPr>
        <w:t xml:space="preserve"> (Figure 2b)</w:t>
      </w:r>
      <w:r w:rsidRPr="000B594B">
        <w:rPr>
          <w:rFonts w:eastAsia="Times New Roman"/>
          <w:color w:val="000000"/>
          <w:sz w:val="22"/>
          <w:szCs w:val="22"/>
          <w:lang w:val="en-US" w:eastAsia="en-GB"/>
        </w:rPr>
        <w:t>.  A substantial proportion of men (</w:t>
      </w:r>
      <w:r>
        <w:rPr>
          <w:rFonts w:eastAsia="Times New Roman"/>
          <w:color w:val="000000"/>
          <w:sz w:val="22"/>
          <w:szCs w:val="22"/>
          <w:lang w:val="en-US" w:eastAsia="en-GB"/>
        </w:rPr>
        <w:t xml:space="preserve">all age groups: </w:t>
      </w:r>
      <w:r w:rsidRPr="000B594B">
        <w:rPr>
          <w:rFonts w:eastAsia="Times New Roman"/>
          <w:color w:val="000000"/>
          <w:sz w:val="22"/>
          <w:szCs w:val="22"/>
          <w:lang w:val="en-US" w:eastAsia="en-GB"/>
        </w:rPr>
        <w:t>45.</w:t>
      </w:r>
      <w:r>
        <w:rPr>
          <w:rFonts w:eastAsia="Times New Roman"/>
          <w:color w:val="000000"/>
          <w:sz w:val="22"/>
          <w:szCs w:val="22"/>
          <w:lang w:val="en-US" w:eastAsia="en-GB"/>
        </w:rPr>
        <w:t>2</w:t>
      </w:r>
      <w:r w:rsidRPr="000B594B">
        <w:rPr>
          <w:rFonts w:eastAsia="Times New Roman"/>
          <w:color w:val="000000"/>
          <w:sz w:val="22"/>
          <w:szCs w:val="22"/>
          <w:lang w:val="en-US" w:eastAsia="en-GB"/>
        </w:rPr>
        <w:t>%</w:t>
      </w:r>
      <w:r>
        <w:rPr>
          <w:rFonts w:eastAsia="Times New Roman"/>
          <w:color w:val="000000"/>
          <w:sz w:val="22"/>
          <w:szCs w:val="22"/>
          <w:lang w:val="en-US" w:eastAsia="en-GB"/>
        </w:rPr>
        <w:t>, 95% CI 44.7-45.8</w:t>
      </w:r>
      <w:r w:rsidRPr="000B594B">
        <w:rPr>
          <w:rFonts w:eastAsia="Times New Roman"/>
          <w:color w:val="000000"/>
          <w:sz w:val="22"/>
          <w:szCs w:val="22"/>
          <w:lang w:val="en-US" w:eastAsia="en-GB"/>
        </w:rPr>
        <w:t xml:space="preserve">) perceived their (lack of) sexual function to be a moderate/big problem; however, this decreased slightly </w:t>
      </w:r>
      <w:r>
        <w:rPr>
          <w:rFonts w:eastAsia="Times New Roman"/>
          <w:color w:val="000000"/>
          <w:sz w:val="22"/>
          <w:szCs w:val="22"/>
          <w:lang w:val="en-US" w:eastAsia="en-GB"/>
        </w:rPr>
        <w:t>with age</w:t>
      </w:r>
      <w:r w:rsidRPr="000B594B">
        <w:rPr>
          <w:rFonts w:eastAsia="Times New Roman"/>
          <w:color w:val="000000"/>
          <w:sz w:val="22"/>
          <w:szCs w:val="22"/>
          <w:lang w:val="en-US" w:eastAsia="en-GB"/>
        </w:rPr>
        <w:t>.   </w:t>
      </w:r>
    </w:p>
    <w:p w:rsidR="00E037B4" w:rsidRPr="000B594B" w:rsidRDefault="00E037B4" w:rsidP="006A0590">
      <w:pPr>
        <w:shd w:val="clear" w:color="auto" w:fill="FFFFFF" w:themeFill="background1"/>
        <w:spacing w:before="0" w:after="240" w:line="480" w:lineRule="auto"/>
        <w:jc w:val="both"/>
        <w:rPr>
          <w:rFonts w:eastAsia="Times New Roman"/>
          <w:sz w:val="22"/>
          <w:szCs w:val="22"/>
          <w:lang w:val="en-US" w:eastAsia="en-GB"/>
        </w:rPr>
      </w:pPr>
      <w:r w:rsidRPr="000B594B">
        <w:rPr>
          <w:rFonts w:eastAsia="Times New Roman"/>
          <w:color w:val="000000"/>
          <w:sz w:val="22"/>
          <w:szCs w:val="22"/>
          <w:lang w:val="en-US" w:eastAsia="en-GB"/>
        </w:rPr>
        <w:t xml:space="preserve">Across the cohort, </w:t>
      </w:r>
      <w:r>
        <w:rPr>
          <w:rFonts w:eastAsia="Times New Roman"/>
          <w:color w:val="000000"/>
          <w:sz w:val="22"/>
          <w:szCs w:val="22"/>
          <w:lang w:val="en-US" w:eastAsia="en-GB"/>
        </w:rPr>
        <w:t>13,972 men (</w:t>
      </w:r>
      <w:r w:rsidRPr="000B594B">
        <w:rPr>
          <w:rFonts w:eastAsia="Times New Roman"/>
          <w:color w:val="000000"/>
          <w:sz w:val="22"/>
          <w:szCs w:val="22"/>
          <w:lang w:val="en-US" w:eastAsia="en-GB"/>
        </w:rPr>
        <w:t>41.4%</w:t>
      </w:r>
      <w:r>
        <w:rPr>
          <w:rFonts w:eastAsia="Times New Roman"/>
          <w:color w:val="000000"/>
          <w:sz w:val="22"/>
          <w:szCs w:val="22"/>
          <w:lang w:val="en-US" w:eastAsia="en-GB"/>
        </w:rPr>
        <w:t>)</w:t>
      </w:r>
      <w:r w:rsidRPr="000B594B">
        <w:rPr>
          <w:rFonts w:eastAsia="Times New Roman"/>
          <w:color w:val="000000"/>
          <w:sz w:val="22"/>
          <w:szCs w:val="22"/>
          <w:lang w:val="en-US" w:eastAsia="en-GB"/>
        </w:rPr>
        <w:t xml:space="preserve"> reported being offered medications to aid or improve erections, </w:t>
      </w:r>
      <w:r>
        <w:rPr>
          <w:rFonts w:eastAsia="Times New Roman"/>
          <w:color w:val="000000"/>
          <w:sz w:val="22"/>
          <w:szCs w:val="22"/>
          <w:lang w:val="en-US" w:eastAsia="en-GB"/>
        </w:rPr>
        <w:t>7,621 (</w:t>
      </w:r>
      <w:r w:rsidRPr="000B594B">
        <w:rPr>
          <w:rFonts w:eastAsia="Times New Roman"/>
          <w:color w:val="000000"/>
          <w:sz w:val="22"/>
          <w:szCs w:val="22"/>
          <w:lang w:val="en-US" w:eastAsia="en-GB"/>
        </w:rPr>
        <w:t>22.6%</w:t>
      </w:r>
      <w:r>
        <w:rPr>
          <w:rFonts w:eastAsia="Times New Roman"/>
          <w:color w:val="000000"/>
          <w:sz w:val="22"/>
          <w:szCs w:val="22"/>
          <w:lang w:val="en-US" w:eastAsia="en-GB"/>
        </w:rPr>
        <w:t>)</w:t>
      </w:r>
      <w:r w:rsidRPr="000B594B">
        <w:rPr>
          <w:rFonts w:eastAsia="Times New Roman"/>
          <w:color w:val="000000"/>
          <w:sz w:val="22"/>
          <w:szCs w:val="22"/>
          <w:lang w:val="en-US" w:eastAsia="en-GB"/>
        </w:rPr>
        <w:t xml:space="preserve"> were offered devices to aid erections and </w:t>
      </w:r>
      <w:r>
        <w:rPr>
          <w:rFonts w:eastAsia="Times New Roman"/>
          <w:color w:val="000000"/>
          <w:sz w:val="22"/>
          <w:szCs w:val="22"/>
          <w:lang w:val="en-US" w:eastAsia="en-GB"/>
        </w:rPr>
        <w:t>4,894 (</w:t>
      </w:r>
      <w:r w:rsidRPr="000B594B">
        <w:rPr>
          <w:rFonts w:eastAsia="Times New Roman"/>
          <w:color w:val="000000"/>
          <w:sz w:val="22"/>
          <w:szCs w:val="22"/>
          <w:lang w:val="en-US" w:eastAsia="en-GB"/>
        </w:rPr>
        <w:t>14.8%</w:t>
      </w:r>
      <w:r>
        <w:rPr>
          <w:rFonts w:eastAsia="Times New Roman"/>
          <w:color w:val="000000"/>
          <w:sz w:val="22"/>
          <w:szCs w:val="22"/>
          <w:lang w:val="en-US" w:eastAsia="en-GB"/>
        </w:rPr>
        <w:t>)</w:t>
      </w:r>
      <w:r w:rsidRPr="000B594B">
        <w:rPr>
          <w:rFonts w:eastAsia="Times New Roman"/>
          <w:color w:val="000000"/>
          <w:sz w:val="22"/>
          <w:szCs w:val="22"/>
          <w:lang w:val="en-US" w:eastAsia="en-GB"/>
        </w:rPr>
        <w:t xml:space="preserve"> were offered specialist services to help with sex life (</w:t>
      </w:r>
      <w:r w:rsidR="00E753C5">
        <w:rPr>
          <w:rFonts w:eastAsia="Times New Roman"/>
          <w:color w:val="000000"/>
          <w:sz w:val="22"/>
          <w:szCs w:val="22"/>
          <w:lang w:val="en-US" w:eastAsia="en-GB"/>
        </w:rPr>
        <w:t>Appendix p27</w:t>
      </w:r>
      <w:r w:rsidRPr="000B594B">
        <w:rPr>
          <w:rFonts w:eastAsia="Times New Roman"/>
          <w:color w:val="000000"/>
          <w:sz w:val="22"/>
          <w:szCs w:val="22"/>
          <w:lang w:val="en-US" w:eastAsia="en-GB"/>
        </w:rPr>
        <w:t>).  Over half (</w:t>
      </w:r>
      <w:r>
        <w:rPr>
          <w:rFonts w:eastAsia="Times New Roman"/>
          <w:color w:val="000000"/>
          <w:sz w:val="22"/>
          <w:szCs w:val="22"/>
          <w:lang w:val="en-US" w:eastAsia="en-GB"/>
        </w:rPr>
        <w:t>18,871; 55.8</w:t>
      </w:r>
      <w:r w:rsidRPr="000B594B">
        <w:rPr>
          <w:rFonts w:eastAsia="Times New Roman"/>
          <w:color w:val="000000"/>
          <w:sz w:val="22"/>
          <w:szCs w:val="22"/>
          <w:lang w:val="en-US" w:eastAsia="en-GB"/>
        </w:rPr>
        <w:t xml:space="preserve">%) were not </w:t>
      </w:r>
      <w:r w:rsidRPr="000B594B">
        <w:rPr>
          <w:rFonts w:eastAsia="Times New Roman"/>
          <w:color w:val="000000"/>
          <w:sz w:val="22"/>
          <w:szCs w:val="22"/>
          <w:lang w:val="en-US" w:eastAsia="en-GB"/>
        </w:rPr>
        <w:lastRenderedPageBreak/>
        <w:t>offered any of these interventions.  </w:t>
      </w:r>
      <w:r>
        <w:rPr>
          <w:rFonts w:eastAsia="Times New Roman"/>
          <w:color w:val="000000"/>
          <w:sz w:val="22"/>
          <w:szCs w:val="22"/>
          <w:lang w:val="en-US" w:eastAsia="en-GB"/>
        </w:rPr>
        <w:t>More of the y</w:t>
      </w:r>
      <w:r w:rsidRPr="000B594B">
        <w:rPr>
          <w:rFonts w:eastAsia="Times New Roman"/>
          <w:color w:val="000000"/>
          <w:sz w:val="22"/>
          <w:szCs w:val="22"/>
          <w:lang w:val="en-US" w:eastAsia="en-GB"/>
        </w:rPr>
        <w:t>ounger men report</w:t>
      </w:r>
      <w:r>
        <w:rPr>
          <w:rFonts w:eastAsia="Times New Roman"/>
          <w:color w:val="000000"/>
          <w:sz w:val="22"/>
          <w:szCs w:val="22"/>
          <w:lang w:val="en-US" w:eastAsia="en-GB"/>
        </w:rPr>
        <w:t>ed</w:t>
      </w:r>
      <w:r w:rsidRPr="000B594B">
        <w:rPr>
          <w:rFonts w:eastAsia="Times New Roman"/>
          <w:color w:val="000000"/>
          <w:sz w:val="22"/>
          <w:szCs w:val="22"/>
          <w:lang w:val="en-US" w:eastAsia="en-GB"/>
        </w:rPr>
        <w:t xml:space="preserve"> having been offered intervention: however, even in the youngest age group (&lt;55 years), </w:t>
      </w:r>
      <w:r>
        <w:rPr>
          <w:rFonts w:eastAsia="Times New Roman"/>
          <w:color w:val="000000"/>
          <w:sz w:val="22"/>
          <w:szCs w:val="22"/>
          <w:lang w:val="en-US" w:eastAsia="en-GB"/>
        </w:rPr>
        <w:t>153 men (</w:t>
      </w:r>
      <w:r w:rsidRPr="000B594B">
        <w:rPr>
          <w:rFonts w:eastAsia="Times New Roman"/>
          <w:color w:val="000000"/>
          <w:sz w:val="22"/>
          <w:szCs w:val="22"/>
          <w:lang w:val="en-US" w:eastAsia="en-GB"/>
        </w:rPr>
        <w:t>23.5%</w:t>
      </w:r>
      <w:r>
        <w:rPr>
          <w:rFonts w:eastAsia="Times New Roman"/>
          <w:color w:val="000000"/>
          <w:sz w:val="22"/>
          <w:szCs w:val="22"/>
          <w:lang w:val="en-US" w:eastAsia="en-GB"/>
        </w:rPr>
        <w:t>)</w:t>
      </w:r>
      <w:r w:rsidRPr="000B594B">
        <w:rPr>
          <w:rFonts w:eastAsia="Times New Roman"/>
          <w:color w:val="000000"/>
          <w:sz w:val="22"/>
          <w:szCs w:val="22"/>
          <w:lang w:val="en-US" w:eastAsia="en-GB"/>
        </w:rPr>
        <w:t xml:space="preserve"> were not offered medications, </w:t>
      </w:r>
      <w:r>
        <w:rPr>
          <w:rFonts w:eastAsia="Times New Roman"/>
          <w:color w:val="000000"/>
          <w:sz w:val="22"/>
          <w:szCs w:val="22"/>
          <w:lang w:val="en-US" w:eastAsia="en-GB"/>
        </w:rPr>
        <w:t>320 (</w:t>
      </w:r>
      <w:r w:rsidRPr="000B594B">
        <w:rPr>
          <w:rFonts w:eastAsia="Times New Roman"/>
          <w:color w:val="000000"/>
          <w:sz w:val="22"/>
          <w:szCs w:val="22"/>
          <w:lang w:val="en-US" w:eastAsia="en-GB"/>
        </w:rPr>
        <w:t>48.9%</w:t>
      </w:r>
      <w:r>
        <w:rPr>
          <w:rFonts w:eastAsia="Times New Roman"/>
          <w:color w:val="000000"/>
          <w:sz w:val="22"/>
          <w:szCs w:val="22"/>
          <w:lang w:val="en-US" w:eastAsia="en-GB"/>
        </w:rPr>
        <w:t>)</w:t>
      </w:r>
      <w:r w:rsidRPr="000B594B">
        <w:rPr>
          <w:rFonts w:eastAsia="Times New Roman"/>
          <w:color w:val="000000"/>
          <w:sz w:val="22"/>
          <w:szCs w:val="22"/>
          <w:lang w:val="en-US" w:eastAsia="en-GB"/>
        </w:rPr>
        <w:t xml:space="preserve"> were not offered devices and </w:t>
      </w:r>
      <w:r>
        <w:rPr>
          <w:rFonts w:eastAsia="Times New Roman"/>
          <w:color w:val="000000"/>
          <w:sz w:val="22"/>
          <w:szCs w:val="22"/>
          <w:lang w:val="en-US" w:eastAsia="en-GB"/>
        </w:rPr>
        <w:t>493 (</w:t>
      </w:r>
      <w:r w:rsidRPr="000B594B">
        <w:rPr>
          <w:rFonts w:eastAsia="Times New Roman"/>
          <w:color w:val="000000"/>
          <w:sz w:val="22"/>
          <w:szCs w:val="22"/>
          <w:lang w:val="en-US" w:eastAsia="en-GB"/>
        </w:rPr>
        <w:t>76.0%</w:t>
      </w:r>
      <w:r>
        <w:rPr>
          <w:rFonts w:eastAsia="Times New Roman"/>
          <w:color w:val="000000"/>
          <w:sz w:val="22"/>
          <w:szCs w:val="22"/>
          <w:lang w:val="en-US" w:eastAsia="en-GB"/>
        </w:rPr>
        <w:t>)</w:t>
      </w:r>
      <w:r w:rsidRPr="000B594B">
        <w:rPr>
          <w:rFonts w:eastAsia="Times New Roman"/>
          <w:color w:val="000000"/>
          <w:sz w:val="22"/>
          <w:szCs w:val="22"/>
          <w:lang w:val="en-US" w:eastAsia="en-GB"/>
        </w:rPr>
        <w:t xml:space="preserve"> were not offered access to specialist services (Figure </w:t>
      </w:r>
      <w:r>
        <w:rPr>
          <w:rFonts w:eastAsia="Times New Roman"/>
          <w:color w:val="000000"/>
          <w:sz w:val="22"/>
          <w:szCs w:val="22"/>
          <w:lang w:val="en-US" w:eastAsia="en-GB"/>
        </w:rPr>
        <w:t>3</w:t>
      </w:r>
      <w:r w:rsidRPr="000B594B">
        <w:rPr>
          <w:rFonts w:eastAsia="Times New Roman"/>
          <w:color w:val="000000"/>
          <w:sz w:val="22"/>
          <w:szCs w:val="22"/>
          <w:lang w:val="en-US" w:eastAsia="en-GB"/>
        </w:rPr>
        <w:t>).  By stage, similar proportions of men with stage I/II (</w:t>
      </w:r>
      <w:r>
        <w:rPr>
          <w:rFonts w:eastAsia="Times New Roman"/>
          <w:color w:val="000000"/>
          <w:sz w:val="22"/>
          <w:szCs w:val="22"/>
          <w:lang w:val="en-US" w:eastAsia="en-GB"/>
        </w:rPr>
        <w:t xml:space="preserve">8,678; </w:t>
      </w:r>
      <w:r w:rsidRPr="000B594B">
        <w:rPr>
          <w:rFonts w:eastAsia="Times New Roman"/>
          <w:color w:val="000000"/>
          <w:sz w:val="22"/>
          <w:szCs w:val="22"/>
          <w:lang w:val="en-US" w:eastAsia="en-GB"/>
        </w:rPr>
        <w:t>46.7%) and stage III (</w:t>
      </w:r>
      <w:r>
        <w:rPr>
          <w:rFonts w:eastAsia="Times New Roman"/>
          <w:color w:val="000000"/>
          <w:sz w:val="22"/>
          <w:szCs w:val="22"/>
          <w:lang w:val="en-US" w:eastAsia="en-GB"/>
        </w:rPr>
        <w:t xml:space="preserve">3,247; </w:t>
      </w:r>
      <w:r w:rsidRPr="000B594B">
        <w:rPr>
          <w:rFonts w:eastAsia="Times New Roman"/>
          <w:color w:val="000000"/>
          <w:sz w:val="22"/>
          <w:szCs w:val="22"/>
          <w:lang w:val="en-US" w:eastAsia="en-GB"/>
        </w:rPr>
        <w:t xml:space="preserve">47.7%) disease were offered </w:t>
      </w:r>
      <w:r>
        <w:rPr>
          <w:rFonts w:eastAsia="Times New Roman"/>
          <w:color w:val="000000"/>
          <w:sz w:val="22"/>
          <w:szCs w:val="22"/>
          <w:lang w:val="en-US" w:eastAsia="en-GB"/>
        </w:rPr>
        <w:t xml:space="preserve">any of the </w:t>
      </w:r>
      <w:r w:rsidRPr="000B594B">
        <w:rPr>
          <w:rFonts w:eastAsia="Times New Roman"/>
          <w:color w:val="000000"/>
          <w:sz w:val="22"/>
          <w:szCs w:val="22"/>
          <w:lang w:val="en-US" w:eastAsia="en-GB"/>
        </w:rPr>
        <w:t xml:space="preserve">interventions compared to </w:t>
      </w:r>
      <w:r>
        <w:rPr>
          <w:rFonts w:eastAsia="Times New Roman"/>
          <w:color w:val="000000"/>
          <w:sz w:val="22"/>
          <w:szCs w:val="22"/>
          <w:lang w:val="en-US" w:eastAsia="en-GB"/>
        </w:rPr>
        <w:t>957 (</w:t>
      </w:r>
      <w:r w:rsidRPr="000B594B">
        <w:rPr>
          <w:rFonts w:eastAsia="Times New Roman"/>
          <w:color w:val="000000"/>
          <w:sz w:val="22"/>
          <w:szCs w:val="22"/>
          <w:lang w:val="en-US" w:eastAsia="en-GB"/>
        </w:rPr>
        <w:t>26.9%</w:t>
      </w:r>
      <w:r>
        <w:rPr>
          <w:rFonts w:eastAsia="Times New Roman"/>
          <w:color w:val="000000"/>
          <w:sz w:val="22"/>
          <w:szCs w:val="22"/>
          <w:lang w:val="en-US" w:eastAsia="en-GB"/>
        </w:rPr>
        <w:t>)</w:t>
      </w:r>
      <w:r w:rsidRPr="000B594B">
        <w:rPr>
          <w:rFonts w:eastAsia="Times New Roman"/>
          <w:color w:val="000000"/>
          <w:sz w:val="22"/>
          <w:szCs w:val="22"/>
          <w:lang w:val="en-US" w:eastAsia="en-GB"/>
        </w:rPr>
        <w:t xml:space="preserve"> with stage IV.</w:t>
      </w:r>
      <w:r>
        <w:rPr>
          <w:rFonts w:eastAsia="Times New Roman"/>
          <w:color w:val="000000"/>
          <w:sz w:val="22"/>
          <w:szCs w:val="22"/>
          <w:lang w:val="en-US" w:eastAsia="en-GB"/>
        </w:rPr>
        <w:t xml:space="preserve">  The proportion of men being offered intervention varied greatly according to the type of treatment received.  For example, 5,567 (80.9%) of men having surgery alone, 735 (62.9%) of men having brachytherapy alone, 812 (34.5%) of men having EBRT alone and 523 (18.8%) of men having ADT alone were offered one of the three interventions. </w:t>
      </w:r>
    </w:p>
    <w:p w:rsidR="00E037B4" w:rsidRPr="000B594B" w:rsidRDefault="00E037B4" w:rsidP="006A0590">
      <w:pPr>
        <w:shd w:val="clear" w:color="auto" w:fill="FFFFFF" w:themeFill="background1"/>
        <w:spacing w:before="0" w:after="240" w:line="480" w:lineRule="auto"/>
        <w:jc w:val="both"/>
        <w:rPr>
          <w:rFonts w:eastAsia="Times New Roman"/>
          <w:sz w:val="22"/>
          <w:szCs w:val="22"/>
          <w:lang w:val="en-US" w:eastAsia="en-GB"/>
        </w:rPr>
      </w:pPr>
      <w:r w:rsidRPr="000B594B">
        <w:rPr>
          <w:rFonts w:eastAsia="Times New Roman"/>
          <w:color w:val="000000"/>
          <w:sz w:val="22"/>
          <w:szCs w:val="22"/>
          <w:lang w:val="en-US" w:eastAsia="en-GB"/>
        </w:rPr>
        <w:t xml:space="preserve">Amongst men offered any of the three interventions, </w:t>
      </w:r>
      <w:r>
        <w:rPr>
          <w:rFonts w:eastAsia="Times New Roman"/>
          <w:color w:val="000000"/>
          <w:sz w:val="22"/>
          <w:szCs w:val="22"/>
          <w:lang w:val="en-US" w:eastAsia="en-GB"/>
        </w:rPr>
        <w:t>5,534 (</w:t>
      </w:r>
      <w:r w:rsidRPr="000B594B">
        <w:rPr>
          <w:rFonts w:eastAsia="Times New Roman"/>
          <w:color w:val="000000"/>
          <w:sz w:val="22"/>
          <w:szCs w:val="22"/>
          <w:lang w:val="en-US" w:eastAsia="en-GB"/>
        </w:rPr>
        <w:t>37.2%</w:t>
      </w:r>
      <w:r>
        <w:rPr>
          <w:rFonts w:eastAsia="Times New Roman"/>
          <w:color w:val="000000"/>
          <w:sz w:val="22"/>
          <w:szCs w:val="22"/>
          <w:lang w:val="en-US" w:eastAsia="en-GB"/>
        </w:rPr>
        <w:t>)</w:t>
      </w:r>
      <w:r w:rsidRPr="000B594B">
        <w:rPr>
          <w:rFonts w:eastAsia="Times New Roman"/>
          <w:color w:val="000000"/>
          <w:sz w:val="22"/>
          <w:szCs w:val="22"/>
          <w:lang w:val="en-US" w:eastAsia="en-GB"/>
        </w:rPr>
        <w:t xml:space="preserve"> did not want them or did not try them, </w:t>
      </w:r>
      <w:r>
        <w:rPr>
          <w:rFonts w:eastAsia="Times New Roman"/>
          <w:color w:val="000000"/>
          <w:sz w:val="22"/>
          <w:szCs w:val="22"/>
          <w:lang w:val="en-US" w:eastAsia="en-GB"/>
        </w:rPr>
        <w:t>3,546 (</w:t>
      </w:r>
      <w:r w:rsidRPr="000B594B">
        <w:rPr>
          <w:rFonts w:eastAsia="Times New Roman"/>
          <w:color w:val="000000"/>
          <w:sz w:val="22"/>
          <w:szCs w:val="22"/>
          <w:lang w:val="en-US" w:eastAsia="en-GB"/>
        </w:rPr>
        <w:t>23.8%</w:t>
      </w:r>
      <w:r>
        <w:rPr>
          <w:rFonts w:eastAsia="Times New Roman"/>
          <w:color w:val="000000"/>
          <w:sz w:val="22"/>
          <w:szCs w:val="22"/>
          <w:lang w:val="en-US" w:eastAsia="en-GB"/>
        </w:rPr>
        <w:t>)</w:t>
      </w:r>
      <w:r w:rsidRPr="000B594B">
        <w:rPr>
          <w:rFonts w:eastAsia="Times New Roman"/>
          <w:color w:val="000000"/>
          <w:sz w:val="22"/>
          <w:szCs w:val="22"/>
          <w:lang w:val="en-US" w:eastAsia="en-GB"/>
        </w:rPr>
        <w:t xml:space="preserve"> found they did not help, and </w:t>
      </w:r>
      <w:r>
        <w:rPr>
          <w:rFonts w:eastAsia="Times New Roman"/>
          <w:color w:val="000000"/>
          <w:sz w:val="22"/>
          <w:szCs w:val="22"/>
          <w:lang w:val="en-US" w:eastAsia="en-GB"/>
        </w:rPr>
        <w:t>5,812 (</w:t>
      </w:r>
      <w:r w:rsidRPr="000B594B">
        <w:rPr>
          <w:rFonts w:eastAsia="Times New Roman"/>
          <w:color w:val="000000"/>
          <w:sz w:val="22"/>
          <w:szCs w:val="22"/>
          <w:lang w:val="en-US" w:eastAsia="en-GB"/>
        </w:rPr>
        <w:t>39.0%</w:t>
      </w:r>
      <w:r>
        <w:rPr>
          <w:rFonts w:eastAsia="Times New Roman"/>
          <w:color w:val="000000"/>
          <w:sz w:val="22"/>
          <w:szCs w:val="22"/>
          <w:lang w:val="en-US" w:eastAsia="en-GB"/>
        </w:rPr>
        <w:t>)</w:t>
      </w:r>
      <w:r w:rsidRPr="000B594B">
        <w:rPr>
          <w:rFonts w:eastAsia="Times New Roman"/>
          <w:color w:val="000000"/>
          <w:sz w:val="22"/>
          <w:szCs w:val="22"/>
          <w:lang w:val="en-US" w:eastAsia="en-GB"/>
        </w:rPr>
        <w:t xml:space="preserve"> reported </w:t>
      </w:r>
      <w:r>
        <w:rPr>
          <w:rFonts w:eastAsia="Times New Roman"/>
          <w:color w:val="000000"/>
          <w:sz w:val="22"/>
          <w:szCs w:val="22"/>
          <w:lang w:val="en-US" w:eastAsia="en-GB"/>
        </w:rPr>
        <w:t xml:space="preserve">at least one of </w:t>
      </w:r>
      <w:r w:rsidRPr="000B594B">
        <w:rPr>
          <w:rFonts w:eastAsia="Times New Roman"/>
          <w:color w:val="000000"/>
          <w:sz w:val="22"/>
          <w:szCs w:val="22"/>
          <w:lang w:val="en-US" w:eastAsia="en-GB"/>
        </w:rPr>
        <w:t>them being helpful (</w:t>
      </w:r>
      <w:r w:rsidR="00E753C5">
        <w:rPr>
          <w:rFonts w:eastAsia="Times New Roman"/>
          <w:color w:val="000000"/>
          <w:sz w:val="22"/>
          <w:szCs w:val="22"/>
          <w:lang w:val="en-US" w:eastAsia="en-GB"/>
        </w:rPr>
        <w:t>Appendix p27</w:t>
      </w:r>
      <w:r w:rsidRPr="000B594B">
        <w:rPr>
          <w:rFonts w:eastAsia="Times New Roman"/>
          <w:color w:val="000000"/>
          <w:sz w:val="22"/>
          <w:szCs w:val="22"/>
          <w:lang w:val="en-US" w:eastAsia="en-GB"/>
        </w:rPr>
        <w:t xml:space="preserve">).  Of those offered medications, </w:t>
      </w:r>
      <w:r>
        <w:rPr>
          <w:rFonts w:eastAsia="Times New Roman"/>
          <w:color w:val="000000"/>
          <w:sz w:val="22"/>
          <w:szCs w:val="22"/>
          <w:lang w:val="en-US" w:eastAsia="en-GB"/>
        </w:rPr>
        <w:t>4,474 (</w:t>
      </w:r>
      <w:r w:rsidRPr="000B594B">
        <w:rPr>
          <w:rFonts w:eastAsia="Times New Roman"/>
          <w:color w:val="000000"/>
          <w:sz w:val="22"/>
          <w:szCs w:val="22"/>
          <w:lang w:val="en-US" w:eastAsia="en-GB"/>
        </w:rPr>
        <w:t>34.2%</w:t>
      </w:r>
      <w:r>
        <w:rPr>
          <w:rFonts w:eastAsia="Times New Roman"/>
          <w:color w:val="000000"/>
          <w:sz w:val="22"/>
          <w:szCs w:val="22"/>
          <w:lang w:val="en-US" w:eastAsia="en-GB"/>
        </w:rPr>
        <w:t>)</w:t>
      </w:r>
      <w:r w:rsidRPr="000B594B">
        <w:rPr>
          <w:rFonts w:eastAsia="Times New Roman"/>
          <w:color w:val="000000"/>
          <w:sz w:val="22"/>
          <w:szCs w:val="22"/>
          <w:lang w:val="en-US" w:eastAsia="en-GB"/>
        </w:rPr>
        <w:t xml:space="preserve"> reported them being helpful.  Of those offered devices, </w:t>
      </w:r>
      <w:r>
        <w:rPr>
          <w:rFonts w:eastAsia="Times New Roman"/>
          <w:color w:val="000000"/>
          <w:sz w:val="22"/>
          <w:szCs w:val="22"/>
          <w:lang w:val="en-US" w:eastAsia="en-GB"/>
        </w:rPr>
        <w:t>2,154 (</w:t>
      </w:r>
      <w:r w:rsidRPr="000B594B">
        <w:rPr>
          <w:rFonts w:eastAsia="Times New Roman"/>
          <w:color w:val="000000"/>
          <w:sz w:val="22"/>
          <w:szCs w:val="22"/>
          <w:lang w:val="en-US" w:eastAsia="en-GB"/>
        </w:rPr>
        <w:t>28.3%</w:t>
      </w:r>
      <w:r>
        <w:rPr>
          <w:rFonts w:eastAsia="Times New Roman"/>
          <w:color w:val="000000"/>
          <w:sz w:val="22"/>
          <w:szCs w:val="22"/>
          <w:lang w:val="en-US" w:eastAsia="en-GB"/>
        </w:rPr>
        <w:t>)</w:t>
      </w:r>
      <w:r w:rsidRPr="000B594B">
        <w:rPr>
          <w:rFonts w:eastAsia="Times New Roman"/>
          <w:color w:val="000000"/>
          <w:sz w:val="22"/>
          <w:szCs w:val="22"/>
          <w:lang w:val="en-US" w:eastAsia="en-GB"/>
        </w:rPr>
        <w:t xml:space="preserve"> reported them as helpful.  For those offered specialist services, </w:t>
      </w:r>
      <w:r>
        <w:rPr>
          <w:rFonts w:eastAsia="Times New Roman"/>
          <w:color w:val="000000"/>
          <w:sz w:val="22"/>
          <w:szCs w:val="22"/>
          <w:lang w:val="en-US" w:eastAsia="en-GB"/>
        </w:rPr>
        <w:t>943 (</w:t>
      </w:r>
      <w:r w:rsidRPr="000B594B">
        <w:rPr>
          <w:rFonts w:eastAsia="Times New Roman"/>
          <w:color w:val="000000"/>
          <w:sz w:val="22"/>
          <w:szCs w:val="22"/>
          <w:lang w:val="en-US" w:eastAsia="en-GB"/>
        </w:rPr>
        <w:t>18.9%</w:t>
      </w:r>
      <w:r>
        <w:rPr>
          <w:rFonts w:eastAsia="Times New Roman"/>
          <w:color w:val="000000"/>
          <w:sz w:val="22"/>
          <w:szCs w:val="22"/>
          <w:lang w:val="en-US" w:eastAsia="en-GB"/>
        </w:rPr>
        <w:t>)</w:t>
      </w:r>
      <w:r w:rsidRPr="000B594B">
        <w:rPr>
          <w:rFonts w:eastAsia="Times New Roman"/>
          <w:color w:val="000000"/>
          <w:sz w:val="22"/>
          <w:szCs w:val="22"/>
          <w:lang w:val="en-US" w:eastAsia="en-GB"/>
        </w:rPr>
        <w:t xml:space="preserve"> found them helpful.  </w:t>
      </w:r>
    </w:p>
    <w:p w:rsidR="00E037B4" w:rsidRPr="008D0124" w:rsidRDefault="00E037B4" w:rsidP="006A0590">
      <w:pPr>
        <w:shd w:val="clear" w:color="auto" w:fill="FFFFFF" w:themeFill="background1"/>
        <w:spacing w:before="0" w:after="240" w:line="480" w:lineRule="auto"/>
        <w:jc w:val="both"/>
        <w:rPr>
          <w:rFonts w:eastAsia="Times New Roman"/>
          <w:sz w:val="22"/>
          <w:szCs w:val="22"/>
          <w:lang w:val="en-US" w:eastAsia="en-GB"/>
        </w:rPr>
      </w:pPr>
      <w:r w:rsidRPr="000B594B">
        <w:rPr>
          <w:rFonts w:eastAsia="Times New Roman"/>
          <w:color w:val="000000"/>
          <w:sz w:val="22"/>
          <w:szCs w:val="22"/>
          <w:lang w:val="en-US" w:eastAsia="en-GB"/>
        </w:rPr>
        <w:t xml:space="preserve">The overall mean </w:t>
      </w:r>
      <w:r>
        <w:rPr>
          <w:rFonts w:eastAsia="Times New Roman"/>
          <w:color w:val="000000"/>
          <w:sz w:val="22"/>
          <w:szCs w:val="22"/>
          <w:lang w:val="en-US" w:eastAsia="en-GB"/>
        </w:rPr>
        <w:t xml:space="preserve">adjusted </w:t>
      </w:r>
      <w:r w:rsidRPr="000B594B">
        <w:rPr>
          <w:rFonts w:eastAsia="Times New Roman"/>
          <w:color w:val="000000"/>
          <w:sz w:val="22"/>
          <w:szCs w:val="22"/>
          <w:lang w:val="en-US" w:eastAsia="en-GB"/>
        </w:rPr>
        <w:t>SAH score was 76.</w:t>
      </w:r>
      <w:r>
        <w:rPr>
          <w:rFonts w:eastAsia="Times New Roman"/>
          <w:color w:val="000000"/>
          <w:sz w:val="22"/>
          <w:szCs w:val="22"/>
          <w:lang w:val="en-US" w:eastAsia="en-GB"/>
        </w:rPr>
        <w:t>3 (95% CI 76.1-76.5) (Table 2)</w:t>
      </w:r>
      <w:r w:rsidRPr="000B594B">
        <w:rPr>
          <w:rFonts w:eastAsia="Times New Roman"/>
          <w:color w:val="000000"/>
          <w:sz w:val="22"/>
          <w:szCs w:val="22"/>
          <w:lang w:val="en-US" w:eastAsia="en-GB"/>
        </w:rPr>
        <w:t xml:space="preserve">.  SAH was </w:t>
      </w:r>
      <w:r>
        <w:rPr>
          <w:rFonts w:eastAsia="Times New Roman"/>
          <w:color w:val="000000"/>
          <w:sz w:val="22"/>
          <w:szCs w:val="22"/>
          <w:lang w:val="en-US" w:eastAsia="en-GB"/>
        </w:rPr>
        <w:t>5.7</w:t>
      </w:r>
      <w:r w:rsidRPr="000B594B">
        <w:rPr>
          <w:rFonts w:eastAsia="Times New Roman"/>
          <w:color w:val="000000"/>
          <w:sz w:val="22"/>
          <w:szCs w:val="22"/>
          <w:lang w:val="en-US" w:eastAsia="en-GB"/>
        </w:rPr>
        <w:t xml:space="preserve"> points lower in men with stage IV disease compared to men with localised cancer (</w:t>
      </w:r>
      <w:r>
        <w:rPr>
          <w:rFonts w:eastAsia="Times New Roman"/>
          <w:color w:val="000000"/>
          <w:sz w:val="22"/>
          <w:szCs w:val="22"/>
          <w:lang w:val="en-US" w:eastAsia="en-GB"/>
        </w:rPr>
        <w:t xml:space="preserve">mean adjusted scores: 71.7 (95% CI 71.1-72.3) and </w:t>
      </w:r>
      <w:r w:rsidRPr="000B594B">
        <w:rPr>
          <w:rFonts w:eastAsia="Times New Roman"/>
          <w:color w:val="000000"/>
          <w:sz w:val="22"/>
          <w:szCs w:val="22"/>
          <w:lang w:val="en-US" w:eastAsia="en-GB"/>
        </w:rPr>
        <w:t>77.</w:t>
      </w:r>
      <w:r>
        <w:rPr>
          <w:rFonts w:eastAsia="Times New Roman"/>
          <w:color w:val="000000"/>
          <w:sz w:val="22"/>
          <w:szCs w:val="22"/>
          <w:lang w:val="en-US" w:eastAsia="en-GB"/>
        </w:rPr>
        <w:t>4 (95% CI 77.2-77.7) respectively</w:t>
      </w:r>
      <w:r w:rsidRPr="000B594B">
        <w:rPr>
          <w:rFonts w:eastAsia="Times New Roman"/>
          <w:color w:val="000000"/>
          <w:sz w:val="22"/>
          <w:szCs w:val="22"/>
          <w:lang w:val="en-US" w:eastAsia="en-GB"/>
        </w:rPr>
        <w:t xml:space="preserve">).  </w:t>
      </w:r>
      <w:r>
        <w:rPr>
          <w:rFonts w:eastAsia="Times New Roman"/>
          <w:color w:val="000000"/>
          <w:sz w:val="22"/>
          <w:szCs w:val="22"/>
          <w:lang w:val="en-US" w:eastAsia="en-GB"/>
        </w:rPr>
        <w:t>Men</w:t>
      </w:r>
      <w:r w:rsidRPr="000B594B">
        <w:rPr>
          <w:rFonts w:eastAsia="Times New Roman"/>
          <w:color w:val="000000"/>
          <w:sz w:val="22"/>
          <w:szCs w:val="22"/>
          <w:lang w:val="en-US" w:eastAsia="en-GB"/>
        </w:rPr>
        <w:t xml:space="preserve"> with stage III disease reported </w:t>
      </w:r>
      <w:r>
        <w:rPr>
          <w:rFonts w:eastAsia="Times New Roman"/>
          <w:color w:val="000000"/>
          <w:sz w:val="22"/>
          <w:szCs w:val="22"/>
          <w:lang w:val="en-US" w:eastAsia="en-GB"/>
        </w:rPr>
        <w:t xml:space="preserve">a mean adjusted </w:t>
      </w:r>
      <w:r w:rsidRPr="000B594B">
        <w:rPr>
          <w:rFonts w:eastAsia="Times New Roman"/>
          <w:color w:val="000000"/>
          <w:sz w:val="22"/>
          <w:szCs w:val="22"/>
          <w:lang w:val="en-US" w:eastAsia="en-GB"/>
        </w:rPr>
        <w:t xml:space="preserve">SAH </w:t>
      </w:r>
      <w:r>
        <w:rPr>
          <w:rFonts w:eastAsia="Times New Roman"/>
          <w:color w:val="000000"/>
          <w:sz w:val="22"/>
          <w:szCs w:val="22"/>
          <w:lang w:val="en-US" w:eastAsia="en-GB"/>
        </w:rPr>
        <w:t xml:space="preserve">score </w:t>
      </w:r>
      <w:r w:rsidRPr="000B594B">
        <w:rPr>
          <w:rFonts w:eastAsia="Times New Roman"/>
          <w:color w:val="000000"/>
          <w:sz w:val="22"/>
          <w:szCs w:val="22"/>
          <w:lang w:val="en-US" w:eastAsia="en-GB"/>
        </w:rPr>
        <w:t>of 76.3</w:t>
      </w:r>
      <w:r>
        <w:rPr>
          <w:rFonts w:eastAsia="Times New Roman"/>
          <w:color w:val="000000"/>
          <w:sz w:val="22"/>
          <w:szCs w:val="22"/>
          <w:lang w:val="en-US" w:eastAsia="en-GB"/>
        </w:rPr>
        <w:t xml:space="preserve"> (95% CI 75.9-76.7)</w:t>
      </w:r>
      <w:r w:rsidRPr="000B594B">
        <w:rPr>
          <w:rFonts w:eastAsia="Times New Roman"/>
          <w:color w:val="000000"/>
          <w:sz w:val="22"/>
          <w:szCs w:val="22"/>
          <w:lang w:val="en-US" w:eastAsia="en-GB"/>
        </w:rPr>
        <w:t>.</w:t>
      </w:r>
      <w:r w:rsidRPr="008D0124">
        <w:rPr>
          <w:rFonts w:eastAsia="Times New Roman"/>
          <w:color w:val="000000"/>
          <w:sz w:val="22"/>
          <w:szCs w:val="22"/>
          <w:lang w:val="en-US" w:eastAsia="en-GB"/>
        </w:rPr>
        <w:t xml:space="preserve">  </w:t>
      </w:r>
      <w:r>
        <w:rPr>
          <w:rFonts w:eastAsia="Times New Roman"/>
          <w:color w:val="000000"/>
          <w:sz w:val="22"/>
          <w:szCs w:val="22"/>
          <w:lang w:val="en-US" w:eastAsia="en-GB"/>
        </w:rPr>
        <w:t xml:space="preserve">When looking across the age groups, the difference in SAH between stage I/II and stage IV was greater in the younger men (Figure 4a). A similar pattern was seen when looking at the effect of ADT use by age (Figure 4b). </w:t>
      </w:r>
    </w:p>
    <w:p w:rsidR="00E037B4" w:rsidRDefault="00E037B4" w:rsidP="006A0590">
      <w:pPr>
        <w:shd w:val="clear" w:color="auto" w:fill="FFFFFF" w:themeFill="background1"/>
        <w:spacing w:before="0" w:after="360" w:line="480" w:lineRule="auto"/>
        <w:jc w:val="both"/>
        <w:rPr>
          <w:rFonts w:eastAsia="Times New Roman"/>
          <w:color w:val="000000"/>
          <w:sz w:val="22"/>
          <w:szCs w:val="22"/>
          <w:lang w:val="en-US" w:eastAsia="en-GB"/>
        </w:rPr>
      </w:pPr>
      <w:r>
        <w:rPr>
          <w:rFonts w:eastAsia="Times New Roman"/>
          <w:color w:val="000000"/>
          <w:sz w:val="22"/>
          <w:szCs w:val="22"/>
          <w:lang w:val="en-US" w:eastAsia="en-GB"/>
        </w:rPr>
        <w:t xml:space="preserve">Looking at the EQ-5D dimensions, men </w:t>
      </w:r>
      <w:r w:rsidRPr="000B594B">
        <w:rPr>
          <w:rFonts w:eastAsia="Times New Roman"/>
          <w:color w:val="000000"/>
          <w:sz w:val="22"/>
          <w:szCs w:val="22"/>
          <w:lang w:val="en-US" w:eastAsia="en-GB"/>
        </w:rPr>
        <w:t>report</w:t>
      </w:r>
      <w:r>
        <w:rPr>
          <w:rFonts w:eastAsia="Times New Roman"/>
          <w:color w:val="000000"/>
          <w:sz w:val="22"/>
          <w:szCs w:val="22"/>
          <w:lang w:val="en-US" w:eastAsia="en-GB"/>
        </w:rPr>
        <w:t>ed the most</w:t>
      </w:r>
      <w:r w:rsidRPr="000B594B">
        <w:rPr>
          <w:rFonts w:eastAsia="Times New Roman"/>
          <w:color w:val="000000"/>
          <w:sz w:val="22"/>
          <w:szCs w:val="22"/>
          <w:lang w:val="en-US" w:eastAsia="en-GB"/>
        </w:rPr>
        <w:t xml:space="preserve"> problems </w:t>
      </w:r>
      <w:r>
        <w:rPr>
          <w:rFonts w:eastAsia="Times New Roman"/>
          <w:color w:val="000000"/>
          <w:sz w:val="22"/>
          <w:szCs w:val="22"/>
          <w:lang w:val="en-US" w:eastAsia="en-GB"/>
        </w:rPr>
        <w:t xml:space="preserve">(of any level) </w:t>
      </w:r>
      <w:r w:rsidRPr="000B594B">
        <w:rPr>
          <w:rFonts w:eastAsia="Times New Roman"/>
          <w:color w:val="000000"/>
          <w:sz w:val="22"/>
          <w:szCs w:val="22"/>
          <w:lang w:val="en-US" w:eastAsia="en-GB"/>
        </w:rPr>
        <w:t>with ‘pain/discomfort’ (4</w:t>
      </w:r>
      <w:r>
        <w:rPr>
          <w:rFonts w:eastAsia="Times New Roman"/>
          <w:color w:val="000000"/>
          <w:sz w:val="22"/>
          <w:szCs w:val="22"/>
          <w:lang w:val="en-US" w:eastAsia="en-GB"/>
        </w:rPr>
        <w:t>1</w:t>
      </w:r>
      <w:r w:rsidRPr="000B594B">
        <w:rPr>
          <w:rFonts w:eastAsia="Times New Roman"/>
          <w:color w:val="000000"/>
          <w:sz w:val="22"/>
          <w:szCs w:val="22"/>
          <w:lang w:val="en-US" w:eastAsia="en-GB"/>
        </w:rPr>
        <w:t>.</w:t>
      </w:r>
      <w:r>
        <w:rPr>
          <w:rFonts w:eastAsia="Times New Roman"/>
          <w:color w:val="000000"/>
          <w:sz w:val="22"/>
          <w:szCs w:val="22"/>
          <w:lang w:val="en-US" w:eastAsia="en-GB"/>
        </w:rPr>
        <w:t>7</w:t>
      </w:r>
      <w:r w:rsidRPr="000B594B">
        <w:rPr>
          <w:rFonts w:eastAsia="Times New Roman"/>
          <w:color w:val="000000"/>
          <w:sz w:val="22"/>
          <w:szCs w:val="22"/>
          <w:lang w:val="en-US" w:eastAsia="en-GB"/>
        </w:rPr>
        <w:t>%</w:t>
      </w:r>
      <w:r>
        <w:rPr>
          <w:rFonts w:eastAsia="Times New Roman"/>
          <w:color w:val="000000"/>
          <w:sz w:val="22"/>
          <w:szCs w:val="22"/>
          <w:lang w:val="en-US" w:eastAsia="en-GB"/>
        </w:rPr>
        <w:t>, 95% CI 41.1-42.2</w:t>
      </w:r>
      <w:r w:rsidRPr="000B594B">
        <w:rPr>
          <w:rFonts w:eastAsia="Times New Roman"/>
          <w:color w:val="000000"/>
          <w:sz w:val="22"/>
          <w:szCs w:val="22"/>
          <w:lang w:val="en-US" w:eastAsia="en-GB"/>
        </w:rPr>
        <w:t xml:space="preserve">) and </w:t>
      </w:r>
      <w:r>
        <w:rPr>
          <w:rFonts w:eastAsia="Times New Roman"/>
          <w:color w:val="000000"/>
          <w:sz w:val="22"/>
          <w:szCs w:val="22"/>
          <w:lang w:val="en-US" w:eastAsia="en-GB"/>
        </w:rPr>
        <w:t>fewest</w:t>
      </w:r>
      <w:r w:rsidRPr="000B594B">
        <w:rPr>
          <w:rFonts w:eastAsia="Times New Roman"/>
          <w:color w:val="000000"/>
          <w:sz w:val="22"/>
          <w:szCs w:val="22"/>
          <w:lang w:val="en-US" w:eastAsia="en-GB"/>
        </w:rPr>
        <w:t xml:space="preserve"> problems with ‘self-care’ (</w:t>
      </w:r>
      <w:r>
        <w:rPr>
          <w:rFonts w:eastAsia="Times New Roman"/>
          <w:color w:val="000000"/>
          <w:sz w:val="22"/>
          <w:szCs w:val="22"/>
          <w:lang w:val="en-US" w:eastAsia="en-GB"/>
        </w:rPr>
        <w:t>11.5</w:t>
      </w:r>
      <w:r w:rsidRPr="000B594B">
        <w:rPr>
          <w:rFonts w:eastAsia="Times New Roman"/>
          <w:color w:val="000000"/>
          <w:sz w:val="22"/>
          <w:szCs w:val="22"/>
          <w:lang w:val="en-US" w:eastAsia="en-GB"/>
        </w:rPr>
        <w:t>%</w:t>
      </w:r>
      <w:r>
        <w:rPr>
          <w:rFonts w:eastAsia="Times New Roman"/>
          <w:color w:val="000000"/>
          <w:sz w:val="22"/>
          <w:szCs w:val="22"/>
          <w:lang w:val="en-US" w:eastAsia="en-GB"/>
        </w:rPr>
        <w:t>, 95% CI 11.1-11.9</w:t>
      </w:r>
      <w:r w:rsidRPr="000B594B">
        <w:rPr>
          <w:rFonts w:eastAsia="Times New Roman"/>
          <w:color w:val="000000"/>
          <w:sz w:val="22"/>
          <w:szCs w:val="22"/>
          <w:lang w:val="en-US" w:eastAsia="en-GB"/>
        </w:rPr>
        <w:t>)</w:t>
      </w:r>
      <w:r>
        <w:rPr>
          <w:rFonts w:eastAsia="Times New Roman"/>
          <w:color w:val="000000"/>
          <w:sz w:val="22"/>
          <w:szCs w:val="22"/>
          <w:lang w:val="en-US" w:eastAsia="en-GB"/>
        </w:rPr>
        <w:t xml:space="preserve"> (adjusted proportions: Table 2)</w:t>
      </w:r>
      <w:r w:rsidRPr="000B594B">
        <w:rPr>
          <w:rFonts w:eastAsia="Times New Roman"/>
          <w:color w:val="000000"/>
          <w:sz w:val="22"/>
          <w:szCs w:val="22"/>
          <w:lang w:val="en-US" w:eastAsia="en-GB"/>
        </w:rPr>
        <w:t xml:space="preserve">.  Men with </w:t>
      </w:r>
      <w:r>
        <w:rPr>
          <w:rFonts w:eastAsia="Times New Roman"/>
          <w:color w:val="000000"/>
          <w:sz w:val="22"/>
          <w:szCs w:val="22"/>
          <w:lang w:val="en-US" w:eastAsia="en-GB"/>
        </w:rPr>
        <w:t>stage IV cancer</w:t>
      </w:r>
      <w:r w:rsidRPr="000B594B">
        <w:rPr>
          <w:rFonts w:eastAsia="Times New Roman"/>
          <w:color w:val="000000"/>
          <w:sz w:val="22"/>
          <w:szCs w:val="22"/>
          <w:lang w:val="en-US" w:eastAsia="en-GB"/>
        </w:rPr>
        <w:t xml:space="preserve"> report</w:t>
      </w:r>
      <w:r>
        <w:rPr>
          <w:rFonts w:eastAsia="Times New Roman"/>
          <w:color w:val="000000"/>
          <w:sz w:val="22"/>
          <w:szCs w:val="22"/>
          <w:lang w:val="en-US" w:eastAsia="en-GB"/>
        </w:rPr>
        <w:t>ed more</w:t>
      </w:r>
      <w:r w:rsidRPr="000B594B">
        <w:rPr>
          <w:rFonts w:eastAsia="Times New Roman"/>
          <w:color w:val="000000"/>
          <w:sz w:val="22"/>
          <w:szCs w:val="22"/>
          <w:lang w:val="en-US" w:eastAsia="en-GB"/>
        </w:rPr>
        <w:t xml:space="preserve"> problems in each dimension</w:t>
      </w:r>
      <w:r>
        <w:rPr>
          <w:rFonts w:eastAsia="Times New Roman"/>
          <w:color w:val="000000"/>
          <w:sz w:val="22"/>
          <w:szCs w:val="22"/>
          <w:lang w:val="en-US" w:eastAsia="en-GB"/>
        </w:rPr>
        <w:t>, and this was highest for ‘pain/discomfort’ (54.6%, 95% CI 53.0-</w:t>
      </w:r>
      <w:r>
        <w:rPr>
          <w:rFonts w:eastAsia="Times New Roman"/>
          <w:color w:val="000000"/>
          <w:sz w:val="22"/>
          <w:szCs w:val="22"/>
          <w:lang w:val="en-US" w:eastAsia="en-GB"/>
        </w:rPr>
        <w:lastRenderedPageBreak/>
        <w:t>56.3) and ‘usual activities’ (53.3%, 95% CI 51.6-55.0).  O</w:t>
      </w:r>
      <w:r w:rsidRPr="000B594B">
        <w:rPr>
          <w:rFonts w:eastAsia="Times New Roman"/>
          <w:color w:val="000000"/>
          <w:sz w:val="22"/>
          <w:szCs w:val="22"/>
          <w:lang w:val="en-US" w:eastAsia="en-GB"/>
        </w:rPr>
        <w:t>f those with stage IV PCa</w:t>
      </w:r>
      <w:r>
        <w:rPr>
          <w:rFonts w:eastAsia="Times New Roman"/>
          <w:color w:val="000000"/>
          <w:sz w:val="22"/>
          <w:szCs w:val="22"/>
          <w:lang w:val="en-US" w:eastAsia="en-GB"/>
        </w:rPr>
        <w:t xml:space="preserve">, 76.5%, (95%CI 75.2-77.9) </w:t>
      </w:r>
      <w:r w:rsidRPr="000B594B">
        <w:rPr>
          <w:rFonts w:eastAsia="Times New Roman"/>
          <w:color w:val="000000"/>
          <w:sz w:val="22"/>
          <w:szCs w:val="22"/>
          <w:lang w:val="en-US" w:eastAsia="en-GB"/>
        </w:rPr>
        <w:t xml:space="preserve">reported </w:t>
      </w:r>
      <w:r>
        <w:rPr>
          <w:rFonts w:eastAsia="Times New Roman"/>
          <w:color w:val="000000"/>
          <w:sz w:val="22"/>
          <w:szCs w:val="22"/>
          <w:lang w:val="en-US" w:eastAsia="en-GB"/>
        </w:rPr>
        <w:t xml:space="preserve">≥1 </w:t>
      </w:r>
      <w:r w:rsidRPr="000B594B">
        <w:rPr>
          <w:rFonts w:eastAsia="Times New Roman"/>
          <w:color w:val="000000"/>
          <w:sz w:val="22"/>
          <w:szCs w:val="22"/>
          <w:lang w:val="en-US" w:eastAsia="en-GB"/>
        </w:rPr>
        <w:t xml:space="preserve">problem </w:t>
      </w:r>
      <w:r>
        <w:rPr>
          <w:rFonts w:eastAsia="Times New Roman"/>
          <w:color w:val="000000"/>
          <w:sz w:val="22"/>
          <w:szCs w:val="22"/>
          <w:lang w:val="en-US" w:eastAsia="en-GB"/>
        </w:rPr>
        <w:t>on</w:t>
      </w:r>
      <w:r w:rsidRPr="000B594B">
        <w:rPr>
          <w:rFonts w:eastAsia="Times New Roman"/>
          <w:color w:val="000000"/>
          <w:sz w:val="22"/>
          <w:szCs w:val="22"/>
          <w:lang w:val="en-US" w:eastAsia="en-GB"/>
        </w:rPr>
        <w:t xml:space="preserve"> </w:t>
      </w:r>
      <w:r>
        <w:rPr>
          <w:rFonts w:eastAsia="Times New Roman"/>
          <w:color w:val="000000"/>
          <w:sz w:val="22"/>
          <w:szCs w:val="22"/>
          <w:lang w:val="en-US" w:eastAsia="en-GB"/>
        </w:rPr>
        <w:t>EQ-5D , compared to 59.8% (95% CI 59.1-60.1) of stage I/II and 64.7% (95% CI 63.6-65.9) of stage III men</w:t>
      </w:r>
      <w:r w:rsidRPr="000B594B">
        <w:rPr>
          <w:rFonts w:eastAsia="Times New Roman"/>
          <w:color w:val="000000"/>
          <w:sz w:val="22"/>
          <w:szCs w:val="22"/>
          <w:lang w:val="en-US" w:eastAsia="en-GB"/>
        </w:rPr>
        <w:t xml:space="preserve">. </w:t>
      </w:r>
      <w:r>
        <w:rPr>
          <w:rFonts w:eastAsia="Times New Roman"/>
          <w:color w:val="000000"/>
          <w:sz w:val="22"/>
          <w:szCs w:val="22"/>
          <w:lang w:val="en-US" w:eastAsia="en-GB"/>
        </w:rPr>
        <w:t xml:space="preserve">  Nearly a quarter of men with stage IV disease reported no problems on any EQ-5D dimension.</w:t>
      </w:r>
    </w:p>
    <w:p w:rsidR="00E037B4" w:rsidRDefault="00E037B4" w:rsidP="006A0590">
      <w:pPr>
        <w:spacing w:before="0" w:after="240" w:line="480" w:lineRule="auto"/>
        <w:rPr>
          <w:rFonts w:eastAsia="Times New Roman"/>
          <w:b/>
          <w:bCs/>
          <w:color w:val="000000"/>
          <w:szCs w:val="22"/>
          <w:lang w:val="en-US" w:eastAsia="en-GB"/>
        </w:rPr>
      </w:pPr>
      <w:r w:rsidRPr="008D0124">
        <w:rPr>
          <w:rFonts w:eastAsia="Times New Roman"/>
          <w:b/>
          <w:bCs/>
          <w:color w:val="000000"/>
          <w:szCs w:val="22"/>
          <w:lang w:val="en-US" w:eastAsia="en-GB"/>
        </w:rPr>
        <w:t xml:space="preserve">Discussion </w:t>
      </w:r>
    </w:p>
    <w:p w:rsidR="00E037B4" w:rsidRPr="000B594B" w:rsidRDefault="00E037B4" w:rsidP="006A0590">
      <w:pPr>
        <w:spacing w:before="0" w:after="240" w:line="480" w:lineRule="auto"/>
        <w:jc w:val="both"/>
        <w:rPr>
          <w:rFonts w:eastAsia="Times New Roman"/>
          <w:color w:val="000000"/>
          <w:sz w:val="22"/>
          <w:szCs w:val="22"/>
          <w:lang w:val="en-US" w:eastAsia="en-GB"/>
        </w:rPr>
      </w:pPr>
      <w:r w:rsidRPr="008D0124">
        <w:rPr>
          <w:rFonts w:eastAsia="Times New Roman"/>
          <w:color w:val="000000"/>
          <w:sz w:val="22"/>
          <w:szCs w:val="22"/>
          <w:lang w:val="en-US" w:eastAsia="en-GB"/>
        </w:rPr>
        <w:t>T</w:t>
      </w:r>
      <w:r>
        <w:rPr>
          <w:rFonts w:eastAsia="Times New Roman"/>
          <w:color w:val="000000"/>
          <w:sz w:val="22"/>
          <w:szCs w:val="22"/>
          <w:lang w:val="en-US" w:eastAsia="en-GB"/>
        </w:rPr>
        <w:t xml:space="preserve">o our knowledge, this is the largest </w:t>
      </w:r>
      <w:r w:rsidRPr="008D0124">
        <w:rPr>
          <w:rFonts w:eastAsia="Times New Roman"/>
          <w:color w:val="000000"/>
          <w:sz w:val="22"/>
          <w:szCs w:val="22"/>
          <w:lang w:val="en-US" w:eastAsia="en-GB"/>
        </w:rPr>
        <w:t xml:space="preserve">population-based </w:t>
      </w:r>
      <w:r>
        <w:rPr>
          <w:rFonts w:eastAsia="Times New Roman"/>
          <w:color w:val="000000"/>
          <w:sz w:val="22"/>
          <w:szCs w:val="22"/>
          <w:lang w:val="en-US" w:eastAsia="en-GB"/>
        </w:rPr>
        <w:t xml:space="preserve">patient-reported outcomes </w:t>
      </w:r>
      <w:r w:rsidRPr="008D0124">
        <w:rPr>
          <w:rFonts w:eastAsia="Times New Roman"/>
          <w:color w:val="000000"/>
          <w:sz w:val="22"/>
          <w:szCs w:val="22"/>
          <w:lang w:val="en-US" w:eastAsia="en-GB"/>
        </w:rPr>
        <w:t xml:space="preserve">study of men </w:t>
      </w:r>
      <w:r>
        <w:rPr>
          <w:rFonts w:eastAsia="Times New Roman"/>
          <w:color w:val="000000"/>
          <w:sz w:val="22"/>
          <w:szCs w:val="22"/>
          <w:lang w:val="en-US" w:eastAsia="en-GB"/>
        </w:rPr>
        <w:t>with</w:t>
      </w:r>
      <w:r w:rsidRPr="008D0124">
        <w:rPr>
          <w:rFonts w:eastAsia="Times New Roman"/>
          <w:color w:val="000000"/>
          <w:sz w:val="22"/>
          <w:szCs w:val="22"/>
          <w:lang w:val="en-US" w:eastAsia="en-GB"/>
        </w:rPr>
        <w:t xml:space="preserve"> </w:t>
      </w:r>
      <w:r>
        <w:rPr>
          <w:rFonts w:eastAsia="Times New Roman"/>
          <w:color w:val="000000"/>
          <w:sz w:val="22"/>
          <w:szCs w:val="22"/>
          <w:lang w:val="en-US" w:eastAsia="en-GB"/>
        </w:rPr>
        <w:t xml:space="preserve">PCa </w:t>
      </w:r>
      <w:r w:rsidRPr="008D0124">
        <w:rPr>
          <w:rFonts w:eastAsia="Times New Roman"/>
          <w:color w:val="000000"/>
          <w:sz w:val="22"/>
          <w:szCs w:val="22"/>
          <w:lang w:val="en-US" w:eastAsia="en-GB"/>
        </w:rPr>
        <w:t>to date</w:t>
      </w:r>
      <w:r>
        <w:rPr>
          <w:rFonts w:eastAsia="Times New Roman"/>
          <w:color w:val="000000"/>
          <w:sz w:val="22"/>
          <w:szCs w:val="22"/>
          <w:lang w:val="en-US" w:eastAsia="en-GB"/>
        </w:rPr>
        <w:t xml:space="preserve">.  It includes 11,000 men living with locally advanced or metastatic disease, an increasingly prevalent cohort of cancer survivors, frequently excluded from study.  The majority of those with stage III disease and approximately 25% with stage IV disease report good overall HRQL.  However, sexual morbidity is high, irrespective of stage of disease, with over half of men reporting they had not been offered intervention to help with this.  More than other treatments, men treated with ADT reported poorer outcomes.  </w:t>
      </w:r>
    </w:p>
    <w:p w:rsidR="00E037B4" w:rsidRPr="001C7D54" w:rsidRDefault="00E037B4" w:rsidP="006A0590">
      <w:pPr>
        <w:spacing w:before="0" w:after="240" w:line="480" w:lineRule="auto"/>
        <w:jc w:val="both"/>
        <w:rPr>
          <w:rFonts w:eastAsia="Times New Roman"/>
          <w:color w:val="000000"/>
          <w:sz w:val="22"/>
          <w:szCs w:val="22"/>
          <w:lang w:eastAsia="en-GB"/>
        </w:rPr>
      </w:pPr>
      <w:r>
        <w:rPr>
          <w:color w:val="000000"/>
          <w:sz w:val="22"/>
          <w:szCs w:val="22"/>
          <w:lang w:val="en-US" w:eastAsia="en-GB"/>
        </w:rPr>
        <w:t>Approaching</w:t>
      </w:r>
      <w:r w:rsidRPr="008D0124">
        <w:rPr>
          <w:color w:val="000000"/>
          <w:sz w:val="22"/>
          <w:szCs w:val="22"/>
          <w:lang w:val="en-US" w:eastAsia="en-GB"/>
        </w:rPr>
        <w:t xml:space="preserve"> 80% </w:t>
      </w:r>
      <w:r>
        <w:rPr>
          <w:color w:val="000000"/>
          <w:sz w:val="22"/>
          <w:szCs w:val="22"/>
          <w:lang w:val="en-US" w:eastAsia="en-GB"/>
        </w:rPr>
        <w:t xml:space="preserve">of the cohort </w:t>
      </w:r>
      <w:r w:rsidRPr="008D0124">
        <w:rPr>
          <w:color w:val="000000"/>
          <w:sz w:val="22"/>
          <w:szCs w:val="22"/>
          <w:lang w:val="en-US" w:eastAsia="en-GB"/>
        </w:rPr>
        <w:t>report</w:t>
      </w:r>
      <w:r>
        <w:rPr>
          <w:color w:val="000000"/>
          <w:sz w:val="22"/>
          <w:szCs w:val="22"/>
          <w:lang w:val="en-US" w:eastAsia="en-GB"/>
        </w:rPr>
        <w:t>ed</w:t>
      </w:r>
      <w:r w:rsidRPr="008D0124">
        <w:rPr>
          <w:color w:val="000000"/>
          <w:sz w:val="22"/>
          <w:szCs w:val="22"/>
          <w:lang w:val="en-US" w:eastAsia="en-GB"/>
        </w:rPr>
        <w:t xml:space="preserve"> </w:t>
      </w:r>
      <w:r>
        <w:rPr>
          <w:color w:val="000000"/>
          <w:sz w:val="22"/>
          <w:szCs w:val="22"/>
          <w:lang w:val="en-US" w:eastAsia="en-GB"/>
        </w:rPr>
        <w:t>poor or very poor sexual function and this was consistently high across the disease stages.  A recent study of older men in the general population found that 48% reported poor sexual function</w:t>
      </w:r>
      <w:r w:rsidRPr="007D798A">
        <w:rPr>
          <w:noProof/>
          <w:color w:val="000000"/>
          <w:sz w:val="22"/>
          <w:szCs w:val="22"/>
          <w:vertAlign w:val="superscript"/>
          <w:lang w:val="en-US" w:eastAsia="en-GB"/>
        </w:rPr>
        <w:t>29</w:t>
      </w:r>
      <w:r>
        <w:rPr>
          <w:color w:val="000000"/>
          <w:sz w:val="22"/>
          <w:szCs w:val="22"/>
          <w:lang w:val="en-US" w:eastAsia="en-GB"/>
        </w:rPr>
        <w:t>.  In this study, 51% of men on active surveillance reported poor sexual function, which is un</w:t>
      </w:r>
      <w:r w:rsidRPr="00F71892">
        <w:rPr>
          <w:color w:val="000000"/>
          <w:sz w:val="22"/>
          <w:szCs w:val="22"/>
          <w:lang w:val="en-US" w:eastAsia="en-GB"/>
        </w:rPr>
        <w:t xml:space="preserve">likely </w:t>
      </w:r>
      <w:r>
        <w:rPr>
          <w:color w:val="000000"/>
          <w:sz w:val="22"/>
          <w:szCs w:val="22"/>
          <w:lang w:val="en-US" w:eastAsia="en-GB"/>
        </w:rPr>
        <w:t>to be related to</w:t>
      </w:r>
      <w:r w:rsidRPr="00F71892">
        <w:rPr>
          <w:color w:val="000000"/>
          <w:sz w:val="22"/>
          <w:szCs w:val="22"/>
          <w:lang w:val="en-US" w:eastAsia="en-GB"/>
        </w:rPr>
        <w:t xml:space="preserve"> the diagnosis of </w:t>
      </w:r>
      <w:r>
        <w:rPr>
          <w:color w:val="000000"/>
          <w:sz w:val="22"/>
          <w:szCs w:val="22"/>
          <w:lang w:val="en-US" w:eastAsia="en-GB"/>
        </w:rPr>
        <w:t>PCa</w:t>
      </w:r>
      <w:r w:rsidRPr="00F71892">
        <w:rPr>
          <w:color w:val="000000"/>
          <w:sz w:val="22"/>
          <w:szCs w:val="22"/>
          <w:lang w:val="en-US" w:eastAsia="en-GB"/>
        </w:rPr>
        <w:t xml:space="preserve"> </w:t>
      </w:r>
      <w:r>
        <w:rPr>
          <w:color w:val="000000"/>
          <w:sz w:val="22"/>
          <w:szCs w:val="22"/>
          <w:lang w:val="en-US" w:eastAsia="en-GB"/>
        </w:rPr>
        <w:t>as they have not received any active treatment</w:t>
      </w:r>
      <w:r w:rsidRPr="00F71892">
        <w:rPr>
          <w:color w:val="000000"/>
          <w:sz w:val="22"/>
          <w:szCs w:val="22"/>
          <w:lang w:val="en-US" w:eastAsia="en-GB"/>
        </w:rPr>
        <w:t xml:space="preserve">. </w:t>
      </w:r>
      <w:r>
        <w:rPr>
          <w:color w:val="000000"/>
          <w:sz w:val="22"/>
          <w:szCs w:val="22"/>
          <w:lang w:val="en-US" w:eastAsia="en-GB"/>
        </w:rPr>
        <w:t xml:space="preserve"> Hence, whilst sexual dysfunction is common in the general population, the levels reported by men treated for PCa are considerably higher.  </w:t>
      </w:r>
      <w:r w:rsidRPr="001C7D54">
        <w:rPr>
          <w:bCs/>
          <w:iCs/>
          <w:color w:val="000000"/>
          <w:sz w:val="22"/>
          <w:szCs w:val="22"/>
          <w:lang w:eastAsia="en-GB"/>
        </w:rPr>
        <w:t>Sexual dysfunction increased with age and is likely partly explained by the normal ageing process.  However, the data show that older men are less ‘bothered’ by their lack of sexual function.  In the youngest men, around 50% reported poor function and the same proportion reported it to be a problem.  In the older men, over 80% reported poor function but they were less likely to be ‘bothered’ by it.</w:t>
      </w:r>
      <w:r>
        <w:rPr>
          <w:bCs/>
          <w:iCs/>
          <w:color w:val="000000"/>
          <w:sz w:val="22"/>
          <w:szCs w:val="22"/>
          <w:lang w:eastAsia="en-GB"/>
        </w:rPr>
        <w:t xml:space="preserve"> </w:t>
      </w:r>
      <w:r w:rsidRPr="001C7D54">
        <w:rPr>
          <w:bCs/>
          <w:iCs/>
          <w:color w:val="000000"/>
          <w:sz w:val="22"/>
          <w:szCs w:val="22"/>
          <w:lang w:eastAsia="en-GB"/>
        </w:rPr>
        <w:t xml:space="preserve"> </w:t>
      </w:r>
      <w:r>
        <w:rPr>
          <w:color w:val="000000"/>
          <w:sz w:val="22"/>
          <w:szCs w:val="22"/>
          <w:lang w:val="en-US" w:eastAsia="en-GB"/>
        </w:rPr>
        <w:t xml:space="preserve">Overall, </w:t>
      </w:r>
      <w:r w:rsidRPr="008D0124">
        <w:rPr>
          <w:rFonts w:eastAsia="Times New Roman"/>
          <w:color w:val="000000"/>
          <w:sz w:val="22"/>
          <w:szCs w:val="22"/>
          <w:lang w:val="en-US" w:eastAsia="en-GB"/>
        </w:rPr>
        <w:t>5</w:t>
      </w:r>
      <w:r>
        <w:rPr>
          <w:rFonts w:eastAsia="Times New Roman"/>
          <w:color w:val="000000"/>
          <w:sz w:val="22"/>
          <w:szCs w:val="22"/>
          <w:lang w:val="en-US" w:eastAsia="en-GB"/>
        </w:rPr>
        <w:t>6</w:t>
      </w:r>
      <w:r w:rsidRPr="008D0124">
        <w:rPr>
          <w:rFonts w:eastAsia="Times New Roman"/>
          <w:color w:val="000000"/>
          <w:sz w:val="22"/>
          <w:szCs w:val="22"/>
          <w:lang w:val="en-US" w:eastAsia="en-GB"/>
        </w:rPr>
        <w:t>% report</w:t>
      </w:r>
      <w:r>
        <w:rPr>
          <w:rFonts w:eastAsia="Times New Roman"/>
          <w:color w:val="000000"/>
          <w:sz w:val="22"/>
          <w:szCs w:val="22"/>
          <w:lang w:val="en-US" w:eastAsia="en-GB"/>
        </w:rPr>
        <w:t>ed</w:t>
      </w:r>
      <w:r w:rsidRPr="008D0124">
        <w:rPr>
          <w:rFonts w:eastAsia="Times New Roman"/>
          <w:color w:val="000000"/>
          <w:sz w:val="22"/>
          <w:szCs w:val="22"/>
          <w:lang w:val="en-US" w:eastAsia="en-GB"/>
        </w:rPr>
        <w:t xml:space="preserve"> not being offered access to medications, devices or specialist services to </w:t>
      </w:r>
      <w:r>
        <w:rPr>
          <w:rFonts w:eastAsia="Times New Roman"/>
          <w:color w:val="000000"/>
          <w:sz w:val="22"/>
          <w:szCs w:val="22"/>
          <w:lang w:val="en-US" w:eastAsia="en-GB"/>
        </w:rPr>
        <w:t>improve sexual function, and only 40% of those offered help found it to be beneficial.  Access to these interventions varied by age and by treatment received</w:t>
      </w:r>
      <w:r w:rsidRPr="008E372B">
        <w:rPr>
          <w:rFonts w:eastAsia="Times New Roman"/>
          <w:color w:val="000000"/>
          <w:sz w:val="22"/>
          <w:szCs w:val="22"/>
          <w:lang w:val="en-US" w:eastAsia="en-GB"/>
        </w:rPr>
        <w:t>.</w:t>
      </w:r>
      <w:r>
        <w:rPr>
          <w:rFonts w:eastAsia="Times New Roman"/>
          <w:color w:val="000000"/>
          <w:sz w:val="22"/>
          <w:szCs w:val="22"/>
          <w:lang w:val="en-US" w:eastAsia="en-GB"/>
        </w:rPr>
        <w:t xml:space="preserve">  Further analysis of these data is needed to look at this variation in </w:t>
      </w:r>
      <w:r>
        <w:rPr>
          <w:rFonts w:eastAsia="Times New Roman"/>
          <w:color w:val="000000"/>
          <w:sz w:val="22"/>
          <w:szCs w:val="22"/>
          <w:lang w:val="en-US" w:eastAsia="en-GB"/>
        </w:rPr>
        <w:lastRenderedPageBreak/>
        <w:t xml:space="preserve">more detail and to understand which groups of men are finding the interventions helpful.  However, to our knowledge, this extent of failure to receive support has not previously been described.  This intelligence would suggest clinical services need to proactively address this and ensure that sexual support is routinely offered to all men.  However, it must be acknowledged that not all men see their lack of sexual function as a problem and some will not want intervention to address this.  </w:t>
      </w:r>
    </w:p>
    <w:p w:rsidR="00E037B4" w:rsidRDefault="00E037B4" w:rsidP="006A0590">
      <w:pPr>
        <w:spacing w:before="0" w:after="240" w:line="480" w:lineRule="auto"/>
        <w:jc w:val="both"/>
        <w:rPr>
          <w:rFonts w:eastAsia="Times New Roman"/>
          <w:color w:val="000000"/>
          <w:sz w:val="22"/>
          <w:szCs w:val="22"/>
          <w:lang w:val="en-US" w:eastAsia="en-GB"/>
        </w:rPr>
      </w:pPr>
      <w:r>
        <w:rPr>
          <w:rFonts w:eastAsia="Times New Roman"/>
          <w:color w:val="000000"/>
          <w:sz w:val="22"/>
          <w:szCs w:val="22"/>
          <w:lang w:val="en-US" w:eastAsia="en-GB"/>
        </w:rPr>
        <w:t xml:space="preserve">Overall </w:t>
      </w:r>
      <w:r w:rsidRPr="008D0124">
        <w:rPr>
          <w:rFonts w:eastAsia="Times New Roman"/>
          <w:color w:val="000000"/>
          <w:sz w:val="22"/>
          <w:szCs w:val="22"/>
          <w:lang w:val="en-US" w:eastAsia="en-GB"/>
        </w:rPr>
        <w:t xml:space="preserve">levels of urinary and bowel problems in men with PCa are </w:t>
      </w:r>
      <w:r>
        <w:rPr>
          <w:rFonts w:eastAsia="Times New Roman"/>
          <w:color w:val="000000"/>
          <w:sz w:val="22"/>
          <w:szCs w:val="22"/>
          <w:lang w:val="en-US" w:eastAsia="en-GB"/>
        </w:rPr>
        <w:t xml:space="preserve">relatively </w:t>
      </w:r>
      <w:r w:rsidRPr="008D0124">
        <w:rPr>
          <w:rFonts w:eastAsia="Times New Roman"/>
          <w:color w:val="000000"/>
          <w:sz w:val="22"/>
          <w:szCs w:val="22"/>
          <w:lang w:val="en-US" w:eastAsia="en-GB"/>
        </w:rPr>
        <w:t>low</w:t>
      </w:r>
      <w:r>
        <w:rPr>
          <w:rFonts w:eastAsia="Times New Roman"/>
          <w:color w:val="000000"/>
          <w:sz w:val="22"/>
          <w:szCs w:val="22"/>
          <w:lang w:val="en-US" w:eastAsia="en-GB"/>
        </w:rPr>
        <w:t>; however, t</w:t>
      </w:r>
      <w:r w:rsidRPr="008D0124">
        <w:rPr>
          <w:rFonts w:eastAsia="Times New Roman"/>
          <w:color w:val="000000"/>
          <w:sz w:val="22"/>
          <w:szCs w:val="22"/>
          <w:lang w:val="en-US" w:eastAsia="en-GB"/>
        </w:rPr>
        <w:t xml:space="preserve">here are subgroups with </w:t>
      </w:r>
      <w:r>
        <w:rPr>
          <w:rFonts w:eastAsia="Times New Roman"/>
          <w:color w:val="000000"/>
          <w:sz w:val="22"/>
          <w:szCs w:val="22"/>
          <w:lang w:val="en-US" w:eastAsia="en-GB"/>
        </w:rPr>
        <w:t>increased</w:t>
      </w:r>
      <w:r w:rsidRPr="008D0124">
        <w:rPr>
          <w:rFonts w:eastAsia="Times New Roman"/>
          <w:color w:val="000000"/>
          <w:sz w:val="22"/>
          <w:szCs w:val="22"/>
          <w:lang w:val="en-US" w:eastAsia="en-GB"/>
        </w:rPr>
        <w:t xml:space="preserve"> levels of </w:t>
      </w:r>
      <w:r>
        <w:rPr>
          <w:rFonts w:eastAsia="Times New Roman"/>
          <w:color w:val="000000"/>
          <w:sz w:val="22"/>
          <w:szCs w:val="22"/>
          <w:lang w:val="en-US" w:eastAsia="en-GB"/>
        </w:rPr>
        <w:t>dysfunction.  F</w:t>
      </w:r>
      <w:r w:rsidRPr="008D0124">
        <w:rPr>
          <w:rFonts w:eastAsia="Times New Roman"/>
          <w:color w:val="000000"/>
          <w:sz w:val="22"/>
          <w:szCs w:val="22"/>
          <w:lang w:val="en-US" w:eastAsia="en-GB"/>
        </w:rPr>
        <w:t xml:space="preserve">or example, men </w:t>
      </w:r>
      <w:r>
        <w:rPr>
          <w:rFonts w:eastAsia="Times New Roman"/>
          <w:color w:val="000000"/>
          <w:sz w:val="22"/>
          <w:szCs w:val="22"/>
          <w:lang w:val="en-US" w:eastAsia="en-GB"/>
        </w:rPr>
        <w:t>treated surgically</w:t>
      </w:r>
      <w:r w:rsidRPr="008D0124">
        <w:rPr>
          <w:rFonts w:eastAsia="Times New Roman"/>
          <w:color w:val="000000"/>
          <w:sz w:val="22"/>
          <w:szCs w:val="22"/>
          <w:lang w:val="en-US" w:eastAsia="en-GB"/>
        </w:rPr>
        <w:t xml:space="preserve"> report</w:t>
      </w:r>
      <w:r>
        <w:rPr>
          <w:rFonts w:eastAsia="Times New Roman"/>
          <w:color w:val="000000"/>
          <w:sz w:val="22"/>
          <w:szCs w:val="22"/>
          <w:lang w:val="en-US" w:eastAsia="en-GB"/>
        </w:rPr>
        <w:t>ed</w:t>
      </w:r>
      <w:r w:rsidRPr="008D0124">
        <w:rPr>
          <w:rFonts w:eastAsia="Times New Roman"/>
          <w:color w:val="000000"/>
          <w:sz w:val="22"/>
          <w:szCs w:val="22"/>
          <w:lang w:val="en-US" w:eastAsia="en-GB"/>
        </w:rPr>
        <w:t xml:space="preserve"> </w:t>
      </w:r>
      <w:r>
        <w:rPr>
          <w:rFonts w:eastAsia="Times New Roman"/>
          <w:color w:val="000000"/>
          <w:sz w:val="22"/>
          <w:szCs w:val="22"/>
          <w:lang w:val="en-US" w:eastAsia="en-GB"/>
        </w:rPr>
        <w:t xml:space="preserve">higher levels of urinary incontinence with 30% reporting </w:t>
      </w:r>
      <w:r w:rsidRPr="008D0124">
        <w:rPr>
          <w:rFonts w:eastAsia="Times New Roman"/>
          <w:color w:val="000000"/>
          <w:sz w:val="22"/>
          <w:szCs w:val="22"/>
          <w:lang w:val="en-US" w:eastAsia="en-GB"/>
        </w:rPr>
        <w:t>using pa</w:t>
      </w:r>
      <w:r>
        <w:rPr>
          <w:rFonts w:eastAsia="Times New Roman"/>
          <w:color w:val="000000"/>
          <w:sz w:val="22"/>
          <w:szCs w:val="22"/>
          <w:lang w:val="en-US" w:eastAsia="en-GB"/>
        </w:rPr>
        <w:t>ds daily, a finding</w:t>
      </w:r>
      <w:r w:rsidRPr="008D0124">
        <w:rPr>
          <w:rFonts w:eastAsia="Times New Roman"/>
          <w:color w:val="000000"/>
          <w:sz w:val="22"/>
          <w:szCs w:val="22"/>
          <w:lang w:val="en-US" w:eastAsia="en-GB"/>
        </w:rPr>
        <w:t xml:space="preserve"> </w:t>
      </w:r>
      <w:r>
        <w:rPr>
          <w:rFonts w:eastAsia="Times New Roman"/>
          <w:color w:val="000000"/>
          <w:sz w:val="22"/>
          <w:szCs w:val="22"/>
          <w:lang w:val="en-US" w:eastAsia="en-GB"/>
        </w:rPr>
        <w:t xml:space="preserve">which </w:t>
      </w:r>
      <w:r w:rsidRPr="008D0124">
        <w:rPr>
          <w:rFonts w:eastAsia="Times New Roman"/>
          <w:color w:val="000000"/>
          <w:sz w:val="22"/>
          <w:szCs w:val="22"/>
          <w:lang w:val="en-US" w:eastAsia="en-GB"/>
        </w:rPr>
        <w:t>supports previous research</w:t>
      </w:r>
      <w:r w:rsidRPr="0028411E">
        <w:rPr>
          <w:rFonts w:eastAsia="Times New Roman"/>
          <w:noProof/>
          <w:color w:val="000000"/>
          <w:sz w:val="22"/>
          <w:szCs w:val="22"/>
          <w:vertAlign w:val="superscript"/>
          <w:lang w:val="en-US" w:eastAsia="en-GB"/>
        </w:rPr>
        <w:t>5,8</w:t>
      </w:r>
      <w:r w:rsidRPr="008D0124">
        <w:rPr>
          <w:rFonts w:eastAsia="Times New Roman"/>
          <w:color w:val="000000"/>
          <w:sz w:val="22"/>
          <w:szCs w:val="22"/>
          <w:lang w:val="en-US" w:eastAsia="en-GB"/>
        </w:rPr>
        <w:t>.  </w:t>
      </w:r>
      <w:r>
        <w:rPr>
          <w:rFonts w:eastAsia="Times New Roman"/>
          <w:color w:val="000000"/>
          <w:sz w:val="22"/>
          <w:szCs w:val="22"/>
          <w:lang w:val="en-US" w:eastAsia="en-GB"/>
        </w:rPr>
        <w:t>These men are between 18 and 42 months post-diagnosis and there may be some recovery in function with longer follow-up</w:t>
      </w:r>
      <w:r w:rsidRPr="0028411E">
        <w:rPr>
          <w:rFonts w:eastAsia="Times New Roman"/>
          <w:noProof/>
          <w:color w:val="000000"/>
          <w:sz w:val="22"/>
          <w:szCs w:val="22"/>
          <w:vertAlign w:val="superscript"/>
          <w:lang w:val="en-US" w:eastAsia="en-GB"/>
        </w:rPr>
        <w:t>5</w:t>
      </w:r>
      <w:r>
        <w:rPr>
          <w:rFonts w:eastAsia="Times New Roman"/>
          <w:color w:val="000000"/>
          <w:sz w:val="22"/>
          <w:szCs w:val="22"/>
          <w:lang w:val="en-US" w:eastAsia="en-GB"/>
        </w:rPr>
        <w:t xml:space="preserve">.  </w:t>
      </w:r>
    </w:p>
    <w:p w:rsidR="00E037B4" w:rsidRPr="00F70C12" w:rsidRDefault="00E037B4" w:rsidP="006A0590">
      <w:pPr>
        <w:spacing w:before="0" w:after="240" w:line="480" w:lineRule="auto"/>
        <w:jc w:val="both"/>
        <w:rPr>
          <w:i/>
          <w:color w:val="212121"/>
          <w:shd w:val="clear" w:color="auto" w:fill="FFFFFF"/>
        </w:rPr>
      </w:pPr>
      <w:r>
        <w:rPr>
          <w:rFonts w:eastAsia="Times New Roman"/>
          <w:color w:val="000000"/>
          <w:sz w:val="22"/>
          <w:szCs w:val="22"/>
          <w:lang w:val="en-US" w:eastAsia="en-GB"/>
        </w:rPr>
        <w:t>In general, those with stage III and IV disease reported a higher level of problems, but in many cases these differences were small and were less than previously estimated MIDs for urinary and bowel function</w:t>
      </w:r>
      <w:r w:rsidRPr="00F0226D">
        <w:rPr>
          <w:rFonts w:eastAsia="Times New Roman"/>
          <w:noProof/>
          <w:color w:val="000000"/>
          <w:sz w:val="22"/>
          <w:szCs w:val="22"/>
          <w:vertAlign w:val="superscript"/>
          <w:lang w:val="en-US" w:eastAsia="en-GB"/>
        </w:rPr>
        <w:t>28</w:t>
      </w:r>
      <w:r>
        <w:rPr>
          <w:rFonts w:eastAsia="Times New Roman"/>
          <w:color w:val="000000"/>
          <w:sz w:val="22"/>
          <w:szCs w:val="22"/>
          <w:lang w:val="en-US" w:eastAsia="en-GB"/>
        </w:rPr>
        <w:t xml:space="preserve">.  Larger impacts on sexual function, hormonal function, fatigue and depression were seen and will, in part, be driven by treatment with ADT.  The majority of men with stage III or IV PCa will be on long-term or indefinite ADT.  There may be some recovery in those who stop ADT, with a corresponding reduction in symptoms, but </w:t>
      </w:r>
      <w:r w:rsidRPr="00727A37">
        <w:rPr>
          <w:rFonts w:eastAsia="Times New Roman"/>
          <w:color w:val="000000"/>
          <w:sz w:val="22"/>
          <w:szCs w:val="22"/>
          <w:lang w:eastAsia="en-GB"/>
        </w:rPr>
        <w:t xml:space="preserve">testosterone levels may never </w:t>
      </w:r>
      <w:r>
        <w:rPr>
          <w:rFonts w:eastAsia="Times New Roman"/>
          <w:color w:val="000000"/>
          <w:sz w:val="22"/>
          <w:szCs w:val="22"/>
          <w:lang w:eastAsia="en-GB"/>
        </w:rPr>
        <w:t>recover to pre-treatment levels</w:t>
      </w:r>
      <w:r>
        <w:rPr>
          <w:rFonts w:eastAsia="Times New Roman"/>
          <w:color w:val="000000"/>
          <w:sz w:val="22"/>
          <w:szCs w:val="22"/>
          <w:lang w:val="en-US" w:eastAsia="en-GB"/>
        </w:rPr>
        <w:t xml:space="preserve">.  </w:t>
      </w:r>
      <w:r w:rsidRPr="008A0B64">
        <w:rPr>
          <w:rFonts w:eastAsia="Times New Roman"/>
          <w:color w:val="000000"/>
          <w:sz w:val="22"/>
          <w:szCs w:val="22"/>
          <w:lang w:val="en-US" w:eastAsia="en-GB"/>
        </w:rPr>
        <w:t>Longer-term follow-up of men would be required to assess recovery of sexual function, levels of fatigue</w:t>
      </w:r>
      <w:r>
        <w:rPr>
          <w:rFonts w:eastAsia="Times New Roman"/>
          <w:color w:val="000000"/>
          <w:sz w:val="22"/>
          <w:szCs w:val="22"/>
          <w:lang w:val="en-US" w:eastAsia="en-GB"/>
        </w:rPr>
        <w:t xml:space="preserve"> and other ADT-related effects</w:t>
      </w:r>
      <w:r w:rsidRPr="008A0B64">
        <w:rPr>
          <w:rFonts w:eastAsia="Times New Roman"/>
          <w:color w:val="000000"/>
          <w:sz w:val="22"/>
          <w:szCs w:val="22"/>
          <w:lang w:val="en-US" w:eastAsia="en-GB"/>
        </w:rPr>
        <w:t>.  The results suggest that clinicians should pursue treatment approaches that preserve testosterone function when possible and minimise ADT use</w:t>
      </w:r>
      <w:r>
        <w:rPr>
          <w:rFonts w:eastAsia="Times New Roman"/>
          <w:color w:val="000000"/>
          <w:sz w:val="22"/>
          <w:szCs w:val="22"/>
          <w:lang w:val="en-US" w:eastAsia="en-GB"/>
        </w:rPr>
        <w:t>.  Steps to reduce ADT-related morbidity might include</w:t>
      </w:r>
      <w:r w:rsidRPr="008A0B64">
        <w:rPr>
          <w:rFonts w:eastAsia="Times New Roman"/>
          <w:color w:val="000000"/>
          <w:sz w:val="22"/>
          <w:szCs w:val="22"/>
          <w:lang w:val="en-US" w:eastAsia="en-GB"/>
        </w:rPr>
        <w:t xml:space="preserve"> </w:t>
      </w:r>
      <w:r w:rsidRPr="008A0B64">
        <w:rPr>
          <w:color w:val="212121"/>
          <w:sz w:val="22"/>
          <w:szCs w:val="22"/>
          <w:shd w:val="clear" w:color="auto" w:fill="FFFFFF"/>
        </w:rPr>
        <w:t>wider use of intermittent ADT (versus continuous use), the avoidance of unnecessary ADT (i.e. for non-metastatic disease) and the use of shorter neoadjuvant courses (</w:t>
      </w:r>
      <w:r>
        <w:rPr>
          <w:color w:val="212121"/>
          <w:sz w:val="22"/>
          <w:szCs w:val="22"/>
          <w:shd w:val="clear" w:color="auto" w:fill="FFFFFF"/>
        </w:rPr>
        <w:t xml:space="preserve">reduced </w:t>
      </w:r>
      <w:r w:rsidRPr="008A0B64">
        <w:rPr>
          <w:color w:val="212121"/>
          <w:sz w:val="22"/>
          <w:szCs w:val="22"/>
          <w:shd w:val="clear" w:color="auto" w:fill="FFFFFF"/>
        </w:rPr>
        <w:t>from 3 years to 1 year).</w:t>
      </w:r>
      <w:r w:rsidRPr="00F70C12">
        <w:rPr>
          <w:i/>
          <w:color w:val="212121"/>
          <w:shd w:val="clear" w:color="auto" w:fill="FFFFFF"/>
        </w:rPr>
        <w:t xml:space="preserve">  </w:t>
      </w:r>
    </w:p>
    <w:p w:rsidR="00E037B4" w:rsidRDefault="00E037B4" w:rsidP="006A0590">
      <w:pPr>
        <w:spacing w:before="0" w:after="240" w:line="480" w:lineRule="auto"/>
        <w:jc w:val="both"/>
        <w:rPr>
          <w:rFonts w:eastAsia="Times New Roman"/>
          <w:color w:val="000000"/>
          <w:sz w:val="22"/>
          <w:szCs w:val="22"/>
          <w:lang w:val="en-US" w:eastAsia="en-GB"/>
        </w:rPr>
      </w:pPr>
      <w:r>
        <w:rPr>
          <w:rFonts w:eastAsia="Times New Roman"/>
          <w:color w:val="000000"/>
          <w:sz w:val="22"/>
          <w:szCs w:val="22"/>
          <w:lang w:val="en-US" w:eastAsia="en-GB"/>
        </w:rPr>
        <w:t>Despite</w:t>
      </w:r>
      <w:r w:rsidRPr="008D0124">
        <w:rPr>
          <w:rFonts w:eastAsia="Times New Roman"/>
          <w:color w:val="000000"/>
          <w:sz w:val="22"/>
          <w:szCs w:val="22"/>
          <w:lang w:val="en-US" w:eastAsia="en-GB"/>
        </w:rPr>
        <w:t xml:space="preserve"> </w:t>
      </w:r>
      <w:r>
        <w:rPr>
          <w:rFonts w:eastAsia="Times New Roman"/>
          <w:color w:val="000000"/>
          <w:sz w:val="22"/>
          <w:szCs w:val="22"/>
          <w:lang w:val="en-US" w:eastAsia="en-GB"/>
        </w:rPr>
        <w:t>the problems with s</w:t>
      </w:r>
      <w:r w:rsidRPr="008D0124">
        <w:rPr>
          <w:rFonts w:eastAsia="Times New Roman"/>
          <w:color w:val="000000"/>
          <w:sz w:val="22"/>
          <w:szCs w:val="22"/>
          <w:lang w:val="en-US" w:eastAsia="en-GB"/>
        </w:rPr>
        <w:t>exual dysfunction</w:t>
      </w:r>
      <w:r>
        <w:rPr>
          <w:rFonts w:eastAsia="Times New Roman"/>
          <w:color w:val="000000"/>
          <w:sz w:val="22"/>
          <w:szCs w:val="22"/>
          <w:lang w:val="en-US" w:eastAsia="en-GB"/>
        </w:rPr>
        <w:t xml:space="preserve">, </w:t>
      </w:r>
      <w:r w:rsidRPr="008D0124">
        <w:rPr>
          <w:rFonts w:eastAsia="Times New Roman"/>
          <w:color w:val="000000"/>
          <w:sz w:val="22"/>
          <w:szCs w:val="22"/>
          <w:lang w:val="en-US" w:eastAsia="en-GB"/>
        </w:rPr>
        <w:t>urinary difficulties and hormonal issues in some</w:t>
      </w:r>
      <w:r>
        <w:rPr>
          <w:rFonts w:eastAsia="Times New Roman"/>
          <w:color w:val="000000"/>
          <w:sz w:val="22"/>
          <w:szCs w:val="22"/>
          <w:lang w:val="en-US" w:eastAsia="en-GB"/>
        </w:rPr>
        <w:t xml:space="preserve"> groups</w:t>
      </w:r>
      <w:r w:rsidRPr="008D0124">
        <w:rPr>
          <w:rFonts w:eastAsia="Times New Roman"/>
          <w:color w:val="000000"/>
          <w:sz w:val="22"/>
          <w:szCs w:val="22"/>
          <w:lang w:val="en-US" w:eastAsia="en-GB"/>
        </w:rPr>
        <w:t>, th</w:t>
      </w:r>
      <w:r>
        <w:rPr>
          <w:rFonts w:eastAsia="Times New Roman"/>
          <w:color w:val="000000"/>
          <w:sz w:val="22"/>
          <w:szCs w:val="22"/>
          <w:lang w:val="en-US" w:eastAsia="en-GB"/>
        </w:rPr>
        <w:t>is cohort of men living with and beyond the diagnosis of</w:t>
      </w:r>
      <w:r w:rsidRPr="008D0124">
        <w:rPr>
          <w:rFonts w:eastAsia="Times New Roman"/>
          <w:color w:val="000000"/>
          <w:sz w:val="22"/>
          <w:szCs w:val="22"/>
          <w:lang w:val="en-US" w:eastAsia="en-GB"/>
        </w:rPr>
        <w:t xml:space="preserve"> PCa</w:t>
      </w:r>
      <w:r>
        <w:rPr>
          <w:rFonts w:eastAsia="Times New Roman"/>
          <w:color w:val="000000"/>
          <w:sz w:val="22"/>
          <w:szCs w:val="22"/>
          <w:lang w:val="en-US" w:eastAsia="en-GB"/>
        </w:rPr>
        <w:t xml:space="preserve"> </w:t>
      </w:r>
      <w:r w:rsidRPr="008D0124">
        <w:rPr>
          <w:rFonts w:eastAsia="Times New Roman"/>
          <w:color w:val="000000"/>
          <w:sz w:val="22"/>
          <w:szCs w:val="22"/>
          <w:lang w:val="en-US" w:eastAsia="en-GB"/>
        </w:rPr>
        <w:t xml:space="preserve">report similar </w:t>
      </w:r>
      <w:r>
        <w:rPr>
          <w:rFonts w:eastAsia="Times New Roman"/>
          <w:color w:val="000000"/>
          <w:sz w:val="22"/>
          <w:szCs w:val="22"/>
          <w:lang w:val="en-US" w:eastAsia="en-GB"/>
        </w:rPr>
        <w:t xml:space="preserve">SAH to </w:t>
      </w:r>
      <w:r>
        <w:rPr>
          <w:rFonts w:eastAsia="Times New Roman"/>
          <w:color w:val="000000"/>
          <w:sz w:val="22"/>
          <w:szCs w:val="22"/>
          <w:lang w:val="en-US" w:eastAsia="en-GB"/>
        </w:rPr>
        <w:lastRenderedPageBreak/>
        <w:t>men in the general population</w:t>
      </w:r>
      <w:r w:rsidRPr="007D798A">
        <w:rPr>
          <w:rFonts w:eastAsia="Times New Roman"/>
          <w:noProof/>
          <w:color w:val="000000"/>
          <w:sz w:val="22"/>
          <w:szCs w:val="22"/>
          <w:vertAlign w:val="superscript"/>
          <w:lang w:val="en-US" w:eastAsia="en-GB"/>
        </w:rPr>
        <w:t>29,30</w:t>
      </w:r>
      <w:r>
        <w:rPr>
          <w:rFonts w:eastAsia="Times New Roman"/>
          <w:color w:val="000000"/>
          <w:sz w:val="22"/>
          <w:szCs w:val="22"/>
          <w:lang w:val="en-US" w:eastAsia="en-GB"/>
        </w:rPr>
        <w:t xml:space="preserve"> (Table 3). </w:t>
      </w:r>
      <w:r w:rsidRPr="008D0124">
        <w:rPr>
          <w:rFonts w:eastAsia="Times New Roman"/>
          <w:color w:val="000000"/>
          <w:sz w:val="22"/>
          <w:szCs w:val="22"/>
          <w:lang w:val="en-US" w:eastAsia="en-GB"/>
        </w:rPr>
        <w:t xml:space="preserve"> </w:t>
      </w:r>
      <w:r>
        <w:rPr>
          <w:rFonts w:eastAsia="Times New Roman"/>
          <w:color w:val="000000"/>
          <w:sz w:val="22"/>
          <w:szCs w:val="22"/>
          <w:lang w:val="en-US" w:eastAsia="en-GB"/>
        </w:rPr>
        <w:t xml:space="preserve">Differences in SAH amongst the overall LAPCD and general population samples are small, </w:t>
      </w:r>
      <w:r w:rsidRPr="008D0124">
        <w:rPr>
          <w:rFonts w:eastAsia="Times New Roman"/>
          <w:color w:val="000000"/>
          <w:sz w:val="22"/>
          <w:szCs w:val="22"/>
          <w:lang w:val="en-US" w:eastAsia="en-GB"/>
        </w:rPr>
        <w:t xml:space="preserve">less than </w:t>
      </w:r>
      <w:r>
        <w:rPr>
          <w:rFonts w:eastAsia="Times New Roman"/>
          <w:color w:val="000000"/>
          <w:sz w:val="22"/>
          <w:szCs w:val="22"/>
          <w:lang w:val="en-US" w:eastAsia="en-GB"/>
        </w:rPr>
        <w:t>3</w:t>
      </w:r>
      <w:r w:rsidRPr="008D0124">
        <w:rPr>
          <w:rFonts w:eastAsia="Times New Roman"/>
          <w:color w:val="000000"/>
          <w:sz w:val="22"/>
          <w:szCs w:val="22"/>
          <w:lang w:val="en-US" w:eastAsia="en-GB"/>
        </w:rPr>
        <w:t xml:space="preserve"> points</w:t>
      </w:r>
      <w:r>
        <w:rPr>
          <w:rFonts w:eastAsia="Times New Roman"/>
          <w:color w:val="000000"/>
          <w:sz w:val="22"/>
          <w:szCs w:val="22"/>
          <w:lang w:val="en-US" w:eastAsia="en-GB"/>
        </w:rPr>
        <w:t>, with minimally important</w:t>
      </w:r>
      <w:r w:rsidRPr="008D0124">
        <w:rPr>
          <w:rFonts w:eastAsia="Times New Roman"/>
          <w:color w:val="000000"/>
          <w:sz w:val="22"/>
          <w:szCs w:val="22"/>
          <w:lang w:val="en-US" w:eastAsia="en-GB"/>
        </w:rPr>
        <w:t xml:space="preserve"> differences in EQ-5D SAH ratings </w:t>
      </w:r>
      <w:r>
        <w:rPr>
          <w:rFonts w:eastAsia="Times New Roman"/>
          <w:color w:val="000000"/>
          <w:sz w:val="22"/>
          <w:szCs w:val="22"/>
          <w:lang w:val="en-US" w:eastAsia="en-GB"/>
        </w:rPr>
        <w:t>having previously been estimated at 7 points</w:t>
      </w:r>
      <w:r w:rsidRPr="007D798A">
        <w:rPr>
          <w:rFonts w:eastAsia="Times New Roman"/>
          <w:noProof/>
          <w:color w:val="000000"/>
          <w:sz w:val="22"/>
          <w:szCs w:val="22"/>
          <w:vertAlign w:val="superscript"/>
          <w:lang w:val="en-US" w:eastAsia="en-GB"/>
        </w:rPr>
        <w:t>26,27</w:t>
      </w:r>
      <w:r w:rsidRPr="006E55B5">
        <w:rPr>
          <w:rFonts w:eastAsia="Times New Roman"/>
          <w:color w:val="000000"/>
          <w:sz w:val="22"/>
          <w:szCs w:val="22"/>
          <w:lang w:val="en-US" w:eastAsia="en-GB"/>
        </w:rPr>
        <w:t xml:space="preserve">.  </w:t>
      </w:r>
      <w:r>
        <w:rPr>
          <w:rFonts w:eastAsia="Times New Roman"/>
          <w:color w:val="000000"/>
          <w:sz w:val="22"/>
          <w:szCs w:val="22"/>
          <w:lang w:val="en-US" w:eastAsia="en-GB"/>
        </w:rPr>
        <w:t>This apparent “resilience” of men with PCa may be accounted for by the “Gap Hypothesis” of quality of life, with the diagnosis of a life-threatening illness and subsequent experience of undergoing treatment leading to re-calibration of expectations and values</w:t>
      </w:r>
      <w:r w:rsidRPr="007D798A">
        <w:rPr>
          <w:rFonts w:eastAsia="Times New Roman"/>
          <w:noProof/>
          <w:color w:val="000000"/>
          <w:sz w:val="22"/>
          <w:szCs w:val="22"/>
          <w:vertAlign w:val="superscript"/>
          <w:lang w:val="en-US" w:eastAsia="en-GB"/>
        </w:rPr>
        <w:t>31</w:t>
      </w:r>
      <w:r>
        <w:rPr>
          <w:rFonts w:eastAsia="Times New Roman"/>
          <w:color w:val="000000"/>
          <w:sz w:val="22"/>
          <w:szCs w:val="22"/>
          <w:lang w:val="en-US" w:eastAsia="en-GB"/>
        </w:rPr>
        <w:t>.</w:t>
      </w:r>
    </w:p>
    <w:p w:rsidR="00E037B4" w:rsidRPr="00727A37" w:rsidRDefault="00E037B4" w:rsidP="006A0590">
      <w:pPr>
        <w:spacing w:before="0" w:after="240" w:line="480" w:lineRule="auto"/>
        <w:jc w:val="both"/>
        <w:rPr>
          <w:rFonts w:eastAsia="Times New Roman"/>
          <w:color w:val="000000"/>
          <w:sz w:val="22"/>
          <w:szCs w:val="22"/>
          <w:lang w:eastAsia="en-GB"/>
        </w:rPr>
      </w:pPr>
      <w:r>
        <w:rPr>
          <w:rFonts w:eastAsia="Times New Roman"/>
          <w:color w:val="000000"/>
          <w:sz w:val="22"/>
          <w:szCs w:val="22"/>
          <w:lang w:val="en-US" w:eastAsia="en-GB"/>
        </w:rPr>
        <w:t>Overall the SAH of men with stage III disease is not markedly different from those with localised disease or UK general population surveys.  Whilst scores from those with stage IV disease are 6 points lower than those with localised disease, this may not equate to a clinically meaningful difference.  A quarter of men with</w:t>
      </w:r>
      <w:r w:rsidRPr="008D0124">
        <w:rPr>
          <w:rFonts w:eastAsia="Times New Roman"/>
          <w:color w:val="000000"/>
          <w:sz w:val="22"/>
          <w:szCs w:val="22"/>
          <w:lang w:val="en-US" w:eastAsia="en-GB"/>
        </w:rPr>
        <w:t xml:space="preserve"> stage </w:t>
      </w:r>
      <w:r>
        <w:rPr>
          <w:rFonts w:eastAsia="Times New Roman"/>
          <w:color w:val="000000"/>
          <w:sz w:val="22"/>
          <w:szCs w:val="22"/>
          <w:lang w:val="en-US" w:eastAsia="en-GB"/>
        </w:rPr>
        <w:t>IV</w:t>
      </w:r>
      <w:r w:rsidRPr="008D0124">
        <w:rPr>
          <w:rFonts w:eastAsia="Times New Roman"/>
          <w:color w:val="000000"/>
          <w:sz w:val="22"/>
          <w:szCs w:val="22"/>
          <w:lang w:val="en-US" w:eastAsia="en-GB"/>
        </w:rPr>
        <w:t xml:space="preserve"> </w:t>
      </w:r>
      <w:r>
        <w:rPr>
          <w:rFonts w:eastAsia="Times New Roman"/>
          <w:color w:val="000000"/>
          <w:sz w:val="22"/>
          <w:szCs w:val="22"/>
          <w:lang w:val="en-US" w:eastAsia="en-GB"/>
        </w:rPr>
        <w:t>PCa</w:t>
      </w:r>
      <w:r w:rsidRPr="008D0124">
        <w:rPr>
          <w:rFonts w:eastAsia="Times New Roman"/>
          <w:color w:val="000000"/>
          <w:sz w:val="22"/>
          <w:szCs w:val="22"/>
          <w:lang w:val="en-US" w:eastAsia="en-GB"/>
        </w:rPr>
        <w:t xml:space="preserve"> report </w:t>
      </w:r>
      <w:r>
        <w:rPr>
          <w:rFonts w:eastAsia="Times New Roman"/>
          <w:color w:val="000000"/>
          <w:sz w:val="22"/>
          <w:szCs w:val="22"/>
          <w:lang w:val="en-US" w:eastAsia="en-GB"/>
        </w:rPr>
        <w:t xml:space="preserve">no problems in any EQ-5D domain.  </w:t>
      </w:r>
      <w:r w:rsidRPr="00B27FAC">
        <w:rPr>
          <w:color w:val="212121"/>
          <w:sz w:val="22"/>
        </w:rPr>
        <w:t>Not all men with Stage IV PCa experience similar clinical trajectories</w:t>
      </w:r>
      <w:r>
        <w:rPr>
          <w:color w:val="212121"/>
          <w:sz w:val="22"/>
        </w:rPr>
        <w:t>,</w:t>
      </w:r>
      <w:r w:rsidRPr="00B27FAC">
        <w:rPr>
          <w:color w:val="212121"/>
          <w:sz w:val="22"/>
        </w:rPr>
        <w:t xml:space="preserve"> with some living for prolonged periods and others living significantly shorter periods</w:t>
      </w:r>
      <w:r>
        <w:rPr>
          <w:color w:val="212121"/>
          <w:sz w:val="22"/>
        </w:rPr>
        <w:t xml:space="preserve"> f</w:t>
      </w:r>
      <w:r w:rsidRPr="00B27FAC">
        <w:rPr>
          <w:color w:val="212121"/>
          <w:sz w:val="22"/>
        </w:rPr>
        <w:t>r</w:t>
      </w:r>
      <w:r>
        <w:rPr>
          <w:color w:val="212121"/>
          <w:sz w:val="22"/>
        </w:rPr>
        <w:t>o</w:t>
      </w:r>
      <w:r w:rsidRPr="00B27FAC">
        <w:rPr>
          <w:color w:val="212121"/>
          <w:sz w:val="22"/>
        </w:rPr>
        <w:t>m diagnosis</w:t>
      </w:r>
      <w:r>
        <w:rPr>
          <w:color w:val="212121"/>
          <w:sz w:val="22"/>
        </w:rPr>
        <w:t>.</w:t>
      </w:r>
      <w:r>
        <w:rPr>
          <w:rFonts w:eastAsia="Times New Roman"/>
          <w:color w:val="000000"/>
          <w:sz w:val="22"/>
          <w:szCs w:val="22"/>
          <w:lang w:val="en-US" w:eastAsia="en-GB"/>
        </w:rPr>
        <w:t xml:space="preserve">  Sub-groups of men, such those with oligometastatic disease, may experience few problems whilst others experience diminished HRQL.  This study did not capture the detailed clinical information needed to investigate subtypes of disease.  The absence of other at-scale studies of the outcomes of men living with stage III and IV disease prevent comparison with other studies.  Further investigation into the outcomes of men living with metastatic disease is required, particularly over a longer time period, </w:t>
      </w:r>
      <w:r w:rsidRPr="00727A37">
        <w:rPr>
          <w:rFonts w:eastAsia="Times New Roman"/>
          <w:color w:val="000000"/>
          <w:sz w:val="22"/>
          <w:szCs w:val="22"/>
          <w:lang w:eastAsia="en-GB"/>
        </w:rPr>
        <w:t xml:space="preserve">as many will only develop symptoms a number of years </w:t>
      </w:r>
      <w:r>
        <w:rPr>
          <w:rFonts w:eastAsia="Times New Roman"/>
          <w:color w:val="000000"/>
          <w:sz w:val="22"/>
          <w:szCs w:val="22"/>
          <w:lang w:eastAsia="en-GB"/>
        </w:rPr>
        <w:t>after diagnosis</w:t>
      </w:r>
      <w:r w:rsidRPr="00727A37">
        <w:rPr>
          <w:rFonts w:eastAsia="Times New Roman"/>
          <w:color w:val="000000"/>
          <w:sz w:val="22"/>
          <w:szCs w:val="22"/>
          <w:lang w:eastAsia="en-GB"/>
        </w:rPr>
        <w:t>.</w:t>
      </w:r>
    </w:p>
    <w:p w:rsidR="00E037B4" w:rsidRPr="008D0124" w:rsidRDefault="00E037B4" w:rsidP="006A0590">
      <w:pPr>
        <w:spacing w:before="0" w:after="240" w:line="480" w:lineRule="auto"/>
        <w:jc w:val="both"/>
        <w:rPr>
          <w:rFonts w:eastAsia="Times New Roman"/>
          <w:sz w:val="22"/>
          <w:szCs w:val="22"/>
          <w:lang w:val="en-US" w:eastAsia="en-GB"/>
        </w:rPr>
      </w:pPr>
      <w:r w:rsidRPr="008D0124">
        <w:rPr>
          <w:rFonts w:eastAsia="Times New Roman"/>
          <w:color w:val="000000"/>
          <w:sz w:val="22"/>
          <w:szCs w:val="22"/>
          <w:lang w:val="en-US" w:eastAsia="en-GB"/>
        </w:rPr>
        <w:t>Through whole population sampling, potential recruitment or clinical trial intervention bias has been avoided</w:t>
      </w:r>
      <w:r>
        <w:rPr>
          <w:rFonts w:eastAsia="Times New Roman"/>
          <w:color w:val="000000"/>
          <w:sz w:val="22"/>
          <w:szCs w:val="22"/>
          <w:lang w:val="en-US" w:eastAsia="en-GB"/>
        </w:rPr>
        <w:t xml:space="preserve">.  In addition, </w:t>
      </w:r>
      <w:r w:rsidRPr="008D0124">
        <w:rPr>
          <w:rFonts w:eastAsia="Times New Roman"/>
          <w:color w:val="000000"/>
          <w:sz w:val="22"/>
          <w:szCs w:val="22"/>
          <w:lang w:val="en-US" w:eastAsia="en-GB"/>
        </w:rPr>
        <w:t>all disease stages and treatments have been included</w:t>
      </w:r>
      <w:r>
        <w:rPr>
          <w:rFonts w:eastAsia="Times New Roman"/>
          <w:color w:val="000000"/>
          <w:sz w:val="22"/>
          <w:szCs w:val="22"/>
          <w:lang w:val="en-US" w:eastAsia="en-GB"/>
        </w:rPr>
        <w:t>, adding important new data on men living with and beyond diagnoses of advanced disease who have been largely omitted from previous quality of life outcome studies</w:t>
      </w:r>
      <w:r w:rsidRPr="008D0124">
        <w:rPr>
          <w:rFonts w:eastAsia="Times New Roman"/>
          <w:color w:val="000000"/>
          <w:sz w:val="22"/>
          <w:szCs w:val="22"/>
          <w:lang w:val="en-US" w:eastAsia="en-GB"/>
        </w:rPr>
        <w:t xml:space="preserve">. </w:t>
      </w:r>
      <w:r>
        <w:rPr>
          <w:rFonts w:eastAsia="Times New Roman"/>
          <w:color w:val="000000"/>
          <w:sz w:val="22"/>
          <w:szCs w:val="22"/>
          <w:lang w:val="en-US" w:eastAsia="en-GB"/>
        </w:rPr>
        <w:t xml:space="preserve"> Utilis</w:t>
      </w:r>
      <w:r w:rsidRPr="008D0124">
        <w:rPr>
          <w:rFonts w:eastAsia="Times New Roman"/>
          <w:color w:val="000000"/>
          <w:sz w:val="22"/>
          <w:szCs w:val="22"/>
          <w:lang w:val="en-US" w:eastAsia="en-GB"/>
        </w:rPr>
        <w:t>ation of a standardi</w:t>
      </w:r>
      <w:r>
        <w:rPr>
          <w:rFonts w:eastAsia="Times New Roman"/>
          <w:color w:val="000000"/>
          <w:sz w:val="22"/>
          <w:szCs w:val="22"/>
          <w:lang w:val="en-US" w:eastAsia="en-GB"/>
        </w:rPr>
        <w:t>s</w:t>
      </w:r>
      <w:r w:rsidRPr="008D0124">
        <w:rPr>
          <w:rFonts w:eastAsia="Times New Roman"/>
          <w:color w:val="000000"/>
          <w:sz w:val="22"/>
          <w:szCs w:val="22"/>
          <w:lang w:val="en-US" w:eastAsia="en-GB"/>
        </w:rPr>
        <w:t>ed set of accepted outcome measures enables future international benchmarking.</w:t>
      </w:r>
      <w:r w:rsidR="00100143">
        <w:rPr>
          <w:rFonts w:eastAsia="Times New Roman"/>
          <w:color w:val="000000"/>
          <w:sz w:val="22"/>
          <w:szCs w:val="22"/>
          <w:lang w:val="en-US" w:eastAsia="en-GB"/>
        </w:rPr>
        <w:t xml:space="preserve">  </w:t>
      </w:r>
      <w:r>
        <w:rPr>
          <w:rFonts w:eastAsia="Times New Roman"/>
          <w:color w:val="000000"/>
          <w:sz w:val="22"/>
          <w:szCs w:val="22"/>
          <w:lang w:val="en-US" w:eastAsia="en-GB"/>
        </w:rPr>
        <w:t xml:space="preserve">Data collection at this scale, from all centres in NI, Scotland and Wales and 111 of 136 NHS Trusts in England, has allowed us to produce datasets for individual Trusts, Cancer Alliances and regional health boards.  Internet-based tools will be made available to support service </w:t>
      </w:r>
      <w:r>
        <w:rPr>
          <w:rFonts w:eastAsia="Times New Roman"/>
          <w:color w:val="000000"/>
          <w:sz w:val="22"/>
          <w:szCs w:val="22"/>
          <w:lang w:val="en-US" w:eastAsia="en-GB"/>
        </w:rPr>
        <w:lastRenderedPageBreak/>
        <w:t xml:space="preserve">improvement, and in parallel, a public-facing electronic tool will provide an information and decision-making resource for men and their families, through identification of expected outcomes based on robust unselected data. </w:t>
      </w:r>
    </w:p>
    <w:p w:rsidR="00E037B4" w:rsidRPr="006F4D99" w:rsidRDefault="00E037B4" w:rsidP="006A0590">
      <w:pPr>
        <w:spacing w:before="0" w:after="240" w:line="480" w:lineRule="auto"/>
        <w:jc w:val="both"/>
        <w:rPr>
          <w:bCs/>
          <w:iCs/>
          <w:color w:val="212121"/>
          <w:sz w:val="22"/>
          <w:szCs w:val="22"/>
          <w:shd w:val="clear" w:color="auto" w:fill="FFFFFF"/>
        </w:rPr>
      </w:pPr>
      <w:r w:rsidRPr="006F4D99">
        <w:rPr>
          <w:bCs/>
          <w:iCs/>
          <w:color w:val="212121"/>
          <w:sz w:val="22"/>
          <w:szCs w:val="22"/>
          <w:shd w:val="clear" w:color="auto" w:fill="FFFFFF"/>
        </w:rPr>
        <w:t xml:space="preserve">Four NHS Trusts were excluded from the study as they were participating in </w:t>
      </w:r>
      <w:r>
        <w:rPr>
          <w:bCs/>
          <w:iCs/>
          <w:color w:val="212121"/>
          <w:sz w:val="22"/>
          <w:szCs w:val="22"/>
          <w:shd w:val="clear" w:color="auto" w:fill="FFFFFF"/>
        </w:rPr>
        <w:t>an overlapping programme</w:t>
      </w:r>
      <w:r w:rsidRPr="00403941">
        <w:rPr>
          <w:bCs/>
          <w:iCs/>
          <w:noProof/>
          <w:color w:val="212121"/>
          <w:sz w:val="22"/>
          <w:szCs w:val="22"/>
          <w:shd w:val="clear" w:color="auto" w:fill="FFFFFF"/>
          <w:vertAlign w:val="superscript"/>
        </w:rPr>
        <w:t>32</w:t>
      </w:r>
      <w:r w:rsidRPr="006F4D99">
        <w:rPr>
          <w:bCs/>
          <w:iCs/>
          <w:color w:val="212121"/>
          <w:sz w:val="22"/>
          <w:szCs w:val="22"/>
          <w:shd w:val="clear" w:color="auto" w:fill="FFFFFF"/>
        </w:rPr>
        <w:t xml:space="preserve">.  A further 21 Trusts did not participate.  Several </w:t>
      </w:r>
      <w:r>
        <w:rPr>
          <w:bCs/>
          <w:iCs/>
          <w:color w:val="212121"/>
          <w:sz w:val="22"/>
          <w:szCs w:val="22"/>
          <w:shd w:val="clear" w:color="auto" w:fill="FFFFFF"/>
        </w:rPr>
        <w:t>of these</w:t>
      </w:r>
      <w:r w:rsidRPr="006F4D99">
        <w:rPr>
          <w:bCs/>
          <w:iCs/>
          <w:color w:val="212121"/>
          <w:sz w:val="22"/>
          <w:szCs w:val="22"/>
          <w:shd w:val="clear" w:color="auto" w:fill="FFFFFF"/>
        </w:rPr>
        <w:t xml:space="preserve"> declined because they were already participating in other local PROMs studies and were concerned about questionnaire fatigue.  </w:t>
      </w:r>
      <w:r>
        <w:rPr>
          <w:bCs/>
          <w:iCs/>
          <w:color w:val="212121"/>
          <w:sz w:val="22"/>
          <w:szCs w:val="22"/>
          <w:shd w:val="clear" w:color="auto" w:fill="FFFFFF"/>
        </w:rPr>
        <w:t>The remaining Trusts</w:t>
      </w:r>
      <w:r w:rsidRPr="006F4D99">
        <w:rPr>
          <w:bCs/>
          <w:iCs/>
          <w:color w:val="212121"/>
          <w:sz w:val="22"/>
          <w:szCs w:val="22"/>
          <w:shd w:val="clear" w:color="auto" w:fill="FFFFFF"/>
        </w:rPr>
        <w:t xml:space="preserve"> did not respond to the </w:t>
      </w:r>
      <w:r>
        <w:rPr>
          <w:bCs/>
          <w:iCs/>
          <w:color w:val="212121"/>
          <w:sz w:val="22"/>
          <w:szCs w:val="22"/>
          <w:shd w:val="clear" w:color="auto" w:fill="FFFFFF"/>
        </w:rPr>
        <w:t xml:space="preserve">multiple </w:t>
      </w:r>
      <w:r w:rsidRPr="006F4D99">
        <w:rPr>
          <w:bCs/>
          <w:iCs/>
          <w:color w:val="212121"/>
          <w:sz w:val="22"/>
          <w:szCs w:val="22"/>
          <w:shd w:val="clear" w:color="auto" w:fill="FFFFFF"/>
        </w:rPr>
        <w:t>invitations to take part.</w:t>
      </w:r>
    </w:p>
    <w:p w:rsidR="00E037B4" w:rsidRPr="00101B1D" w:rsidRDefault="00E037B4" w:rsidP="006A0590">
      <w:pPr>
        <w:spacing w:before="0" w:after="240" w:line="480" w:lineRule="auto"/>
        <w:jc w:val="both"/>
        <w:rPr>
          <w:rFonts w:eastAsia="Times New Roman"/>
          <w:color w:val="000000"/>
          <w:sz w:val="22"/>
          <w:szCs w:val="22"/>
          <w:lang w:eastAsia="en-GB"/>
        </w:rPr>
      </w:pPr>
      <w:r w:rsidRPr="008D0124">
        <w:rPr>
          <w:rFonts w:eastAsia="Times New Roman"/>
          <w:color w:val="000000"/>
          <w:sz w:val="22"/>
          <w:szCs w:val="22"/>
          <w:lang w:val="en-US" w:eastAsia="en-GB"/>
        </w:rPr>
        <w:t xml:space="preserve">The </w:t>
      </w:r>
      <w:r>
        <w:rPr>
          <w:rFonts w:eastAsia="Times New Roman"/>
          <w:color w:val="000000"/>
          <w:sz w:val="22"/>
          <w:szCs w:val="22"/>
          <w:lang w:val="en-US" w:eastAsia="en-GB"/>
        </w:rPr>
        <w:t>response rate</w:t>
      </w:r>
      <w:r w:rsidRPr="008D0124">
        <w:rPr>
          <w:rFonts w:eastAsia="Times New Roman"/>
          <w:color w:val="000000"/>
          <w:sz w:val="22"/>
          <w:szCs w:val="22"/>
          <w:lang w:val="en-US" w:eastAsia="en-GB"/>
        </w:rPr>
        <w:t xml:space="preserve"> </w:t>
      </w:r>
      <w:r>
        <w:rPr>
          <w:rFonts w:eastAsia="Times New Roman"/>
          <w:color w:val="000000"/>
          <w:sz w:val="22"/>
          <w:szCs w:val="22"/>
          <w:lang w:val="en-US" w:eastAsia="en-GB"/>
        </w:rPr>
        <w:t xml:space="preserve">of 61% </w:t>
      </w:r>
      <w:r w:rsidRPr="008D0124">
        <w:rPr>
          <w:rFonts w:eastAsia="Times New Roman"/>
          <w:color w:val="000000"/>
          <w:sz w:val="22"/>
          <w:szCs w:val="22"/>
          <w:lang w:val="en-US" w:eastAsia="en-GB"/>
        </w:rPr>
        <w:t xml:space="preserve">is comparable to a similar survey of colorectal cancer survivors </w:t>
      </w:r>
      <w:r>
        <w:rPr>
          <w:rFonts w:eastAsia="Times New Roman"/>
          <w:color w:val="000000"/>
          <w:sz w:val="22"/>
          <w:szCs w:val="22"/>
          <w:lang w:val="en-US" w:eastAsia="en-GB"/>
        </w:rPr>
        <w:t xml:space="preserve">in England </w:t>
      </w:r>
      <w:r w:rsidRPr="008D0124">
        <w:rPr>
          <w:rFonts w:eastAsia="Times New Roman"/>
          <w:color w:val="000000"/>
          <w:sz w:val="22"/>
          <w:szCs w:val="22"/>
          <w:lang w:val="en-US" w:eastAsia="en-GB"/>
        </w:rPr>
        <w:t>(63%)</w:t>
      </w:r>
      <w:r w:rsidRPr="00CE292F">
        <w:rPr>
          <w:rFonts w:eastAsia="Times New Roman"/>
          <w:noProof/>
          <w:color w:val="000000"/>
          <w:sz w:val="22"/>
          <w:szCs w:val="22"/>
          <w:vertAlign w:val="superscript"/>
          <w:lang w:val="en-US" w:eastAsia="en-GB"/>
        </w:rPr>
        <w:t>13</w:t>
      </w:r>
      <w:r>
        <w:rPr>
          <w:rFonts w:eastAsia="Times New Roman"/>
          <w:color w:val="000000"/>
          <w:sz w:val="22"/>
          <w:szCs w:val="22"/>
          <w:lang w:val="en-US" w:eastAsia="en-GB"/>
        </w:rPr>
        <w:t>.</w:t>
      </w:r>
      <w:r w:rsidRPr="008D0124">
        <w:rPr>
          <w:rFonts w:eastAsia="Times New Roman"/>
          <w:color w:val="000000"/>
          <w:sz w:val="22"/>
          <w:szCs w:val="22"/>
          <w:lang w:val="en-US" w:eastAsia="en-GB"/>
        </w:rPr>
        <w:t xml:space="preserve"> </w:t>
      </w:r>
      <w:r>
        <w:rPr>
          <w:rFonts w:eastAsia="Times New Roman"/>
          <w:color w:val="000000"/>
          <w:sz w:val="22"/>
          <w:szCs w:val="22"/>
          <w:lang w:val="en-US" w:eastAsia="en-GB"/>
        </w:rPr>
        <w:t xml:space="preserve"> Comparison of rates with other PCa trials and cohort studies is difficult due to different identification and recruitment methods.  Our response rate is reported without exclusion or screening of eligible individuals.  N</w:t>
      </w:r>
      <w:r w:rsidRPr="008D0124">
        <w:rPr>
          <w:rFonts w:eastAsia="Times New Roman"/>
          <w:color w:val="000000"/>
          <w:sz w:val="22"/>
          <w:szCs w:val="22"/>
          <w:lang w:val="en-US" w:eastAsia="en-GB"/>
        </w:rPr>
        <w:t xml:space="preserve">on-respondents were more likely to be older, Black, Asian or minority ethnic and live in more </w:t>
      </w:r>
      <w:r>
        <w:rPr>
          <w:rFonts w:eastAsia="Times New Roman"/>
          <w:color w:val="000000"/>
          <w:sz w:val="22"/>
          <w:szCs w:val="22"/>
          <w:lang w:val="en-US" w:eastAsia="en-GB"/>
        </w:rPr>
        <w:t xml:space="preserve">socio-economically </w:t>
      </w:r>
      <w:r w:rsidRPr="008D0124">
        <w:rPr>
          <w:rFonts w:eastAsia="Times New Roman"/>
          <w:color w:val="000000"/>
          <w:sz w:val="22"/>
          <w:szCs w:val="22"/>
          <w:lang w:val="en-US" w:eastAsia="en-GB"/>
        </w:rPr>
        <w:t>deprived areas</w:t>
      </w:r>
      <w:r>
        <w:rPr>
          <w:rFonts w:eastAsia="Times New Roman"/>
          <w:color w:val="000000"/>
          <w:sz w:val="22"/>
          <w:szCs w:val="22"/>
          <w:lang w:val="en-US" w:eastAsia="en-GB"/>
        </w:rPr>
        <w:t>.  These are groups who may be expected to potentially experience poorer HRQL</w:t>
      </w:r>
      <w:r w:rsidRPr="008D0124">
        <w:rPr>
          <w:rFonts w:eastAsia="Times New Roman"/>
          <w:color w:val="000000"/>
          <w:sz w:val="22"/>
          <w:szCs w:val="22"/>
          <w:lang w:val="en-US" w:eastAsia="en-GB"/>
        </w:rPr>
        <w:t>.  </w:t>
      </w:r>
      <w:r>
        <w:rPr>
          <w:rFonts w:eastAsia="Times New Roman"/>
          <w:color w:val="000000"/>
          <w:sz w:val="22"/>
          <w:szCs w:val="22"/>
          <w:lang w:val="en-US" w:eastAsia="en-GB"/>
        </w:rPr>
        <w:t xml:space="preserve">Variation in response rate by stage was identified, with those with stage III disease having the highest response rates and those with stage IV disease at diagnosis the lowest.  We do not know if patients with worse health status were less likely to respond.  </w:t>
      </w:r>
      <w:r w:rsidRPr="00101B1D">
        <w:rPr>
          <w:rFonts w:eastAsia="Times New Roman"/>
          <w:color w:val="000000"/>
          <w:sz w:val="22"/>
          <w:szCs w:val="22"/>
          <w:lang w:eastAsia="en-GB"/>
        </w:rPr>
        <w:t xml:space="preserve">Data completeness was high for the majority of questions. </w:t>
      </w:r>
      <w:r>
        <w:rPr>
          <w:rFonts w:eastAsia="Times New Roman"/>
          <w:color w:val="000000"/>
          <w:sz w:val="22"/>
          <w:szCs w:val="22"/>
          <w:lang w:eastAsia="en-GB"/>
        </w:rPr>
        <w:t>R</w:t>
      </w:r>
      <w:r w:rsidRPr="00101B1D">
        <w:rPr>
          <w:rFonts w:eastAsia="Times New Roman"/>
          <w:color w:val="000000"/>
          <w:sz w:val="22"/>
          <w:szCs w:val="22"/>
          <w:lang w:eastAsia="en-GB"/>
        </w:rPr>
        <w:t>ecords with missing data were excluded</w:t>
      </w:r>
      <w:r>
        <w:rPr>
          <w:rFonts w:eastAsia="Times New Roman"/>
          <w:color w:val="000000"/>
          <w:sz w:val="22"/>
          <w:szCs w:val="22"/>
          <w:lang w:eastAsia="en-GB"/>
        </w:rPr>
        <w:t xml:space="preserve"> from analysis</w:t>
      </w:r>
      <w:r w:rsidRPr="00101B1D">
        <w:rPr>
          <w:rFonts w:eastAsia="Times New Roman"/>
          <w:color w:val="000000"/>
          <w:sz w:val="22"/>
          <w:szCs w:val="22"/>
          <w:lang w:eastAsia="en-GB"/>
        </w:rPr>
        <w:t xml:space="preserve">, which assumes that those who did not respond to the question have similar outcomes to those </w:t>
      </w:r>
      <w:r>
        <w:rPr>
          <w:rFonts w:eastAsia="Times New Roman"/>
          <w:color w:val="000000"/>
          <w:sz w:val="22"/>
          <w:szCs w:val="22"/>
          <w:lang w:eastAsia="en-GB"/>
        </w:rPr>
        <w:t>who did</w:t>
      </w:r>
      <w:r w:rsidRPr="00101B1D">
        <w:rPr>
          <w:rFonts w:eastAsia="Times New Roman"/>
          <w:color w:val="000000"/>
          <w:sz w:val="22"/>
          <w:szCs w:val="22"/>
          <w:lang w:eastAsia="en-GB"/>
        </w:rPr>
        <w:t xml:space="preserve">. </w:t>
      </w:r>
      <w:r>
        <w:rPr>
          <w:rFonts w:eastAsia="Times New Roman"/>
          <w:color w:val="000000"/>
          <w:sz w:val="22"/>
          <w:szCs w:val="22"/>
          <w:lang w:eastAsia="en-GB"/>
        </w:rPr>
        <w:t xml:space="preserve"> </w:t>
      </w:r>
      <w:r w:rsidRPr="00101B1D">
        <w:rPr>
          <w:rFonts w:eastAsia="Times New Roman"/>
          <w:color w:val="000000"/>
          <w:sz w:val="22"/>
          <w:szCs w:val="22"/>
          <w:lang w:eastAsia="en-GB"/>
        </w:rPr>
        <w:t>This assumption cannot be validated using the available data.</w:t>
      </w:r>
      <w:r>
        <w:rPr>
          <w:rFonts w:eastAsia="Times New Roman"/>
          <w:color w:val="000000"/>
          <w:sz w:val="22"/>
          <w:szCs w:val="22"/>
          <w:lang w:eastAsia="en-GB"/>
        </w:rPr>
        <w:t xml:space="preserve">  M</w:t>
      </w:r>
      <w:r w:rsidRPr="00457578">
        <w:rPr>
          <w:rFonts w:eastAsia="Times New Roman"/>
          <w:color w:val="000000"/>
          <w:sz w:val="22"/>
          <w:szCs w:val="22"/>
          <w:lang w:eastAsia="en-GB"/>
        </w:rPr>
        <w:t>en were less likely to avoid questions on sexual function than they were for some of the other domains, which is perhaps counter-intuitive but could indicate a real concern in this otherwise healthy-feeling group.</w:t>
      </w:r>
    </w:p>
    <w:p w:rsidR="00E037B4" w:rsidRPr="008D0124" w:rsidRDefault="00E037B4" w:rsidP="006A0590">
      <w:pPr>
        <w:spacing w:before="0" w:after="240" w:line="480" w:lineRule="auto"/>
        <w:jc w:val="both"/>
        <w:rPr>
          <w:rFonts w:eastAsia="Times New Roman"/>
          <w:sz w:val="22"/>
          <w:szCs w:val="22"/>
          <w:lang w:val="en-US" w:eastAsia="en-GB"/>
        </w:rPr>
      </w:pPr>
      <w:r>
        <w:rPr>
          <w:rFonts w:eastAsia="Times New Roman"/>
          <w:color w:val="000000"/>
          <w:sz w:val="22"/>
          <w:szCs w:val="22"/>
          <w:lang w:val="en-US" w:eastAsia="en-GB"/>
        </w:rPr>
        <w:t xml:space="preserve">Staging information was taken from national cancer registration data at diagnosis and was available for 86% of respondents.  </w:t>
      </w:r>
      <w:r w:rsidRPr="001561C1">
        <w:rPr>
          <w:rFonts w:eastAsia="Times New Roman"/>
          <w:color w:val="000000"/>
          <w:sz w:val="22"/>
          <w:szCs w:val="22"/>
          <w:lang w:eastAsia="en-GB"/>
        </w:rPr>
        <w:t>The cancer registry uses a variety of data sources</w:t>
      </w:r>
      <w:r>
        <w:rPr>
          <w:rFonts w:eastAsia="Times New Roman"/>
          <w:color w:val="000000"/>
          <w:sz w:val="22"/>
          <w:szCs w:val="22"/>
          <w:lang w:eastAsia="en-GB"/>
        </w:rPr>
        <w:t xml:space="preserve">, </w:t>
      </w:r>
      <w:r w:rsidRPr="001561C1">
        <w:rPr>
          <w:rFonts w:eastAsia="Times New Roman"/>
          <w:color w:val="000000"/>
          <w:sz w:val="22"/>
          <w:szCs w:val="22"/>
          <w:lang w:eastAsia="en-GB"/>
        </w:rPr>
        <w:t>includ</w:t>
      </w:r>
      <w:r>
        <w:rPr>
          <w:rFonts w:eastAsia="Times New Roman"/>
          <w:color w:val="000000"/>
          <w:sz w:val="22"/>
          <w:szCs w:val="22"/>
          <w:lang w:eastAsia="en-GB"/>
        </w:rPr>
        <w:t>ing</w:t>
      </w:r>
      <w:r w:rsidRPr="001561C1">
        <w:rPr>
          <w:rFonts w:eastAsia="Times New Roman"/>
          <w:color w:val="000000"/>
          <w:sz w:val="22"/>
          <w:szCs w:val="22"/>
          <w:lang w:eastAsia="en-GB"/>
        </w:rPr>
        <w:t xml:space="preserve"> pathology reports and treatment databases</w:t>
      </w:r>
      <w:r>
        <w:rPr>
          <w:rFonts w:eastAsia="Times New Roman"/>
          <w:color w:val="000000"/>
          <w:sz w:val="22"/>
          <w:szCs w:val="22"/>
          <w:lang w:eastAsia="en-GB"/>
        </w:rPr>
        <w:t>,</w:t>
      </w:r>
      <w:r w:rsidRPr="001561C1">
        <w:rPr>
          <w:rFonts w:eastAsia="Times New Roman"/>
          <w:color w:val="000000"/>
          <w:sz w:val="22"/>
          <w:szCs w:val="22"/>
          <w:lang w:eastAsia="en-GB"/>
        </w:rPr>
        <w:t xml:space="preserve"> to capture stage information.  </w:t>
      </w:r>
      <w:r>
        <w:rPr>
          <w:rFonts w:eastAsia="Times New Roman"/>
          <w:color w:val="000000"/>
          <w:sz w:val="22"/>
          <w:szCs w:val="22"/>
          <w:lang w:eastAsia="en-GB"/>
        </w:rPr>
        <w:t xml:space="preserve">Some groups of </w:t>
      </w:r>
      <w:r>
        <w:rPr>
          <w:rFonts w:eastAsia="Times New Roman"/>
          <w:color w:val="000000"/>
          <w:sz w:val="22"/>
          <w:szCs w:val="22"/>
          <w:lang w:eastAsia="en-GB"/>
        </w:rPr>
        <w:lastRenderedPageBreak/>
        <w:t>men are less likely</w:t>
      </w:r>
      <w:r w:rsidRPr="001561C1">
        <w:rPr>
          <w:rFonts w:eastAsia="Times New Roman"/>
          <w:color w:val="000000"/>
          <w:sz w:val="22"/>
          <w:szCs w:val="22"/>
          <w:lang w:eastAsia="en-GB"/>
        </w:rPr>
        <w:t xml:space="preserve"> to </w:t>
      </w:r>
      <w:r>
        <w:rPr>
          <w:rFonts w:eastAsia="Times New Roman"/>
          <w:color w:val="000000"/>
          <w:sz w:val="22"/>
          <w:szCs w:val="22"/>
          <w:lang w:eastAsia="en-GB"/>
        </w:rPr>
        <w:t>appear</w:t>
      </w:r>
      <w:r w:rsidRPr="001561C1">
        <w:rPr>
          <w:rFonts w:eastAsia="Times New Roman"/>
          <w:color w:val="000000"/>
          <w:sz w:val="22"/>
          <w:szCs w:val="22"/>
          <w:lang w:eastAsia="en-GB"/>
        </w:rPr>
        <w:t xml:space="preserve"> in a treatment </w:t>
      </w:r>
      <w:r>
        <w:rPr>
          <w:rFonts w:eastAsia="Times New Roman"/>
          <w:color w:val="000000"/>
          <w:sz w:val="22"/>
          <w:szCs w:val="22"/>
          <w:lang w:eastAsia="en-GB"/>
        </w:rPr>
        <w:t xml:space="preserve">or pathology </w:t>
      </w:r>
      <w:r w:rsidRPr="001561C1">
        <w:rPr>
          <w:rFonts w:eastAsia="Times New Roman"/>
          <w:color w:val="000000"/>
          <w:sz w:val="22"/>
          <w:szCs w:val="22"/>
          <w:lang w:eastAsia="en-GB"/>
        </w:rPr>
        <w:t>dataset near the time of diagnosis</w:t>
      </w:r>
      <w:r>
        <w:rPr>
          <w:rFonts w:eastAsia="Times New Roman"/>
          <w:color w:val="000000"/>
          <w:sz w:val="22"/>
          <w:szCs w:val="22"/>
          <w:lang w:eastAsia="en-GB"/>
        </w:rPr>
        <w:t xml:space="preserve"> (for instance, </w:t>
      </w:r>
      <w:r w:rsidRPr="001561C1">
        <w:rPr>
          <w:rFonts w:eastAsia="Times New Roman"/>
          <w:color w:val="000000"/>
          <w:sz w:val="22"/>
          <w:szCs w:val="22"/>
          <w:lang w:eastAsia="en-GB"/>
        </w:rPr>
        <w:t xml:space="preserve">those on watchful waiting are less likely to have </w:t>
      </w:r>
      <w:r>
        <w:rPr>
          <w:rFonts w:eastAsia="Times New Roman"/>
          <w:color w:val="000000"/>
          <w:sz w:val="22"/>
          <w:szCs w:val="22"/>
          <w:lang w:eastAsia="en-GB"/>
        </w:rPr>
        <w:t xml:space="preserve">a </w:t>
      </w:r>
      <w:r w:rsidRPr="001561C1">
        <w:rPr>
          <w:rFonts w:eastAsia="Times New Roman"/>
          <w:color w:val="000000"/>
          <w:sz w:val="22"/>
          <w:szCs w:val="22"/>
          <w:lang w:eastAsia="en-GB"/>
        </w:rPr>
        <w:t>biopsy</w:t>
      </w:r>
      <w:r>
        <w:rPr>
          <w:rFonts w:eastAsia="Times New Roman"/>
          <w:color w:val="000000"/>
          <w:sz w:val="22"/>
          <w:szCs w:val="22"/>
          <w:lang w:eastAsia="en-GB"/>
        </w:rPr>
        <w:t>)</w:t>
      </w:r>
      <w:r w:rsidRPr="001561C1">
        <w:rPr>
          <w:rFonts w:eastAsia="Times New Roman"/>
          <w:color w:val="000000"/>
          <w:sz w:val="22"/>
          <w:szCs w:val="22"/>
          <w:lang w:eastAsia="en-GB"/>
        </w:rPr>
        <w:t xml:space="preserve">. </w:t>
      </w:r>
      <w:r>
        <w:rPr>
          <w:rFonts w:eastAsia="Times New Roman"/>
          <w:color w:val="000000"/>
          <w:sz w:val="22"/>
          <w:szCs w:val="22"/>
          <w:lang w:eastAsia="en-GB"/>
        </w:rPr>
        <w:t xml:space="preserve"> </w:t>
      </w:r>
      <w:r w:rsidRPr="001561C1">
        <w:rPr>
          <w:rFonts w:eastAsia="Times New Roman"/>
          <w:color w:val="000000"/>
          <w:sz w:val="22"/>
          <w:szCs w:val="22"/>
          <w:lang w:eastAsia="en-GB"/>
        </w:rPr>
        <w:t xml:space="preserve">At the time when </w:t>
      </w:r>
      <w:r>
        <w:rPr>
          <w:rFonts w:eastAsia="Times New Roman"/>
          <w:color w:val="000000"/>
          <w:sz w:val="22"/>
          <w:szCs w:val="22"/>
          <w:lang w:eastAsia="en-GB"/>
        </w:rPr>
        <w:t xml:space="preserve">men in this study </w:t>
      </w:r>
      <w:r w:rsidRPr="001561C1">
        <w:rPr>
          <w:rFonts w:eastAsia="Times New Roman"/>
          <w:color w:val="000000"/>
          <w:sz w:val="22"/>
          <w:szCs w:val="22"/>
          <w:lang w:eastAsia="en-GB"/>
        </w:rPr>
        <w:t xml:space="preserve">were diagnosed, there was less access to </w:t>
      </w:r>
      <w:r>
        <w:rPr>
          <w:rFonts w:eastAsia="Times New Roman"/>
          <w:color w:val="000000"/>
          <w:sz w:val="22"/>
          <w:szCs w:val="22"/>
          <w:lang w:eastAsia="en-GB"/>
        </w:rPr>
        <w:t>multi-disciplinary team</w:t>
      </w:r>
      <w:r w:rsidRPr="001561C1">
        <w:rPr>
          <w:rFonts w:eastAsia="Times New Roman"/>
          <w:color w:val="000000"/>
          <w:sz w:val="22"/>
          <w:szCs w:val="22"/>
          <w:lang w:eastAsia="en-GB"/>
        </w:rPr>
        <w:t xml:space="preserve"> systems to capture staging </w:t>
      </w:r>
      <w:r>
        <w:rPr>
          <w:rFonts w:eastAsia="Times New Roman"/>
          <w:color w:val="000000"/>
          <w:sz w:val="22"/>
          <w:szCs w:val="22"/>
          <w:lang w:eastAsia="en-GB"/>
        </w:rPr>
        <w:t xml:space="preserve">information, though this has now improved. </w:t>
      </w:r>
      <w:r w:rsidRPr="001561C1">
        <w:rPr>
          <w:rFonts w:eastAsia="Times New Roman"/>
          <w:color w:val="000000"/>
          <w:sz w:val="22"/>
          <w:szCs w:val="22"/>
          <w:lang w:eastAsia="en-GB"/>
        </w:rPr>
        <w:t xml:space="preserve"> </w:t>
      </w:r>
      <w:r w:rsidRPr="006D00F4">
        <w:rPr>
          <w:bCs/>
          <w:iCs/>
          <w:color w:val="212121"/>
          <w:sz w:val="22"/>
          <w:szCs w:val="22"/>
          <w:shd w:val="clear" w:color="auto" w:fill="FFFFFF"/>
          <w:lang w:val="en-US"/>
        </w:rPr>
        <w:t xml:space="preserve">Cancer registries routinely derive an area-based measure of socio-economic deprivation using patient postcode and completeness of this is high (2% missing in our study).  It was decided to use this measure rather than add additional items to an already long questionnaire.  </w:t>
      </w:r>
      <w:r>
        <w:rPr>
          <w:rFonts w:eastAsia="Times New Roman"/>
          <w:color w:val="000000"/>
          <w:sz w:val="22"/>
          <w:szCs w:val="22"/>
          <w:lang w:val="en-US" w:eastAsia="en-GB"/>
        </w:rPr>
        <w:t>Treatment information was s</w:t>
      </w:r>
      <w:r w:rsidRPr="008D0124">
        <w:rPr>
          <w:rFonts w:eastAsia="Times New Roman"/>
          <w:color w:val="000000"/>
          <w:sz w:val="22"/>
          <w:szCs w:val="22"/>
          <w:lang w:val="en-US" w:eastAsia="en-GB"/>
        </w:rPr>
        <w:t>elf-reported</w:t>
      </w:r>
      <w:r>
        <w:rPr>
          <w:rFonts w:eastAsia="Times New Roman"/>
          <w:color w:val="000000"/>
          <w:sz w:val="22"/>
          <w:szCs w:val="22"/>
          <w:lang w:val="en-US" w:eastAsia="en-GB"/>
        </w:rPr>
        <w:t>,</w:t>
      </w:r>
      <w:r w:rsidRPr="008D0124">
        <w:rPr>
          <w:rFonts w:eastAsia="Times New Roman"/>
          <w:color w:val="000000"/>
          <w:sz w:val="22"/>
          <w:szCs w:val="22"/>
          <w:lang w:val="en-US" w:eastAsia="en-GB"/>
        </w:rPr>
        <w:t xml:space="preserve"> due to limited data in cancer registries on types of monitoring and difficulties in capturing hormone therapies administered through primary care prescriptions (P</w:t>
      </w:r>
      <w:r>
        <w:rPr>
          <w:rFonts w:eastAsia="Times New Roman"/>
          <w:color w:val="000000"/>
          <w:sz w:val="22"/>
          <w:szCs w:val="22"/>
          <w:lang w:val="en-US" w:eastAsia="en-GB"/>
        </w:rPr>
        <w:t xml:space="preserve">ublic </w:t>
      </w:r>
      <w:r w:rsidRPr="008D0124">
        <w:rPr>
          <w:rFonts w:eastAsia="Times New Roman"/>
          <w:color w:val="000000"/>
          <w:sz w:val="22"/>
          <w:szCs w:val="22"/>
          <w:lang w:val="en-US" w:eastAsia="en-GB"/>
        </w:rPr>
        <w:t>H</w:t>
      </w:r>
      <w:r>
        <w:rPr>
          <w:rFonts w:eastAsia="Times New Roman"/>
          <w:color w:val="000000"/>
          <w:sz w:val="22"/>
          <w:szCs w:val="22"/>
          <w:lang w:val="en-US" w:eastAsia="en-GB"/>
        </w:rPr>
        <w:t xml:space="preserve">ealth </w:t>
      </w:r>
      <w:r w:rsidRPr="008D0124">
        <w:rPr>
          <w:rFonts w:eastAsia="Times New Roman"/>
          <w:color w:val="000000"/>
          <w:sz w:val="22"/>
          <w:szCs w:val="22"/>
          <w:lang w:val="en-US" w:eastAsia="en-GB"/>
        </w:rPr>
        <w:t>E</w:t>
      </w:r>
      <w:r>
        <w:rPr>
          <w:rFonts w:eastAsia="Times New Roman"/>
          <w:color w:val="000000"/>
          <w:sz w:val="22"/>
          <w:szCs w:val="22"/>
          <w:lang w:val="en-US" w:eastAsia="en-GB"/>
        </w:rPr>
        <w:t>ngland</w:t>
      </w:r>
      <w:r w:rsidRPr="008D0124">
        <w:rPr>
          <w:rFonts w:eastAsia="Times New Roman"/>
          <w:color w:val="000000"/>
          <w:sz w:val="22"/>
          <w:szCs w:val="22"/>
          <w:lang w:val="en-US" w:eastAsia="en-GB"/>
        </w:rPr>
        <w:t>, Personal Communication).  However, some respondents had difficulty reporting the treatments they received (e.g. distinguishing between types of radiotherapy</w:t>
      </w:r>
      <w:r>
        <w:rPr>
          <w:rFonts w:eastAsia="Times New Roman"/>
          <w:color w:val="000000"/>
          <w:sz w:val="22"/>
          <w:szCs w:val="22"/>
          <w:lang w:val="en-US" w:eastAsia="en-GB"/>
        </w:rPr>
        <w:t>)</w:t>
      </w:r>
      <w:r w:rsidRPr="008D0124">
        <w:rPr>
          <w:rFonts w:eastAsia="Times New Roman"/>
          <w:color w:val="000000"/>
          <w:sz w:val="22"/>
          <w:szCs w:val="22"/>
          <w:lang w:val="en-US" w:eastAsia="en-GB"/>
        </w:rPr>
        <w:t xml:space="preserve"> and </w:t>
      </w:r>
      <w:r>
        <w:rPr>
          <w:rFonts w:eastAsia="Times New Roman"/>
          <w:color w:val="000000"/>
          <w:sz w:val="22"/>
          <w:szCs w:val="22"/>
          <w:lang w:val="en-US" w:eastAsia="en-GB"/>
        </w:rPr>
        <w:t>these groups had to be excluded from some analyses</w:t>
      </w:r>
      <w:r w:rsidRPr="008D0124">
        <w:rPr>
          <w:rFonts w:eastAsia="Times New Roman"/>
          <w:color w:val="000000"/>
          <w:sz w:val="22"/>
          <w:szCs w:val="22"/>
          <w:lang w:val="en-US" w:eastAsia="en-GB"/>
        </w:rPr>
        <w:t>.</w:t>
      </w:r>
    </w:p>
    <w:p w:rsidR="00E037B4" w:rsidRPr="008D0124" w:rsidRDefault="00E037B4" w:rsidP="006A0590">
      <w:pPr>
        <w:spacing w:before="0" w:after="240" w:line="480" w:lineRule="auto"/>
        <w:jc w:val="both"/>
        <w:rPr>
          <w:rFonts w:ascii="Times New Roman" w:eastAsia="Times New Roman" w:hAnsi="Times New Roman" w:cs="Times New Roman"/>
          <w:lang w:val="en-US" w:eastAsia="en-GB"/>
        </w:rPr>
      </w:pPr>
      <w:r>
        <w:rPr>
          <w:color w:val="000000"/>
          <w:sz w:val="22"/>
          <w:szCs w:val="22"/>
        </w:rPr>
        <w:t xml:space="preserve">Most men living 18-42 months after diagnosis of PCa </w:t>
      </w:r>
      <w:r w:rsidRPr="00B678DE">
        <w:rPr>
          <w:rFonts w:eastAsiaTheme="minorEastAsia"/>
          <w:bCs/>
          <w:sz w:val="22"/>
          <w:szCs w:val="22"/>
        </w:rPr>
        <w:t xml:space="preserve">can expect to experience </w:t>
      </w:r>
      <w:r>
        <w:rPr>
          <w:rFonts w:eastAsiaTheme="minorEastAsia"/>
          <w:bCs/>
          <w:sz w:val="22"/>
          <w:szCs w:val="22"/>
        </w:rPr>
        <w:t xml:space="preserve">as </w:t>
      </w:r>
      <w:r w:rsidRPr="00B678DE">
        <w:rPr>
          <w:rFonts w:eastAsiaTheme="minorEastAsia"/>
          <w:bCs/>
          <w:sz w:val="22"/>
          <w:szCs w:val="22"/>
        </w:rPr>
        <w:t xml:space="preserve">good </w:t>
      </w:r>
      <w:r>
        <w:rPr>
          <w:rFonts w:eastAsiaTheme="minorEastAsia"/>
          <w:bCs/>
          <w:sz w:val="22"/>
          <w:szCs w:val="22"/>
        </w:rPr>
        <w:t>HRQL as men in the general population.</w:t>
      </w:r>
      <w:r w:rsidRPr="00B678DE">
        <w:rPr>
          <w:rFonts w:eastAsiaTheme="minorEastAsia"/>
          <w:bCs/>
          <w:sz w:val="22"/>
          <w:szCs w:val="22"/>
        </w:rPr>
        <w:t xml:space="preserve"> </w:t>
      </w:r>
      <w:r>
        <w:rPr>
          <w:rFonts w:eastAsiaTheme="minorEastAsia"/>
          <w:bCs/>
          <w:sz w:val="22"/>
          <w:szCs w:val="22"/>
        </w:rPr>
        <w:t xml:space="preserve"> </w:t>
      </w:r>
      <w:r>
        <w:rPr>
          <w:color w:val="000000"/>
          <w:sz w:val="22"/>
          <w:szCs w:val="22"/>
        </w:rPr>
        <w:t xml:space="preserve">Those diagnosed with locally advanced and metastatic disease do not report markedly different HRQL outcomes to those diagnosed with localised disease, although significant problems with hormonal function and fatigue are reported as a result of ADT.  However, it should be recognised that this study covers a limited window of time and HRQL in those with metastatic disease may deteriorate over a longer time period.  </w:t>
      </w:r>
      <w:r w:rsidRPr="008D0124">
        <w:rPr>
          <w:rFonts w:eastAsia="Times New Roman"/>
          <w:color w:val="000000"/>
          <w:sz w:val="22"/>
          <w:szCs w:val="22"/>
          <w:lang w:val="en-US" w:eastAsia="en-GB"/>
        </w:rPr>
        <w:t xml:space="preserve">Sexual </w:t>
      </w:r>
      <w:r>
        <w:rPr>
          <w:rFonts w:eastAsia="Times New Roman"/>
          <w:color w:val="000000"/>
          <w:sz w:val="22"/>
          <w:szCs w:val="22"/>
          <w:lang w:val="en-US" w:eastAsia="en-GB"/>
        </w:rPr>
        <w:t>dysfunction is common across all disease stages, with notably p</w:t>
      </w:r>
      <w:r w:rsidRPr="008D0124">
        <w:rPr>
          <w:rFonts w:eastAsia="Times New Roman"/>
          <w:color w:val="000000"/>
          <w:sz w:val="22"/>
          <w:szCs w:val="22"/>
          <w:lang w:val="en-US" w:eastAsia="en-GB"/>
        </w:rPr>
        <w:t>oor provision of sexual support.</w:t>
      </w:r>
      <w:r>
        <w:rPr>
          <w:rFonts w:eastAsia="Times New Roman"/>
          <w:color w:val="000000"/>
          <w:sz w:val="22"/>
          <w:szCs w:val="22"/>
          <w:lang w:val="en-US" w:eastAsia="en-GB"/>
        </w:rPr>
        <w:t xml:space="preserve">  Our results suggest that there are subgroups of men who would benefit from service improvements around sexual rehabilitation and measures to reduce the impact of ADT.  This study shows that outcomes for men with PCa are</w:t>
      </w:r>
      <w:r w:rsidRPr="00270096">
        <w:rPr>
          <w:rFonts w:eastAsia="Times New Roman"/>
          <w:color w:val="000000"/>
          <w:sz w:val="22"/>
          <w:szCs w:val="22"/>
          <w:lang w:val="en-US" w:eastAsia="en-GB"/>
        </w:rPr>
        <w:t xml:space="preserve"> </w:t>
      </w:r>
      <w:r>
        <w:rPr>
          <w:rFonts w:eastAsia="Times New Roman"/>
          <w:color w:val="000000"/>
          <w:sz w:val="22"/>
          <w:szCs w:val="22"/>
          <w:lang w:val="en-US" w:eastAsia="en-GB"/>
        </w:rPr>
        <w:t xml:space="preserve">more strongly linked with the </w:t>
      </w:r>
      <w:r w:rsidRPr="00270096">
        <w:rPr>
          <w:rFonts w:eastAsia="Times New Roman"/>
          <w:color w:val="000000"/>
          <w:sz w:val="22"/>
          <w:szCs w:val="22"/>
          <w:lang w:val="en-US" w:eastAsia="en-GB"/>
        </w:rPr>
        <w:t xml:space="preserve">treatments received </w:t>
      </w:r>
      <w:r>
        <w:rPr>
          <w:rFonts w:eastAsia="Times New Roman"/>
          <w:color w:val="000000"/>
          <w:sz w:val="22"/>
          <w:szCs w:val="22"/>
          <w:lang w:val="en-US" w:eastAsia="en-GB"/>
        </w:rPr>
        <w:t xml:space="preserve">than </w:t>
      </w:r>
      <w:r w:rsidRPr="00270096">
        <w:rPr>
          <w:rFonts w:eastAsia="Times New Roman"/>
          <w:color w:val="000000"/>
          <w:sz w:val="22"/>
          <w:szCs w:val="22"/>
          <w:lang w:val="en-US" w:eastAsia="en-GB"/>
        </w:rPr>
        <w:t xml:space="preserve">disease stage </w:t>
      </w:r>
      <w:r>
        <w:rPr>
          <w:rFonts w:eastAsia="Times New Roman"/>
          <w:color w:val="000000"/>
          <w:sz w:val="22"/>
          <w:szCs w:val="22"/>
          <w:lang w:val="en-US" w:eastAsia="en-GB"/>
        </w:rPr>
        <w:t>itself, al</w:t>
      </w:r>
      <w:r w:rsidRPr="00270096">
        <w:rPr>
          <w:rFonts w:eastAsia="Times New Roman"/>
          <w:color w:val="000000"/>
          <w:sz w:val="22"/>
          <w:szCs w:val="22"/>
          <w:lang w:val="en-US" w:eastAsia="en-GB"/>
        </w:rPr>
        <w:t xml:space="preserve">though clearly the two are intertwined. </w:t>
      </w:r>
      <w:r>
        <w:rPr>
          <w:rFonts w:eastAsia="Times New Roman"/>
          <w:color w:val="000000"/>
          <w:sz w:val="22"/>
          <w:szCs w:val="22"/>
          <w:lang w:val="en-US" w:eastAsia="en-GB"/>
        </w:rPr>
        <w:t xml:space="preserve"> These results</w:t>
      </w:r>
      <w:r>
        <w:rPr>
          <w:color w:val="000000"/>
          <w:sz w:val="22"/>
          <w:szCs w:val="22"/>
        </w:rPr>
        <w:t xml:space="preserve"> allow clinicians to present very positive goals for quality of survival 18-42 months after diagnosis, including for a substantial proportion of men with metastatic disease.</w:t>
      </w:r>
      <w:r w:rsidRPr="008D0124">
        <w:rPr>
          <w:rFonts w:ascii="Times New Roman" w:eastAsia="Times New Roman" w:hAnsi="Times New Roman" w:cs="Times New Roman"/>
          <w:lang w:val="en-US" w:eastAsia="en-GB"/>
        </w:rPr>
        <w:t xml:space="preserve"> </w:t>
      </w:r>
    </w:p>
    <w:p w:rsidR="00E037B4" w:rsidRDefault="00E037B4">
      <w:pPr>
        <w:spacing w:before="0" w:after="200"/>
        <w:rPr>
          <w:rFonts w:eastAsia="Times New Roman"/>
          <w:b/>
          <w:bCs/>
          <w:color w:val="000000"/>
          <w:sz w:val="22"/>
          <w:szCs w:val="22"/>
          <w:lang w:val="en-US" w:eastAsia="en-GB"/>
        </w:rPr>
      </w:pPr>
    </w:p>
    <w:p w:rsidR="00E037B4" w:rsidRPr="0019541A" w:rsidRDefault="00E037B4">
      <w:pPr>
        <w:spacing w:before="0" w:after="200"/>
        <w:rPr>
          <w:rFonts w:eastAsia="Times New Roman"/>
          <w:bCs/>
          <w:i/>
          <w:color w:val="000000"/>
          <w:sz w:val="22"/>
          <w:szCs w:val="22"/>
          <w:highlight w:val="yellow"/>
          <w:lang w:val="en-US" w:eastAsia="en-GB"/>
        </w:rPr>
      </w:pPr>
    </w:p>
    <w:p w:rsidR="00E037B4" w:rsidRPr="0019541A" w:rsidRDefault="00E037B4">
      <w:pPr>
        <w:spacing w:before="0" w:after="200"/>
        <w:rPr>
          <w:rFonts w:eastAsia="Times New Roman"/>
          <w:bCs/>
          <w:i/>
          <w:color w:val="000000"/>
          <w:sz w:val="22"/>
          <w:szCs w:val="22"/>
          <w:lang w:val="en-US" w:eastAsia="en-GB"/>
        </w:rPr>
      </w:pPr>
      <w:r w:rsidRPr="0019541A">
        <w:rPr>
          <w:rFonts w:eastAsia="Times New Roman"/>
          <w:bCs/>
          <w:i/>
          <w:color w:val="000000"/>
          <w:sz w:val="22"/>
          <w:szCs w:val="22"/>
          <w:lang w:val="en-US" w:eastAsia="en-GB"/>
        </w:rPr>
        <w:lastRenderedPageBreak/>
        <w:t xml:space="preserve"> </w:t>
      </w:r>
      <w:r w:rsidRPr="0019541A">
        <w:rPr>
          <w:rFonts w:eastAsia="Times New Roman"/>
          <w:bCs/>
          <w:i/>
          <w:color w:val="000000"/>
          <w:sz w:val="22"/>
          <w:szCs w:val="22"/>
          <w:lang w:val="en-US" w:eastAsia="en-GB"/>
        </w:rPr>
        <w:br w:type="page"/>
      </w:r>
    </w:p>
    <w:p w:rsidR="00E037B4" w:rsidRPr="00C95F30" w:rsidRDefault="00E037B4" w:rsidP="006A0590">
      <w:pPr>
        <w:spacing w:before="0" w:line="480" w:lineRule="auto"/>
        <w:jc w:val="both"/>
        <w:outlineLvl w:val="0"/>
        <w:rPr>
          <w:rFonts w:eastAsia="Times New Roman"/>
          <w:b/>
          <w:sz w:val="22"/>
          <w:lang w:val="en-US" w:eastAsia="en-GB"/>
        </w:rPr>
      </w:pPr>
      <w:r w:rsidRPr="00C95F30">
        <w:rPr>
          <w:rFonts w:eastAsia="Times New Roman"/>
          <w:b/>
          <w:sz w:val="22"/>
          <w:lang w:val="en-US" w:eastAsia="en-GB"/>
        </w:rPr>
        <w:lastRenderedPageBreak/>
        <w:t>Acknowledgements</w:t>
      </w:r>
    </w:p>
    <w:p w:rsidR="00E037B4" w:rsidRPr="009B6064" w:rsidRDefault="00E037B4" w:rsidP="006A0590">
      <w:pPr>
        <w:pStyle w:val="PlainText"/>
        <w:spacing w:after="240" w:line="480" w:lineRule="auto"/>
        <w:jc w:val="both"/>
        <w:rPr>
          <w:rFonts w:ascii="Arial" w:eastAsia="Times New Roman" w:hAnsi="Arial"/>
          <w:color w:val="000000"/>
          <w:sz w:val="22"/>
          <w:szCs w:val="22"/>
          <w:lang w:val="en-US" w:eastAsia="en-GB"/>
        </w:rPr>
      </w:pPr>
      <w:r w:rsidRPr="009B6064">
        <w:rPr>
          <w:rFonts w:ascii="Arial" w:eastAsia="Times New Roman" w:hAnsi="Arial"/>
          <w:color w:val="000000"/>
          <w:sz w:val="22"/>
          <w:szCs w:val="22"/>
          <w:lang w:val="en-US" w:eastAsia="en-GB"/>
        </w:rPr>
        <w:t xml:space="preserve">The authors thank all the men who completed surveys. We acknowledge the following people for their contribution to the development and running of the study: Heather Kinnear, Victoria Cairnduff, Conan Donnelly, </w:t>
      </w:r>
      <w:r>
        <w:rPr>
          <w:rFonts w:ascii="Arial" w:eastAsia="Times New Roman" w:hAnsi="Arial"/>
          <w:color w:val="000000"/>
          <w:sz w:val="22"/>
          <w:szCs w:val="22"/>
          <w:lang w:val="en-US" w:eastAsia="en-GB"/>
        </w:rPr>
        <w:t xml:space="preserve">Fraser Munro, </w:t>
      </w:r>
      <w:r w:rsidRPr="009B6064">
        <w:rPr>
          <w:rFonts w:ascii="Arial" w:eastAsia="Times New Roman" w:hAnsi="Arial"/>
          <w:color w:val="000000"/>
          <w:sz w:val="22"/>
          <w:szCs w:val="22"/>
          <w:lang w:val="en-US" w:eastAsia="en-GB"/>
        </w:rPr>
        <w:t xml:space="preserve">Linda Roberts, </w:t>
      </w:r>
      <w:r>
        <w:rPr>
          <w:rFonts w:ascii="Arial" w:eastAsia="Times New Roman" w:hAnsi="Arial"/>
          <w:color w:val="000000"/>
          <w:sz w:val="22"/>
          <w:szCs w:val="22"/>
          <w:lang w:val="en-US" w:eastAsia="en-GB"/>
        </w:rPr>
        <w:t xml:space="preserve">Dawn Allen, Janet Warlow, </w:t>
      </w:r>
      <w:r w:rsidRPr="009B6064">
        <w:rPr>
          <w:rFonts w:ascii="Arial" w:eastAsia="Times New Roman" w:hAnsi="Arial"/>
          <w:color w:val="000000"/>
          <w:sz w:val="22"/>
          <w:szCs w:val="22"/>
          <w:lang w:val="en-US" w:eastAsia="en-GB"/>
        </w:rPr>
        <w:t>the User Advisory Group</w:t>
      </w:r>
      <w:r>
        <w:rPr>
          <w:rFonts w:ascii="Arial" w:eastAsia="Times New Roman" w:hAnsi="Arial"/>
          <w:color w:val="000000"/>
          <w:sz w:val="22"/>
          <w:szCs w:val="22"/>
          <w:lang w:val="en-US" w:eastAsia="en-GB"/>
        </w:rPr>
        <w:t>,</w:t>
      </w:r>
      <w:r w:rsidRPr="009B6064">
        <w:rPr>
          <w:rFonts w:ascii="Arial" w:eastAsia="Times New Roman" w:hAnsi="Arial"/>
          <w:color w:val="000000"/>
          <w:sz w:val="22"/>
          <w:szCs w:val="22"/>
          <w:lang w:val="en-US" w:eastAsia="en-GB"/>
        </w:rPr>
        <w:t xml:space="preserve"> Clinical &amp; Scientific Advisory Group and Picker Institute Europe.  This study is based in part on information collected and quality assured by the cancer registries in each nation.  Th</w:t>
      </w:r>
      <w:r>
        <w:rPr>
          <w:rFonts w:ascii="Arial" w:eastAsia="Times New Roman" w:hAnsi="Arial"/>
          <w:color w:val="000000"/>
          <w:sz w:val="22"/>
          <w:szCs w:val="22"/>
          <w:lang w:val="en-US" w:eastAsia="en-GB"/>
        </w:rPr>
        <w:t>eir</w:t>
      </w:r>
      <w:r w:rsidRPr="009B6064">
        <w:rPr>
          <w:rFonts w:ascii="Arial" w:eastAsia="Times New Roman" w:hAnsi="Arial"/>
          <w:color w:val="000000"/>
          <w:sz w:val="22"/>
          <w:szCs w:val="22"/>
          <w:lang w:val="en-US" w:eastAsia="en-GB"/>
        </w:rPr>
        <w:t xml:space="preserve"> work uses data provided by pat</w:t>
      </w:r>
      <w:r>
        <w:rPr>
          <w:rFonts w:ascii="Arial" w:eastAsia="Times New Roman" w:hAnsi="Arial"/>
          <w:color w:val="000000"/>
          <w:sz w:val="22"/>
          <w:szCs w:val="22"/>
          <w:lang w:val="en-US" w:eastAsia="en-GB"/>
        </w:rPr>
        <w:t>i</w:t>
      </w:r>
      <w:r w:rsidRPr="009B6064">
        <w:rPr>
          <w:rFonts w:ascii="Arial" w:eastAsia="Times New Roman" w:hAnsi="Arial"/>
          <w:color w:val="000000"/>
          <w:sz w:val="22"/>
          <w:szCs w:val="22"/>
          <w:lang w:val="en-US" w:eastAsia="en-GB"/>
        </w:rPr>
        <w:t>ents and collected by health services as part of their care and support.</w:t>
      </w:r>
    </w:p>
    <w:p w:rsidR="00E037B4" w:rsidRPr="00C95F30" w:rsidRDefault="00E037B4" w:rsidP="006A0590">
      <w:pPr>
        <w:spacing w:before="0" w:line="480" w:lineRule="auto"/>
        <w:jc w:val="both"/>
        <w:outlineLvl w:val="0"/>
        <w:rPr>
          <w:rFonts w:eastAsia="Times New Roman"/>
          <w:b/>
          <w:sz w:val="22"/>
          <w:lang w:val="en-US" w:eastAsia="en-GB"/>
        </w:rPr>
      </w:pPr>
      <w:r w:rsidRPr="00C95F30">
        <w:rPr>
          <w:rFonts w:eastAsia="Times New Roman"/>
          <w:b/>
          <w:sz w:val="22"/>
          <w:lang w:val="en-US" w:eastAsia="en-GB"/>
        </w:rPr>
        <w:t xml:space="preserve">Ethical approval </w:t>
      </w:r>
    </w:p>
    <w:p w:rsidR="00E037B4" w:rsidRPr="008D0124" w:rsidRDefault="00E037B4" w:rsidP="006A0590">
      <w:pPr>
        <w:spacing w:before="0" w:after="240" w:line="480" w:lineRule="auto"/>
        <w:jc w:val="both"/>
        <w:rPr>
          <w:rFonts w:ascii="Times New Roman" w:eastAsia="Times New Roman" w:hAnsi="Times New Roman" w:cs="Times New Roman"/>
          <w:lang w:val="en-US" w:eastAsia="en-GB"/>
        </w:rPr>
      </w:pPr>
      <w:r w:rsidRPr="008D0124">
        <w:rPr>
          <w:rFonts w:eastAsia="Times New Roman"/>
          <w:color w:val="000000"/>
          <w:sz w:val="22"/>
          <w:szCs w:val="22"/>
          <w:lang w:val="en-US" w:eastAsia="en-GB"/>
        </w:rPr>
        <w:t>The study received the following approvals: Newcastle &amp; North Tyneside 1 Research Ethics Committee (15/NE/0036), Confidentiality Advisory Group (15/CAG/0110), NHS Scotland Public Benefi</w:t>
      </w:r>
      <w:r>
        <w:rPr>
          <w:rFonts w:eastAsia="Times New Roman"/>
          <w:color w:val="000000"/>
          <w:sz w:val="22"/>
          <w:szCs w:val="22"/>
          <w:lang w:val="en-US" w:eastAsia="en-GB"/>
        </w:rPr>
        <w:t>t and Privacy Panel (0516-0364)</w:t>
      </w:r>
      <w:r w:rsidRPr="008D0124">
        <w:rPr>
          <w:rFonts w:eastAsia="Times New Roman"/>
          <w:color w:val="000000"/>
          <w:sz w:val="22"/>
          <w:szCs w:val="22"/>
          <w:lang w:val="en-US" w:eastAsia="en-GB"/>
        </w:rPr>
        <w:t xml:space="preserve"> and NHS R&amp;D approval from Wales, Scotland and Northern Ireland.  </w:t>
      </w:r>
    </w:p>
    <w:p w:rsidR="00E037B4" w:rsidRDefault="00E037B4" w:rsidP="006A0590">
      <w:pPr>
        <w:spacing w:before="0" w:line="480" w:lineRule="auto"/>
        <w:jc w:val="both"/>
        <w:rPr>
          <w:rFonts w:eastAsia="Times New Roman"/>
          <w:b/>
          <w:color w:val="000000"/>
          <w:sz w:val="22"/>
          <w:szCs w:val="22"/>
          <w:lang w:val="en-US" w:eastAsia="en-GB"/>
        </w:rPr>
      </w:pPr>
      <w:r w:rsidRPr="00B37276">
        <w:rPr>
          <w:rFonts w:eastAsia="Times New Roman"/>
          <w:b/>
          <w:color w:val="000000"/>
          <w:sz w:val="22"/>
          <w:szCs w:val="22"/>
          <w:lang w:val="en-US" w:eastAsia="en-GB"/>
        </w:rPr>
        <w:t>Authors’ contributions</w:t>
      </w:r>
    </w:p>
    <w:p w:rsidR="00E037B4" w:rsidRPr="00B37276" w:rsidRDefault="00E037B4" w:rsidP="006A0590">
      <w:pPr>
        <w:spacing w:before="0" w:after="240" w:line="480" w:lineRule="auto"/>
        <w:jc w:val="both"/>
        <w:rPr>
          <w:rFonts w:eastAsia="Times New Roman"/>
          <w:color w:val="000000"/>
          <w:sz w:val="22"/>
          <w:szCs w:val="22"/>
          <w:lang w:val="en-US" w:eastAsia="en-GB"/>
        </w:rPr>
      </w:pPr>
      <w:r>
        <w:rPr>
          <w:rFonts w:eastAsia="Times New Roman"/>
          <w:color w:val="000000"/>
          <w:sz w:val="22"/>
          <w:szCs w:val="22"/>
          <w:lang w:val="en-US" w:eastAsia="en-GB"/>
        </w:rPr>
        <w:t xml:space="preserve">AG and AWG are co-Principal Investigators and designed the study together with co-investigators AD, PW, LH, PS, EW, RW, PK and HB.  RM, MA, TK and OS managed the study and data collection. AD and SW analysed the data.  JC, WC, MM, LS, DW, EM, GV and DH are members of the Clinical &amp; Scientific Advisory Group (chaired by PS) which provided study oversight and advised on interpretation of the data.  DD, DB, EMcN and DH advised on study design, data collection and interpretation of data from the devolved nations.  AD wrote the initial draft of the paper.  All authors contributed to critically revising the paper and approved the final version. </w:t>
      </w:r>
    </w:p>
    <w:p w:rsidR="00E037B4" w:rsidRDefault="00E037B4" w:rsidP="006A0590">
      <w:pPr>
        <w:spacing w:before="0" w:line="480" w:lineRule="auto"/>
        <w:jc w:val="both"/>
        <w:rPr>
          <w:rFonts w:eastAsia="Times New Roman"/>
          <w:b/>
          <w:color w:val="000000"/>
          <w:sz w:val="22"/>
          <w:szCs w:val="22"/>
          <w:lang w:val="en-US" w:eastAsia="en-GB"/>
        </w:rPr>
      </w:pPr>
      <w:r>
        <w:rPr>
          <w:rFonts w:eastAsia="Times New Roman"/>
          <w:b/>
          <w:color w:val="000000"/>
          <w:sz w:val="22"/>
          <w:szCs w:val="22"/>
          <w:lang w:val="en-US" w:eastAsia="en-GB"/>
        </w:rPr>
        <w:t>Declaration</w:t>
      </w:r>
      <w:r w:rsidRPr="00B37276">
        <w:rPr>
          <w:rFonts w:eastAsia="Times New Roman"/>
          <w:b/>
          <w:color w:val="000000"/>
          <w:sz w:val="22"/>
          <w:szCs w:val="22"/>
          <w:lang w:val="en-US" w:eastAsia="en-GB"/>
        </w:rPr>
        <w:t xml:space="preserve"> of interest</w:t>
      </w:r>
      <w:r>
        <w:rPr>
          <w:rFonts w:eastAsia="Times New Roman"/>
          <w:b/>
          <w:color w:val="000000"/>
          <w:sz w:val="22"/>
          <w:szCs w:val="22"/>
          <w:lang w:val="en-US" w:eastAsia="en-GB"/>
        </w:rPr>
        <w:t>s</w:t>
      </w:r>
    </w:p>
    <w:p w:rsidR="00E037B4" w:rsidRPr="003A79CF" w:rsidRDefault="00E037B4" w:rsidP="006A0590">
      <w:pPr>
        <w:spacing w:before="0" w:after="240" w:line="480" w:lineRule="auto"/>
        <w:jc w:val="both"/>
        <w:rPr>
          <w:rFonts w:eastAsia="Times New Roman"/>
          <w:color w:val="000000"/>
          <w:sz w:val="22"/>
          <w:szCs w:val="22"/>
          <w:lang w:val="en-US" w:eastAsia="en-GB"/>
        </w:rPr>
      </w:pPr>
      <w:r>
        <w:rPr>
          <w:rFonts w:eastAsia="Times New Roman"/>
          <w:sz w:val="22"/>
          <w:szCs w:val="22"/>
          <w:lang w:val="en-US" w:eastAsia="en-GB"/>
        </w:rPr>
        <w:t>AWG reports grants from</w:t>
      </w:r>
      <w:r w:rsidRPr="002757F1">
        <w:t xml:space="preserve"> </w:t>
      </w:r>
      <w:r w:rsidRPr="002757F1">
        <w:rPr>
          <w:rFonts w:eastAsia="Times New Roman"/>
          <w:sz w:val="22"/>
          <w:szCs w:val="22"/>
          <w:lang w:val="en-US" w:eastAsia="en-GB"/>
        </w:rPr>
        <w:t xml:space="preserve">Candlelighters, Macmillan Cancer Support, </w:t>
      </w:r>
      <w:r>
        <w:rPr>
          <w:rFonts w:eastAsia="Times New Roman"/>
          <w:sz w:val="22"/>
          <w:szCs w:val="22"/>
          <w:lang w:val="en-US" w:eastAsia="en-GB"/>
        </w:rPr>
        <w:t xml:space="preserve">NIHR, and Yorkshire Cancer Research </w:t>
      </w:r>
      <w:r w:rsidRPr="002757F1">
        <w:rPr>
          <w:rFonts w:eastAsia="Times New Roman"/>
          <w:sz w:val="22"/>
          <w:szCs w:val="22"/>
          <w:lang w:val="en-US" w:eastAsia="en-GB"/>
        </w:rPr>
        <w:t>outside the submitted work</w:t>
      </w:r>
      <w:r>
        <w:rPr>
          <w:rFonts w:eastAsia="Times New Roman"/>
          <w:sz w:val="22"/>
          <w:szCs w:val="22"/>
          <w:lang w:val="en-US" w:eastAsia="en-GB"/>
        </w:rPr>
        <w:t xml:space="preserve">. </w:t>
      </w:r>
      <w:r w:rsidRPr="0099282B">
        <w:rPr>
          <w:rFonts w:eastAsia="Times New Roman"/>
          <w:sz w:val="22"/>
          <w:szCs w:val="22"/>
          <w:lang w:val="en-US" w:eastAsia="en-GB"/>
        </w:rPr>
        <w:t>J</w:t>
      </w:r>
      <w:r>
        <w:rPr>
          <w:rFonts w:eastAsia="Times New Roman"/>
          <w:sz w:val="22"/>
          <w:szCs w:val="22"/>
          <w:lang w:val="en-US" w:eastAsia="en-GB"/>
        </w:rPr>
        <w:t xml:space="preserve">C </w:t>
      </w:r>
      <w:r w:rsidRPr="0099282B">
        <w:rPr>
          <w:rFonts w:eastAsia="Times New Roman"/>
          <w:sz w:val="22"/>
          <w:szCs w:val="22"/>
          <w:lang w:val="en-US" w:eastAsia="en-GB"/>
        </w:rPr>
        <w:t xml:space="preserve">reports personal fees from Steba Biotech (ad board), outside the submitted work; GV reports grants from NIHR, grants from Yorkshire </w:t>
      </w:r>
      <w:r w:rsidRPr="0099282B">
        <w:rPr>
          <w:rFonts w:eastAsia="Times New Roman"/>
          <w:sz w:val="22"/>
          <w:szCs w:val="22"/>
          <w:lang w:val="en-US" w:eastAsia="en-GB"/>
        </w:rPr>
        <w:lastRenderedPageBreak/>
        <w:t>Cancer Research, grants from Cancer Research UK, personal fees from Roche, personal fees from Novartis, personal fees and non-financial support from Eisai outside the submitted work</w:t>
      </w:r>
      <w:r>
        <w:rPr>
          <w:rFonts w:eastAsia="Times New Roman"/>
          <w:sz w:val="22"/>
          <w:szCs w:val="22"/>
          <w:lang w:val="en-US" w:eastAsia="en-GB"/>
        </w:rPr>
        <w:t>, MM reports</w:t>
      </w:r>
      <w:r w:rsidRPr="002757F1">
        <w:t xml:space="preserve"> </w:t>
      </w:r>
      <w:r>
        <w:rPr>
          <w:rFonts w:eastAsia="Times New Roman"/>
          <w:sz w:val="22"/>
          <w:szCs w:val="22"/>
          <w:lang w:val="en-US" w:eastAsia="en-GB"/>
        </w:rPr>
        <w:t>personal fees from Janssen and Endocyte</w:t>
      </w:r>
      <w:r w:rsidRPr="002757F1">
        <w:rPr>
          <w:rFonts w:eastAsia="Times New Roman"/>
          <w:sz w:val="22"/>
          <w:szCs w:val="22"/>
          <w:lang w:val="en-US" w:eastAsia="en-GB"/>
        </w:rPr>
        <w:t xml:space="preserve"> outside the submitted work</w:t>
      </w:r>
      <w:r w:rsidRPr="0099282B">
        <w:rPr>
          <w:rFonts w:eastAsia="Times New Roman"/>
          <w:sz w:val="22"/>
          <w:szCs w:val="22"/>
          <w:lang w:val="en-US" w:eastAsia="en-GB"/>
        </w:rPr>
        <w:t xml:space="preserve">. </w:t>
      </w:r>
      <w:r w:rsidRPr="003A79CF">
        <w:rPr>
          <w:rFonts w:eastAsia="Times New Roman"/>
          <w:color w:val="000000"/>
          <w:sz w:val="22"/>
          <w:szCs w:val="22"/>
          <w:lang w:val="en-US" w:eastAsia="en-GB"/>
        </w:rPr>
        <w:t>All other authors declare</w:t>
      </w:r>
      <w:r>
        <w:rPr>
          <w:rFonts w:eastAsia="Times New Roman"/>
          <w:color w:val="000000"/>
          <w:sz w:val="22"/>
          <w:szCs w:val="22"/>
          <w:lang w:val="en-US" w:eastAsia="en-GB"/>
        </w:rPr>
        <w:t>d</w:t>
      </w:r>
      <w:r w:rsidRPr="003A79CF">
        <w:rPr>
          <w:rFonts w:eastAsia="Times New Roman"/>
          <w:color w:val="000000"/>
          <w:sz w:val="22"/>
          <w:szCs w:val="22"/>
          <w:lang w:val="en-US" w:eastAsia="en-GB"/>
        </w:rPr>
        <w:t xml:space="preserve"> no conflicts of interest. </w:t>
      </w:r>
    </w:p>
    <w:p w:rsidR="00E037B4" w:rsidRDefault="00E037B4">
      <w:pPr>
        <w:spacing w:before="0" w:after="200"/>
        <w:rPr>
          <w:rFonts w:eastAsia="Times New Roman"/>
          <w:b/>
          <w:bCs/>
          <w:color w:val="000000"/>
          <w:sz w:val="22"/>
          <w:szCs w:val="22"/>
          <w:lang w:val="en-US" w:eastAsia="en-GB"/>
        </w:rPr>
      </w:pPr>
      <w:r>
        <w:rPr>
          <w:rFonts w:eastAsia="Times New Roman"/>
          <w:b/>
          <w:bCs/>
          <w:color w:val="000000"/>
          <w:sz w:val="22"/>
          <w:szCs w:val="22"/>
          <w:lang w:val="en-US" w:eastAsia="en-GB"/>
        </w:rPr>
        <w:br w:type="page"/>
      </w:r>
    </w:p>
    <w:p w:rsidR="00E037B4" w:rsidRPr="00634B5D" w:rsidRDefault="00E037B4" w:rsidP="00615636">
      <w:pPr>
        <w:spacing w:before="0" w:line="480" w:lineRule="auto"/>
        <w:outlineLvl w:val="0"/>
        <w:rPr>
          <w:rFonts w:ascii="Times New Roman" w:eastAsia="Times New Roman" w:hAnsi="Times New Roman" w:cs="Times New Roman"/>
          <w:lang w:val="en-US" w:eastAsia="en-GB"/>
        </w:rPr>
      </w:pPr>
      <w:r w:rsidRPr="00634B5D">
        <w:rPr>
          <w:rFonts w:eastAsia="Times New Roman"/>
          <w:b/>
          <w:bCs/>
          <w:color w:val="000000"/>
          <w:sz w:val="22"/>
          <w:szCs w:val="22"/>
          <w:lang w:val="en-US" w:eastAsia="en-GB"/>
        </w:rPr>
        <w:lastRenderedPageBreak/>
        <w:t>References</w:t>
      </w:r>
    </w:p>
    <w:p w:rsidR="00E037B4" w:rsidRPr="00403941" w:rsidRDefault="00E037B4" w:rsidP="00615636">
      <w:pPr>
        <w:pStyle w:val="EndNoteBibliography"/>
        <w:spacing w:before="0" w:line="480" w:lineRule="auto"/>
        <w:jc w:val="left"/>
        <w:rPr>
          <w:sz w:val="22"/>
          <w:szCs w:val="22"/>
        </w:rPr>
      </w:pPr>
      <w:r w:rsidRPr="00403941">
        <w:rPr>
          <w:sz w:val="22"/>
          <w:szCs w:val="22"/>
        </w:rPr>
        <w:t>1.</w:t>
      </w:r>
      <w:r w:rsidRPr="00403941">
        <w:rPr>
          <w:sz w:val="22"/>
          <w:szCs w:val="22"/>
        </w:rPr>
        <w:tab/>
        <w:t xml:space="preserve">Cancer Research UK. Prostate cancer survival statistics. </w:t>
      </w:r>
      <w:r w:rsidRPr="00E037B4">
        <w:rPr>
          <w:rStyle w:val="Hyperlink"/>
          <w:sz w:val="22"/>
          <w:szCs w:val="22"/>
        </w:rPr>
        <w:t>http://www.cancerresearchuk.org/health-professional/cancer-statistics/statistics-by-cancer-type/prostate-cancer/survival</w:t>
      </w:r>
      <w:r w:rsidRPr="00403941">
        <w:rPr>
          <w:sz w:val="22"/>
          <w:szCs w:val="22"/>
        </w:rPr>
        <w:t xml:space="preserve"> (</w:t>
      </w:r>
      <w:r w:rsidR="008C2E5E">
        <w:rPr>
          <w:sz w:val="22"/>
          <w:szCs w:val="22"/>
        </w:rPr>
        <w:t xml:space="preserve">last </w:t>
      </w:r>
      <w:r w:rsidRPr="00403941">
        <w:rPr>
          <w:sz w:val="22"/>
          <w:szCs w:val="22"/>
        </w:rPr>
        <w:t xml:space="preserve">accessed </w:t>
      </w:r>
      <w:r w:rsidR="008C2E5E">
        <w:rPr>
          <w:sz w:val="22"/>
          <w:szCs w:val="22"/>
        </w:rPr>
        <w:t>03/10/2018)</w:t>
      </w:r>
      <w:r w:rsidRPr="00403941">
        <w:rPr>
          <w:sz w:val="22"/>
          <w:szCs w:val="22"/>
        </w:rPr>
        <w:t>.</w:t>
      </w:r>
    </w:p>
    <w:p w:rsidR="00E037B4" w:rsidRPr="00403941" w:rsidRDefault="00E037B4" w:rsidP="00615636">
      <w:pPr>
        <w:pStyle w:val="EndNoteBibliography"/>
        <w:spacing w:before="0" w:line="480" w:lineRule="auto"/>
        <w:jc w:val="left"/>
        <w:rPr>
          <w:sz w:val="22"/>
          <w:szCs w:val="22"/>
        </w:rPr>
      </w:pPr>
      <w:r w:rsidRPr="00403941">
        <w:rPr>
          <w:sz w:val="22"/>
          <w:szCs w:val="22"/>
        </w:rPr>
        <w:t>2.</w:t>
      </w:r>
      <w:r w:rsidRPr="00403941">
        <w:rPr>
          <w:sz w:val="22"/>
          <w:szCs w:val="22"/>
        </w:rPr>
        <w:tab/>
        <w:t xml:space="preserve">National Cancer Registration and Analysis Service. Cancer Prevalence in England: 21 year prevalence by demographic and geographic measures. </w:t>
      </w:r>
      <w:r w:rsidRPr="00E037B4">
        <w:rPr>
          <w:rStyle w:val="Hyperlink"/>
          <w:sz w:val="22"/>
          <w:szCs w:val="22"/>
        </w:rPr>
        <w:t>http://www.ncin.org.uk/local_cancer_intelligence/tcst</w:t>
      </w:r>
      <w:r w:rsidRPr="00403941">
        <w:rPr>
          <w:sz w:val="22"/>
          <w:szCs w:val="22"/>
        </w:rPr>
        <w:t xml:space="preserve"> </w:t>
      </w:r>
      <w:r w:rsidR="008C2E5E" w:rsidRPr="00403941">
        <w:rPr>
          <w:sz w:val="22"/>
          <w:szCs w:val="22"/>
        </w:rPr>
        <w:t>(</w:t>
      </w:r>
      <w:r w:rsidR="008C2E5E">
        <w:rPr>
          <w:sz w:val="22"/>
          <w:szCs w:val="22"/>
        </w:rPr>
        <w:t xml:space="preserve">last </w:t>
      </w:r>
      <w:r w:rsidR="008C2E5E" w:rsidRPr="00403941">
        <w:rPr>
          <w:sz w:val="22"/>
          <w:szCs w:val="22"/>
        </w:rPr>
        <w:t xml:space="preserve">accessed </w:t>
      </w:r>
      <w:r w:rsidR="008C2E5E">
        <w:rPr>
          <w:sz w:val="22"/>
          <w:szCs w:val="22"/>
        </w:rPr>
        <w:t>03/10/2018)</w:t>
      </w:r>
      <w:r w:rsidRPr="00403941">
        <w:rPr>
          <w:sz w:val="22"/>
          <w:szCs w:val="22"/>
        </w:rPr>
        <w:t>.</w:t>
      </w:r>
    </w:p>
    <w:p w:rsidR="00E037B4" w:rsidRPr="00403941" w:rsidRDefault="00E037B4" w:rsidP="00615636">
      <w:pPr>
        <w:pStyle w:val="EndNoteBibliography"/>
        <w:spacing w:before="0" w:line="480" w:lineRule="auto"/>
        <w:jc w:val="left"/>
        <w:rPr>
          <w:sz w:val="22"/>
          <w:szCs w:val="22"/>
        </w:rPr>
      </w:pPr>
      <w:r w:rsidRPr="00403941">
        <w:rPr>
          <w:sz w:val="22"/>
          <w:szCs w:val="22"/>
        </w:rPr>
        <w:t>3.</w:t>
      </w:r>
      <w:r w:rsidRPr="00403941">
        <w:rPr>
          <w:sz w:val="22"/>
          <w:szCs w:val="22"/>
        </w:rPr>
        <w:tab/>
        <w:t xml:space="preserve">National Cancer Institute: Survival Epidemiology and End Results Program. Cancer Stat Facts: Prostate Cancer. 2017. </w:t>
      </w:r>
      <w:r w:rsidRPr="00E037B4">
        <w:rPr>
          <w:rStyle w:val="Hyperlink"/>
          <w:sz w:val="22"/>
          <w:szCs w:val="22"/>
        </w:rPr>
        <w:t>https://seer.cancer.gov/statfacts/html/prost.html</w:t>
      </w:r>
      <w:r w:rsidRPr="00403941">
        <w:rPr>
          <w:sz w:val="22"/>
          <w:szCs w:val="22"/>
        </w:rPr>
        <w:t xml:space="preserve"> </w:t>
      </w:r>
      <w:r w:rsidR="008C2E5E" w:rsidRPr="00403941">
        <w:rPr>
          <w:sz w:val="22"/>
          <w:szCs w:val="22"/>
        </w:rPr>
        <w:t>(</w:t>
      </w:r>
      <w:r w:rsidR="008C2E5E">
        <w:rPr>
          <w:sz w:val="22"/>
          <w:szCs w:val="22"/>
        </w:rPr>
        <w:t xml:space="preserve">last </w:t>
      </w:r>
      <w:r w:rsidR="008C2E5E" w:rsidRPr="00403941">
        <w:rPr>
          <w:sz w:val="22"/>
          <w:szCs w:val="22"/>
        </w:rPr>
        <w:t xml:space="preserve">accessed </w:t>
      </w:r>
      <w:r w:rsidR="008C2E5E">
        <w:rPr>
          <w:sz w:val="22"/>
          <w:szCs w:val="22"/>
        </w:rPr>
        <w:t>03/10/2018)</w:t>
      </w:r>
      <w:r w:rsidRPr="00403941">
        <w:rPr>
          <w:sz w:val="22"/>
          <w:szCs w:val="22"/>
        </w:rPr>
        <w:t>.</w:t>
      </w:r>
    </w:p>
    <w:p w:rsidR="00E037B4" w:rsidRPr="00403941" w:rsidRDefault="00E037B4" w:rsidP="00615636">
      <w:pPr>
        <w:pStyle w:val="EndNoteBibliography"/>
        <w:spacing w:before="0" w:line="480" w:lineRule="auto"/>
        <w:jc w:val="left"/>
        <w:rPr>
          <w:sz w:val="22"/>
          <w:szCs w:val="22"/>
        </w:rPr>
      </w:pPr>
      <w:r w:rsidRPr="00403941">
        <w:rPr>
          <w:sz w:val="22"/>
          <w:szCs w:val="22"/>
        </w:rPr>
        <w:t>4.</w:t>
      </w:r>
      <w:r w:rsidRPr="00403941">
        <w:rPr>
          <w:sz w:val="22"/>
          <w:szCs w:val="22"/>
        </w:rPr>
        <w:tab/>
        <w:t xml:space="preserve">Glaser AW, Corner JL. Prostate Cancer Outcomes: The Three Questions. </w:t>
      </w:r>
      <w:r w:rsidRPr="00403941">
        <w:rPr>
          <w:i/>
          <w:sz w:val="22"/>
          <w:szCs w:val="22"/>
        </w:rPr>
        <w:t>European Urology</w:t>
      </w:r>
      <w:r w:rsidRPr="00403941">
        <w:rPr>
          <w:sz w:val="22"/>
          <w:szCs w:val="22"/>
        </w:rPr>
        <w:t xml:space="preserve"> 2015; </w:t>
      </w:r>
      <w:r w:rsidRPr="00403941">
        <w:rPr>
          <w:b/>
          <w:sz w:val="22"/>
          <w:szCs w:val="22"/>
        </w:rPr>
        <w:t>67</w:t>
      </w:r>
      <w:r w:rsidRPr="00403941">
        <w:rPr>
          <w:sz w:val="22"/>
          <w:szCs w:val="22"/>
        </w:rPr>
        <w:t>(3): 357-8.</w:t>
      </w:r>
    </w:p>
    <w:p w:rsidR="00E037B4" w:rsidRPr="00403941" w:rsidRDefault="00E037B4" w:rsidP="00615636">
      <w:pPr>
        <w:pStyle w:val="EndNoteBibliography"/>
        <w:spacing w:before="0" w:line="480" w:lineRule="auto"/>
        <w:jc w:val="left"/>
        <w:rPr>
          <w:sz w:val="22"/>
          <w:szCs w:val="22"/>
        </w:rPr>
      </w:pPr>
      <w:r w:rsidRPr="00403941">
        <w:rPr>
          <w:sz w:val="22"/>
          <w:szCs w:val="22"/>
        </w:rPr>
        <w:t>5.</w:t>
      </w:r>
      <w:r w:rsidRPr="00403941">
        <w:rPr>
          <w:sz w:val="22"/>
          <w:szCs w:val="22"/>
        </w:rPr>
        <w:tab/>
        <w:t xml:space="preserve">Donovan JL, Hamdy FC, Lane JA, et al. Patient-Reported Outcomes after Monitoring, Surgery, or Radiotherapy for Prostate Cancer. </w:t>
      </w:r>
      <w:r w:rsidRPr="00403941">
        <w:rPr>
          <w:i/>
          <w:sz w:val="22"/>
          <w:szCs w:val="22"/>
        </w:rPr>
        <w:t>New England Journal of Medicine</w:t>
      </w:r>
      <w:r w:rsidRPr="00403941">
        <w:rPr>
          <w:sz w:val="22"/>
          <w:szCs w:val="22"/>
        </w:rPr>
        <w:t xml:space="preserve"> 2016; </w:t>
      </w:r>
      <w:r w:rsidRPr="00403941">
        <w:rPr>
          <w:b/>
          <w:sz w:val="22"/>
          <w:szCs w:val="22"/>
        </w:rPr>
        <w:t>375</w:t>
      </w:r>
      <w:r w:rsidRPr="00403941">
        <w:rPr>
          <w:sz w:val="22"/>
          <w:szCs w:val="22"/>
        </w:rPr>
        <w:t>(15): 1425-37.</w:t>
      </w:r>
    </w:p>
    <w:p w:rsidR="00E037B4" w:rsidRPr="00403941" w:rsidRDefault="00E037B4" w:rsidP="00615636">
      <w:pPr>
        <w:pStyle w:val="EndNoteBibliography"/>
        <w:spacing w:before="0" w:line="480" w:lineRule="auto"/>
        <w:jc w:val="left"/>
        <w:rPr>
          <w:sz w:val="22"/>
          <w:szCs w:val="22"/>
        </w:rPr>
      </w:pPr>
      <w:r w:rsidRPr="00403941">
        <w:rPr>
          <w:sz w:val="22"/>
          <w:szCs w:val="22"/>
        </w:rPr>
        <w:t>6.</w:t>
      </w:r>
      <w:r w:rsidRPr="00403941">
        <w:rPr>
          <w:sz w:val="22"/>
          <w:szCs w:val="22"/>
        </w:rPr>
        <w:tab/>
        <w:t xml:space="preserve">Resnick  MJ, Koyama  T, Fan  K-H, et al. Long-Term Functional Outcomes after Treatment for Localized Prostate Cancer. </w:t>
      </w:r>
      <w:r w:rsidRPr="00403941">
        <w:rPr>
          <w:i/>
          <w:sz w:val="22"/>
          <w:szCs w:val="22"/>
        </w:rPr>
        <w:t>New England Journal of Medicine</w:t>
      </w:r>
      <w:r w:rsidRPr="00403941">
        <w:rPr>
          <w:sz w:val="22"/>
          <w:szCs w:val="22"/>
        </w:rPr>
        <w:t xml:space="preserve"> 2013; </w:t>
      </w:r>
      <w:r w:rsidRPr="00403941">
        <w:rPr>
          <w:b/>
          <w:sz w:val="22"/>
          <w:szCs w:val="22"/>
        </w:rPr>
        <w:t>368</w:t>
      </w:r>
      <w:r w:rsidRPr="00403941">
        <w:rPr>
          <w:sz w:val="22"/>
          <w:szCs w:val="22"/>
        </w:rPr>
        <w:t>(5): 436-45.</w:t>
      </w:r>
    </w:p>
    <w:p w:rsidR="00E037B4" w:rsidRPr="00403941" w:rsidRDefault="00E037B4" w:rsidP="00615636">
      <w:pPr>
        <w:pStyle w:val="EndNoteBibliography"/>
        <w:spacing w:before="0" w:line="480" w:lineRule="auto"/>
        <w:jc w:val="left"/>
        <w:rPr>
          <w:sz w:val="22"/>
          <w:szCs w:val="22"/>
        </w:rPr>
      </w:pPr>
      <w:r w:rsidRPr="00403941">
        <w:rPr>
          <w:sz w:val="22"/>
          <w:szCs w:val="22"/>
        </w:rPr>
        <w:t>7.</w:t>
      </w:r>
      <w:r w:rsidRPr="00403941">
        <w:rPr>
          <w:sz w:val="22"/>
          <w:szCs w:val="22"/>
        </w:rPr>
        <w:tab/>
        <w:t xml:space="preserve">Johansson E, Steineck G, Holmberg L, et al. Long-term quality-of-life outcomes after radical prostatectomy or watchful waiting: the Scandinavian Prostate Cancer Group-4 randomised trial. </w:t>
      </w:r>
      <w:r w:rsidRPr="00403941">
        <w:rPr>
          <w:i/>
          <w:sz w:val="22"/>
          <w:szCs w:val="22"/>
        </w:rPr>
        <w:t>The Lancet Oncology</w:t>
      </w:r>
      <w:r w:rsidRPr="00403941">
        <w:rPr>
          <w:sz w:val="22"/>
          <w:szCs w:val="22"/>
        </w:rPr>
        <w:t xml:space="preserve"> 2011; </w:t>
      </w:r>
      <w:r w:rsidRPr="00403941">
        <w:rPr>
          <w:b/>
          <w:sz w:val="22"/>
          <w:szCs w:val="22"/>
        </w:rPr>
        <w:t>12</w:t>
      </w:r>
      <w:r w:rsidRPr="00403941">
        <w:rPr>
          <w:sz w:val="22"/>
          <w:szCs w:val="22"/>
        </w:rPr>
        <w:t>(9): 891-9.</w:t>
      </w:r>
    </w:p>
    <w:p w:rsidR="00E037B4" w:rsidRPr="00403941" w:rsidRDefault="00E037B4" w:rsidP="00615636">
      <w:pPr>
        <w:pStyle w:val="EndNoteBibliography"/>
        <w:spacing w:before="0" w:line="480" w:lineRule="auto"/>
        <w:jc w:val="left"/>
        <w:rPr>
          <w:sz w:val="22"/>
          <w:szCs w:val="22"/>
        </w:rPr>
      </w:pPr>
      <w:r w:rsidRPr="00403941">
        <w:rPr>
          <w:sz w:val="22"/>
          <w:szCs w:val="22"/>
        </w:rPr>
        <w:t>8.</w:t>
      </w:r>
      <w:r w:rsidRPr="00403941">
        <w:rPr>
          <w:sz w:val="22"/>
          <w:szCs w:val="22"/>
        </w:rPr>
        <w:tab/>
        <w:t xml:space="preserve">Barocas DA, Alvarez J, Resnick MJ, et al. Association between radiation therapy, surgery, or observation for localized prostate cancer and patient-reported outcomes after 3 years. </w:t>
      </w:r>
      <w:r w:rsidRPr="00403941">
        <w:rPr>
          <w:i/>
          <w:sz w:val="22"/>
          <w:szCs w:val="22"/>
        </w:rPr>
        <w:t>JAMA</w:t>
      </w:r>
      <w:r w:rsidRPr="00403941">
        <w:rPr>
          <w:sz w:val="22"/>
          <w:szCs w:val="22"/>
        </w:rPr>
        <w:t xml:space="preserve"> 2017; </w:t>
      </w:r>
      <w:r w:rsidRPr="00403941">
        <w:rPr>
          <w:b/>
          <w:sz w:val="22"/>
          <w:szCs w:val="22"/>
        </w:rPr>
        <w:t>317</w:t>
      </w:r>
      <w:r w:rsidRPr="00403941">
        <w:rPr>
          <w:sz w:val="22"/>
          <w:szCs w:val="22"/>
        </w:rPr>
        <w:t>(11): 1126-40.</w:t>
      </w:r>
    </w:p>
    <w:p w:rsidR="00E037B4" w:rsidRPr="00403941" w:rsidRDefault="00E037B4" w:rsidP="00615636">
      <w:pPr>
        <w:pStyle w:val="EndNoteBibliography"/>
        <w:spacing w:before="0" w:line="480" w:lineRule="auto"/>
        <w:jc w:val="left"/>
        <w:rPr>
          <w:sz w:val="22"/>
          <w:szCs w:val="22"/>
        </w:rPr>
      </w:pPr>
      <w:r w:rsidRPr="00403941">
        <w:rPr>
          <w:sz w:val="22"/>
          <w:szCs w:val="22"/>
        </w:rPr>
        <w:t>9.</w:t>
      </w:r>
      <w:r w:rsidRPr="00403941">
        <w:rPr>
          <w:sz w:val="22"/>
          <w:szCs w:val="22"/>
        </w:rPr>
        <w:tab/>
        <w:t xml:space="preserve">Wallis CJD, Glaser A, Hu JC, et al. Survival and complications following surgery and radiation for localized prostate cancer: An international collaborative review. </w:t>
      </w:r>
      <w:r w:rsidRPr="00403941">
        <w:rPr>
          <w:i/>
          <w:sz w:val="22"/>
          <w:szCs w:val="22"/>
        </w:rPr>
        <w:t>Eur Urol</w:t>
      </w:r>
      <w:r w:rsidRPr="00403941">
        <w:rPr>
          <w:sz w:val="22"/>
          <w:szCs w:val="22"/>
        </w:rPr>
        <w:t xml:space="preserve"> 2018; </w:t>
      </w:r>
      <w:r w:rsidRPr="00403941">
        <w:rPr>
          <w:b/>
          <w:sz w:val="22"/>
          <w:szCs w:val="22"/>
        </w:rPr>
        <w:t>73</w:t>
      </w:r>
      <w:r w:rsidRPr="00403941">
        <w:rPr>
          <w:sz w:val="22"/>
          <w:szCs w:val="22"/>
        </w:rPr>
        <w:t>(1): 11-20.</w:t>
      </w:r>
    </w:p>
    <w:p w:rsidR="00E037B4" w:rsidRPr="00403941" w:rsidRDefault="00E037B4" w:rsidP="00615636">
      <w:pPr>
        <w:pStyle w:val="EndNoteBibliography"/>
        <w:spacing w:before="0" w:line="480" w:lineRule="auto"/>
        <w:jc w:val="left"/>
        <w:rPr>
          <w:sz w:val="22"/>
          <w:szCs w:val="22"/>
        </w:rPr>
      </w:pPr>
      <w:r w:rsidRPr="00403941">
        <w:rPr>
          <w:sz w:val="22"/>
          <w:szCs w:val="22"/>
        </w:rPr>
        <w:lastRenderedPageBreak/>
        <w:t>10.</w:t>
      </w:r>
      <w:r w:rsidRPr="00403941">
        <w:rPr>
          <w:sz w:val="22"/>
          <w:szCs w:val="22"/>
        </w:rPr>
        <w:tab/>
        <w:t xml:space="preserve">Torvinen S, Farkkila N, Sintonen H, Saarto T, Roine RP, Taari K. Health-related quality of life in prostate cancer. </w:t>
      </w:r>
      <w:r w:rsidRPr="00403941">
        <w:rPr>
          <w:i/>
          <w:sz w:val="22"/>
          <w:szCs w:val="22"/>
        </w:rPr>
        <w:t>Acta Oncol</w:t>
      </w:r>
      <w:r w:rsidRPr="00403941">
        <w:rPr>
          <w:sz w:val="22"/>
          <w:szCs w:val="22"/>
        </w:rPr>
        <w:t xml:space="preserve"> 2013; </w:t>
      </w:r>
      <w:r w:rsidRPr="00403941">
        <w:rPr>
          <w:b/>
          <w:sz w:val="22"/>
          <w:szCs w:val="22"/>
        </w:rPr>
        <w:t>52</w:t>
      </w:r>
      <w:r w:rsidRPr="00403941">
        <w:rPr>
          <w:sz w:val="22"/>
          <w:szCs w:val="22"/>
        </w:rPr>
        <w:t>(6): 1094-101.</w:t>
      </w:r>
    </w:p>
    <w:p w:rsidR="00E037B4" w:rsidRPr="00403941" w:rsidRDefault="00E037B4" w:rsidP="00615636">
      <w:pPr>
        <w:pStyle w:val="EndNoteBibliography"/>
        <w:spacing w:before="0" w:line="480" w:lineRule="auto"/>
        <w:jc w:val="left"/>
        <w:rPr>
          <w:sz w:val="22"/>
          <w:szCs w:val="22"/>
        </w:rPr>
      </w:pPr>
      <w:r w:rsidRPr="00403941">
        <w:rPr>
          <w:sz w:val="22"/>
          <w:szCs w:val="22"/>
        </w:rPr>
        <w:t>11.</w:t>
      </w:r>
      <w:r w:rsidRPr="00403941">
        <w:rPr>
          <w:sz w:val="22"/>
          <w:szCs w:val="22"/>
        </w:rPr>
        <w:tab/>
        <w:t xml:space="preserve">Rosenfeld B, Roth AJ, Gandhi S, Penson D. Differences in health-related quality of life of prostate cancer patients based on stage of cancer. </w:t>
      </w:r>
      <w:r w:rsidRPr="00403941">
        <w:rPr>
          <w:i/>
          <w:sz w:val="22"/>
          <w:szCs w:val="22"/>
        </w:rPr>
        <w:t>Psychooncology</w:t>
      </w:r>
      <w:r w:rsidRPr="00403941">
        <w:rPr>
          <w:sz w:val="22"/>
          <w:szCs w:val="22"/>
        </w:rPr>
        <w:t xml:space="preserve"> 2004; </w:t>
      </w:r>
      <w:r w:rsidRPr="00403941">
        <w:rPr>
          <w:b/>
          <w:sz w:val="22"/>
          <w:szCs w:val="22"/>
        </w:rPr>
        <w:t>13</w:t>
      </w:r>
      <w:r w:rsidRPr="00403941">
        <w:rPr>
          <w:sz w:val="22"/>
          <w:szCs w:val="22"/>
        </w:rPr>
        <w:t>(11): 800-7.</w:t>
      </w:r>
    </w:p>
    <w:p w:rsidR="00E037B4" w:rsidRPr="00403941" w:rsidRDefault="00E037B4" w:rsidP="00615636">
      <w:pPr>
        <w:pStyle w:val="EndNoteBibliography"/>
        <w:spacing w:before="0" w:line="480" w:lineRule="auto"/>
        <w:jc w:val="left"/>
        <w:rPr>
          <w:sz w:val="22"/>
          <w:szCs w:val="22"/>
        </w:rPr>
      </w:pPr>
      <w:r w:rsidRPr="00403941">
        <w:rPr>
          <w:sz w:val="22"/>
          <w:szCs w:val="22"/>
        </w:rPr>
        <w:t>12.</w:t>
      </w:r>
      <w:r w:rsidRPr="00403941">
        <w:rPr>
          <w:sz w:val="22"/>
          <w:szCs w:val="22"/>
        </w:rPr>
        <w:tab/>
        <w:t xml:space="preserve">Adamowicz K. Assessment of quality of life in advanced, metastatic prostate cancer: an overview of randomized phase III trials. </w:t>
      </w:r>
      <w:r w:rsidRPr="00403941">
        <w:rPr>
          <w:i/>
          <w:sz w:val="22"/>
          <w:szCs w:val="22"/>
        </w:rPr>
        <w:t>Qual Life Res</w:t>
      </w:r>
      <w:r w:rsidRPr="00403941">
        <w:rPr>
          <w:sz w:val="22"/>
          <w:szCs w:val="22"/>
        </w:rPr>
        <w:t xml:space="preserve"> 2017; </w:t>
      </w:r>
      <w:r w:rsidRPr="00403941">
        <w:rPr>
          <w:b/>
          <w:sz w:val="22"/>
          <w:szCs w:val="22"/>
        </w:rPr>
        <w:t>26</w:t>
      </w:r>
      <w:r w:rsidRPr="00403941">
        <w:rPr>
          <w:sz w:val="22"/>
          <w:szCs w:val="22"/>
        </w:rPr>
        <w:t>(4): 813-22.</w:t>
      </w:r>
    </w:p>
    <w:p w:rsidR="00E037B4" w:rsidRPr="00403941" w:rsidRDefault="00E037B4" w:rsidP="00615636">
      <w:pPr>
        <w:pStyle w:val="EndNoteBibliography"/>
        <w:spacing w:before="0" w:line="480" w:lineRule="auto"/>
        <w:jc w:val="left"/>
        <w:rPr>
          <w:sz w:val="22"/>
          <w:szCs w:val="22"/>
        </w:rPr>
      </w:pPr>
      <w:r w:rsidRPr="00403941">
        <w:rPr>
          <w:sz w:val="22"/>
          <w:szCs w:val="22"/>
        </w:rPr>
        <w:t>13.</w:t>
      </w:r>
      <w:r w:rsidRPr="00403941">
        <w:rPr>
          <w:sz w:val="22"/>
          <w:szCs w:val="22"/>
        </w:rPr>
        <w:tab/>
        <w:t xml:space="preserve">Downing A, Morris EJ, Richards M, et al. Health-related quality of life after colorectal cancer in England: a patient-reported outcomes study of individuals 12 to 36 months after diagnosis. </w:t>
      </w:r>
      <w:r w:rsidRPr="00403941">
        <w:rPr>
          <w:i/>
          <w:sz w:val="22"/>
          <w:szCs w:val="22"/>
        </w:rPr>
        <w:t>J Clin Oncol</w:t>
      </w:r>
      <w:r w:rsidRPr="00403941">
        <w:rPr>
          <w:sz w:val="22"/>
          <w:szCs w:val="22"/>
        </w:rPr>
        <w:t xml:space="preserve"> 2015; </w:t>
      </w:r>
      <w:r w:rsidRPr="00403941">
        <w:rPr>
          <w:b/>
          <w:sz w:val="22"/>
          <w:szCs w:val="22"/>
        </w:rPr>
        <w:t>33</w:t>
      </w:r>
      <w:r w:rsidRPr="00403941">
        <w:rPr>
          <w:sz w:val="22"/>
          <w:szCs w:val="22"/>
        </w:rPr>
        <w:t>(6): 616-24.</w:t>
      </w:r>
    </w:p>
    <w:p w:rsidR="00E037B4" w:rsidRPr="00403941" w:rsidRDefault="00E037B4" w:rsidP="00615636">
      <w:pPr>
        <w:pStyle w:val="EndNoteBibliography"/>
        <w:spacing w:before="0" w:line="480" w:lineRule="auto"/>
        <w:jc w:val="left"/>
        <w:rPr>
          <w:sz w:val="22"/>
          <w:szCs w:val="22"/>
        </w:rPr>
      </w:pPr>
      <w:r w:rsidRPr="00403941">
        <w:rPr>
          <w:sz w:val="22"/>
          <w:szCs w:val="22"/>
        </w:rPr>
        <w:t>14.</w:t>
      </w:r>
      <w:r w:rsidRPr="00403941">
        <w:rPr>
          <w:sz w:val="22"/>
          <w:szCs w:val="22"/>
        </w:rPr>
        <w:tab/>
        <w:t xml:space="preserve">Martin NE, Massey L, Stowell C, et al. Defining a standard set of patient-centered outcomes for men with localized prostate cancer. </w:t>
      </w:r>
      <w:r w:rsidRPr="00403941">
        <w:rPr>
          <w:i/>
          <w:sz w:val="22"/>
          <w:szCs w:val="22"/>
        </w:rPr>
        <w:t>Eur Urol</w:t>
      </w:r>
      <w:r w:rsidRPr="00403941">
        <w:rPr>
          <w:sz w:val="22"/>
          <w:szCs w:val="22"/>
        </w:rPr>
        <w:t xml:space="preserve"> 2015; </w:t>
      </w:r>
      <w:r w:rsidRPr="00403941">
        <w:rPr>
          <w:b/>
          <w:sz w:val="22"/>
          <w:szCs w:val="22"/>
        </w:rPr>
        <w:t>67</w:t>
      </w:r>
      <w:r w:rsidRPr="00403941">
        <w:rPr>
          <w:sz w:val="22"/>
          <w:szCs w:val="22"/>
        </w:rPr>
        <w:t>(3): 460-7.</w:t>
      </w:r>
    </w:p>
    <w:p w:rsidR="00E037B4" w:rsidRPr="00403941" w:rsidRDefault="00E037B4" w:rsidP="00615636">
      <w:pPr>
        <w:pStyle w:val="EndNoteBibliography"/>
        <w:spacing w:before="0" w:line="480" w:lineRule="auto"/>
        <w:jc w:val="left"/>
        <w:rPr>
          <w:sz w:val="22"/>
          <w:szCs w:val="22"/>
        </w:rPr>
      </w:pPr>
      <w:r w:rsidRPr="00403941">
        <w:rPr>
          <w:sz w:val="22"/>
          <w:szCs w:val="22"/>
        </w:rPr>
        <w:t>15.</w:t>
      </w:r>
      <w:r w:rsidRPr="00403941">
        <w:rPr>
          <w:sz w:val="22"/>
          <w:szCs w:val="22"/>
        </w:rPr>
        <w:tab/>
        <w:t xml:space="preserve">Downing A, Wright P, Wagland R, et al. Life after prostate cancer diagnosis: protocol for a UK-wide patient-reported outcomes study. </w:t>
      </w:r>
      <w:r w:rsidRPr="00403941">
        <w:rPr>
          <w:i/>
          <w:sz w:val="22"/>
          <w:szCs w:val="22"/>
        </w:rPr>
        <w:t>BMJ Open</w:t>
      </w:r>
      <w:r w:rsidRPr="00403941">
        <w:rPr>
          <w:sz w:val="22"/>
          <w:szCs w:val="22"/>
        </w:rPr>
        <w:t xml:space="preserve"> 2016; </w:t>
      </w:r>
      <w:r w:rsidRPr="00403941">
        <w:rPr>
          <w:b/>
          <w:sz w:val="22"/>
          <w:szCs w:val="22"/>
        </w:rPr>
        <w:t>6</w:t>
      </w:r>
      <w:r w:rsidRPr="00403941">
        <w:rPr>
          <w:sz w:val="22"/>
          <w:szCs w:val="22"/>
        </w:rPr>
        <w:t>(12).</w:t>
      </w:r>
    </w:p>
    <w:p w:rsidR="00E037B4" w:rsidRPr="00403941" w:rsidRDefault="00E037B4" w:rsidP="00615636">
      <w:pPr>
        <w:pStyle w:val="EndNoteBibliography"/>
        <w:spacing w:before="0" w:line="480" w:lineRule="auto"/>
        <w:jc w:val="left"/>
        <w:rPr>
          <w:sz w:val="22"/>
          <w:szCs w:val="22"/>
        </w:rPr>
      </w:pPr>
      <w:r w:rsidRPr="00403941">
        <w:rPr>
          <w:sz w:val="22"/>
          <w:szCs w:val="22"/>
        </w:rPr>
        <w:t>16.</w:t>
      </w:r>
      <w:r w:rsidRPr="00403941">
        <w:rPr>
          <w:sz w:val="22"/>
          <w:szCs w:val="22"/>
        </w:rPr>
        <w:tab/>
        <w:t xml:space="preserve">World Health Organisation. ICD10 International Statistical Classification of Disease and Related Health Problems. </w:t>
      </w:r>
      <w:r w:rsidRPr="00403941">
        <w:rPr>
          <w:i/>
          <w:sz w:val="22"/>
          <w:szCs w:val="22"/>
        </w:rPr>
        <w:t>World Health Organisation</w:t>
      </w:r>
      <w:r w:rsidRPr="00403941">
        <w:rPr>
          <w:sz w:val="22"/>
          <w:szCs w:val="22"/>
        </w:rPr>
        <w:t xml:space="preserve">, </w:t>
      </w:r>
      <w:r w:rsidR="008C2E5E">
        <w:rPr>
          <w:sz w:val="22"/>
          <w:szCs w:val="22"/>
        </w:rPr>
        <w:t>Geneva. 2004</w:t>
      </w:r>
      <w:r w:rsidRPr="00403941">
        <w:rPr>
          <w:sz w:val="22"/>
          <w:szCs w:val="22"/>
        </w:rPr>
        <w:t>.</w:t>
      </w:r>
    </w:p>
    <w:p w:rsidR="00E037B4" w:rsidRPr="00403941" w:rsidRDefault="00E037B4" w:rsidP="00615636">
      <w:pPr>
        <w:pStyle w:val="EndNoteBibliography"/>
        <w:spacing w:before="0" w:line="480" w:lineRule="auto"/>
        <w:jc w:val="left"/>
        <w:rPr>
          <w:sz w:val="22"/>
          <w:szCs w:val="22"/>
        </w:rPr>
      </w:pPr>
      <w:r w:rsidRPr="00403941">
        <w:rPr>
          <w:sz w:val="22"/>
          <w:szCs w:val="22"/>
        </w:rPr>
        <w:t>17.</w:t>
      </w:r>
      <w:r w:rsidRPr="00403941">
        <w:rPr>
          <w:sz w:val="22"/>
          <w:szCs w:val="22"/>
        </w:rPr>
        <w:tab/>
        <w:t xml:space="preserve">Wei JT, Dunn RL, Litwin MS, Sandler HM, Sanda MG. Development and validation of the expanded prostate cancer index composite (EPIC) for comprehensive assessment of health-related quality of life in men with prostate cancer. </w:t>
      </w:r>
      <w:r w:rsidRPr="00403941">
        <w:rPr>
          <w:i/>
          <w:sz w:val="22"/>
          <w:szCs w:val="22"/>
        </w:rPr>
        <w:t>Urology</w:t>
      </w:r>
      <w:r w:rsidRPr="00403941">
        <w:rPr>
          <w:sz w:val="22"/>
          <w:szCs w:val="22"/>
        </w:rPr>
        <w:t xml:space="preserve"> 2000; </w:t>
      </w:r>
      <w:r w:rsidRPr="00403941">
        <w:rPr>
          <w:b/>
          <w:sz w:val="22"/>
          <w:szCs w:val="22"/>
        </w:rPr>
        <w:t>56</w:t>
      </w:r>
      <w:r w:rsidRPr="00403941">
        <w:rPr>
          <w:sz w:val="22"/>
          <w:szCs w:val="22"/>
        </w:rPr>
        <w:t>(6): 899-905.</w:t>
      </w:r>
    </w:p>
    <w:p w:rsidR="00E037B4" w:rsidRPr="00403941" w:rsidRDefault="00E037B4" w:rsidP="00615636">
      <w:pPr>
        <w:pStyle w:val="EndNoteBibliography"/>
        <w:spacing w:before="0" w:line="480" w:lineRule="auto"/>
        <w:jc w:val="left"/>
        <w:rPr>
          <w:sz w:val="22"/>
          <w:szCs w:val="22"/>
        </w:rPr>
      </w:pPr>
      <w:r w:rsidRPr="00403941">
        <w:rPr>
          <w:sz w:val="22"/>
          <w:szCs w:val="22"/>
        </w:rPr>
        <w:t>18.</w:t>
      </w:r>
      <w:r w:rsidRPr="00403941">
        <w:rPr>
          <w:sz w:val="22"/>
          <w:szCs w:val="22"/>
        </w:rPr>
        <w:tab/>
        <w:t xml:space="preserve">Herdman M, Gudex C, Lloyd A, et al. Development and preliminary testing of the new five-level version of EQ-5D (EQ-5D-5L). </w:t>
      </w:r>
      <w:r w:rsidRPr="00403941">
        <w:rPr>
          <w:i/>
          <w:sz w:val="22"/>
          <w:szCs w:val="22"/>
        </w:rPr>
        <w:t>Qual Life Res</w:t>
      </w:r>
      <w:r w:rsidRPr="00403941">
        <w:rPr>
          <w:sz w:val="22"/>
          <w:szCs w:val="22"/>
        </w:rPr>
        <w:t xml:space="preserve"> 2011; </w:t>
      </w:r>
      <w:r w:rsidRPr="00403941">
        <w:rPr>
          <w:b/>
          <w:sz w:val="22"/>
          <w:szCs w:val="22"/>
        </w:rPr>
        <w:t>20</w:t>
      </w:r>
      <w:r w:rsidRPr="00403941">
        <w:rPr>
          <w:sz w:val="22"/>
          <w:szCs w:val="22"/>
        </w:rPr>
        <w:t>(10): 1727-36.</w:t>
      </w:r>
    </w:p>
    <w:p w:rsidR="00E037B4" w:rsidRPr="00403941" w:rsidRDefault="00E037B4" w:rsidP="00615636">
      <w:pPr>
        <w:pStyle w:val="EndNoteBibliography"/>
        <w:spacing w:before="0" w:line="480" w:lineRule="auto"/>
        <w:jc w:val="left"/>
        <w:rPr>
          <w:sz w:val="22"/>
          <w:szCs w:val="22"/>
        </w:rPr>
      </w:pPr>
      <w:r w:rsidRPr="00403941">
        <w:rPr>
          <w:sz w:val="22"/>
          <w:szCs w:val="22"/>
        </w:rPr>
        <w:t>19.</w:t>
      </w:r>
      <w:r w:rsidRPr="00403941">
        <w:rPr>
          <w:sz w:val="22"/>
          <w:szCs w:val="22"/>
        </w:rPr>
        <w:tab/>
        <w:t xml:space="preserve">Department for Communities and Local Government. English Indices of Multiple Deprivation 2010. </w:t>
      </w:r>
      <w:r w:rsidRPr="00E037B4">
        <w:rPr>
          <w:rStyle w:val="Hyperlink"/>
          <w:sz w:val="22"/>
          <w:szCs w:val="22"/>
        </w:rPr>
        <w:t>https://www.gov.uk/government/statistics/english-indices-of-deprivation-2010</w:t>
      </w:r>
      <w:r w:rsidRPr="00403941">
        <w:rPr>
          <w:sz w:val="22"/>
          <w:szCs w:val="22"/>
        </w:rPr>
        <w:t xml:space="preserve"> </w:t>
      </w:r>
      <w:r w:rsidR="008C2E5E">
        <w:rPr>
          <w:sz w:val="22"/>
          <w:szCs w:val="22"/>
        </w:rPr>
        <w:t>(last accessed 03/10/2018)</w:t>
      </w:r>
      <w:r w:rsidRPr="00403941">
        <w:rPr>
          <w:sz w:val="22"/>
          <w:szCs w:val="22"/>
        </w:rPr>
        <w:t>.</w:t>
      </w:r>
    </w:p>
    <w:p w:rsidR="00E037B4" w:rsidRPr="00403941" w:rsidRDefault="00E037B4" w:rsidP="00615636">
      <w:pPr>
        <w:pStyle w:val="EndNoteBibliography"/>
        <w:spacing w:before="0" w:line="480" w:lineRule="auto"/>
        <w:jc w:val="left"/>
        <w:rPr>
          <w:sz w:val="22"/>
          <w:szCs w:val="22"/>
        </w:rPr>
      </w:pPr>
      <w:r w:rsidRPr="00403941">
        <w:rPr>
          <w:sz w:val="22"/>
          <w:szCs w:val="22"/>
        </w:rPr>
        <w:t>20.</w:t>
      </w:r>
      <w:r w:rsidRPr="00403941">
        <w:rPr>
          <w:sz w:val="22"/>
          <w:szCs w:val="22"/>
        </w:rPr>
        <w:tab/>
        <w:t xml:space="preserve">Welsh Government. Welsh Index of Multiple Deprivation. </w:t>
      </w:r>
      <w:r w:rsidRPr="00E037B4">
        <w:rPr>
          <w:rStyle w:val="Hyperlink"/>
          <w:sz w:val="22"/>
          <w:szCs w:val="22"/>
        </w:rPr>
        <w:t>http://wimd.wales.gov.uk/?lang=en</w:t>
      </w:r>
      <w:r w:rsidRPr="00403941">
        <w:rPr>
          <w:sz w:val="22"/>
          <w:szCs w:val="22"/>
        </w:rPr>
        <w:t xml:space="preserve"> </w:t>
      </w:r>
      <w:r w:rsidR="008C2E5E">
        <w:rPr>
          <w:sz w:val="22"/>
          <w:szCs w:val="22"/>
        </w:rPr>
        <w:t>(last accessed 03/10/2018)</w:t>
      </w:r>
      <w:r w:rsidR="008C2E5E" w:rsidRPr="00403941">
        <w:rPr>
          <w:sz w:val="22"/>
          <w:szCs w:val="22"/>
        </w:rPr>
        <w:t>.</w:t>
      </w:r>
    </w:p>
    <w:p w:rsidR="00E037B4" w:rsidRPr="00403941" w:rsidRDefault="00E037B4" w:rsidP="00615636">
      <w:pPr>
        <w:pStyle w:val="EndNoteBibliography"/>
        <w:spacing w:before="0" w:line="480" w:lineRule="auto"/>
        <w:jc w:val="left"/>
        <w:rPr>
          <w:sz w:val="22"/>
          <w:szCs w:val="22"/>
        </w:rPr>
      </w:pPr>
      <w:r w:rsidRPr="00403941">
        <w:rPr>
          <w:sz w:val="22"/>
          <w:szCs w:val="22"/>
        </w:rPr>
        <w:lastRenderedPageBreak/>
        <w:t>21.</w:t>
      </w:r>
      <w:r w:rsidRPr="00403941">
        <w:rPr>
          <w:sz w:val="22"/>
          <w:szCs w:val="22"/>
        </w:rPr>
        <w:tab/>
        <w:t>ISD Scotland. The Scottish Index of Mu</w:t>
      </w:r>
      <w:r w:rsidR="008C2E5E">
        <w:rPr>
          <w:sz w:val="22"/>
          <w:szCs w:val="22"/>
        </w:rPr>
        <w:t>ltiple Deprivation (SIMD).</w:t>
      </w:r>
      <w:r w:rsidRPr="00403941">
        <w:rPr>
          <w:sz w:val="22"/>
          <w:szCs w:val="22"/>
        </w:rPr>
        <w:t xml:space="preserve"> </w:t>
      </w:r>
      <w:hyperlink r:id="rId9" w:history="1">
        <w:r w:rsidR="008C2E5E" w:rsidRPr="00BA0D6C">
          <w:rPr>
            <w:rStyle w:val="Hyperlink"/>
            <w:sz w:val="22"/>
            <w:szCs w:val="22"/>
          </w:rPr>
          <w:t>http://www.isdscotland.org/Products-and-Services/GPD-Support/Deprivation/SIMD/</w:t>
        </w:r>
      </w:hyperlink>
      <w:r w:rsidR="008C2E5E">
        <w:rPr>
          <w:rStyle w:val="Hyperlink"/>
          <w:sz w:val="22"/>
          <w:szCs w:val="22"/>
        </w:rPr>
        <w:t xml:space="preserve"> </w:t>
      </w:r>
      <w:r w:rsidR="008C2E5E">
        <w:rPr>
          <w:sz w:val="22"/>
          <w:szCs w:val="22"/>
        </w:rPr>
        <w:t>(last accessed 03/10/2018)</w:t>
      </w:r>
      <w:r w:rsidRPr="00403941">
        <w:rPr>
          <w:sz w:val="22"/>
          <w:szCs w:val="22"/>
        </w:rPr>
        <w:t>.</w:t>
      </w:r>
    </w:p>
    <w:p w:rsidR="00E037B4" w:rsidRPr="00403941" w:rsidRDefault="00E037B4" w:rsidP="00615636">
      <w:pPr>
        <w:pStyle w:val="EndNoteBibliography"/>
        <w:spacing w:before="0" w:line="480" w:lineRule="auto"/>
        <w:jc w:val="left"/>
        <w:rPr>
          <w:sz w:val="22"/>
          <w:szCs w:val="22"/>
        </w:rPr>
      </w:pPr>
      <w:r w:rsidRPr="00403941">
        <w:rPr>
          <w:sz w:val="22"/>
          <w:szCs w:val="22"/>
        </w:rPr>
        <w:t>22.</w:t>
      </w:r>
      <w:r w:rsidRPr="00403941">
        <w:rPr>
          <w:sz w:val="22"/>
          <w:szCs w:val="22"/>
        </w:rPr>
        <w:tab/>
        <w:t xml:space="preserve">Northern Ireland Statistics and Research Agency. </w:t>
      </w:r>
      <w:r w:rsidR="008C2E5E">
        <w:rPr>
          <w:sz w:val="22"/>
          <w:szCs w:val="22"/>
        </w:rPr>
        <w:t>NI Multiple Deprivation Measure</w:t>
      </w:r>
      <w:r w:rsidRPr="00403941">
        <w:rPr>
          <w:sz w:val="22"/>
          <w:szCs w:val="22"/>
        </w:rPr>
        <w:t xml:space="preserve">. </w:t>
      </w:r>
      <w:r w:rsidRPr="00E037B4">
        <w:rPr>
          <w:rStyle w:val="Hyperlink"/>
          <w:sz w:val="22"/>
          <w:szCs w:val="22"/>
        </w:rPr>
        <w:t>https://www.nisra.gov.uk/statistics/deprivation/northern-ireland-multiple-deprivation-measure-2010-nimdm2010</w:t>
      </w:r>
      <w:r w:rsidRPr="00403941">
        <w:rPr>
          <w:sz w:val="22"/>
          <w:szCs w:val="22"/>
        </w:rPr>
        <w:t xml:space="preserve"> </w:t>
      </w:r>
      <w:r w:rsidR="008C2E5E">
        <w:rPr>
          <w:sz w:val="22"/>
          <w:szCs w:val="22"/>
        </w:rPr>
        <w:t>(last accessed 03/10/2018)</w:t>
      </w:r>
      <w:r w:rsidR="008C2E5E" w:rsidRPr="00403941">
        <w:rPr>
          <w:sz w:val="22"/>
          <w:szCs w:val="22"/>
        </w:rPr>
        <w:t>.</w:t>
      </w:r>
    </w:p>
    <w:p w:rsidR="00E037B4" w:rsidRPr="00403941" w:rsidRDefault="00E037B4" w:rsidP="00615636">
      <w:pPr>
        <w:pStyle w:val="EndNoteBibliography"/>
        <w:spacing w:before="0" w:line="480" w:lineRule="auto"/>
        <w:jc w:val="left"/>
        <w:rPr>
          <w:sz w:val="22"/>
          <w:szCs w:val="22"/>
        </w:rPr>
      </w:pPr>
      <w:r w:rsidRPr="00403941">
        <w:rPr>
          <w:sz w:val="22"/>
          <w:szCs w:val="22"/>
        </w:rPr>
        <w:t>23.</w:t>
      </w:r>
      <w:r w:rsidRPr="00403941">
        <w:rPr>
          <w:sz w:val="22"/>
          <w:szCs w:val="22"/>
        </w:rPr>
        <w:tab/>
        <w:t>Scoring instructions for the Expanded Prostate cancer Index Composite short form (EPIC-26). University of Michigan; 2002.</w:t>
      </w:r>
    </w:p>
    <w:p w:rsidR="00E037B4" w:rsidRPr="00403941" w:rsidRDefault="00E037B4" w:rsidP="00615636">
      <w:pPr>
        <w:pStyle w:val="EndNoteBibliography"/>
        <w:spacing w:before="0" w:line="480" w:lineRule="auto"/>
        <w:jc w:val="left"/>
        <w:rPr>
          <w:sz w:val="22"/>
          <w:szCs w:val="22"/>
        </w:rPr>
      </w:pPr>
      <w:r w:rsidRPr="00403941">
        <w:rPr>
          <w:sz w:val="22"/>
          <w:szCs w:val="22"/>
        </w:rPr>
        <w:t>24.</w:t>
      </w:r>
      <w:r w:rsidRPr="00403941">
        <w:rPr>
          <w:sz w:val="22"/>
          <w:szCs w:val="22"/>
        </w:rPr>
        <w:tab/>
        <w:t xml:space="preserve">Watson E, Shinkins B, Frith E, et al. Symptoms, unmet needs, psychological well-being and health status in survivors of prostate cancer: implications for redesigning follow-up. </w:t>
      </w:r>
      <w:r w:rsidRPr="00403941">
        <w:rPr>
          <w:i/>
          <w:sz w:val="22"/>
          <w:szCs w:val="22"/>
        </w:rPr>
        <w:t>BJU Int</w:t>
      </w:r>
      <w:r w:rsidRPr="00403941">
        <w:rPr>
          <w:sz w:val="22"/>
          <w:szCs w:val="22"/>
        </w:rPr>
        <w:t xml:space="preserve"> 2015; </w:t>
      </w:r>
      <w:r w:rsidRPr="00403941">
        <w:rPr>
          <w:b/>
          <w:sz w:val="22"/>
          <w:szCs w:val="22"/>
        </w:rPr>
        <w:t>116</w:t>
      </w:r>
      <w:r w:rsidRPr="00403941">
        <w:rPr>
          <w:sz w:val="22"/>
          <w:szCs w:val="22"/>
        </w:rPr>
        <w:t>(6B): E10-9.</w:t>
      </w:r>
    </w:p>
    <w:p w:rsidR="00E037B4" w:rsidRPr="00403941" w:rsidRDefault="00E037B4" w:rsidP="00615636">
      <w:pPr>
        <w:pStyle w:val="EndNoteBibliography"/>
        <w:spacing w:before="0" w:line="480" w:lineRule="auto"/>
        <w:jc w:val="left"/>
        <w:rPr>
          <w:sz w:val="22"/>
          <w:szCs w:val="22"/>
        </w:rPr>
      </w:pPr>
      <w:r w:rsidRPr="00403941">
        <w:rPr>
          <w:sz w:val="22"/>
          <w:szCs w:val="22"/>
        </w:rPr>
        <w:t>25.</w:t>
      </w:r>
      <w:r w:rsidRPr="00403941">
        <w:rPr>
          <w:sz w:val="22"/>
          <w:szCs w:val="22"/>
        </w:rPr>
        <w:tab/>
        <w:t xml:space="preserve">Miller DC, Wei JT, Dunn RL, et al. Use of medications or devices for erectile dysfunction among long-term prostate cancer treatment survivors: potential influence of sexual motivation and/or indifference. </w:t>
      </w:r>
      <w:r w:rsidRPr="00403941">
        <w:rPr>
          <w:i/>
          <w:sz w:val="22"/>
          <w:szCs w:val="22"/>
        </w:rPr>
        <w:t>Urology</w:t>
      </w:r>
      <w:r w:rsidRPr="00403941">
        <w:rPr>
          <w:sz w:val="22"/>
          <w:szCs w:val="22"/>
        </w:rPr>
        <w:t xml:space="preserve"> 2006; </w:t>
      </w:r>
      <w:r w:rsidRPr="00403941">
        <w:rPr>
          <w:b/>
          <w:sz w:val="22"/>
          <w:szCs w:val="22"/>
        </w:rPr>
        <w:t>68</w:t>
      </w:r>
      <w:r w:rsidRPr="00403941">
        <w:rPr>
          <w:sz w:val="22"/>
          <w:szCs w:val="22"/>
        </w:rPr>
        <w:t>(1): 166-71.</w:t>
      </w:r>
    </w:p>
    <w:p w:rsidR="00E037B4" w:rsidRPr="00403941" w:rsidRDefault="00E037B4" w:rsidP="00615636">
      <w:pPr>
        <w:pStyle w:val="EndNoteBibliography"/>
        <w:spacing w:before="0" w:line="480" w:lineRule="auto"/>
        <w:jc w:val="left"/>
        <w:rPr>
          <w:sz w:val="22"/>
          <w:szCs w:val="22"/>
        </w:rPr>
      </w:pPr>
      <w:r w:rsidRPr="00403941">
        <w:rPr>
          <w:sz w:val="22"/>
          <w:szCs w:val="22"/>
        </w:rPr>
        <w:t>26.</w:t>
      </w:r>
      <w:r w:rsidRPr="00403941">
        <w:rPr>
          <w:sz w:val="22"/>
          <w:szCs w:val="22"/>
        </w:rPr>
        <w:tab/>
        <w:t xml:space="preserve">Pickard A, Neary M, Cella D. Estimation of minimally important differences in EQ-5D utility and VAS scores in cancer. </w:t>
      </w:r>
      <w:r w:rsidRPr="00403941">
        <w:rPr>
          <w:i/>
          <w:sz w:val="22"/>
          <w:szCs w:val="22"/>
        </w:rPr>
        <w:t>Health Qual Life Outcomes</w:t>
      </w:r>
      <w:r w:rsidRPr="00403941">
        <w:rPr>
          <w:sz w:val="22"/>
          <w:szCs w:val="22"/>
        </w:rPr>
        <w:t xml:space="preserve"> 2007; </w:t>
      </w:r>
      <w:r w:rsidRPr="00403941">
        <w:rPr>
          <w:b/>
          <w:sz w:val="22"/>
          <w:szCs w:val="22"/>
        </w:rPr>
        <w:t>5</w:t>
      </w:r>
      <w:r w:rsidRPr="00403941">
        <w:rPr>
          <w:sz w:val="22"/>
          <w:szCs w:val="22"/>
        </w:rPr>
        <w:t>: 70.</w:t>
      </w:r>
    </w:p>
    <w:p w:rsidR="00E037B4" w:rsidRPr="00403941" w:rsidRDefault="00E037B4" w:rsidP="00615636">
      <w:pPr>
        <w:pStyle w:val="EndNoteBibliography"/>
        <w:spacing w:before="0" w:line="480" w:lineRule="auto"/>
        <w:jc w:val="left"/>
        <w:rPr>
          <w:sz w:val="22"/>
          <w:szCs w:val="22"/>
        </w:rPr>
      </w:pPr>
      <w:r w:rsidRPr="00403941">
        <w:rPr>
          <w:sz w:val="22"/>
          <w:szCs w:val="22"/>
        </w:rPr>
        <w:t>27.</w:t>
      </w:r>
      <w:r w:rsidRPr="00403941">
        <w:rPr>
          <w:sz w:val="22"/>
          <w:szCs w:val="22"/>
        </w:rPr>
        <w:tab/>
        <w:t xml:space="preserve">Pickard A, Neary M, Cella D. Estimation of minimally important differences in EQ-5D utility and VAS scores in cancer. </w:t>
      </w:r>
      <w:r w:rsidRPr="00403941">
        <w:rPr>
          <w:i/>
          <w:sz w:val="22"/>
          <w:szCs w:val="22"/>
        </w:rPr>
        <w:t>Health Qual Life Outcomes</w:t>
      </w:r>
      <w:r w:rsidRPr="00403941">
        <w:rPr>
          <w:sz w:val="22"/>
          <w:szCs w:val="22"/>
        </w:rPr>
        <w:t xml:space="preserve"> 2010; </w:t>
      </w:r>
      <w:r w:rsidRPr="00403941">
        <w:rPr>
          <w:b/>
          <w:sz w:val="22"/>
          <w:szCs w:val="22"/>
        </w:rPr>
        <w:t>8</w:t>
      </w:r>
      <w:r w:rsidRPr="00403941">
        <w:rPr>
          <w:sz w:val="22"/>
          <w:szCs w:val="22"/>
        </w:rPr>
        <w:t>: 4.</w:t>
      </w:r>
    </w:p>
    <w:p w:rsidR="00E037B4" w:rsidRPr="00403941" w:rsidRDefault="00E037B4" w:rsidP="00615636">
      <w:pPr>
        <w:pStyle w:val="EndNoteBibliography"/>
        <w:spacing w:before="0" w:line="480" w:lineRule="auto"/>
        <w:jc w:val="left"/>
        <w:rPr>
          <w:sz w:val="22"/>
          <w:szCs w:val="22"/>
        </w:rPr>
      </w:pPr>
      <w:r w:rsidRPr="00403941">
        <w:rPr>
          <w:sz w:val="22"/>
          <w:szCs w:val="22"/>
        </w:rPr>
        <w:t>28.</w:t>
      </w:r>
      <w:r w:rsidRPr="00403941">
        <w:rPr>
          <w:sz w:val="22"/>
          <w:szCs w:val="22"/>
        </w:rPr>
        <w:tab/>
        <w:t xml:space="preserve">Skolarus TA, Dunn RL, Sanda MG, et al. Minimally Important Difference for the Expanded Prostate Cancer Index Composite Short Form. </w:t>
      </w:r>
      <w:r w:rsidRPr="00403941">
        <w:rPr>
          <w:i/>
          <w:sz w:val="22"/>
          <w:szCs w:val="22"/>
        </w:rPr>
        <w:t>Urology</w:t>
      </w:r>
      <w:r w:rsidRPr="00403941">
        <w:rPr>
          <w:sz w:val="22"/>
          <w:szCs w:val="22"/>
        </w:rPr>
        <w:t xml:space="preserve"> 2015; </w:t>
      </w:r>
      <w:r w:rsidRPr="00403941">
        <w:rPr>
          <w:b/>
          <w:sz w:val="22"/>
          <w:szCs w:val="22"/>
        </w:rPr>
        <w:t>85</w:t>
      </w:r>
      <w:r w:rsidRPr="00403941">
        <w:rPr>
          <w:sz w:val="22"/>
          <w:szCs w:val="22"/>
        </w:rPr>
        <w:t>(1): 101-6.</w:t>
      </w:r>
    </w:p>
    <w:p w:rsidR="00E037B4" w:rsidRPr="00403941" w:rsidRDefault="00E037B4" w:rsidP="00615636">
      <w:pPr>
        <w:pStyle w:val="EndNoteBibliography"/>
        <w:spacing w:before="0" w:line="480" w:lineRule="auto"/>
        <w:jc w:val="left"/>
        <w:rPr>
          <w:sz w:val="22"/>
          <w:szCs w:val="22"/>
        </w:rPr>
      </w:pPr>
      <w:r w:rsidRPr="00403941">
        <w:rPr>
          <w:sz w:val="22"/>
          <w:szCs w:val="22"/>
        </w:rPr>
        <w:t>29.</w:t>
      </w:r>
      <w:r w:rsidRPr="00403941">
        <w:rPr>
          <w:sz w:val="22"/>
          <w:szCs w:val="22"/>
        </w:rPr>
        <w:tab/>
        <w:t xml:space="preserve">Donnelly D, Donnelly C, Kearney T, et al. Urinary, bowel and sexual health in older men from Northern Ireland. </w:t>
      </w:r>
      <w:r w:rsidRPr="00403941">
        <w:rPr>
          <w:i/>
          <w:sz w:val="22"/>
          <w:szCs w:val="22"/>
        </w:rPr>
        <w:t>BJU Int</w:t>
      </w:r>
      <w:r w:rsidRPr="00403941">
        <w:rPr>
          <w:sz w:val="22"/>
          <w:szCs w:val="22"/>
        </w:rPr>
        <w:t xml:space="preserve"> 2017; </w:t>
      </w:r>
      <w:r w:rsidRPr="00403941">
        <w:rPr>
          <w:b/>
          <w:sz w:val="22"/>
          <w:szCs w:val="22"/>
        </w:rPr>
        <w:t>doi: 10.1111/bju.14182</w:t>
      </w:r>
      <w:r w:rsidRPr="00403941">
        <w:rPr>
          <w:sz w:val="22"/>
          <w:szCs w:val="22"/>
        </w:rPr>
        <w:t>.</w:t>
      </w:r>
    </w:p>
    <w:p w:rsidR="00E037B4" w:rsidRPr="00403941" w:rsidRDefault="00E037B4" w:rsidP="00615636">
      <w:pPr>
        <w:pStyle w:val="EndNoteBibliography"/>
        <w:spacing w:before="0" w:line="480" w:lineRule="auto"/>
        <w:jc w:val="left"/>
        <w:rPr>
          <w:sz w:val="22"/>
          <w:szCs w:val="22"/>
        </w:rPr>
      </w:pPr>
      <w:r w:rsidRPr="00403941">
        <w:rPr>
          <w:sz w:val="22"/>
          <w:szCs w:val="22"/>
        </w:rPr>
        <w:t>30.</w:t>
      </w:r>
      <w:r w:rsidRPr="00403941">
        <w:rPr>
          <w:sz w:val="22"/>
          <w:szCs w:val="22"/>
        </w:rPr>
        <w:tab/>
        <w:t xml:space="preserve">NHS Digital. Health Survey for England - 2012. </w:t>
      </w:r>
      <w:r w:rsidRPr="00E037B4">
        <w:rPr>
          <w:rStyle w:val="Hyperlink"/>
          <w:sz w:val="22"/>
          <w:szCs w:val="22"/>
        </w:rPr>
        <w:t>https://digital.nhs.uk/data-and-information/publications/statistical/health-survey-for-england/health-survey-for-england-2012</w:t>
      </w:r>
      <w:r w:rsidR="008C2E5E">
        <w:rPr>
          <w:sz w:val="22"/>
          <w:szCs w:val="22"/>
        </w:rPr>
        <w:t xml:space="preserve"> (last accessed 03/10/2018)</w:t>
      </w:r>
      <w:r w:rsidR="008C2E5E" w:rsidRPr="00403941">
        <w:rPr>
          <w:sz w:val="22"/>
          <w:szCs w:val="22"/>
        </w:rPr>
        <w:t>.</w:t>
      </w:r>
    </w:p>
    <w:p w:rsidR="00E037B4" w:rsidRPr="00403941" w:rsidRDefault="00E037B4" w:rsidP="00615636">
      <w:pPr>
        <w:pStyle w:val="EndNoteBibliography"/>
        <w:spacing w:before="0" w:line="480" w:lineRule="auto"/>
        <w:jc w:val="left"/>
        <w:rPr>
          <w:sz w:val="22"/>
          <w:szCs w:val="22"/>
        </w:rPr>
      </w:pPr>
      <w:r w:rsidRPr="00403941">
        <w:rPr>
          <w:sz w:val="22"/>
          <w:szCs w:val="22"/>
        </w:rPr>
        <w:t>31.</w:t>
      </w:r>
      <w:r w:rsidRPr="00403941">
        <w:rPr>
          <w:sz w:val="22"/>
          <w:szCs w:val="22"/>
        </w:rPr>
        <w:tab/>
        <w:t xml:space="preserve">Calman K. Quality of life in cancer patients - an hypothesis. </w:t>
      </w:r>
      <w:r w:rsidRPr="00403941">
        <w:rPr>
          <w:i/>
          <w:sz w:val="22"/>
          <w:szCs w:val="22"/>
        </w:rPr>
        <w:t>J Med Ethics</w:t>
      </w:r>
      <w:r w:rsidRPr="00403941">
        <w:rPr>
          <w:sz w:val="22"/>
          <w:szCs w:val="22"/>
        </w:rPr>
        <w:t xml:space="preserve"> 1984; </w:t>
      </w:r>
      <w:r w:rsidRPr="00403941">
        <w:rPr>
          <w:b/>
          <w:sz w:val="22"/>
          <w:szCs w:val="22"/>
        </w:rPr>
        <w:t>10</w:t>
      </w:r>
      <w:r w:rsidRPr="00403941">
        <w:rPr>
          <w:sz w:val="22"/>
          <w:szCs w:val="22"/>
        </w:rPr>
        <w:t>(3): 124-7.</w:t>
      </w:r>
    </w:p>
    <w:p w:rsidR="00E037B4" w:rsidRPr="00403941" w:rsidRDefault="00E037B4" w:rsidP="00615636">
      <w:pPr>
        <w:pStyle w:val="EndNoteBibliography"/>
        <w:spacing w:before="0" w:line="480" w:lineRule="auto"/>
        <w:jc w:val="left"/>
        <w:rPr>
          <w:sz w:val="22"/>
          <w:szCs w:val="22"/>
        </w:rPr>
      </w:pPr>
      <w:r w:rsidRPr="00403941">
        <w:rPr>
          <w:sz w:val="22"/>
          <w:szCs w:val="22"/>
        </w:rPr>
        <w:lastRenderedPageBreak/>
        <w:t>32.</w:t>
      </w:r>
      <w:r w:rsidRPr="00403941">
        <w:rPr>
          <w:sz w:val="22"/>
          <w:szCs w:val="22"/>
        </w:rPr>
        <w:tab/>
        <w:t xml:space="preserve">University of Southampton. Research project: Development, implementation and evaluation of the True NTH Supported Self Management and Follow Up Care Programme. 2018. </w:t>
      </w:r>
      <w:r w:rsidRPr="00E037B4">
        <w:rPr>
          <w:rStyle w:val="Hyperlink"/>
          <w:sz w:val="22"/>
          <w:szCs w:val="22"/>
        </w:rPr>
        <w:t>http://www.southampton.ac.uk/healthsciences/research/projects/development-impl-true-nth.page</w:t>
      </w:r>
      <w:r w:rsidRPr="00403941">
        <w:rPr>
          <w:sz w:val="22"/>
          <w:szCs w:val="22"/>
        </w:rPr>
        <w:t xml:space="preserve"> </w:t>
      </w:r>
      <w:r w:rsidR="008C2E5E">
        <w:rPr>
          <w:sz w:val="22"/>
          <w:szCs w:val="22"/>
        </w:rPr>
        <w:t>(last accessed 03/10/2018)</w:t>
      </w:r>
      <w:r w:rsidRPr="00403941">
        <w:rPr>
          <w:sz w:val="22"/>
          <w:szCs w:val="22"/>
        </w:rPr>
        <w:t>.</w:t>
      </w:r>
    </w:p>
    <w:p w:rsidR="00E037B4" w:rsidRPr="00656802" w:rsidRDefault="00E037B4" w:rsidP="006A0590">
      <w:pPr>
        <w:spacing w:before="0" w:line="480" w:lineRule="auto"/>
        <w:rPr>
          <w:rFonts w:eastAsia="Times New Roman"/>
          <w:sz w:val="18"/>
          <w:szCs w:val="22"/>
          <w:lang w:val="en-US" w:eastAsia="en-GB"/>
        </w:rPr>
        <w:sectPr w:rsidR="00E037B4" w:rsidRPr="00656802">
          <w:footerReference w:type="default" r:id="rId10"/>
          <w:pgSz w:w="11906" w:h="16838"/>
          <w:pgMar w:top="1440" w:right="1440" w:bottom="1440" w:left="1440" w:header="708" w:footer="708" w:gutter="0"/>
          <w:cols w:space="708"/>
          <w:docGrid w:linePitch="360"/>
        </w:sectPr>
      </w:pPr>
    </w:p>
    <w:p w:rsidR="00E037B4" w:rsidRDefault="00E037B4" w:rsidP="006A0590">
      <w:pPr>
        <w:spacing w:before="0" w:after="240" w:line="240" w:lineRule="auto"/>
        <w:outlineLvl w:val="0"/>
        <w:rPr>
          <w:rFonts w:eastAsia="Arial"/>
          <w:b/>
          <w:sz w:val="22"/>
          <w:szCs w:val="22"/>
        </w:rPr>
      </w:pPr>
      <w:r>
        <w:rPr>
          <w:rFonts w:eastAsia="Arial"/>
          <w:b/>
          <w:sz w:val="22"/>
          <w:szCs w:val="22"/>
        </w:rPr>
        <w:lastRenderedPageBreak/>
        <w:t>Table 1: Characteristics of the study sample split by stage at diagnosis</w:t>
      </w:r>
    </w:p>
    <w:tbl>
      <w:tblPr>
        <w:tblW w:w="14173" w:type="dxa"/>
        <w:tblLook w:val="04A0" w:firstRow="1" w:lastRow="0" w:firstColumn="1" w:lastColumn="0" w:noHBand="0" w:noVBand="1"/>
      </w:tblPr>
      <w:tblGrid>
        <w:gridCol w:w="1860"/>
        <w:gridCol w:w="2873"/>
        <w:gridCol w:w="963"/>
        <w:gridCol w:w="797"/>
        <w:gridCol w:w="1161"/>
        <w:gridCol w:w="759"/>
        <w:gridCol w:w="1072"/>
        <w:gridCol w:w="848"/>
        <w:gridCol w:w="1072"/>
        <w:gridCol w:w="848"/>
        <w:gridCol w:w="1019"/>
        <w:gridCol w:w="901"/>
      </w:tblGrid>
      <w:tr w:rsidR="00E037B4" w:rsidRPr="00E45ABB" w:rsidTr="006A0590">
        <w:trPr>
          <w:trHeight w:val="300"/>
        </w:trPr>
        <w:tc>
          <w:tcPr>
            <w:tcW w:w="1860" w:type="dxa"/>
            <w:tcBorders>
              <w:top w:val="single" w:sz="4" w:space="0" w:color="auto"/>
              <w:left w:val="nil"/>
              <w:bottom w:val="nil"/>
              <w:right w:val="nil"/>
            </w:tcBorders>
            <w:shd w:val="clear" w:color="auto" w:fill="auto"/>
            <w:noWrap/>
            <w:vAlign w:val="bottom"/>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 </w:t>
            </w:r>
          </w:p>
        </w:tc>
        <w:tc>
          <w:tcPr>
            <w:tcW w:w="2873" w:type="dxa"/>
            <w:tcBorders>
              <w:top w:val="single" w:sz="4" w:space="0" w:color="auto"/>
              <w:left w:val="nil"/>
              <w:bottom w:val="nil"/>
              <w:right w:val="nil"/>
            </w:tcBorders>
            <w:shd w:val="clear" w:color="auto" w:fill="auto"/>
            <w:noWrap/>
            <w:vAlign w:val="bottom"/>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 </w:t>
            </w:r>
          </w:p>
        </w:tc>
        <w:tc>
          <w:tcPr>
            <w:tcW w:w="1760" w:type="dxa"/>
            <w:gridSpan w:val="2"/>
            <w:tcBorders>
              <w:top w:val="single" w:sz="4" w:space="0" w:color="auto"/>
              <w:left w:val="nil"/>
              <w:bottom w:val="nil"/>
              <w:right w:val="nil"/>
            </w:tcBorders>
            <w:shd w:val="clear" w:color="auto" w:fill="auto"/>
            <w:noWrap/>
            <w:vAlign w:val="bottom"/>
            <w:hideMark/>
          </w:tcPr>
          <w:p w:rsidR="00E037B4" w:rsidRPr="00E45ABB" w:rsidRDefault="00E037B4" w:rsidP="006A0590">
            <w:pPr>
              <w:spacing w:before="0" w:line="240" w:lineRule="auto"/>
              <w:jc w:val="center"/>
              <w:rPr>
                <w:rFonts w:eastAsia="Times New Roman"/>
                <w:b/>
                <w:bCs/>
                <w:color w:val="000000"/>
                <w:sz w:val="20"/>
                <w:szCs w:val="20"/>
                <w:lang w:eastAsia="en-GB"/>
              </w:rPr>
            </w:pPr>
            <w:r w:rsidRPr="00E45ABB">
              <w:rPr>
                <w:rFonts w:eastAsia="Times New Roman"/>
                <w:b/>
                <w:bCs/>
                <w:color w:val="000000"/>
                <w:sz w:val="20"/>
                <w:szCs w:val="20"/>
                <w:lang w:eastAsia="en-GB"/>
              </w:rPr>
              <w:t>All men</w:t>
            </w:r>
          </w:p>
        </w:tc>
        <w:tc>
          <w:tcPr>
            <w:tcW w:w="1920" w:type="dxa"/>
            <w:gridSpan w:val="2"/>
            <w:tcBorders>
              <w:top w:val="single" w:sz="4" w:space="0" w:color="auto"/>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center"/>
              <w:rPr>
                <w:rFonts w:eastAsia="Times New Roman"/>
                <w:b/>
                <w:bCs/>
                <w:color w:val="000000"/>
                <w:sz w:val="20"/>
                <w:szCs w:val="20"/>
                <w:lang w:eastAsia="en-GB"/>
              </w:rPr>
            </w:pPr>
            <w:r w:rsidRPr="00E45ABB">
              <w:rPr>
                <w:rFonts w:eastAsia="Times New Roman"/>
                <w:b/>
                <w:bCs/>
                <w:color w:val="000000"/>
                <w:sz w:val="20"/>
                <w:szCs w:val="20"/>
                <w:lang w:eastAsia="en-GB"/>
              </w:rPr>
              <w:t>Stage I/II</w:t>
            </w:r>
          </w:p>
        </w:tc>
        <w:tc>
          <w:tcPr>
            <w:tcW w:w="1920" w:type="dxa"/>
            <w:gridSpan w:val="2"/>
            <w:tcBorders>
              <w:top w:val="single" w:sz="4" w:space="0" w:color="auto"/>
              <w:left w:val="nil"/>
              <w:bottom w:val="nil"/>
              <w:right w:val="nil"/>
            </w:tcBorders>
            <w:shd w:val="clear" w:color="auto" w:fill="auto"/>
            <w:noWrap/>
            <w:vAlign w:val="bottom"/>
            <w:hideMark/>
          </w:tcPr>
          <w:p w:rsidR="00E037B4" w:rsidRPr="00E45ABB" w:rsidRDefault="00E037B4" w:rsidP="006A0590">
            <w:pPr>
              <w:spacing w:before="0" w:line="240" w:lineRule="auto"/>
              <w:jc w:val="center"/>
              <w:rPr>
                <w:rFonts w:eastAsia="Times New Roman"/>
                <w:b/>
                <w:bCs/>
                <w:color w:val="000000"/>
                <w:sz w:val="20"/>
                <w:szCs w:val="20"/>
                <w:lang w:eastAsia="en-GB"/>
              </w:rPr>
            </w:pPr>
            <w:r w:rsidRPr="00E45ABB">
              <w:rPr>
                <w:rFonts w:eastAsia="Times New Roman"/>
                <w:b/>
                <w:bCs/>
                <w:color w:val="000000"/>
                <w:sz w:val="20"/>
                <w:szCs w:val="20"/>
                <w:lang w:eastAsia="en-GB"/>
              </w:rPr>
              <w:t>Stage III</w:t>
            </w:r>
          </w:p>
        </w:tc>
        <w:tc>
          <w:tcPr>
            <w:tcW w:w="1920" w:type="dxa"/>
            <w:gridSpan w:val="2"/>
            <w:tcBorders>
              <w:top w:val="single" w:sz="4" w:space="0" w:color="auto"/>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center"/>
              <w:rPr>
                <w:rFonts w:eastAsia="Times New Roman"/>
                <w:b/>
                <w:bCs/>
                <w:color w:val="000000"/>
                <w:sz w:val="20"/>
                <w:szCs w:val="20"/>
                <w:lang w:eastAsia="en-GB"/>
              </w:rPr>
            </w:pPr>
            <w:r w:rsidRPr="00E45ABB">
              <w:rPr>
                <w:rFonts w:eastAsia="Times New Roman"/>
                <w:b/>
                <w:bCs/>
                <w:color w:val="000000"/>
                <w:sz w:val="20"/>
                <w:szCs w:val="20"/>
                <w:lang w:eastAsia="en-GB"/>
              </w:rPr>
              <w:t>Stage IV</w:t>
            </w:r>
          </w:p>
        </w:tc>
        <w:tc>
          <w:tcPr>
            <w:tcW w:w="1920" w:type="dxa"/>
            <w:gridSpan w:val="2"/>
            <w:tcBorders>
              <w:top w:val="single" w:sz="4" w:space="0" w:color="auto"/>
              <w:left w:val="nil"/>
              <w:bottom w:val="nil"/>
              <w:right w:val="nil"/>
            </w:tcBorders>
            <w:shd w:val="clear" w:color="auto" w:fill="auto"/>
            <w:noWrap/>
            <w:vAlign w:val="bottom"/>
            <w:hideMark/>
          </w:tcPr>
          <w:p w:rsidR="00E037B4" w:rsidRPr="00E45ABB" w:rsidRDefault="00E037B4" w:rsidP="006A0590">
            <w:pPr>
              <w:spacing w:before="0" w:line="240" w:lineRule="auto"/>
              <w:jc w:val="center"/>
              <w:rPr>
                <w:rFonts w:eastAsia="Times New Roman"/>
                <w:b/>
                <w:bCs/>
                <w:color w:val="000000"/>
                <w:sz w:val="20"/>
                <w:szCs w:val="20"/>
                <w:lang w:eastAsia="en-GB"/>
              </w:rPr>
            </w:pPr>
            <w:r w:rsidRPr="00E45ABB">
              <w:rPr>
                <w:rFonts w:eastAsia="Times New Roman"/>
                <w:b/>
                <w:bCs/>
                <w:color w:val="000000"/>
                <w:sz w:val="20"/>
                <w:szCs w:val="20"/>
                <w:lang w:eastAsia="en-GB"/>
              </w:rPr>
              <w:t>Stage unknown</w:t>
            </w:r>
          </w:p>
        </w:tc>
      </w:tr>
      <w:tr w:rsidR="00E037B4" w:rsidRPr="00E45ABB" w:rsidTr="006A0590">
        <w:trPr>
          <w:trHeight w:val="300"/>
        </w:trPr>
        <w:tc>
          <w:tcPr>
            <w:tcW w:w="1860" w:type="dxa"/>
            <w:tcBorders>
              <w:top w:val="nil"/>
              <w:left w:val="nil"/>
              <w:bottom w:val="single" w:sz="4" w:space="0" w:color="auto"/>
              <w:right w:val="nil"/>
            </w:tcBorders>
            <w:shd w:val="clear" w:color="auto" w:fill="auto"/>
            <w:noWrap/>
            <w:vAlign w:val="center"/>
            <w:hideMark/>
          </w:tcPr>
          <w:p w:rsidR="00E037B4" w:rsidRPr="00E45ABB" w:rsidRDefault="00E037B4" w:rsidP="006A0590">
            <w:pPr>
              <w:spacing w:before="0" w:line="240" w:lineRule="auto"/>
              <w:rPr>
                <w:rFonts w:ascii="Calibri" w:eastAsia="Times New Roman" w:hAnsi="Calibri"/>
                <w:b/>
                <w:bCs/>
                <w:color w:val="000000"/>
                <w:sz w:val="22"/>
                <w:szCs w:val="22"/>
                <w:lang w:eastAsia="en-GB"/>
              </w:rPr>
            </w:pPr>
            <w:r w:rsidRPr="00E45ABB">
              <w:rPr>
                <w:rFonts w:ascii="Calibri" w:eastAsia="Times New Roman" w:hAnsi="Calibri"/>
                <w:b/>
                <w:bCs/>
                <w:color w:val="000000"/>
                <w:sz w:val="22"/>
                <w:szCs w:val="22"/>
                <w:lang w:eastAsia="en-GB"/>
              </w:rPr>
              <w:t> </w:t>
            </w:r>
          </w:p>
        </w:tc>
        <w:tc>
          <w:tcPr>
            <w:tcW w:w="2873" w:type="dxa"/>
            <w:tcBorders>
              <w:top w:val="nil"/>
              <w:left w:val="nil"/>
              <w:bottom w:val="single" w:sz="4" w:space="0" w:color="auto"/>
              <w:right w:val="nil"/>
            </w:tcBorders>
            <w:shd w:val="clear" w:color="auto" w:fill="auto"/>
            <w:noWrap/>
            <w:vAlign w:val="center"/>
            <w:hideMark/>
          </w:tcPr>
          <w:p w:rsidR="00E037B4" w:rsidRPr="00E45ABB" w:rsidRDefault="00E037B4" w:rsidP="006A0590">
            <w:pPr>
              <w:spacing w:before="0" w:line="240" w:lineRule="auto"/>
              <w:rPr>
                <w:rFonts w:ascii="Calibri" w:eastAsia="Times New Roman" w:hAnsi="Calibri"/>
                <w:b/>
                <w:bCs/>
                <w:color w:val="000000"/>
                <w:sz w:val="22"/>
                <w:szCs w:val="22"/>
                <w:lang w:eastAsia="en-GB"/>
              </w:rPr>
            </w:pPr>
            <w:r w:rsidRPr="00E45ABB">
              <w:rPr>
                <w:rFonts w:ascii="Calibri" w:eastAsia="Times New Roman" w:hAnsi="Calibri"/>
                <w:b/>
                <w:bCs/>
                <w:color w:val="000000"/>
                <w:sz w:val="22"/>
                <w:szCs w:val="22"/>
                <w:lang w:eastAsia="en-GB"/>
              </w:rPr>
              <w:t> </w:t>
            </w:r>
          </w:p>
        </w:tc>
        <w:tc>
          <w:tcPr>
            <w:tcW w:w="963" w:type="dxa"/>
            <w:tcBorders>
              <w:top w:val="nil"/>
              <w:left w:val="nil"/>
              <w:bottom w:val="single" w:sz="4" w:space="0" w:color="auto"/>
              <w:right w:val="nil"/>
            </w:tcBorders>
            <w:shd w:val="clear" w:color="auto" w:fill="auto"/>
            <w:noWrap/>
            <w:vAlign w:val="center"/>
            <w:hideMark/>
          </w:tcPr>
          <w:p w:rsidR="00E037B4" w:rsidRPr="00E45ABB" w:rsidRDefault="00E037B4" w:rsidP="006A0590">
            <w:pPr>
              <w:spacing w:before="0" w:line="240" w:lineRule="auto"/>
              <w:jc w:val="center"/>
              <w:rPr>
                <w:rFonts w:ascii="Calibri" w:eastAsia="Times New Roman" w:hAnsi="Calibri"/>
                <w:b/>
                <w:bCs/>
                <w:color w:val="000000"/>
                <w:sz w:val="22"/>
                <w:szCs w:val="22"/>
                <w:lang w:eastAsia="en-GB"/>
              </w:rPr>
            </w:pPr>
            <w:r w:rsidRPr="00E45ABB">
              <w:rPr>
                <w:rFonts w:ascii="Calibri" w:eastAsia="Times New Roman" w:hAnsi="Calibri"/>
                <w:b/>
                <w:bCs/>
                <w:color w:val="000000"/>
                <w:sz w:val="22"/>
                <w:szCs w:val="22"/>
                <w:lang w:eastAsia="en-GB"/>
              </w:rPr>
              <w:t>n</w:t>
            </w:r>
          </w:p>
        </w:tc>
        <w:tc>
          <w:tcPr>
            <w:tcW w:w="797" w:type="dxa"/>
            <w:tcBorders>
              <w:top w:val="nil"/>
              <w:left w:val="nil"/>
              <w:bottom w:val="single" w:sz="4" w:space="0" w:color="auto"/>
              <w:right w:val="nil"/>
            </w:tcBorders>
            <w:shd w:val="clear" w:color="auto" w:fill="auto"/>
            <w:noWrap/>
            <w:vAlign w:val="center"/>
            <w:hideMark/>
          </w:tcPr>
          <w:p w:rsidR="00E037B4" w:rsidRPr="00E45ABB" w:rsidRDefault="00E037B4" w:rsidP="006A0590">
            <w:pPr>
              <w:spacing w:before="0" w:line="240" w:lineRule="auto"/>
              <w:jc w:val="center"/>
              <w:rPr>
                <w:rFonts w:ascii="Calibri" w:eastAsia="Times New Roman" w:hAnsi="Calibri"/>
                <w:b/>
                <w:bCs/>
                <w:i/>
                <w:iCs/>
                <w:color w:val="000000"/>
                <w:sz w:val="22"/>
                <w:szCs w:val="22"/>
                <w:lang w:eastAsia="en-GB"/>
              </w:rPr>
            </w:pPr>
            <w:r w:rsidRPr="00E45ABB">
              <w:rPr>
                <w:rFonts w:ascii="Calibri" w:eastAsia="Times New Roman" w:hAnsi="Calibri"/>
                <w:b/>
                <w:bCs/>
                <w:i/>
                <w:iCs/>
                <w:color w:val="000000"/>
                <w:sz w:val="22"/>
                <w:szCs w:val="22"/>
                <w:lang w:eastAsia="en-GB"/>
              </w:rPr>
              <w:t>%</w:t>
            </w:r>
          </w:p>
        </w:tc>
        <w:tc>
          <w:tcPr>
            <w:tcW w:w="1161" w:type="dxa"/>
            <w:tcBorders>
              <w:top w:val="nil"/>
              <w:left w:val="nil"/>
              <w:bottom w:val="single" w:sz="4" w:space="0" w:color="auto"/>
              <w:right w:val="nil"/>
            </w:tcBorders>
            <w:shd w:val="clear" w:color="auto" w:fill="D9D9D9" w:themeFill="background1" w:themeFillShade="D9"/>
            <w:noWrap/>
            <w:vAlign w:val="center"/>
            <w:hideMark/>
          </w:tcPr>
          <w:p w:rsidR="00E037B4" w:rsidRPr="00E45ABB" w:rsidRDefault="00E037B4" w:rsidP="006A0590">
            <w:pPr>
              <w:spacing w:before="0" w:line="240" w:lineRule="auto"/>
              <w:jc w:val="center"/>
              <w:rPr>
                <w:rFonts w:ascii="Calibri" w:eastAsia="Times New Roman" w:hAnsi="Calibri"/>
                <w:b/>
                <w:bCs/>
                <w:color w:val="000000"/>
                <w:sz w:val="22"/>
                <w:szCs w:val="22"/>
                <w:lang w:eastAsia="en-GB"/>
              </w:rPr>
            </w:pPr>
            <w:r w:rsidRPr="00E45ABB">
              <w:rPr>
                <w:rFonts w:ascii="Calibri" w:eastAsia="Times New Roman" w:hAnsi="Calibri"/>
                <w:b/>
                <w:bCs/>
                <w:color w:val="000000"/>
                <w:sz w:val="22"/>
                <w:szCs w:val="22"/>
                <w:lang w:eastAsia="en-GB"/>
              </w:rPr>
              <w:t>n</w:t>
            </w:r>
          </w:p>
        </w:tc>
        <w:tc>
          <w:tcPr>
            <w:tcW w:w="759" w:type="dxa"/>
            <w:tcBorders>
              <w:top w:val="nil"/>
              <w:left w:val="nil"/>
              <w:bottom w:val="single" w:sz="4" w:space="0" w:color="auto"/>
              <w:right w:val="nil"/>
            </w:tcBorders>
            <w:shd w:val="clear" w:color="auto" w:fill="D9D9D9" w:themeFill="background1" w:themeFillShade="D9"/>
            <w:noWrap/>
            <w:vAlign w:val="center"/>
            <w:hideMark/>
          </w:tcPr>
          <w:p w:rsidR="00E037B4" w:rsidRPr="00E45ABB" w:rsidRDefault="00E037B4" w:rsidP="006A0590">
            <w:pPr>
              <w:spacing w:before="0" w:line="240" w:lineRule="auto"/>
              <w:jc w:val="center"/>
              <w:rPr>
                <w:rFonts w:ascii="Calibri" w:eastAsia="Times New Roman" w:hAnsi="Calibri"/>
                <w:b/>
                <w:bCs/>
                <w:i/>
                <w:iCs/>
                <w:color w:val="000000"/>
                <w:sz w:val="22"/>
                <w:szCs w:val="22"/>
                <w:lang w:eastAsia="en-GB"/>
              </w:rPr>
            </w:pPr>
            <w:r w:rsidRPr="00E45ABB">
              <w:rPr>
                <w:rFonts w:ascii="Calibri" w:eastAsia="Times New Roman" w:hAnsi="Calibri"/>
                <w:b/>
                <w:bCs/>
                <w:i/>
                <w:iCs/>
                <w:color w:val="000000"/>
                <w:sz w:val="22"/>
                <w:szCs w:val="22"/>
                <w:lang w:eastAsia="en-GB"/>
              </w:rPr>
              <w:t>%</w:t>
            </w:r>
          </w:p>
        </w:tc>
        <w:tc>
          <w:tcPr>
            <w:tcW w:w="1072" w:type="dxa"/>
            <w:tcBorders>
              <w:top w:val="nil"/>
              <w:left w:val="nil"/>
              <w:bottom w:val="single" w:sz="4" w:space="0" w:color="auto"/>
              <w:right w:val="nil"/>
            </w:tcBorders>
            <w:shd w:val="clear" w:color="auto" w:fill="auto"/>
            <w:noWrap/>
            <w:vAlign w:val="center"/>
            <w:hideMark/>
          </w:tcPr>
          <w:p w:rsidR="00E037B4" w:rsidRPr="00E45ABB" w:rsidRDefault="00E037B4" w:rsidP="006A0590">
            <w:pPr>
              <w:spacing w:before="0" w:line="240" w:lineRule="auto"/>
              <w:jc w:val="center"/>
              <w:rPr>
                <w:rFonts w:ascii="Calibri" w:eastAsia="Times New Roman" w:hAnsi="Calibri"/>
                <w:b/>
                <w:bCs/>
                <w:color w:val="000000"/>
                <w:sz w:val="22"/>
                <w:szCs w:val="22"/>
                <w:lang w:eastAsia="en-GB"/>
              </w:rPr>
            </w:pPr>
            <w:r w:rsidRPr="00E45ABB">
              <w:rPr>
                <w:rFonts w:ascii="Calibri" w:eastAsia="Times New Roman" w:hAnsi="Calibri"/>
                <w:b/>
                <w:bCs/>
                <w:color w:val="000000"/>
                <w:sz w:val="22"/>
                <w:szCs w:val="22"/>
                <w:lang w:eastAsia="en-GB"/>
              </w:rPr>
              <w:t>n</w:t>
            </w:r>
          </w:p>
        </w:tc>
        <w:tc>
          <w:tcPr>
            <w:tcW w:w="848" w:type="dxa"/>
            <w:tcBorders>
              <w:top w:val="nil"/>
              <w:left w:val="nil"/>
              <w:bottom w:val="single" w:sz="4" w:space="0" w:color="auto"/>
              <w:right w:val="nil"/>
            </w:tcBorders>
            <w:shd w:val="clear" w:color="auto" w:fill="auto"/>
            <w:noWrap/>
            <w:vAlign w:val="center"/>
            <w:hideMark/>
          </w:tcPr>
          <w:p w:rsidR="00E037B4" w:rsidRPr="00E45ABB" w:rsidRDefault="00E037B4" w:rsidP="006A0590">
            <w:pPr>
              <w:spacing w:before="0" w:line="240" w:lineRule="auto"/>
              <w:jc w:val="center"/>
              <w:rPr>
                <w:rFonts w:ascii="Calibri" w:eastAsia="Times New Roman" w:hAnsi="Calibri"/>
                <w:b/>
                <w:bCs/>
                <w:i/>
                <w:iCs/>
                <w:color w:val="000000"/>
                <w:sz w:val="22"/>
                <w:szCs w:val="22"/>
                <w:lang w:eastAsia="en-GB"/>
              </w:rPr>
            </w:pPr>
            <w:r w:rsidRPr="00E45ABB">
              <w:rPr>
                <w:rFonts w:ascii="Calibri" w:eastAsia="Times New Roman" w:hAnsi="Calibri"/>
                <w:b/>
                <w:bCs/>
                <w:i/>
                <w:iCs/>
                <w:color w:val="000000"/>
                <w:sz w:val="22"/>
                <w:szCs w:val="22"/>
                <w:lang w:eastAsia="en-GB"/>
              </w:rPr>
              <w:t>%</w:t>
            </w:r>
          </w:p>
        </w:tc>
        <w:tc>
          <w:tcPr>
            <w:tcW w:w="1072" w:type="dxa"/>
            <w:tcBorders>
              <w:top w:val="nil"/>
              <w:left w:val="nil"/>
              <w:bottom w:val="single" w:sz="4" w:space="0" w:color="auto"/>
              <w:right w:val="nil"/>
            </w:tcBorders>
            <w:shd w:val="clear" w:color="auto" w:fill="D9D9D9" w:themeFill="background1" w:themeFillShade="D9"/>
            <w:noWrap/>
            <w:vAlign w:val="center"/>
            <w:hideMark/>
          </w:tcPr>
          <w:p w:rsidR="00E037B4" w:rsidRPr="00E45ABB" w:rsidRDefault="00E037B4" w:rsidP="006A0590">
            <w:pPr>
              <w:spacing w:before="0" w:line="240" w:lineRule="auto"/>
              <w:jc w:val="center"/>
              <w:rPr>
                <w:rFonts w:ascii="Calibri" w:eastAsia="Times New Roman" w:hAnsi="Calibri"/>
                <w:b/>
                <w:bCs/>
                <w:color w:val="000000"/>
                <w:sz w:val="22"/>
                <w:szCs w:val="22"/>
                <w:lang w:eastAsia="en-GB"/>
              </w:rPr>
            </w:pPr>
            <w:r w:rsidRPr="00E45ABB">
              <w:rPr>
                <w:rFonts w:ascii="Calibri" w:eastAsia="Times New Roman" w:hAnsi="Calibri"/>
                <w:b/>
                <w:bCs/>
                <w:color w:val="000000"/>
                <w:sz w:val="22"/>
                <w:szCs w:val="22"/>
                <w:lang w:eastAsia="en-GB"/>
              </w:rPr>
              <w:t>n</w:t>
            </w:r>
          </w:p>
        </w:tc>
        <w:tc>
          <w:tcPr>
            <w:tcW w:w="848" w:type="dxa"/>
            <w:tcBorders>
              <w:top w:val="nil"/>
              <w:left w:val="nil"/>
              <w:bottom w:val="single" w:sz="4" w:space="0" w:color="auto"/>
              <w:right w:val="nil"/>
            </w:tcBorders>
            <w:shd w:val="clear" w:color="auto" w:fill="D9D9D9" w:themeFill="background1" w:themeFillShade="D9"/>
            <w:noWrap/>
            <w:vAlign w:val="center"/>
            <w:hideMark/>
          </w:tcPr>
          <w:p w:rsidR="00E037B4" w:rsidRPr="00E45ABB" w:rsidRDefault="00E037B4" w:rsidP="006A0590">
            <w:pPr>
              <w:spacing w:before="0" w:line="240" w:lineRule="auto"/>
              <w:jc w:val="center"/>
              <w:rPr>
                <w:rFonts w:ascii="Calibri" w:eastAsia="Times New Roman" w:hAnsi="Calibri"/>
                <w:b/>
                <w:bCs/>
                <w:i/>
                <w:iCs/>
                <w:color w:val="000000"/>
                <w:sz w:val="22"/>
                <w:szCs w:val="22"/>
                <w:lang w:eastAsia="en-GB"/>
              </w:rPr>
            </w:pPr>
            <w:r w:rsidRPr="00E45ABB">
              <w:rPr>
                <w:rFonts w:ascii="Calibri" w:eastAsia="Times New Roman" w:hAnsi="Calibri"/>
                <w:b/>
                <w:bCs/>
                <w:i/>
                <w:iCs/>
                <w:color w:val="000000"/>
                <w:sz w:val="22"/>
                <w:szCs w:val="22"/>
                <w:lang w:eastAsia="en-GB"/>
              </w:rPr>
              <w:t>%</w:t>
            </w:r>
          </w:p>
        </w:tc>
        <w:tc>
          <w:tcPr>
            <w:tcW w:w="1019" w:type="dxa"/>
            <w:tcBorders>
              <w:top w:val="nil"/>
              <w:left w:val="nil"/>
              <w:bottom w:val="single" w:sz="4" w:space="0" w:color="auto"/>
              <w:right w:val="nil"/>
            </w:tcBorders>
            <w:shd w:val="clear" w:color="auto" w:fill="auto"/>
            <w:noWrap/>
            <w:vAlign w:val="center"/>
            <w:hideMark/>
          </w:tcPr>
          <w:p w:rsidR="00E037B4" w:rsidRPr="00E45ABB" w:rsidRDefault="00E037B4" w:rsidP="006A0590">
            <w:pPr>
              <w:spacing w:before="0" w:line="240" w:lineRule="auto"/>
              <w:jc w:val="center"/>
              <w:rPr>
                <w:rFonts w:ascii="Calibri" w:eastAsia="Times New Roman" w:hAnsi="Calibri"/>
                <w:b/>
                <w:bCs/>
                <w:color w:val="000000"/>
                <w:sz w:val="22"/>
                <w:szCs w:val="22"/>
                <w:lang w:eastAsia="en-GB"/>
              </w:rPr>
            </w:pPr>
            <w:r w:rsidRPr="00E45ABB">
              <w:rPr>
                <w:rFonts w:ascii="Calibri" w:eastAsia="Times New Roman" w:hAnsi="Calibri"/>
                <w:b/>
                <w:bCs/>
                <w:color w:val="000000"/>
                <w:sz w:val="22"/>
                <w:szCs w:val="22"/>
                <w:lang w:eastAsia="en-GB"/>
              </w:rPr>
              <w:t>n</w:t>
            </w:r>
          </w:p>
        </w:tc>
        <w:tc>
          <w:tcPr>
            <w:tcW w:w="901" w:type="dxa"/>
            <w:tcBorders>
              <w:top w:val="nil"/>
              <w:left w:val="nil"/>
              <w:bottom w:val="single" w:sz="4" w:space="0" w:color="auto"/>
              <w:right w:val="nil"/>
            </w:tcBorders>
            <w:shd w:val="clear" w:color="auto" w:fill="auto"/>
            <w:noWrap/>
            <w:vAlign w:val="center"/>
            <w:hideMark/>
          </w:tcPr>
          <w:p w:rsidR="00E037B4" w:rsidRPr="00E45ABB" w:rsidRDefault="00E037B4" w:rsidP="006A0590">
            <w:pPr>
              <w:spacing w:before="0" w:line="240" w:lineRule="auto"/>
              <w:jc w:val="center"/>
              <w:rPr>
                <w:rFonts w:ascii="Calibri" w:eastAsia="Times New Roman" w:hAnsi="Calibri"/>
                <w:b/>
                <w:bCs/>
                <w:i/>
                <w:iCs/>
                <w:color w:val="000000"/>
                <w:sz w:val="22"/>
                <w:szCs w:val="22"/>
                <w:lang w:eastAsia="en-GB"/>
              </w:rPr>
            </w:pPr>
            <w:r w:rsidRPr="00E45ABB">
              <w:rPr>
                <w:rFonts w:ascii="Calibri" w:eastAsia="Times New Roman" w:hAnsi="Calibri"/>
                <w:b/>
                <w:bCs/>
                <w:i/>
                <w:iCs/>
                <w:color w:val="000000"/>
                <w:sz w:val="22"/>
                <w:szCs w:val="22"/>
                <w:lang w:eastAsia="en-GB"/>
              </w:rPr>
              <w:t>%</w:t>
            </w:r>
          </w:p>
        </w:tc>
      </w:tr>
      <w:tr w:rsidR="00E037B4" w:rsidRPr="00E45ABB" w:rsidTr="006A0590">
        <w:trPr>
          <w:trHeight w:val="255"/>
        </w:trPr>
        <w:tc>
          <w:tcPr>
            <w:tcW w:w="1860"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Total</w:t>
            </w:r>
          </w:p>
        </w:tc>
        <w:tc>
          <w:tcPr>
            <w:tcW w:w="2873"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 </w:t>
            </w:r>
          </w:p>
        </w:tc>
        <w:tc>
          <w:tcPr>
            <w:tcW w:w="963"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jc w:val="right"/>
              <w:rPr>
                <w:rFonts w:eastAsia="Times New Roman"/>
                <w:b/>
                <w:bCs/>
                <w:color w:val="000000"/>
                <w:sz w:val="20"/>
                <w:szCs w:val="20"/>
                <w:lang w:eastAsia="en-GB"/>
              </w:rPr>
            </w:pPr>
            <w:r w:rsidRPr="00E45ABB">
              <w:rPr>
                <w:rFonts w:eastAsia="Times New Roman"/>
                <w:b/>
                <w:bCs/>
                <w:color w:val="000000"/>
                <w:sz w:val="20"/>
                <w:szCs w:val="20"/>
                <w:lang w:eastAsia="en-GB"/>
              </w:rPr>
              <w:t>35,823</w:t>
            </w:r>
          </w:p>
        </w:tc>
        <w:tc>
          <w:tcPr>
            <w:tcW w:w="797"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jc w:val="right"/>
              <w:rPr>
                <w:rFonts w:eastAsia="Times New Roman"/>
                <w:b/>
                <w:bCs/>
                <w:i/>
                <w:iCs/>
                <w:color w:val="000000"/>
                <w:sz w:val="20"/>
                <w:szCs w:val="20"/>
                <w:lang w:eastAsia="en-GB"/>
              </w:rPr>
            </w:pPr>
            <w:r w:rsidRPr="00E45ABB">
              <w:rPr>
                <w:rFonts w:eastAsia="Times New Roman"/>
                <w:b/>
                <w:bCs/>
                <w:i/>
                <w:iCs/>
                <w:color w:val="000000"/>
                <w:sz w:val="20"/>
                <w:szCs w:val="20"/>
                <w:lang w:eastAsia="en-GB"/>
              </w:rPr>
              <w:t>100.0</w:t>
            </w:r>
          </w:p>
        </w:tc>
        <w:tc>
          <w:tcPr>
            <w:tcW w:w="1161" w:type="dxa"/>
            <w:tcBorders>
              <w:top w:val="nil"/>
              <w:left w:val="nil"/>
              <w:bottom w:val="single" w:sz="4" w:space="0" w:color="auto"/>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b/>
                <w:bCs/>
                <w:color w:val="000000"/>
                <w:sz w:val="20"/>
                <w:szCs w:val="20"/>
                <w:lang w:eastAsia="en-GB"/>
              </w:rPr>
            </w:pPr>
            <w:r w:rsidRPr="00E45ABB">
              <w:rPr>
                <w:rFonts w:eastAsia="Times New Roman"/>
                <w:b/>
                <w:bCs/>
                <w:color w:val="000000"/>
                <w:sz w:val="20"/>
                <w:szCs w:val="20"/>
                <w:lang w:eastAsia="en-GB"/>
              </w:rPr>
              <w:t>19,599</w:t>
            </w:r>
          </w:p>
        </w:tc>
        <w:tc>
          <w:tcPr>
            <w:tcW w:w="759" w:type="dxa"/>
            <w:tcBorders>
              <w:top w:val="nil"/>
              <w:left w:val="nil"/>
              <w:bottom w:val="single" w:sz="4" w:space="0" w:color="auto"/>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b/>
                <w:bCs/>
                <w:i/>
                <w:iCs/>
                <w:color w:val="000000"/>
                <w:sz w:val="20"/>
                <w:szCs w:val="20"/>
                <w:lang w:eastAsia="en-GB"/>
              </w:rPr>
            </w:pPr>
            <w:r w:rsidRPr="00E45ABB">
              <w:rPr>
                <w:rFonts w:eastAsia="Times New Roman"/>
                <w:b/>
                <w:bCs/>
                <w:i/>
                <w:iCs/>
                <w:color w:val="000000"/>
                <w:sz w:val="20"/>
                <w:szCs w:val="20"/>
                <w:lang w:eastAsia="en-GB"/>
              </w:rPr>
              <w:t>54.7</w:t>
            </w:r>
          </w:p>
        </w:tc>
        <w:tc>
          <w:tcPr>
            <w:tcW w:w="1072"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jc w:val="right"/>
              <w:rPr>
                <w:rFonts w:eastAsia="Times New Roman"/>
                <w:b/>
                <w:bCs/>
                <w:color w:val="000000"/>
                <w:sz w:val="20"/>
                <w:szCs w:val="20"/>
                <w:lang w:eastAsia="en-GB"/>
              </w:rPr>
            </w:pPr>
            <w:r w:rsidRPr="00E45ABB">
              <w:rPr>
                <w:rFonts w:eastAsia="Times New Roman"/>
                <w:b/>
                <w:bCs/>
                <w:color w:val="000000"/>
                <w:sz w:val="20"/>
                <w:szCs w:val="20"/>
                <w:lang w:eastAsia="en-GB"/>
              </w:rPr>
              <w:t>7,209</w:t>
            </w:r>
          </w:p>
        </w:tc>
        <w:tc>
          <w:tcPr>
            <w:tcW w:w="848"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jc w:val="right"/>
              <w:rPr>
                <w:rFonts w:eastAsia="Times New Roman"/>
                <w:b/>
                <w:bCs/>
                <w:i/>
                <w:iCs/>
                <w:color w:val="000000"/>
                <w:sz w:val="20"/>
                <w:szCs w:val="20"/>
                <w:lang w:eastAsia="en-GB"/>
              </w:rPr>
            </w:pPr>
            <w:r w:rsidRPr="00E45ABB">
              <w:rPr>
                <w:rFonts w:eastAsia="Times New Roman"/>
                <w:b/>
                <w:bCs/>
                <w:i/>
                <w:iCs/>
                <w:color w:val="000000"/>
                <w:sz w:val="20"/>
                <w:szCs w:val="20"/>
                <w:lang w:eastAsia="en-GB"/>
              </w:rPr>
              <w:t>20.1</w:t>
            </w:r>
          </w:p>
        </w:tc>
        <w:tc>
          <w:tcPr>
            <w:tcW w:w="1072" w:type="dxa"/>
            <w:tcBorders>
              <w:top w:val="nil"/>
              <w:left w:val="nil"/>
              <w:bottom w:val="single" w:sz="4" w:space="0" w:color="auto"/>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b/>
                <w:bCs/>
                <w:color w:val="000000"/>
                <w:sz w:val="20"/>
                <w:szCs w:val="20"/>
                <w:lang w:eastAsia="en-GB"/>
              </w:rPr>
            </w:pPr>
            <w:r w:rsidRPr="00E45ABB">
              <w:rPr>
                <w:rFonts w:eastAsia="Times New Roman"/>
                <w:b/>
                <w:bCs/>
                <w:color w:val="000000"/>
                <w:sz w:val="20"/>
                <w:szCs w:val="20"/>
                <w:lang w:eastAsia="en-GB"/>
              </w:rPr>
              <w:t>3,925</w:t>
            </w:r>
          </w:p>
        </w:tc>
        <w:tc>
          <w:tcPr>
            <w:tcW w:w="848" w:type="dxa"/>
            <w:tcBorders>
              <w:top w:val="nil"/>
              <w:left w:val="nil"/>
              <w:bottom w:val="single" w:sz="4" w:space="0" w:color="auto"/>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b/>
                <w:bCs/>
                <w:i/>
                <w:iCs/>
                <w:color w:val="000000"/>
                <w:sz w:val="20"/>
                <w:szCs w:val="20"/>
                <w:lang w:eastAsia="en-GB"/>
              </w:rPr>
            </w:pPr>
            <w:r w:rsidRPr="00E45ABB">
              <w:rPr>
                <w:rFonts w:eastAsia="Times New Roman"/>
                <w:b/>
                <w:bCs/>
                <w:i/>
                <w:iCs/>
                <w:color w:val="000000"/>
                <w:sz w:val="20"/>
                <w:szCs w:val="20"/>
                <w:lang w:eastAsia="en-GB"/>
              </w:rPr>
              <w:t>11.0</w:t>
            </w:r>
          </w:p>
        </w:tc>
        <w:tc>
          <w:tcPr>
            <w:tcW w:w="1019"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jc w:val="right"/>
              <w:rPr>
                <w:rFonts w:eastAsia="Times New Roman"/>
                <w:b/>
                <w:bCs/>
                <w:i/>
                <w:iCs/>
                <w:color w:val="000000"/>
                <w:sz w:val="20"/>
                <w:szCs w:val="20"/>
                <w:lang w:eastAsia="en-GB"/>
              </w:rPr>
            </w:pPr>
            <w:r w:rsidRPr="00E45ABB">
              <w:rPr>
                <w:rFonts w:eastAsia="Times New Roman"/>
                <w:b/>
                <w:bCs/>
                <w:i/>
                <w:iCs/>
                <w:color w:val="000000"/>
                <w:sz w:val="20"/>
                <w:szCs w:val="20"/>
                <w:lang w:eastAsia="en-GB"/>
              </w:rPr>
              <w:t>5</w:t>
            </w:r>
            <w:r>
              <w:rPr>
                <w:rFonts w:eastAsia="Times New Roman"/>
                <w:b/>
                <w:bCs/>
                <w:i/>
                <w:iCs/>
                <w:color w:val="000000"/>
                <w:sz w:val="20"/>
                <w:szCs w:val="20"/>
                <w:lang w:eastAsia="en-GB"/>
              </w:rPr>
              <w:t>,</w:t>
            </w:r>
            <w:r w:rsidRPr="00E45ABB">
              <w:rPr>
                <w:rFonts w:eastAsia="Times New Roman"/>
                <w:b/>
                <w:bCs/>
                <w:i/>
                <w:iCs/>
                <w:color w:val="000000"/>
                <w:sz w:val="20"/>
                <w:szCs w:val="20"/>
                <w:lang w:eastAsia="en-GB"/>
              </w:rPr>
              <w:t>090</w:t>
            </w:r>
          </w:p>
        </w:tc>
        <w:tc>
          <w:tcPr>
            <w:tcW w:w="901"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jc w:val="right"/>
              <w:rPr>
                <w:rFonts w:eastAsia="Times New Roman"/>
                <w:b/>
                <w:bCs/>
                <w:i/>
                <w:iCs/>
                <w:color w:val="000000"/>
                <w:sz w:val="20"/>
                <w:szCs w:val="20"/>
                <w:lang w:eastAsia="en-GB"/>
              </w:rPr>
            </w:pPr>
            <w:r w:rsidRPr="00E45ABB">
              <w:rPr>
                <w:rFonts w:eastAsia="Times New Roman"/>
                <w:b/>
                <w:bCs/>
                <w:i/>
                <w:iCs/>
                <w:color w:val="000000"/>
                <w:sz w:val="20"/>
                <w:szCs w:val="20"/>
                <w:lang w:eastAsia="en-GB"/>
              </w:rPr>
              <w:t>14.2</w:t>
            </w:r>
          </w:p>
        </w:tc>
      </w:tr>
      <w:tr w:rsidR="00E037B4" w:rsidRPr="00E45ABB" w:rsidTr="006A0590">
        <w:trPr>
          <w:trHeight w:val="255"/>
        </w:trPr>
        <w:tc>
          <w:tcPr>
            <w:tcW w:w="1860" w:type="dxa"/>
            <w:vMerge w:val="restart"/>
            <w:tcBorders>
              <w:top w:val="single" w:sz="4" w:space="0" w:color="auto"/>
              <w:left w:val="nil"/>
              <w:bottom w:val="single" w:sz="4" w:space="0" w:color="000000"/>
              <w:right w:val="nil"/>
            </w:tcBorders>
            <w:shd w:val="clear" w:color="auto" w:fill="auto"/>
            <w:noWrap/>
            <w:vAlign w:val="center"/>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Treatment</w:t>
            </w:r>
          </w:p>
        </w:tc>
        <w:tc>
          <w:tcPr>
            <w:tcW w:w="287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Active surveillance</w:t>
            </w:r>
          </w:p>
        </w:tc>
        <w:tc>
          <w:tcPr>
            <w:tcW w:w="96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2,928</w:t>
            </w:r>
          </w:p>
        </w:tc>
        <w:tc>
          <w:tcPr>
            <w:tcW w:w="797"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8.2</w:t>
            </w:r>
          </w:p>
        </w:tc>
        <w:tc>
          <w:tcPr>
            <w:tcW w:w="1161"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2,320</w:t>
            </w:r>
          </w:p>
        </w:tc>
        <w:tc>
          <w:tcPr>
            <w:tcW w:w="759"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11.8</w:t>
            </w:r>
          </w:p>
        </w:tc>
        <w:tc>
          <w:tcPr>
            <w:tcW w:w="1072"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0</w:t>
            </w:r>
          </w:p>
        </w:tc>
        <w:tc>
          <w:tcPr>
            <w:tcW w:w="848"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0.0</w:t>
            </w:r>
          </w:p>
        </w:tc>
        <w:tc>
          <w:tcPr>
            <w:tcW w:w="1072"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0</w:t>
            </w:r>
          </w:p>
        </w:tc>
        <w:tc>
          <w:tcPr>
            <w:tcW w:w="848"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0.0</w:t>
            </w:r>
          </w:p>
        </w:tc>
        <w:tc>
          <w:tcPr>
            <w:tcW w:w="1019"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457</w:t>
            </w:r>
          </w:p>
        </w:tc>
        <w:tc>
          <w:tcPr>
            <w:tcW w:w="901"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9.0</w:t>
            </w:r>
          </w:p>
        </w:tc>
      </w:tr>
      <w:tr w:rsidR="00E037B4" w:rsidRPr="00E45ABB" w:rsidTr="006A0590">
        <w:trPr>
          <w:trHeight w:val="255"/>
        </w:trPr>
        <w:tc>
          <w:tcPr>
            <w:tcW w:w="1860" w:type="dxa"/>
            <w:vMerge/>
            <w:tcBorders>
              <w:top w:val="single" w:sz="4" w:space="0" w:color="auto"/>
              <w:left w:val="nil"/>
              <w:bottom w:val="single" w:sz="4" w:space="0" w:color="000000"/>
              <w:right w:val="nil"/>
            </w:tcBorders>
            <w:vAlign w:val="center"/>
            <w:hideMark/>
          </w:tcPr>
          <w:p w:rsidR="00E037B4" w:rsidRPr="00E45ABB" w:rsidRDefault="00E037B4" w:rsidP="006A0590">
            <w:pPr>
              <w:spacing w:before="0" w:line="240" w:lineRule="auto"/>
              <w:rPr>
                <w:rFonts w:eastAsia="Times New Roman"/>
                <w:b/>
                <w:bCs/>
                <w:color w:val="000000"/>
                <w:sz w:val="20"/>
                <w:szCs w:val="20"/>
                <w:lang w:eastAsia="en-GB"/>
              </w:rPr>
            </w:pPr>
          </w:p>
        </w:tc>
        <w:tc>
          <w:tcPr>
            <w:tcW w:w="287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Watchful waiting</w:t>
            </w:r>
          </w:p>
        </w:tc>
        <w:tc>
          <w:tcPr>
            <w:tcW w:w="96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2,292</w:t>
            </w:r>
          </w:p>
        </w:tc>
        <w:tc>
          <w:tcPr>
            <w:tcW w:w="797"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6.4</w:t>
            </w:r>
          </w:p>
        </w:tc>
        <w:tc>
          <w:tcPr>
            <w:tcW w:w="1161"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1,666</w:t>
            </w:r>
          </w:p>
        </w:tc>
        <w:tc>
          <w:tcPr>
            <w:tcW w:w="759"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8.5</w:t>
            </w:r>
          </w:p>
        </w:tc>
        <w:tc>
          <w:tcPr>
            <w:tcW w:w="1072"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182</w:t>
            </w:r>
          </w:p>
        </w:tc>
        <w:tc>
          <w:tcPr>
            <w:tcW w:w="848"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2.5</w:t>
            </w:r>
          </w:p>
        </w:tc>
        <w:tc>
          <w:tcPr>
            <w:tcW w:w="1072"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164</w:t>
            </w:r>
          </w:p>
        </w:tc>
        <w:tc>
          <w:tcPr>
            <w:tcW w:w="848"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4.2</w:t>
            </w:r>
          </w:p>
        </w:tc>
        <w:tc>
          <w:tcPr>
            <w:tcW w:w="1019"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993</w:t>
            </w:r>
          </w:p>
        </w:tc>
        <w:tc>
          <w:tcPr>
            <w:tcW w:w="901"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19.5</w:t>
            </w:r>
          </w:p>
        </w:tc>
      </w:tr>
      <w:tr w:rsidR="00E037B4" w:rsidRPr="00E45ABB" w:rsidTr="006A0590">
        <w:trPr>
          <w:trHeight w:val="255"/>
        </w:trPr>
        <w:tc>
          <w:tcPr>
            <w:tcW w:w="1860" w:type="dxa"/>
            <w:vMerge/>
            <w:tcBorders>
              <w:top w:val="single" w:sz="4" w:space="0" w:color="auto"/>
              <w:left w:val="nil"/>
              <w:bottom w:val="single" w:sz="4" w:space="0" w:color="000000"/>
              <w:right w:val="nil"/>
            </w:tcBorders>
            <w:vAlign w:val="center"/>
            <w:hideMark/>
          </w:tcPr>
          <w:p w:rsidR="00E037B4" w:rsidRPr="00E45ABB" w:rsidRDefault="00E037B4" w:rsidP="006A0590">
            <w:pPr>
              <w:spacing w:before="0" w:line="240" w:lineRule="auto"/>
              <w:rPr>
                <w:rFonts w:eastAsia="Times New Roman"/>
                <w:b/>
                <w:bCs/>
                <w:color w:val="000000"/>
                <w:sz w:val="20"/>
                <w:szCs w:val="20"/>
                <w:lang w:eastAsia="en-GB"/>
              </w:rPr>
            </w:pPr>
          </w:p>
        </w:tc>
        <w:tc>
          <w:tcPr>
            <w:tcW w:w="287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Brachytherapy alone</w:t>
            </w:r>
          </w:p>
        </w:tc>
        <w:tc>
          <w:tcPr>
            <w:tcW w:w="96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1,208</w:t>
            </w:r>
          </w:p>
        </w:tc>
        <w:tc>
          <w:tcPr>
            <w:tcW w:w="797"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3.4</w:t>
            </w:r>
          </w:p>
        </w:tc>
        <w:tc>
          <w:tcPr>
            <w:tcW w:w="1161"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940</w:t>
            </w:r>
          </w:p>
        </w:tc>
        <w:tc>
          <w:tcPr>
            <w:tcW w:w="759"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4.8</w:t>
            </w:r>
          </w:p>
        </w:tc>
        <w:tc>
          <w:tcPr>
            <w:tcW w:w="1072"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62</w:t>
            </w:r>
          </w:p>
        </w:tc>
        <w:tc>
          <w:tcPr>
            <w:tcW w:w="848"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0.9</w:t>
            </w:r>
          </w:p>
        </w:tc>
        <w:tc>
          <w:tcPr>
            <w:tcW w:w="1072"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13</w:t>
            </w:r>
          </w:p>
        </w:tc>
        <w:tc>
          <w:tcPr>
            <w:tcW w:w="848"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0.3</w:t>
            </w:r>
          </w:p>
        </w:tc>
        <w:tc>
          <w:tcPr>
            <w:tcW w:w="1019"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294</w:t>
            </w:r>
          </w:p>
        </w:tc>
        <w:tc>
          <w:tcPr>
            <w:tcW w:w="901"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5.8</w:t>
            </w:r>
          </w:p>
        </w:tc>
      </w:tr>
      <w:tr w:rsidR="00E037B4" w:rsidRPr="00E45ABB" w:rsidTr="006A0590">
        <w:trPr>
          <w:trHeight w:val="255"/>
        </w:trPr>
        <w:tc>
          <w:tcPr>
            <w:tcW w:w="1860" w:type="dxa"/>
            <w:vMerge/>
            <w:tcBorders>
              <w:top w:val="single" w:sz="4" w:space="0" w:color="auto"/>
              <w:left w:val="nil"/>
              <w:bottom w:val="single" w:sz="4" w:space="0" w:color="000000"/>
              <w:right w:val="nil"/>
            </w:tcBorders>
            <w:vAlign w:val="center"/>
            <w:hideMark/>
          </w:tcPr>
          <w:p w:rsidR="00E037B4" w:rsidRPr="00E45ABB" w:rsidRDefault="00E037B4" w:rsidP="006A0590">
            <w:pPr>
              <w:spacing w:before="0" w:line="240" w:lineRule="auto"/>
              <w:rPr>
                <w:rFonts w:eastAsia="Times New Roman"/>
                <w:b/>
                <w:bCs/>
                <w:color w:val="000000"/>
                <w:sz w:val="20"/>
                <w:szCs w:val="20"/>
                <w:lang w:eastAsia="en-GB"/>
              </w:rPr>
            </w:pPr>
          </w:p>
        </w:tc>
        <w:tc>
          <w:tcPr>
            <w:tcW w:w="287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Surgery alone</w:t>
            </w:r>
          </w:p>
        </w:tc>
        <w:tc>
          <w:tcPr>
            <w:tcW w:w="96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7,054</w:t>
            </w:r>
          </w:p>
        </w:tc>
        <w:tc>
          <w:tcPr>
            <w:tcW w:w="797"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19.7</w:t>
            </w:r>
          </w:p>
        </w:tc>
        <w:tc>
          <w:tcPr>
            <w:tcW w:w="1161"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4,606</w:t>
            </w:r>
          </w:p>
        </w:tc>
        <w:tc>
          <w:tcPr>
            <w:tcW w:w="759"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23.5</w:t>
            </w:r>
          </w:p>
        </w:tc>
        <w:tc>
          <w:tcPr>
            <w:tcW w:w="1072"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1,323</w:t>
            </w:r>
          </w:p>
        </w:tc>
        <w:tc>
          <w:tcPr>
            <w:tcW w:w="848"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18.4</w:t>
            </w:r>
          </w:p>
        </w:tc>
        <w:tc>
          <w:tcPr>
            <w:tcW w:w="1072"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132</w:t>
            </w:r>
          </w:p>
        </w:tc>
        <w:tc>
          <w:tcPr>
            <w:tcW w:w="848"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3.4</w:t>
            </w:r>
          </w:p>
        </w:tc>
        <w:tc>
          <w:tcPr>
            <w:tcW w:w="1019"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193</w:t>
            </w:r>
          </w:p>
        </w:tc>
        <w:tc>
          <w:tcPr>
            <w:tcW w:w="901"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3.8</w:t>
            </w:r>
          </w:p>
        </w:tc>
      </w:tr>
      <w:tr w:rsidR="00E037B4" w:rsidRPr="00E45ABB" w:rsidTr="006A0590">
        <w:trPr>
          <w:trHeight w:val="255"/>
        </w:trPr>
        <w:tc>
          <w:tcPr>
            <w:tcW w:w="1860" w:type="dxa"/>
            <w:vMerge/>
            <w:tcBorders>
              <w:top w:val="single" w:sz="4" w:space="0" w:color="auto"/>
              <w:left w:val="nil"/>
              <w:bottom w:val="single" w:sz="4" w:space="0" w:color="000000"/>
              <w:right w:val="nil"/>
            </w:tcBorders>
            <w:vAlign w:val="center"/>
            <w:hideMark/>
          </w:tcPr>
          <w:p w:rsidR="00E037B4" w:rsidRPr="00E45ABB" w:rsidRDefault="00E037B4" w:rsidP="006A0590">
            <w:pPr>
              <w:spacing w:before="0" w:line="240" w:lineRule="auto"/>
              <w:rPr>
                <w:rFonts w:eastAsia="Times New Roman"/>
                <w:b/>
                <w:bCs/>
                <w:color w:val="000000"/>
                <w:sz w:val="20"/>
                <w:szCs w:val="20"/>
                <w:lang w:eastAsia="en-GB"/>
              </w:rPr>
            </w:pPr>
          </w:p>
        </w:tc>
        <w:tc>
          <w:tcPr>
            <w:tcW w:w="287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Surgery + EBRT/ADT</w:t>
            </w:r>
          </w:p>
        </w:tc>
        <w:tc>
          <w:tcPr>
            <w:tcW w:w="96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2,349</w:t>
            </w:r>
          </w:p>
        </w:tc>
        <w:tc>
          <w:tcPr>
            <w:tcW w:w="797"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6.6</w:t>
            </w:r>
          </w:p>
        </w:tc>
        <w:tc>
          <w:tcPr>
            <w:tcW w:w="1161"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853</w:t>
            </w:r>
          </w:p>
        </w:tc>
        <w:tc>
          <w:tcPr>
            <w:tcW w:w="759"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4.4</w:t>
            </w:r>
          </w:p>
        </w:tc>
        <w:tc>
          <w:tcPr>
            <w:tcW w:w="1072"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801</w:t>
            </w:r>
          </w:p>
        </w:tc>
        <w:tc>
          <w:tcPr>
            <w:tcW w:w="848"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11.1</w:t>
            </w:r>
          </w:p>
        </w:tc>
        <w:tc>
          <w:tcPr>
            <w:tcW w:w="1072"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339</w:t>
            </w:r>
          </w:p>
        </w:tc>
        <w:tc>
          <w:tcPr>
            <w:tcW w:w="848"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8.6</w:t>
            </w:r>
          </w:p>
        </w:tc>
        <w:tc>
          <w:tcPr>
            <w:tcW w:w="1019"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548</w:t>
            </w:r>
          </w:p>
        </w:tc>
        <w:tc>
          <w:tcPr>
            <w:tcW w:w="901"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10.8</w:t>
            </w:r>
          </w:p>
        </w:tc>
      </w:tr>
      <w:tr w:rsidR="00E037B4" w:rsidRPr="00E45ABB" w:rsidTr="006A0590">
        <w:trPr>
          <w:trHeight w:val="255"/>
        </w:trPr>
        <w:tc>
          <w:tcPr>
            <w:tcW w:w="1860" w:type="dxa"/>
            <w:vMerge/>
            <w:tcBorders>
              <w:top w:val="single" w:sz="4" w:space="0" w:color="auto"/>
              <w:left w:val="nil"/>
              <w:bottom w:val="single" w:sz="4" w:space="0" w:color="000000"/>
              <w:right w:val="nil"/>
            </w:tcBorders>
            <w:vAlign w:val="center"/>
            <w:hideMark/>
          </w:tcPr>
          <w:p w:rsidR="00E037B4" w:rsidRPr="00E45ABB" w:rsidRDefault="00E037B4" w:rsidP="006A0590">
            <w:pPr>
              <w:spacing w:before="0" w:line="240" w:lineRule="auto"/>
              <w:rPr>
                <w:rFonts w:eastAsia="Times New Roman"/>
                <w:b/>
                <w:bCs/>
                <w:color w:val="000000"/>
                <w:sz w:val="20"/>
                <w:szCs w:val="20"/>
                <w:lang w:eastAsia="en-GB"/>
              </w:rPr>
            </w:pPr>
          </w:p>
        </w:tc>
        <w:tc>
          <w:tcPr>
            <w:tcW w:w="287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EBRT alone</w:t>
            </w:r>
          </w:p>
        </w:tc>
        <w:tc>
          <w:tcPr>
            <w:tcW w:w="96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2,536</w:t>
            </w:r>
          </w:p>
        </w:tc>
        <w:tc>
          <w:tcPr>
            <w:tcW w:w="797"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7.1</w:t>
            </w:r>
          </w:p>
        </w:tc>
        <w:tc>
          <w:tcPr>
            <w:tcW w:w="1161"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1,533</w:t>
            </w:r>
          </w:p>
        </w:tc>
        <w:tc>
          <w:tcPr>
            <w:tcW w:w="759"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7.8</w:t>
            </w:r>
          </w:p>
        </w:tc>
        <w:tc>
          <w:tcPr>
            <w:tcW w:w="1072"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573</w:t>
            </w:r>
          </w:p>
        </w:tc>
        <w:tc>
          <w:tcPr>
            <w:tcW w:w="848"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7.9</w:t>
            </w:r>
          </w:p>
        </w:tc>
        <w:tc>
          <w:tcPr>
            <w:tcW w:w="1072"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136</w:t>
            </w:r>
          </w:p>
        </w:tc>
        <w:tc>
          <w:tcPr>
            <w:tcW w:w="848"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3.5</w:t>
            </w:r>
          </w:p>
        </w:tc>
        <w:tc>
          <w:tcPr>
            <w:tcW w:w="1019"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431</w:t>
            </w:r>
          </w:p>
        </w:tc>
        <w:tc>
          <w:tcPr>
            <w:tcW w:w="901"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8.5</w:t>
            </w:r>
          </w:p>
        </w:tc>
      </w:tr>
      <w:tr w:rsidR="00E037B4" w:rsidRPr="00E45ABB" w:rsidTr="006A0590">
        <w:trPr>
          <w:trHeight w:val="255"/>
        </w:trPr>
        <w:tc>
          <w:tcPr>
            <w:tcW w:w="1860" w:type="dxa"/>
            <w:vMerge/>
            <w:tcBorders>
              <w:top w:val="single" w:sz="4" w:space="0" w:color="auto"/>
              <w:left w:val="nil"/>
              <w:bottom w:val="single" w:sz="4" w:space="0" w:color="000000"/>
              <w:right w:val="nil"/>
            </w:tcBorders>
            <w:vAlign w:val="center"/>
            <w:hideMark/>
          </w:tcPr>
          <w:p w:rsidR="00E037B4" w:rsidRPr="00E45ABB" w:rsidRDefault="00E037B4" w:rsidP="006A0590">
            <w:pPr>
              <w:spacing w:before="0" w:line="240" w:lineRule="auto"/>
              <w:rPr>
                <w:rFonts w:eastAsia="Times New Roman"/>
                <w:b/>
                <w:bCs/>
                <w:color w:val="000000"/>
                <w:sz w:val="20"/>
                <w:szCs w:val="20"/>
                <w:lang w:eastAsia="en-GB"/>
              </w:rPr>
            </w:pPr>
          </w:p>
        </w:tc>
        <w:tc>
          <w:tcPr>
            <w:tcW w:w="287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EBRT + ADT</w:t>
            </w:r>
          </w:p>
        </w:tc>
        <w:tc>
          <w:tcPr>
            <w:tcW w:w="96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7,488</w:t>
            </w:r>
          </w:p>
        </w:tc>
        <w:tc>
          <w:tcPr>
            <w:tcW w:w="797"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20.9</w:t>
            </w:r>
          </w:p>
        </w:tc>
        <w:tc>
          <w:tcPr>
            <w:tcW w:w="1161"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3,688</w:t>
            </w:r>
          </w:p>
        </w:tc>
        <w:tc>
          <w:tcPr>
            <w:tcW w:w="759"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18.8</w:t>
            </w:r>
          </w:p>
        </w:tc>
        <w:tc>
          <w:tcPr>
            <w:tcW w:w="1072"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2,359</w:t>
            </w:r>
          </w:p>
        </w:tc>
        <w:tc>
          <w:tcPr>
            <w:tcW w:w="848"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32.7</w:t>
            </w:r>
          </w:p>
        </w:tc>
        <w:tc>
          <w:tcPr>
            <w:tcW w:w="1072"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658</w:t>
            </w:r>
          </w:p>
        </w:tc>
        <w:tc>
          <w:tcPr>
            <w:tcW w:w="848"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16.8</w:t>
            </w:r>
          </w:p>
        </w:tc>
        <w:tc>
          <w:tcPr>
            <w:tcW w:w="1019"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783</w:t>
            </w:r>
          </w:p>
        </w:tc>
        <w:tc>
          <w:tcPr>
            <w:tcW w:w="901"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15.4</w:t>
            </w:r>
          </w:p>
        </w:tc>
      </w:tr>
      <w:tr w:rsidR="00E037B4" w:rsidRPr="00E45ABB" w:rsidTr="006A0590">
        <w:trPr>
          <w:trHeight w:val="255"/>
        </w:trPr>
        <w:tc>
          <w:tcPr>
            <w:tcW w:w="1860" w:type="dxa"/>
            <w:vMerge/>
            <w:tcBorders>
              <w:top w:val="single" w:sz="4" w:space="0" w:color="auto"/>
              <w:left w:val="nil"/>
              <w:bottom w:val="single" w:sz="4" w:space="0" w:color="000000"/>
              <w:right w:val="nil"/>
            </w:tcBorders>
            <w:vAlign w:val="center"/>
            <w:hideMark/>
          </w:tcPr>
          <w:p w:rsidR="00E037B4" w:rsidRPr="00E45ABB" w:rsidRDefault="00E037B4" w:rsidP="006A0590">
            <w:pPr>
              <w:spacing w:before="0" w:line="240" w:lineRule="auto"/>
              <w:rPr>
                <w:rFonts w:eastAsia="Times New Roman"/>
                <w:b/>
                <w:bCs/>
                <w:color w:val="000000"/>
                <w:sz w:val="20"/>
                <w:szCs w:val="20"/>
                <w:lang w:eastAsia="en-GB"/>
              </w:rPr>
            </w:pPr>
          </w:p>
        </w:tc>
        <w:tc>
          <w:tcPr>
            <w:tcW w:w="287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ADT alone</w:t>
            </w:r>
          </w:p>
        </w:tc>
        <w:tc>
          <w:tcPr>
            <w:tcW w:w="96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3,116</w:t>
            </w:r>
          </w:p>
        </w:tc>
        <w:tc>
          <w:tcPr>
            <w:tcW w:w="797"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8.7</w:t>
            </w:r>
          </w:p>
        </w:tc>
        <w:tc>
          <w:tcPr>
            <w:tcW w:w="1161"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965</w:t>
            </w:r>
          </w:p>
        </w:tc>
        <w:tc>
          <w:tcPr>
            <w:tcW w:w="759"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4.9</w:t>
            </w:r>
          </w:p>
        </w:tc>
        <w:tc>
          <w:tcPr>
            <w:tcW w:w="1072"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487</w:t>
            </w:r>
          </w:p>
        </w:tc>
        <w:tc>
          <w:tcPr>
            <w:tcW w:w="848"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6.8</w:t>
            </w:r>
          </w:p>
        </w:tc>
        <w:tc>
          <w:tcPr>
            <w:tcW w:w="1072"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1,116</w:t>
            </w:r>
          </w:p>
        </w:tc>
        <w:tc>
          <w:tcPr>
            <w:tcW w:w="848"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28.4</w:t>
            </w:r>
          </w:p>
        </w:tc>
        <w:tc>
          <w:tcPr>
            <w:tcW w:w="1019"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356</w:t>
            </w:r>
          </w:p>
        </w:tc>
        <w:tc>
          <w:tcPr>
            <w:tcW w:w="901"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7.0</w:t>
            </w:r>
          </w:p>
        </w:tc>
      </w:tr>
      <w:tr w:rsidR="00E037B4" w:rsidRPr="00E45ABB" w:rsidTr="006A0590">
        <w:trPr>
          <w:trHeight w:val="255"/>
        </w:trPr>
        <w:tc>
          <w:tcPr>
            <w:tcW w:w="1860" w:type="dxa"/>
            <w:vMerge/>
            <w:tcBorders>
              <w:top w:val="single" w:sz="4" w:space="0" w:color="auto"/>
              <w:left w:val="nil"/>
              <w:bottom w:val="single" w:sz="4" w:space="0" w:color="000000"/>
              <w:right w:val="nil"/>
            </w:tcBorders>
            <w:vAlign w:val="center"/>
            <w:hideMark/>
          </w:tcPr>
          <w:p w:rsidR="00E037B4" w:rsidRPr="00E45ABB" w:rsidRDefault="00E037B4" w:rsidP="006A0590">
            <w:pPr>
              <w:spacing w:before="0" w:line="240" w:lineRule="auto"/>
              <w:rPr>
                <w:rFonts w:eastAsia="Times New Roman"/>
                <w:b/>
                <w:bCs/>
                <w:color w:val="000000"/>
                <w:sz w:val="20"/>
                <w:szCs w:val="20"/>
                <w:lang w:eastAsia="en-GB"/>
              </w:rPr>
            </w:pPr>
          </w:p>
        </w:tc>
        <w:tc>
          <w:tcPr>
            <w:tcW w:w="287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Systemic + ADT</w:t>
            </w:r>
          </w:p>
        </w:tc>
        <w:tc>
          <w:tcPr>
            <w:tcW w:w="96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630</w:t>
            </w:r>
          </w:p>
        </w:tc>
        <w:tc>
          <w:tcPr>
            <w:tcW w:w="797"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1.8</w:t>
            </w:r>
          </w:p>
        </w:tc>
        <w:tc>
          <w:tcPr>
            <w:tcW w:w="1161"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71</w:t>
            </w:r>
          </w:p>
        </w:tc>
        <w:tc>
          <w:tcPr>
            <w:tcW w:w="759"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0.4</w:t>
            </w:r>
          </w:p>
        </w:tc>
        <w:tc>
          <w:tcPr>
            <w:tcW w:w="1072"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37</w:t>
            </w:r>
          </w:p>
        </w:tc>
        <w:tc>
          <w:tcPr>
            <w:tcW w:w="848"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0.5</w:t>
            </w:r>
          </w:p>
        </w:tc>
        <w:tc>
          <w:tcPr>
            <w:tcW w:w="1072"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450</w:t>
            </w:r>
          </w:p>
        </w:tc>
        <w:tc>
          <w:tcPr>
            <w:tcW w:w="848"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11.5</w:t>
            </w:r>
          </w:p>
        </w:tc>
        <w:tc>
          <w:tcPr>
            <w:tcW w:w="1019"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72</w:t>
            </w:r>
          </w:p>
        </w:tc>
        <w:tc>
          <w:tcPr>
            <w:tcW w:w="901"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1.4</w:t>
            </w:r>
          </w:p>
        </w:tc>
      </w:tr>
      <w:tr w:rsidR="00E037B4" w:rsidRPr="00E45ABB" w:rsidTr="006A0590">
        <w:trPr>
          <w:trHeight w:val="255"/>
        </w:trPr>
        <w:tc>
          <w:tcPr>
            <w:tcW w:w="1860" w:type="dxa"/>
            <w:vMerge/>
            <w:tcBorders>
              <w:top w:val="single" w:sz="4" w:space="0" w:color="auto"/>
              <w:left w:val="nil"/>
              <w:bottom w:val="single" w:sz="4" w:space="0" w:color="000000"/>
              <w:right w:val="nil"/>
            </w:tcBorders>
            <w:vAlign w:val="center"/>
            <w:hideMark/>
          </w:tcPr>
          <w:p w:rsidR="00E037B4" w:rsidRPr="00E45ABB" w:rsidRDefault="00E037B4" w:rsidP="006A0590">
            <w:pPr>
              <w:spacing w:before="0" w:line="240" w:lineRule="auto"/>
              <w:rPr>
                <w:rFonts w:eastAsia="Times New Roman"/>
                <w:b/>
                <w:bCs/>
                <w:color w:val="000000"/>
                <w:sz w:val="20"/>
                <w:szCs w:val="20"/>
                <w:lang w:eastAsia="en-GB"/>
              </w:rPr>
            </w:pPr>
          </w:p>
        </w:tc>
        <w:tc>
          <w:tcPr>
            <w:tcW w:w="287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Systemic + EBRT (+/- ADT)</w:t>
            </w:r>
          </w:p>
        </w:tc>
        <w:tc>
          <w:tcPr>
            <w:tcW w:w="96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513</w:t>
            </w:r>
          </w:p>
        </w:tc>
        <w:tc>
          <w:tcPr>
            <w:tcW w:w="797"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1.4</w:t>
            </w:r>
          </w:p>
        </w:tc>
        <w:tc>
          <w:tcPr>
            <w:tcW w:w="1161"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84</w:t>
            </w:r>
          </w:p>
        </w:tc>
        <w:tc>
          <w:tcPr>
            <w:tcW w:w="759"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0.4</w:t>
            </w:r>
          </w:p>
        </w:tc>
        <w:tc>
          <w:tcPr>
            <w:tcW w:w="1072"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128</w:t>
            </w:r>
          </w:p>
        </w:tc>
        <w:tc>
          <w:tcPr>
            <w:tcW w:w="848"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1.8</w:t>
            </w:r>
          </w:p>
        </w:tc>
        <w:tc>
          <w:tcPr>
            <w:tcW w:w="1072"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237</w:t>
            </w:r>
          </w:p>
        </w:tc>
        <w:tc>
          <w:tcPr>
            <w:tcW w:w="848"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6.0</w:t>
            </w:r>
          </w:p>
        </w:tc>
        <w:tc>
          <w:tcPr>
            <w:tcW w:w="1019"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64</w:t>
            </w:r>
          </w:p>
        </w:tc>
        <w:tc>
          <w:tcPr>
            <w:tcW w:w="901"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1.3</w:t>
            </w:r>
          </w:p>
        </w:tc>
      </w:tr>
      <w:tr w:rsidR="00E037B4" w:rsidRPr="00E45ABB" w:rsidTr="006A0590">
        <w:trPr>
          <w:trHeight w:val="255"/>
        </w:trPr>
        <w:tc>
          <w:tcPr>
            <w:tcW w:w="1860" w:type="dxa"/>
            <w:vMerge/>
            <w:tcBorders>
              <w:top w:val="single" w:sz="4" w:space="0" w:color="auto"/>
              <w:left w:val="nil"/>
              <w:bottom w:val="single" w:sz="4" w:space="0" w:color="000000"/>
              <w:right w:val="nil"/>
            </w:tcBorders>
            <w:vAlign w:val="center"/>
            <w:hideMark/>
          </w:tcPr>
          <w:p w:rsidR="00E037B4" w:rsidRPr="00E45ABB" w:rsidRDefault="00E037B4" w:rsidP="006A0590">
            <w:pPr>
              <w:spacing w:before="0" w:line="240" w:lineRule="auto"/>
              <w:rPr>
                <w:rFonts w:eastAsia="Times New Roman"/>
                <w:b/>
                <w:bCs/>
                <w:color w:val="000000"/>
                <w:sz w:val="20"/>
                <w:szCs w:val="20"/>
                <w:lang w:eastAsia="en-GB"/>
              </w:rPr>
            </w:pPr>
          </w:p>
        </w:tc>
        <w:tc>
          <w:tcPr>
            <w:tcW w:w="287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Other treatment groups</w:t>
            </w:r>
          </w:p>
        </w:tc>
        <w:tc>
          <w:tcPr>
            <w:tcW w:w="963"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5,709</w:t>
            </w:r>
          </w:p>
        </w:tc>
        <w:tc>
          <w:tcPr>
            <w:tcW w:w="797"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15.9</w:t>
            </w:r>
          </w:p>
        </w:tc>
        <w:tc>
          <w:tcPr>
            <w:tcW w:w="1161" w:type="dxa"/>
            <w:tcBorders>
              <w:top w:val="nil"/>
              <w:left w:val="nil"/>
              <w:bottom w:val="single" w:sz="4" w:space="0" w:color="auto"/>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2873</w:t>
            </w:r>
          </w:p>
        </w:tc>
        <w:tc>
          <w:tcPr>
            <w:tcW w:w="759" w:type="dxa"/>
            <w:tcBorders>
              <w:top w:val="nil"/>
              <w:left w:val="nil"/>
              <w:bottom w:val="single" w:sz="4" w:space="0" w:color="auto"/>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14.7</w:t>
            </w:r>
          </w:p>
        </w:tc>
        <w:tc>
          <w:tcPr>
            <w:tcW w:w="1072"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1257</w:t>
            </w:r>
          </w:p>
        </w:tc>
        <w:tc>
          <w:tcPr>
            <w:tcW w:w="848"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17.4</w:t>
            </w:r>
          </w:p>
        </w:tc>
        <w:tc>
          <w:tcPr>
            <w:tcW w:w="1072" w:type="dxa"/>
            <w:tcBorders>
              <w:top w:val="nil"/>
              <w:left w:val="nil"/>
              <w:bottom w:val="single" w:sz="4" w:space="0" w:color="auto"/>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680</w:t>
            </w:r>
          </w:p>
        </w:tc>
        <w:tc>
          <w:tcPr>
            <w:tcW w:w="848" w:type="dxa"/>
            <w:tcBorders>
              <w:top w:val="nil"/>
              <w:left w:val="nil"/>
              <w:bottom w:val="single" w:sz="4" w:space="0" w:color="auto"/>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17.3</w:t>
            </w:r>
          </w:p>
        </w:tc>
        <w:tc>
          <w:tcPr>
            <w:tcW w:w="1019"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899</w:t>
            </w:r>
          </w:p>
        </w:tc>
        <w:tc>
          <w:tcPr>
            <w:tcW w:w="901"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17.7</w:t>
            </w:r>
          </w:p>
        </w:tc>
      </w:tr>
      <w:tr w:rsidR="00E037B4" w:rsidRPr="00E45ABB" w:rsidTr="006A0590">
        <w:trPr>
          <w:trHeight w:val="255"/>
        </w:trPr>
        <w:tc>
          <w:tcPr>
            <w:tcW w:w="1860" w:type="dxa"/>
            <w:vMerge w:val="restart"/>
            <w:tcBorders>
              <w:top w:val="nil"/>
              <w:left w:val="nil"/>
              <w:bottom w:val="single" w:sz="4" w:space="0" w:color="000000"/>
              <w:right w:val="nil"/>
            </w:tcBorders>
            <w:shd w:val="clear" w:color="auto" w:fill="auto"/>
            <w:noWrap/>
            <w:vAlign w:val="center"/>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Age at survey</w:t>
            </w:r>
          </w:p>
        </w:tc>
        <w:tc>
          <w:tcPr>
            <w:tcW w:w="2873" w:type="dxa"/>
            <w:tcBorders>
              <w:top w:val="single" w:sz="4" w:space="0" w:color="auto"/>
              <w:left w:val="nil"/>
              <w:bottom w:val="nil"/>
              <w:right w:val="nil"/>
            </w:tcBorders>
            <w:shd w:val="clear" w:color="auto" w:fill="auto"/>
            <w:noWrap/>
            <w:vAlign w:val="center"/>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&lt;55 years</w:t>
            </w:r>
          </w:p>
        </w:tc>
        <w:tc>
          <w:tcPr>
            <w:tcW w:w="96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661</w:t>
            </w:r>
          </w:p>
        </w:tc>
        <w:tc>
          <w:tcPr>
            <w:tcW w:w="797" w:type="dxa"/>
            <w:tcBorders>
              <w:top w:val="single" w:sz="4" w:space="0" w:color="auto"/>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1.8</w:t>
            </w:r>
          </w:p>
        </w:tc>
        <w:tc>
          <w:tcPr>
            <w:tcW w:w="1161"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447</w:t>
            </w:r>
          </w:p>
        </w:tc>
        <w:tc>
          <w:tcPr>
            <w:tcW w:w="759"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2.3</w:t>
            </w:r>
          </w:p>
        </w:tc>
        <w:tc>
          <w:tcPr>
            <w:tcW w:w="1072"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92</w:t>
            </w:r>
          </w:p>
        </w:tc>
        <w:tc>
          <w:tcPr>
            <w:tcW w:w="848"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1.3</w:t>
            </w:r>
          </w:p>
        </w:tc>
        <w:tc>
          <w:tcPr>
            <w:tcW w:w="1072"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45</w:t>
            </w:r>
          </w:p>
        </w:tc>
        <w:tc>
          <w:tcPr>
            <w:tcW w:w="848"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1.1</w:t>
            </w:r>
          </w:p>
        </w:tc>
        <w:tc>
          <w:tcPr>
            <w:tcW w:w="1019"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77</w:t>
            </w:r>
          </w:p>
        </w:tc>
        <w:tc>
          <w:tcPr>
            <w:tcW w:w="901"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1.5</w:t>
            </w:r>
          </w:p>
        </w:tc>
      </w:tr>
      <w:tr w:rsidR="00E037B4" w:rsidRPr="00E45ABB" w:rsidTr="006A0590">
        <w:trPr>
          <w:trHeight w:val="255"/>
        </w:trPr>
        <w:tc>
          <w:tcPr>
            <w:tcW w:w="1860" w:type="dxa"/>
            <w:vMerge/>
            <w:tcBorders>
              <w:top w:val="nil"/>
              <w:left w:val="nil"/>
              <w:bottom w:val="single" w:sz="4" w:space="0" w:color="000000"/>
              <w:right w:val="nil"/>
            </w:tcBorders>
            <w:vAlign w:val="center"/>
            <w:hideMark/>
          </w:tcPr>
          <w:p w:rsidR="00E037B4" w:rsidRPr="00E45ABB" w:rsidRDefault="00E037B4" w:rsidP="006A0590">
            <w:pPr>
              <w:spacing w:before="0" w:line="240" w:lineRule="auto"/>
              <w:rPr>
                <w:rFonts w:eastAsia="Times New Roman"/>
                <w:b/>
                <w:bCs/>
                <w:color w:val="000000"/>
                <w:sz w:val="20"/>
                <w:szCs w:val="20"/>
                <w:lang w:eastAsia="en-GB"/>
              </w:rPr>
            </w:pPr>
          </w:p>
        </w:tc>
        <w:tc>
          <w:tcPr>
            <w:tcW w:w="2873" w:type="dxa"/>
            <w:tcBorders>
              <w:top w:val="nil"/>
              <w:left w:val="nil"/>
              <w:bottom w:val="nil"/>
              <w:right w:val="nil"/>
            </w:tcBorders>
            <w:shd w:val="clear" w:color="auto" w:fill="auto"/>
            <w:noWrap/>
            <w:vAlign w:val="center"/>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55-64 years</w:t>
            </w:r>
          </w:p>
        </w:tc>
        <w:tc>
          <w:tcPr>
            <w:tcW w:w="96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5,594</w:t>
            </w:r>
          </w:p>
        </w:tc>
        <w:tc>
          <w:tcPr>
            <w:tcW w:w="797"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15.6</w:t>
            </w:r>
          </w:p>
        </w:tc>
        <w:tc>
          <w:tcPr>
            <w:tcW w:w="1161"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3,366</w:t>
            </w:r>
          </w:p>
        </w:tc>
        <w:tc>
          <w:tcPr>
            <w:tcW w:w="759"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17.2</w:t>
            </w:r>
          </w:p>
        </w:tc>
        <w:tc>
          <w:tcPr>
            <w:tcW w:w="1072"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1,026</w:t>
            </w:r>
          </w:p>
        </w:tc>
        <w:tc>
          <w:tcPr>
            <w:tcW w:w="848"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14.2</w:t>
            </w:r>
          </w:p>
        </w:tc>
        <w:tc>
          <w:tcPr>
            <w:tcW w:w="1072"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473</w:t>
            </w:r>
          </w:p>
        </w:tc>
        <w:tc>
          <w:tcPr>
            <w:tcW w:w="848"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12.1</w:t>
            </w:r>
          </w:p>
        </w:tc>
        <w:tc>
          <w:tcPr>
            <w:tcW w:w="1019"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729</w:t>
            </w:r>
          </w:p>
        </w:tc>
        <w:tc>
          <w:tcPr>
            <w:tcW w:w="901"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14.3</w:t>
            </w:r>
          </w:p>
        </w:tc>
      </w:tr>
      <w:tr w:rsidR="00E037B4" w:rsidRPr="00E45ABB" w:rsidTr="006A0590">
        <w:trPr>
          <w:trHeight w:val="255"/>
        </w:trPr>
        <w:tc>
          <w:tcPr>
            <w:tcW w:w="1860" w:type="dxa"/>
            <w:vMerge/>
            <w:tcBorders>
              <w:top w:val="nil"/>
              <w:left w:val="nil"/>
              <w:bottom w:val="single" w:sz="4" w:space="0" w:color="000000"/>
              <w:right w:val="nil"/>
            </w:tcBorders>
            <w:vAlign w:val="center"/>
            <w:hideMark/>
          </w:tcPr>
          <w:p w:rsidR="00E037B4" w:rsidRPr="00E45ABB" w:rsidRDefault="00E037B4" w:rsidP="006A0590">
            <w:pPr>
              <w:spacing w:before="0" w:line="240" w:lineRule="auto"/>
              <w:rPr>
                <w:rFonts w:eastAsia="Times New Roman"/>
                <w:b/>
                <w:bCs/>
                <w:color w:val="000000"/>
                <w:sz w:val="20"/>
                <w:szCs w:val="20"/>
                <w:lang w:eastAsia="en-GB"/>
              </w:rPr>
            </w:pPr>
          </w:p>
        </w:tc>
        <w:tc>
          <w:tcPr>
            <w:tcW w:w="2873" w:type="dxa"/>
            <w:tcBorders>
              <w:top w:val="nil"/>
              <w:left w:val="nil"/>
              <w:bottom w:val="nil"/>
              <w:right w:val="nil"/>
            </w:tcBorders>
            <w:shd w:val="clear" w:color="auto" w:fill="auto"/>
            <w:noWrap/>
            <w:vAlign w:val="center"/>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65-74 years</w:t>
            </w:r>
          </w:p>
        </w:tc>
        <w:tc>
          <w:tcPr>
            <w:tcW w:w="96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16,638</w:t>
            </w:r>
          </w:p>
        </w:tc>
        <w:tc>
          <w:tcPr>
            <w:tcW w:w="797"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46.4</w:t>
            </w:r>
          </w:p>
        </w:tc>
        <w:tc>
          <w:tcPr>
            <w:tcW w:w="1161"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9,420</w:t>
            </w:r>
          </w:p>
        </w:tc>
        <w:tc>
          <w:tcPr>
            <w:tcW w:w="759"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48.1</w:t>
            </w:r>
          </w:p>
        </w:tc>
        <w:tc>
          <w:tcPr>
            <w:tcW w:w="1072"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3,406</w:t>
            </w:r>
          </w:p>
        </w:tc>
        <w:tc>
          <w:tcPr>
            <w:tcW w:w="848"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47.2</w:t>
            </w:r>
          </w:p>
        </w:tc>
        <w:tc>
          <w:tcPr>
            <w:tcW w:w="1072"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1,712</w:t>
            </w:r>
          </w:p>
        </w:tc>
        <w:tc>
          <w:tcPr>
            <w:tcW w:w="848"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43.6</w:t>
            </w:r>
          </w:p>
        </w:tc>
        <w:tc>
          <w:tcPr>
            <w:tcW w:w="1019"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2</w:t>
            </w:r>
            <w:r>
              <w:rPr>
                <w:rFonts w:eastAsia="Times New Roman"/>
                <w:color w:val="000000"/>
                <w:sz w:val="20"/>
                <w:szCs w:val="20"/>
                <w:lang w:eastAsia="en-GB"/>
              </w:rPr>
              <w:t>,</w:t>
            </w:r>
            <w:r w:rsidRPr="00E45ABB">
              <w:rPr>
                <w:rFonts w:eastAsia="Times New Roman"/>
                <w:color w:val="000000"/>
                <w:sz w:val="20"/>
                <w:szCs w:val="20"/>
                <w:lang w:eastAsia="en-GB"/>
              </w:rPr>
              <w:t>100</w:t>
            </w:r>
          </w:p>
        </w:tc>
        <w:tc>
          <w:tcPr>
            <w:tcW w:w="901"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41.3</w:t>
            </w:r>
          </w:p>
        </w:tc>
      </w:tr>
      <w:tr w:rsidR="00E037B4" w:rsidRPr="00E45ABB" w:rsidTr="006A0590">
        <w:trPr>
          <w:trHeight w:val="255"/>
        </w:trPr>
        <w:tc>
          <w:tcPr>
            <w:tcW w:w="1860" w:type="dxa"/>
            <w:vMerge/>
            <w:tcBorders>
              <w:top w:val="nil"/>
              <w:left w:val="nil"/>
              <w:bottom w:val="single" w:sz="4" w:space="0" w:color="000000"/>
              <w:right w:val="nil"/>
            </w:tcBorders>
            <w:vAlign w:val="center"/>
            <w:hideMark/>
          </w:tcPr>
          <w:p w:rsidR="00E037B4" w:rsidRPr="00E45ABB" w:rsidRDefault="00E037B4" w:rsidP="006A0590">
            <w:pPr>
              <w:spacing w:before="0" w:line="240" w:lineRule="auto"/>
              <w:rPr>
                <w:rFonts w:eastAsia="Times New Roman"/>
                <w:b/>
                <w:bCs/>
                <w:color w:val="000000"/>
                <w:sz w:val="20"/>
                <w:szCs w:val="20"/>
                <w:lang w:eastAsia="en-GB"/>
              </w:rPr>
            </w:pPr>
          </w:p>
        </w:tc>
        <w:tc>
          <w:tcPr>
            <w:tcW w:w="2873" w:type="dxa"/>
            <w:tcBorders>
              <w:top w:val="nil"/>
              <w:left w:val="nil"/>
              <w:bottom w:val="nil"/>
              <w:right w:val="nil"/>
            </w:tcBorders>
            <w:shd w:val="clear" w:color="auto" w:fill="auto"/>
            <w:noWrap/>
            <w:vAlign w:val="center"/>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75-84 years</w:t>
            </w:r>
          </w:p>
        </w:tc>
        <w:tc>
          <w:tcPr>
            <w:tcW w:w="96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11,082</w:t>
            </w:r>
          </w:p>
        </w:tc>
        <w:tc>
          <w:tcPr>
            <w:tcW w:w="797"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30.9</w:t>
            </w:r>
          </w:p>
        </w:tc>
        <w:tc>
          <w:tcPr>
            <w:tcW w:w="1161"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5,670</w:t>
            </w:r>
          </w:p>
        </w:tc>
        <w:tc>
          <w:tcPr>
            <w:tcW w:w="759"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28.9</w:t>
            </w:r>
          </w:p>
        </w:tc>
        <w:tc>
          <w:tcPr>
            <w:tcW w:w="1072"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2,391</w:t>
            </w:r>
          </w:p>
        </w:tc>
        <w:tc>
          <w:tcPr>
            <w:tcW w:w="848"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33.2</w:t>
            </w:r>
          </w:p>
        </w:tc>
        <w:tc>
          <w:tcPr>
            <w:tcW w:w="1072"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1,326</w:t>
            </w:r>
          </w:p>
        </w:tc>
        <w:tc>
          <w:tcPr>
            <w:tcW w:w="848"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33.8</w:t>
            </w:r>
          </w:p>
        </w:tc>
        <w:tc>
          <w:tcPr>
            <w:tcW w:w="1019"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w:t>
            </w:r>
            <w:r>
              <w:rPr>
                <w:rFonts w:eastAsia="Times New Roman"/>
                <w:color w:val="000000"/>
                <w:sz w:val="20"/>
                <w:szCs w:val="20"/>
                <w:lang w:eastAsia="en-GB"/>
              </w:rPr>
              <w:t>,</w:t>
            </w:r>
            <w:r w:rsidRPr="00E45ABB">
              <w:rPr>
                <w:rFonts w:eastAsia="Times New Roman"/>
                <w:color w:val="000000"/>
                <w:sz w:val="20"/>
                <w:szCs w:val="20"/>
                <w:lang w:eastAsia="en-GB"/>
              </w:rPr>
              <w:t>695</w:t>
            </w:r>
          </w:p>
        </w:tc>
        <w:tc>
          <w:tcPr>
            <w:tcW w:w="901"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33.3</w:t>
            </w:r>
          </w:p>
        </w:tc>
      </w:tr>
      <w:tr w:rsidR="00E037B4" w:rsidRPr="00E45ABB" w:rsidTr="006A0590">
        <w:trPr>
          <w:trHeight w:val="255"/>
        </w:trPr>
        <w:tc>
          <w:tcPr>
            <w:tcW w:w="1860" w:type="dxa"/>
            <w:vMerge/>
            <w:tcBorders>
              <w:top w:val="nil"/>
              <w:left w:val="nil"/>
              <w:bottom w:val="single" w:sz="4" w:space="0" w:color="000000"/>
              <w:right w:val="nil"/>
            </w:tcBorders>
            <w:vAlign w:val="center"/>
            <w:hideMark/>
          </w:tcPr>
          <w:p w:rsidR="00E037B4" w:rsidRPr="00E45ABB" w:rsidRDefault="00E037B4" w:rsidP="006A0590">
            <w:pPr>
              <w:spacing w:before="0" w:line="240" w:lineRule="auto"/>
              <w:rPr>
                <w:rFonts w:eastAsia="Times New Roman"/>
                <w:b/>
                <w:bCs/>
                <w:color w:val="000000"/>
                <w:sz w:val="20"/>
                <w:szCs w:val="20"/>
                <w:lang w:eastAsia="en-GB"/>
              </w:rPr>
            </w:pPr>
          </w:p>
        </w:tc>
        <w:tc>
          <w:tcPr>
            <w:tcW w:w="2873" w:type="dxa"/>
            <w:tcBorders>
              <w:top w:val="nil"/>
              <w:left w:val="nil"/>
              <w:bottom w:val="nil"/>
              <w:right w:val="nil"/>
            </w:tcBorders>
            <w:shd w:val="clear" w:color="auto" w:fill="auto"/>
            <w:noWrap/>
            <w:vAlign w:val="center"/>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85+ years</w:t>
            </w:r>
          </w:p>
        </w:tc>
        <w:tc>
          <w:tcPr>
            <w:tcW w:w="96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1,842</w:t>
            </w:r>
          </w:p>
        </w:tc>
        <w:tc>
          <w:tcPr>
            <w:tcW w:w="797"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5.1</w:t>
            </w:r>
          </w:p>
        </w:tc>
        <w:tc>
          <w:tcPr>
            <w:tcW w:w="1161"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696</w:t>
            </w:r>
          </w:p>
        </w:tc>
        <w:tc>
          <w:tcPr>
            <w:tcW w:w="759"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3.6</w:t>
            </w:r>
          </w:p>
        </w:tc>
        <w:tc>
          <w:tcPr>
            <w:tcW w:w="1072"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294</w:t>
            </w:r>
          </w:p>
        </w:tc>
        <w:tc>
          <w:tcPr>
            <w:tcW w:w="848"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4.1</w:t>
            </w:r>
          </w:p>
        </w:tc>
        <w:tc>
          <w:tcPr>
            <w:tcW w:w="1072"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369</w:t>
            </w:r>
          </w:p>
        </w:tc>
        <w:tc>
          <w:tcPr>
            <w:tcW w:w="848"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9.4</w:t>
            </w:r>
          </w:p>
        </w:tc>
        <w:tc>
          <w:tcPr>
            <w:tcW w:w="1019"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483</w:t>
            </w:r>
          </w:p>
        </w:tc>
        <w:tc>
          <w:tcPr>
            <w:tcW w:w="901"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9.5</w:t>
            </w:r>
          </w:p>
        </w:tc>
      </w:tr>
      <w:tr w:rsidR="00E037B4" w:rsidRPr="00E45ABB" w:rsidTr="006A0590">
        <w:trPr>
          <w:trHeight w:val="255"/>
        </w:trPr>
        <w:tc>
          <w:tcPr>
            <w:tcW w:w="1860" w:type="dxa"/>
            <w:vMerge/>
            <w:tcBorders>
              <w:top w:val="nil"/>
              <w:left w:val="nil"/>
              <w:bottom w:val="single" w:sz="4" w:space="0" w:color="000000"/>
              <w:right w:val="nil"/>
            </w:tcBorders>
            <w:vAlign w:val="center"/>
            <w:hideMark/>
          </w:tcPr>
          <w:p w:rsidR="00E037B4" w:rsidRPr="00E45ABB" w:rsidRDefault="00E037B4" w:rsidP="006A0590">
            <w:pPr>
              <w:spacing w:before="0" w:line="240" w:lineRule="auto"/>
              <w:rPr>
                <w:rFonts w:eastAsia="Times New Roman"/>
                <w:b/>
                <w:bCs/>
                <w:color w:val="000000"/>
                <w:sz w:val="20"/>
                <w:szCs w:val="20"/>
                <w:lang w:eastAsia="en-GB"/>
              </w:rPr>
            </w:pPr>
          </w:p>
        </w:tc>
        <w:tc>
          <w:tcPr>
            <w:tcW w:w="2873" w:type="dxa"/>
            <w:tcBorders>
              <w:top w:val="nil"/>
              <w:left w:val="nil"/>
              <w:bottom w:val="single" w:sz="4" w:space="0" w:color="auto"/>
              <w:right w:val="nil"/>
            </w:tcBorders>
            <w:shd w:val="clear" w:color="auto" w:fill="auto"/>
            <w:noWrap/>
            <w:vAlign w:val="center"/>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Unknown</w:t>
            </w:r>
          </w:p>
        </w:tc>
        <w:tc>
          <w:tcPr>
            <w:tcW w:w="963"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6</w:t>
            </w:r>
          </w:p>
        </w:tc>
        <w:tc>
          <w:tcPr>
            <w:tcW w:w="797"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0.02</w:t>
            </w:r>
          </w:p>
        </w:tc>
        <w:tc>
          <w:tcPr>
            <w:tcW w:w="1161" w:type="dxa"/>
            <w:tcBorders>
              <w:top w:val="nil"/>
              <w:left w:val="nil"/>
              <w:bottom w:val="single" w:sz="4" w:space="0" w:color="auto"/>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0</w:t>
            </w:r>
          </w:p>
        </w:tc>
        <w:tc>
          <w:tcPr>
            <w:tcW w:w="759" w:type="dxa"/>
            <w:tcBorders>
              <w:top w:val="nil"/>
              <w:left w:val="nil"/>
              <w:bottom w:val="single" w:sz="4" w:space="0" w:color="auto"/>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0.0</w:t>
            </w:r>
          </w:p>
        </w:tc>
        <w:tc>
          <w:tcPr>
            <w:tcW w:w="1072"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0</w:t>
            </w:r>
          </w:p>
        </w:tc>
        <w:tc>
          <w:tcPr>
            <w:tcW w:w="848"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0.0</w:t>
            </w:r>
          </w:p>
        </w:tc>
        <w:tc>
          <w:tcPr>
            <w:tcW w:w="1072" w:type="dxa"/>
            <w:tcBorders>
              <w:top w:val="nil"/>
              <w:left w:val="nil"/>
              <w:bottom w:val="single" w:sz="4" w:space="0" w:color="auto"/>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0</w:t>
            </w:r>
          </w:p>
        </w:tc>
        <w:tc>
          <w:tcPr>
            <w:tcW w:w="848" w:type="dxa"/>
            <w:tcBorders>
              <w:top w:val="nil"/>
              <w:left w:val="nil"/>
              <w:bottom w:val="single" w:sz="4" w:space="0" w:color="auto"/>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0.0</w:t>
            </w:r>
          </w:p>
        </w:tc>
        <w:tc>
          <w:tcPr>
            <w:tcW w:w="1019"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6</w:t>
            </w:r>
          </w:p>
        </w:tc>
        <w:tc>
          <w:tcPr>
            <w:tcW w:w="901"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0.1</w:t>
            </w:r>
          </w:p>
        </w:tc>
      </w:tr>
      <w:tr w:rsidR="00E037B4" w:rsidRPr="00E45ABB" w:rsidTr="006A0590">
        <w:trPr>
          <w:trHeight w:val="255"/>
        </w:trPr>
        <w:tc>
          <w:tcPr>
            <w:tcW w:w="1860" w:type="dxa"/>
            <w:vMerge w:val="restart"/>
            <w:tcBorders>
              <w:top w:val="nil"/>
              <w:left w:val="nil"/>
              <w:bottom w:val="single" w:sz="4" w:space="0" w:color="000000"/>
              <w:right w:val="nil"/>
            </w:tcBorders>
            <w:shd w:val="clear" w:color="auto" w:fill="auto"/>
            <w:vAlign w:val="center"/>
            <w:hideMark/>
          </w:tcPr>
          <w:p w:rsidR="00E037B4" w:rsidRPr="00E45ABB" w:rsidRDefault="00E037B4" w:rsidP="006A0590">
            <w:pPr>
              <w:spacing w:before="0" w:line="240" w:lineRule="auto"/>
              <w:rPr>
                <w:rFonts w:eastAsia="Times New Roman"/>
                <w:b/>
                <w:bCs/>
                <w:color w:val="000000"/>
                <w:sz w:val="20"/>
                <w:szCs w:val="20"/>
                <w:lang w:eastAsia="en-GB"/>
              </w:rPr>
            </w:pPr>
            <w:r>
              <w:rPr>
                <w:rFonts w:eastAsia="Times New Roman"/>
                <w:b/>
                <w:bCs/>
                <w:color w:val="000000"/>
                <w:sz w:val="20"/>
                <w:szCs w:val="20"/>
                <w:lang w:eastAsia="en-GB"/>
              </w:rPr>
              <w:t>Socio-economic d</w:t>
            </w:r>
            <w:r w:rsidRPr="00E45ABB">
              <w:rPr>
                <w:rFonts w:eastAsia="Times New Roman"/>
                <w:b/>
                <w:bCs/>
                <w:color w:val="000000"/>
                <w:sz w:val="20"/>
                <w:szCs w:val="20"/>
                <w:lang w:eastAsia="en-GB"/>
              </w:rPr>
              <w:t>eprivation quintile</w:t>
            </w:r>
          </w:p>
        </w:tc>
        <w:tc>
          <w:tcPr>
            <w:tcW w:w="287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1 - least deprived</w:t>
            </w:r>
          </w:p>
        </w:tc>
        <w:tc>
          <w:tcPr>
            <w:tcW w:w="96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9,408</w:t>
            </w:r>
          </w:p>
        </w:tc>
        <w:tc>
          <w:tcPr>
            <w:tcW w:w="797"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26.3</w:t>
            </w:r>
          </w:p>
        </w:tc>
        <w:tc>
          <w:tcPr>
            <w:tcW w:w="1161"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5,128</w:t>
            </w:r>
          </w:p>
        </w:tc>
        <w:tc>
          <w:tcPr>
            <w:tcW w:w="759"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26.2</w:t>
            </w:r>
          </w:p>
        </w:tc>
        <w:tc>
          <w:tcPr>
            <w:tcW w:w="1072"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1,802</w:t>
            </w:r>
          </w:p>
        </w:tc>
        <w:tc>
          <w:tcPr>
            <w:tcW w:w="848"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25.0</w:t>
            </w:r>
          </w:p>
        </w:tc>
        <w:tc>
          <w:tcPr>
            <w:tcW w:w="1072"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962</w:t>
            </w:r>
          </w:p>
        </w:tc>
        <w:tc>
          <w:tcPr>
            <w:tcW w:w="848"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24.5</w:t>
            </w:r>
          </w:p>
        </w:tc>
        <w:tc>
          <w:tcPr>
            <w:tcW w:w="1019"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w:t>
            </w:r>
            <w:r>
              <w:rPr>
                <w:rFonts w:eastAsia="Times New Roman"/>
                <w:color w:val="000000"/>
                <w:sz w:val="20"/>
                <w:szCs w:val="20"/>
                <w:lang w:eastAsia="en-GB"/>
              </w:rPr>
              <w:t>,</w:t>
            </w:r>
            <w:r w:rsidRPr="00E45ABB">
              <w:rPr>
                <w:rFonts w:eastAsia="Times New Roman"/>
                <w:color w:val="000000"/>
                <w:sz w:val="20"/>
                <w:szCs w:val="20"/>
                <w:lang w:eastAsia="en-GB"/>
              </w:rPr>
              <w:t>516</w:t>
            </w:r>
          </w:p>
        </w:tc>
        <w:tc>
          <w:tcPr>
            <w:tcW w:w="901"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29.8</w:t>
            </w:r>
          </w:p>
        </w:tc>
      </w:tr>
      <w:tr w:rsidR="00E037B4" w:rsidRPr="00E45ABB" w:rsidTr="006A0590">
        <w:trPr>
          <w:trHeight w:val="255"/>
        </w:trPr>
        <w:tc>
          <w:tcPr>
            <w:tcW w:w="1860" w:type="dxa"/>
            <w:vMerge/>
            <w:tcBorders>
              <w:top w:val="nil"/>
              <w:left w:val="nil"/>
              <w:bottom w:val="single" w:sz="4" w:space="0" w:color="000000"/>
              <w:right w:val="nil"/>
            </w:tcBorders>
            <w:vAlign w:val="center"/>
            <w:hideMark/>
          </w:tcPr>
          <w:p w:rsidR="00E037B4" w:rsidRPr="00E45ABB" w:rsidRDefault="00E037B4" w:rsidP="006A0590">
            <w:pPr>
              <w:spacing w:before="0" w:line="240" w:lineRule="auto"/>
              <w:rPr>
                <w:rFonts w:eastAsia="Times New Roman"/>
                <w:b/>
                <w:bCs/>
                <w:color w:val="000000"/>
                <w:sz w:val="20"/>
                <w:szCs w:val="20"/>
                <w:lang w:eastAsia="en-GB"/>
              </w:rPr>
            </w:pPr>
          </w:p>
        </w:tc>
        <w:tc>
          <w:tcPr>
            <w:tcW w:w="287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2</w:t>
            </w:r>
          </w:p>
        </w:tc>
        <w:tc>
          <w:tcPr>
            <w:tcW w:w="96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9,289</w:t>
            </w:r>
          </w:p>
        </w:tc>
        <w:tc>
          <w:tcPr>
            <w:tcW w:w="797"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25.9</w:t>
            </w:r>
          </w:p>
        </w:tc>
        <w:tc>
          <w:tcPr>
            <w:tcW w:w="1161"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5,186</w:t>
            </w:r>
          </w:p>
        </w:tc>
        <w:tc>
          <w:tcPr>
            <w:tcW w:w="759"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26.5</w:t>
            </w:r>
          </w:p>
        </w:tc>
        <w:tc>
          <w:tcPr>
            <w:tcW w:w="1072"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1,889</w:t>
            </w:r>
          </w:p>
        </w:tc>
        <w:tc>
          <w:tcPr>
            <w:tcW w:w="848"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26.2</w:t>
            </w:r>
          </w:p>
        </w:tc>
        <w:tc>
          <w:tcPr>
            <w:tcW w:w="1072"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1,000</w:t>
            </w:r>
          </w:p>
        </w:tc>
        <w:tc>
          <w:tcPr>
            <w:tcW w:w="848"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25.5</w:t>
            </w:r>
          </w:p>
        </w:tc>
        <w:tc>
          <w:tcPr>
            <w:tcW w:w="1019"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w:t>
            </w:r>
            <w:r>
              <w:rPr>
                <w:rFonts w:eastAsia="Times New Roman"/>
                <w:color w:val="000000"/>
                <w:sz w:val="20"/>
                <w:szCs w:val="20"/>
                <w:lang w:eastAsia="en-GB"/>
              </w:rPr>
              <w:t>,</w:t>
            </w:r>
            <w:r w:rsidRPr="00E45ABB">
              <w:rPr>
                <w:rFonts w:eastAsia="Times New Roman"/>
                <w:color w:val="000000"/>
                <w:sz w:val="20"/>
                <w:szCs w:val="20"/>
                <w:lang w:eastAsia="en-GB"/>
              </w:rPr>
              <w:t>241</w:t>
            </w:r>
          </w:p>
        </w:tc>
        <w:tc>
          <w:tcPr>
            <w:tcW w:w="901"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24.4</w:t>
            </w:r>
          </w:p>
        </w:tc>
      </w:tr>
      <w:tr w:rsidR="00E037B4" w:rsidRPr="00E45ABB" w:rsidTr="006A0590">
        <w:trPr>
          <w:trHeight w:val="255"/>
        </w:trPr>
        <w:tc>
          <w:tcPr>
            <w:tcW w:w="1860" w:type="dxa"/>
            <w:vMerge/>
            <w:tcBorders>
              <w:top w:val="nil"/>
              <w:left w:val="nil"/>
              <w:bottom w:val="single" w:sz="4" w:space="0" w:color="000000"/>
              <w:right w:val="nil"/>
            </w:tcBorders>
            <w:vAlign w:val="center"/>
            <w:hideMark/>
          </w:tcPr>
          <w:p w:rsidR="00E037B4" w:rsidRPr="00E45ABB" w:rsidRDefault="00E037B4" w:rsidP="006A0590">
            <w:pPr>
              <w:spacing w:before="0" w:line="240" w:lineRule="auto"/>
              <w:rPr>
                <w:rFonts w:eastAsia="Times New Roman"/>
                <w:b/>
                <w:bCs/>
                <w:color w:val="000000"/>
                <w:sz w:val="20"/>
                <w:szCs w:val="20"/>
                <w:lang w:eastAsia="en-GB"/>
              </w:rPr>
            </w:pPr>
          </w:p>
        </w:tc>
        <w:tc>
          <w:tcPr>
            <w:tcW w:w="287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3</w:t>
            </w:r>
          </w:p>
        </w:tc>
        <w:tc>
          <w:tcPr>
            <w:tcW w:w="96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7,381</w:t>
            </w:r>
          </w:p>
        </w:tc>
        <w:tc>
          <w:tcPr>
            <w:tcW w:w="797"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20.6</w:t>
            </w:r>
          </w:p>
        </w:tc>
        <w:tc>
          <w:tcPr>
            <w:tcW w:w="1161"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4,082</w:t>
            </w:r>
          </w:p>
        </w:tc>
        <w:tc>
          <w:tcPr>
            <w:tcW w:w="759"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20.8</w:t>
            </w:r>
          </w:p>
        </w:tc>
        <w:tc>
          <w:tcPr>
            <w:tcW w:w="1072"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1,504</w:t>
            </w:r>
          </w:p>
        </w:tc>
        <w:tc>
          <w:tcPr>
            <w:tcW w:w="848"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20.9</w:t>
            </w:r>
          </w:p>
        </w:tc>
        <w:tc>
          <w:tcPr>
            <w:tcW w:w="1072"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869</w:t>
            </w:r>
          </w:p>
        </w:tc>
        <w:tc>
          <w:tcPr>
            <w:tcW w:w="848"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22.1</w:t>
            </w:r>
          </w:p>
        </w:tc>
        <w:tc>
          <w:tcPr>
            <w:tcW w:w="1019"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926</w:t>
            </w:r>
          </w:p>
        </w:tc>
        <w:tc>
          <w:tcPr>
            <w:tcW w:w="901"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18.2</w:t>
            </w:r>
          </w:p>
        </w:tc>
      </w:tr>
      <w:tr w:rsidR="00E037B4" w:rsidRPr="00E45ABB" w:rsidTr="006A0590">
        <w:trPr>
          <w:trHeight w:val="255"/>
        </w:trPr>
        <w:tc>
          <w:tcPr>
            <w:tcW w:w="1860" w:type="dxa"/>
            <w:vMerge/>
            <w:tcBorders>
              <w:top w:val="nil"/>
              <w:left w:val="nil"/>
              <w:bottom w:val="single" w:sz="4" w:space="0" w:color="000000"/>
              <w:right w:val="nil"/>
            </w:tcBorders>
            <w:vAlign w:val="center"/>
            <w:hideMark/>
          </w:tcPr>
          <w:p w:rsidR="00E037B4" w:rsidRPr="00E45ABB" w:rsidRDefault="00E037B4" w:rsidP="006A0590">
            <w:pPr>
              <w:spacing w:before="0" w:line="240" w:lineRule="auto"/>
              <w:rPr>
                <w:rFonts w:eastAsia="Times New Roman"/>
                <w:b/>
                <w:bCs/>
                <w:color w:val="000000"/>
                <w:sz w:val="20"/>
                <w:szCs w:val="20"/>
                <w:lang w:eastAsia="en-GB"/>
              </w:rPr>
            </w:pPr>
          </w:p>
        </w:tc>
        <w:tc>
          <w:tcPr>
            <w:tcW w:w="287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4</w:t>
            </w:r>
          </w:p>
        </w:tc>
        <w:tc>
          <w:tcPr>
            <w:tcW w:w="96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5,266</w:t>
            </w:r>
          </w:p>
        </w:tc>
        <w:tc>
          <w:tcPr>
            <w:tcW w:w="797"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14.7</w:t>
            </w:r>
          </w:p>
        </w:tc>
        <w:tc>
          <w:tcPr>
            <w:tcW w:w="1161"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2,846</w:t>
            </w:r>
          </w:p>
        </w:tc>
        <w:tc>
          <w:tcPr>
            <w:tcW w:w="759"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14.5</w:t>
            </w:r>
          </w:p>
        </w:tc>
        <w:tc>
          <w:tcPr>
            <w:tcW w:w="1072"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1,084</w:t>
            </w:r>
          </w:p>
        </w:tc>
        <w:tc>
          <w:tcPr>
            <w:tcW w:w="848"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15.0</w:t>
            </w:r>
          </w:p>
        </w:tc>
        <w:tc>
          <w:tcPr>
            <w:tcW w:w="1072"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596</w:t>
            </w:r>
          </w:p>
        </w:tc>
        <w:tc>
          <w:tcPr>
            <w:tcW w:w="848"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15.2</w:t>
            </w:r>
          </w:p>
        </w:tc>
        <w:tc>
          <w:tcPr>
            <w:tcW w:w="1019"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740</w:t>
            </w:r>
          </w:p>
        </w:tc>
        <w:tc>
          <w:tcPr>
            <w:tcW w:w="901"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14.5</w:t>
            </w:r>
          </w:p>
        </w:tc>
      </w:tr>
      <w:tr w:rsidR="00E037B4" w:rsidRPr="00E45ABB" w:rsidTr="006A0590">
        <w:trPr>
          <w:trHeight w:val="255"/>
        </w:trPr>
        <w:tc>
          <w:tcPr>
            <w:tcW w:w="1860" w:type="dxa"/>
            <w:vMerge/>
            <w:tcBorders>
              <w:top w:val="nil"/>
              <w:left w:val="nil"/>
              <w:bottom w:val="single" w:sz="4" w:space="0" w:color="000000"/>
              <w:right w:val="nil"/>
            </w:tcBorders>
            <w:vAlign w:val="center"/>
            <w:hideMark/>
          </w:tcPr>
          <w:p w:rsidR="00E037B4" w:rsidRPr="00E45ABB" w:rsidRDefault="00E037B4" w:rsidP="006A0590">
            <w:pPr>
              <w:spacing w:before="0" w:line="240" w:lineRule="auto"/>
              <w:rPr>
                <w:rFonts w:eastAsia="Times New Roman"/>
                <w:b/>
                <w:bCs/>
                <w:color w:val="000000"/>
                <w:sz w:val="20"/>
                <w:szCs w:val="20"/>
                <w:lang w:eastAsia="en-GB"/>
              </w:rPr>
            </w:pPr>
          </w:p>
        </w:tc>
        <w:tc>
          <w:tcPr>
            <w:tcW w:w="287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5 - most deprived</w:t>
            </w:r>
          </w:p>
        </w:tc>
        <w:tc>
          <w:tcPr>
            <w:tcW w:w="96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3,620</w:t>
            </w:r>
          </w:p>
        </w:tc>
        <w:tc>
          <w:tcPr>
            <w:tcW w:w="797"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10.1</w:t>
            </w:r>
          </w:p>
        </w:tc>
        <w:tc>
          <w:tcPr>
            <w:tcW w:w="1161"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1,955</w:t>
            </w:r>
          </w:p>
        </w:tc>
        <w:tc>
          <w:tcPr>
            <w:tcW w:w="759"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10.0</w:t>
            </w:r>
          </w:p>
        </w:tc>
        <w:tc>
          <w:tcPr>
            <w:tcW w:w="1072"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786</w:t>
            </w:r>
          </w:p>
        </w:tc>
        <w:tc>
          <w:tcPr>
            <w:tcW w:w="848"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10.9</w:t>
            </w:r>
          </w:p>
        </w:tc>
        <w:tc>
          <w:tcPr>
            <w:tcW w:w="1072"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421</w:t>
            </w:r>
          </w:p>
        </w:tc>
        <w:tc>
          <w:tcPr>
            <w:tcW w:w="848"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10.7</w:t>
            </w:r>
          </w:p>
        </w:tc>
        <w:tc>
          <w:tcPr>
            <w:tcW w:w="1019"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458</w:t>
            </w:r>
          </w:p>
        </w:tc>
        <w:tc>
          <w:tcPr>
            <w:tcW w:w="901"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9.0</w:t>
            </w:r>
          </w:p>
        </w:tc>
      </w:tr>
      <w:tr w:rsidR="00E037B4" w:rsidRPr="00E45ABB" w:rsidTr="006A0590">
        <w:trPr>
          <w:trHeight w:val="255"/>
        </w:trPr>
        <w:tc>
          <w:tcPr>
            <w:tcW w:w="1860" w:type="dxa"/>
            <w:vMerge/>
            <w:tcBorders>
              <w:top w:val="nil"/>
              <w:left w:val="nil"/>
              <w:bottom w:val="single" w:sz="4" w:space="0" w:color="000000"/>
              <w:right w:val="nil"/>
            </w:tcBorders>
            <w:vAlign w:val="center"/>
            <w:hideMark/>
          </w:tcPr>
          <w:p w:rsidR="00E037B4" w:rsidRPr="00E45ABB" w:rsidRDefault="00E037B4" w:rsidP="006A0590">
            <w:pPr>
              <w:spacing w:before="0" w:line="240" w:lineRule="auto"/>
              <w:rPr>
                <w:rFonts w:eastAsia="Times New Roman"/>
                <w:b/>
                <w:bCs/>
                <w:color w:val="000000"/>
                <w:sz w:val="20"/>
                <w:szCs w:val="20"/>
                <w:lang w:eastAsia="en-GB"/>
              </w:rPr>
            </w:pPr>
          </w:p>
        </w:tc>
        <w:tc>
          <w:tcPr>
            <w:tcW w:w="2873"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Unknown</w:t>
            </w:r>
          </w:p>
        </w:tc>
        <w:tc>
          <w:tcPr>
            <w:tcW w:w="963"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859</w:t>
            </w:r>
          </w:p>
        </w:tc>
        <w:tc>
          <w:tcPr>
            <w:tcW w:w="797"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2.4</w:t>
            </w:r>
          </w:p>
        </w:tc>
        <w:tc>
          <w:tcPr>
            <w:tcW w:w="1161" w:type="dxa"/>
            <w:tcBorders>
              <w:top w:val="nil"/>
              <w:left w:val="nil"/>
              <w:bottom w:val="single" w:sz="4" w:space="0" w:color="auto"/>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402</w:t>
            </w:r>
          </w:p>
        </w:tc>
        <w:tc>
          <w:tcPr>
            <w:tcW w:w="759" w:type="dxa"/>
            <w:tcBorders>
              <w:top w:val="nil"/>
              <w:left w:val="nil"/>
              <w:bottom w:val="single" w:sz="4" w:space="0" w:color="auto"/>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2.1</w:t>
            </w:r>
          </w:p>
        </w:tc>
        <w:tc>
          <w:tcPr>
            <w:tcW w:w="1072"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144</w:t>
            </w:r>
          </w:p>
        </w:tc>
        <w:tc>
          <w:tcPr>
            <w:tcW w:w="848"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2.0</w:t>
            </w:r>
          </w:p>
        </w:tc>
        <w:tc>
          <w:tcPr>
            <w:tcW w:w="1072" w:type="dxa"/>
            <w:tcBorders>
              <w:top w:val="nil"/>
              <w:left w:val="nil"/>
              <w:bottom w:val="single" w:sz="4" w:space="0" w:color="auto"/>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77</w:t>
            </w:r>
          </w:p>
        </w:tc>
        <w:tc>
          <w:tcPr>
            <w:tcW w:w="848" w:type="dxa"/>
            <w:tcBorders>
              <w:top w:val="nil"/>
              <w:left w:val="nil"/>
              <w:bottom w:val="single" w:sz="4" w:space="0" w:color="auto"/>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2.0</w:t>
            </w:r>
          </w:p>
        </w:tc>
        <w:tc>
          <w:tcPr>
            <w:tcW w:w="1019"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236</w:t>
            </w:r>
          </w:p>
        </w:tc>
        <w:tc>
          <w:tcPr>
            <w:tcW w:w="901"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4.6</w:t>
            </w:r>
          </w:p>
        </w:tc>
      </w:tr>
      <w:tr w:rsidR="00E037B4" w:rsidRPr="00E45ABB" w:rsidTr="006A0590">
        <w:trPr>
          <w:trHeight w:val="255"/>
        </w:trPr>
        <w:tc>
          <w:tcPr>
            <w:tcW w:w="1860" w:type="dxa"/>
            <w:vMerge w:val="restart"/>
            <w:tcBorders>
              <w:top w:val="nil"/>
              <w:left w:val="nil"/>
              <w:bottom w:val="single" w:sz="4" w:space="0" w:color="000000"/>
              <w:right w:val="nil"/>
            </w:tcBorders>
            <w:shd w:val="clear" w:color="auto" w:fill="auto"/>
            <w:vAlign w:val="center"/>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 xml:space="preserve">No. of </w:t>
            </w:r>
            <w:r>
              <w:rPr>
                <w:rFonts w:eastAsia="Times New Roman"/>
                <w:b/>
                <w:bCs/>
                <w:color w:val="000000"/>
                <w:sz w:val="20"/>
                <w:szCs w:val="20"/>
                <w:lang w:eastAsia="en-GB"/>
              </w:rPr>
              <w:t xml:space="preserve">other </w:t>
            </w:r>
            <w:r w:rsidRPr="00E45ABB">
              <w:rPr>
                <w:rFonts w:eastAsia="Times New Roman"/>
                <w:b/>
                <w:bCs/>
                <w:color w:val="000000"/>
                <w:sz w:val="20"/>
                <w:szCs w:val="20"/>
                <w:lang w:eastAsia="en-GB"/>
              </w:rPr>
              <w:t>long-term conditions</w:t>
            </w:r>
          </w:p>
        </w:tc>
        <w:tc>
          <w:tcPr>
            <w:tcW w:w="287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0</w:t>
            </w:r>
          </w:p>
        </w:tc>
        <w:tc>
          <w:tcPr>
            <w:tcW w:w="96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10,405</w:t>
            </w:r>
          </w:p>
        </w:tc>
        <w:tc>
          <w:tcPr>
            <w:tcW w:w="797"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29.0</w:t>
            </w:r>
          </w:p>
        </w:tc>
        <w:tc>
          <w:tcPr>
            <w:tcW w:w="1161"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5,740</w:t>
            </w:r>
          </w:p>
        </w:tc>
        <w:tc>
          <w:tcPr>
            <w:tcW w:w="759"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29.3</w:t>
            </w:r>
          </w:p>
        </w:tc>
        <w:tc>
          <w:tcPr>
            <w:tcW w:w="1072"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2,087</w:t>
            </w:r>
          </w:p>
        </w:tc>
        <w:tc>
          <w:tcPr>
            <w:tcW w:w="848"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28.9</w:t>
            </w:r>
          </w:p>
        </w:tc>
        <w:tc>
          <w:tcPr>
            <w:tcW w:w="1072"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1,131</w:t>
            </w:r>
          </w:p>
        </w:tc>
        <w:tc>
          <w:tcPr>
            <w:tcW w:w="848"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28.8</w:t>
            </w:r>
          </w:p>
        </w:tc>
        <w:tc>
          <w:tcPr>
            <w:tcW w:w="1019"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w:t>
            </w:r>
            <w:r>
              <w:rPr>
                <w:rFonts w:eastAsia="Times New Roman"/>
                <w:color w:val="000000"/>
                <w:sz w:val="20"/>
                <w:szCs w:val="20"/>
                <w:lang w:eastAsia="en-GB"/>
              </w:rPr>
              <w:t>,</w:t>
            </w:r>
            <w:r w:rsidRPr="00E45ABB">
              <w:rPr>
                <w:rFonts w:eastAsia="Times New Roman"/>
                <w:color w:val="000000"/>
                <w:sz w:val="20"/>
                <w:szCs w:val="20"/>
                <w:lang w:eastAsia="en-GB"/>
              </w:rPr>
              <w:t>447</w:t>
            </w:r>
          </w:p>
        </w:tc>
        <w:tc>
          <w:tcPr>
            <w:tcW w:w="901"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28.4</w:t>
            </w:r>
          </w:p>
        </w:tc>
      </w:tr>
      <w:tr w:rsidR="00E037B4" w:rsidRPr="00E45ABB" w:rsidTr="006A0590">
        <w:trPr>
          <w:trHeight w:val="255"/>
        </w:trPr>
        <w:tc>
          <w:tcPr>
            <w:tcW w:w="1860" w:type="dxa"/>
            <w:vMerge/>
            <w:tcBorders>
              <w:top w:val="nil"/>
              <w:left w:val="nil"/>
              <w:bottom w:val="single" w:sz="4" w:space="0" w:color="000000"/>
              <w:right w:val="nil"/>
            </w:tcBorders>
            <w:vAlign w:val="center"/>
            <w:hideMark/>
          </w:tcPr>
          <w:p w:rsidR="00E037B4" w:rsidRPr="00E45ABB" w:rsidRDefault="00E037B4" w:rsidP="006A0590">
            <w:pPr>
              <w:spacing w:before="0" w:line="240" w:lineRule="auto"/>
              <w:rPr>
                <w:rFonts w:eastAsia="Times New Roman"/>
                <w:b/>
                <w:bCs/>
                <w:color w:val="000000"/>
                <w:sz w:val="20"/>
                <w:szCs w:val="20"/>
                <w:lang w:eastAsia="en-GB"/>
              </w:rPr>
            </w:pPr>
          </w:p>
        </w:tc>
        <w:tc>
          <w:tcPr>
            <w:tcW w:w="287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1</w:t>
            </w:r>
          </w:p>
        </w:tc>
        <w:tc>
          <w:tcPr>
            <w:tcW w:w="96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12,527</w:t>
            </w:r>
          </w:p>
        </w:tc>
        <w:tc>
          <w:tcPr>
            <w:tcW w:w="797"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35.0</w:t>
            </w:r>
          </w:p>
        </w:tc>
        <w:tc>
          <w:tcPr>
            <w:tcW w:w="1161"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6,910</w:t>
            </w:r>
          </w:p>
        </w:tc>
        <w:tc>
          <w:tcPr>
            <w:tcW w:w="759"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35.3</w:t>
            </w:r>
          </w:p>
        </w:tc>
        <w:tc>
          <w:tcPr>
            <w:tcW w:w="1072"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2,594</w:t>
            </w:r>
          </w:p>
        </w:tc>
        <w:tc>
          <w:tcPr>
            <w:tcW w:w="848"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36.0</w:t>
            </w:r>
          </w:p>
        </w:tc>
        <w:tc>
          <w:tcPr>
            <w:tcW w:w="1072"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1,316</w:t>
            </w:r>
          </w:p>
        </w:tc>
        <w:tc>
          <w:tcPr>
            <w:tcW w:w="848"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33.5</w:t>
            </w:r>
          </w:p>
        </w:tc>
        <w:tc>
          <w:tcPr>
            <w:tcW w:w="1019"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w:t>
            </w:r>
            <w:r>
              <w:rPr>
                <w:rFonts w:eastAsia="Times New Roman"/>
                <w:color w:val="000000"/>
                <w:sz w:val="20"/>
                <w:szCs w:val="20"/>
                <w:lang w:eastAsia="en-GB"/>
              </w:rPr>
              <w:t>,</w:t>
            </w:r>
            <w:r w:rsidRPr="00E45ABB">
              <w:rPr>
                <w:rFonts w:eastAsia="Times New Roman"/>
                <w:color w:val="000000"/>
                <w:sz w:val="20"/>
                <w:szCs w:val="20"/>
                <w:lang w:eastAsia="en-GB"/>
              </w:rPr>
              <w:t>707</w:t>
            </w:r>
          </w:p>
        </w:tc>
        <w:tc>
          <w:tcPr>
            <w:tcW w:w="901"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33.5</w:t>
            </w:r>
          </w:p>
        </w:tc>
      </w:tr>
      <w:tr w:rsidR="00E037B4" w:rsidRPr="00E45ABB" w:rsidTr="006A0590">
        <w:trPr>
          <w:trHeight w:val="255"/>
        </w:trPr>
        <w:tc>
          <w:tcPr>
            <w:tcW w:w="1860" w:type="dxa"/>
            <w:vMerge/>
            <w:tcBorders>
              <w:top w:val="nil"/>
              <w:left w:val="nil"/>
              <w:bottom w:val="single" w:sz="4" w:space="0" w:color="000000"/>
              <w:right w:val="nil"/>
            </w:tcBorders>
            <w:vAlign w:val="center"/>
            <w:hideMark/>
          </w:tcPr>
          <w:p w:rsidR="00E037B4" w:rsidRPr="00E45ABB" w:rsidRDefault="00E037B4" w:rsidP="006A0590">
            <w:pPr>
              <w:spacing w:before="0" w:line="240" w:lineRule="auto"/>
              <w:rPr>
                <w:rFonts w:eastAsia="Times New Roman"/>
                <w:b/>
                <w:bCs/>
                <w:color w:val="000000"/>
                <w:sz w:val="20"/>
                <w:szCs w:val="20"/>
                <w:lang w:eastAsia="en-GB"/>
              </w:rPr>
            </w:pPr>
          </w:p>
        </w:tc>
        <w:tc>
          <w:tcPr>
            <w:tcW w:w="287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2</w:t>
            </w:r>
          </w:p>
        </w:tc>
        <w:tc>
          <w:tcPr>
            <w:tcW w:w="96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7,154</w:t>
            </w:r>
          </w:p>
        </w:tc>
        <w:tc>
          <w:tcPr>
            <w:tcW w:w="797"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20.0</w:t>
            </w:r>
          </w:p>
        </w:tc>
        <w:tc>
          <w:tcPr>
            <w:tcW w:w="1161"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3,827</w:t>
            </w:r>
          </w:p>
        </w:tc>
        <w:tc>
          <w:tcPr>
            <w:tcW w:w="759"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19.5</w:t>
            </w:r>
          </w:p>
        </w:tc>
        <w:tc>
          <w:tcPr>
            <w:tcW w:w="1072"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1,432</w:t>
            </w:r>
          </w:p>
        </w:tc>
        <w:tc>
          <w:tcPr>
            <w:tcW w:w="848"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19.9</w:t>
            </w:r>
          </w:p>
        </w:tc>
        <w:tc>
          <w:tcPr>
            <w:tcW w:w="1072"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807</w:t>
            </w:r>
          </w:p>
        </w:tc>
        <w:tc>
          <w:tcPr>
            <w:tcW w:w="848"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20.6</w:t>
            </w:r>
          </w:p>
        </w:tc>
        <w:tc>
          <w:tcPr>
            <w:tcW w:w="1019"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w:t>
            </w:r>
            <w:r>
              <w:rPr>
                <w:rFonts w:eastAsia="Times New Roman"/>
                <w:color w:val="000000"/>
                <w:sz w:val="20"/>
                <w:szCs w:val="20"/>
                <w:lang w:eastAsia="en-GB"/>
              </w:rPr>
              <w:t>,</w:t>
            </w:r>
            <w:r w:rsidRPr="00E45ABB">
              <w:rPr>
                <w:rFonts w:eastAsia="Times New Roman"/>
                <w:color w:val="000000"/>
                <w:sz w:val="20"/>
                <w:szCs w:val="20"/>
                <w:lang w:eastAsia="en-GB"/>
              </w:rPr>
              <w:t>088</w:t>
            </w:r>
          </w:p>
        </w:tc>
        <w:tc>
          <w:tcPr>
            <w:tcW w:w="901"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21.4</w:t>
            </w:r>
          </w:p>
        </w:tc>
      </w:tr>
      <w:tr w:rsidR="00E037B4" w:rsidRPr="00E45ABB" w:rsidTr="006A0590">
        <w:trPr>
          <w:trHeight w:val="255"/>
        </w:trPr>
        <w:tc>
          <w:tcPr>
            <w:tcW w:w="1860" w:type="dxa"/>
            <w:vMerge/>
            <w:tcBorders>
              <w:top w:val="nil"/>
              <w:left w:val="nil"/>
              <w:bottom w:val="single" w:sz="4" w:space="0" w:color="000000"/>
              <w:right w:val="nil"/>
            </w:tcBorders>
            <w:vAlign w:val="center"/>
            <w:hideMark/>
          </w:tcPr>
          <w:p w:rsidR="00E037B4" w:rsidRPr="00E45ABB" w:rsidRDefault="00E037B4" w:rsidP="006A0590">
            <w:pPr>
              <w:spacing w:before="0" w:line="240" w:lineRule="auto"/>
              <w:rPr>
                <w:rFonts w:eastAsia="Times New Roman"/>
                <w:b/>
                <w:bCs/>
                <w:color w:val="000000"/>
                <w:sz w:val="20"/>
                <w:szCs w:val="20"/>
                <w:lang w:eastAsia="en-GB"/>
              </w:rPr>
            </w:pPr>
          </w:p>
        </w:tc>
        <w:tc>
          <w:tcPr>
            <w:tcW w:w="287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3</w:t>
            </w:r>
          </w:p>
        </w:tc>
        <w:tc>
          <w:tcPr>
            <w:tcW w:w="963"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3,174</w:t>
            </w:r>
          </w:p>
        </w:tc>
        <w:tc>
          <w:tcPr>
            <w:tcW w:w="797"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8.9</w:t>
            </w:r>
          </w:p>
        </w:tc>
        <w:tc>
          <w:tcPr>
            <w:tcW w:w="1161"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1,708</w:t>
            </w:r>
          </w:p>
        </w:tc>
        <w:tc>
          <w:tcPr>
            <w:tcW w:w="759"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8.7</w:t>
            </w:r>
          </w:p>
        </w:tc>
        <w:tc>
          <w:tcPr>
            <w:tcW w:w="1072"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605</w:t>
            </w:r>
          </w:p>
        </w:tc>
        <w:tc>
          <w:tcPr>
            <w:tcW w:w="848"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8.4</w:t>
            </w:r>
          </w:p>
        </w:tc>
        <w:tc>
          <w:tcPr>
            <w:tcW w:w="1072"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391</w:t>
            </w:r>
          </w:p>
        </w:tc>
        <w:tc>
          <w:tcPr>
            <w:tcW w:w="848" w:type="dxa"/>
            <w:tcBorders>
              <w:top w:val="nil"/>
              <w:left w:val="nil"/>
              <w:bottom w:val="nil"/>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10.0</w:t>
            </w:r>
          </w:p>
        </w:tc>
        <w:tc>
          <w:tcPr>
            <w:tcW w:w="1019"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470</w:t>
            </w:r>
          </w:p>
        </w:tc>
        <w:tc>
          <w:tcPr>
            <w:tcW w:w="901" w:type="dxa"/>
            <w:tcBorders>
              <w:top w:val="nil"/>
              <w:left w:val="nil"/>
              <w:bottom w:val="nil"/>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9.2</w:t>
            </w:r>
          </w:p>
        </w:tc>
      </w:tr>
      <w:tr w:rsidR="00E037B4" w:rsidRPr="00E45ABB" w:rsidTr="006A0590">
        <w:trPr>
          <w:trHeight w:val="255"/>
        </w:trPr>
        <w:tc>
          <w:tcPr>
            <w:tcW w:w="1860" w:type="dxa"/>
            <w:vMerge/>
            <w:tcBorders>
              <w:top w:val="nil"/>
              <w:left w:val="nil"/>
              <w:bottom w:val="single" w:sz="4" w:space="0" w:color="000000"/>
              <w:right w:val="nil"/>
            </w:tcBorders>
            <w:vAlign w:val="center"/>
            <w:hideMark/>
          </w:tcPr>
          <w:p w:rsidR="00E037B4" w:rsidRPr="00E45ABB" w:rsidRDefault="00E037B4" w:rsidP="006A0590">
            <w:pPr>
              <w:spacing w:before="0" w:line="240" w:lineRule="auto"/>
              <w:rPr>
                <w:rFonts w:eastAsia="Times New Roman"/>
                <w:b/>
                <w:bCs/>
                <w:color w:val="000000"/>
                <w:sz w:val="20"/>
                <w:szCs w:val="20"/>
                <w:lang w:eastAsia="en-GB"/>
              </w:rPr>
            </w:pPr>
          </w:p>
        </w:tc>
        <w:tc>
          <w:tcPr>
            <w:tcW w:w="2873"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rPr>
                <w:rFonts w:eastAsia="Times New Roman"/>
                <w:b/>
                <w:bCs/>
                <w:color w:val="000000"/>
                <w:sz w:val="20"/>
                <w:szCs w:val="20"/>
                <w:lang w:eastAsia="en-GB"/>
              </w:rPr>
            </w:pPr>
            <w:r w:rsidRPr="00E45ABB">
              <w:rPr>
                <w:rFonts w:eastAsia="Times New Roman"/>
                <w:b/>
                <w:bCs/>
                <w:color w:val="000000"/>
                <w:sz w:val="20"/>
                <w:szCs w:val="20"/>
                <w:lang w:eastAsia="en-GB"/>
              </w:rPr>
              <w:t>≥4</w:t>
            </w:r>
          </w:p>
        </w:tc>
        <w:tc>
          <w:tcPr>
            <w:tcW w:w="963"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2,563</w:t>
            </w:r>
          </w:p>
        </w:tc>
        <w:tc>
          <w:tcPr>
            <w:tcW w:w="797"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7.2</w:t>
            </w:r>
          </w:p>
        </w:tc>
        <w:tc>
          <w:tcPr>
            <w:tcW w:w="1161" w:type="dxa"/>
            <w:tcBorders>
              <w:top w:val="nil"/>
              <w:left w:val="nil"/>
              <w:bottom w:val="single" w:sz="4" w:space="0" w:color="auto"/>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1,414</w:t>
            </w:r>
          </w:p>
        </w:tc>
        <w:tc>
          <w:tcPr>
            <w:tcW w:w="759" w:type="dxa"/>
            <w:tcBorders>
              <w:top w:val="nil"/>
              <w:left w:val="nil"/>
              <w:bottom w:val="single" w:sz="4" w:space="0" w:color="auto"/>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7.2</w:t>
            </w:r>
          </w:p>
        </w:tc>
        <w:tc>
          <w:tcPr>
            <w:tcW w:w="1072"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491</w:t>
            </w:r>
          </w:p>
        </w:tc>
        <w:tc>
          <w:tcPr>
            <w:tcW w:w="848"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6.8</w:t>
            </w:r>
          </w:p>
        </w:tc>
        <w:tc>
          <w:tcPr>
            <w:tcW w:w="1072" w:type="dxa"/>
            <w:tcBorders>
              <w:top w:val="nil"/>
              <w:left w:val="nil"/>
              <w:bottom w:val="single" w:sz="4" w:space="0" w:color="auto"/>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280</w:t>
            </w:r>
          </w:p>
        </w:tc>
        <w:tc>
          <w:tcPr>
            <w:tcW w:w="848" w:type="dxa"/>
            <w:tcBorders>
              <w:top w:val="nil"/>
              <w:left w:val="nil"/>
              <w:bottom w:val="single" w:sz="4" w:space="0" w:color="auto"/>
              <w:right w:val="nil"/>
            </w:tcBorders>
            <w:shd w:val="clear" w:color="auto" w:fill="D9D9D9" w:themeFill="background1" w:themeFillShade="D9"/>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7.1</w:t>
            </w:r>
          </w:p>
        </w:tc>
        <w:tc>
          <w:tcPr>
            <w:tcW w:w="1019"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jc w:val="right"/>
              <w:rPr>
                <w:rFonts w:eastAsia="Times New Roman"/>
                <w:color w:val="000000"/>
                <w:sz w:val="20"/>
                <w:szCs w:val="20"/>
                <w:lang w:eastAsia="en-GB"/>
              </w:rPr>
            </w:pPr>
            <w:r w:rsidRPr="00E45ABB">
              <w:rPr>
                <w:rFonts w:eastAsia="Times New Roman"/>
                <w:color w:val="000000"/>
                <w:sz w:val="20"/>
                <w:szCs w:val="20"/>
                <w:lang w:eastAsia="en-GB"/>
              </w:rPr>
              <w:t>378</w:t>
            </w:r>
          </w:p>
        </w:tc>
        <w:tc>
          <w:tcPr>
            <w:tcW w:w="901" w:type="dxa"/>
            <w:tcBorders>
              <w:top w:val="nil"/>
              <w:left w:val="nil"/>
              <w:bottom w:val="single" w:sz="4" w:space="0" w:color="auto"/>
              <w:right w:val="nil"/>
            </w:tcBorders>
            <w:shd w:val="clear" w:color="auto" w:fill="auto"/>
            <w:noWrap/>
            <w:vAlign w:val="bottom"/>
            <w:hideMark/>
          </w:tcPr>
          <w:p w:rsidR="00E037B4" w:rsidRPr="00E45ABB" w:rsidRDefault="00E037B4" w:rsidP="006A0590">
            <w:pPr>
              <w:spacing w:before="0" w:line="240" w:lineRule="auto"/>
              <w:jc w:val="right"/>
              <w:rPr>
                <w:rFonts w:eastAsia="Times New Roman"/>
                <w:i/>
                <w:iCs/>
                <w:color w:val="000000"/>
                <w:sz w:val="20"/>
                <w:szCs w:val="20"/>
                <w:lang w:eastAsia="en-GB"/>
              </w:rPr>
            </w:pPr>
            <w:r w:rsidRPr="00E45ABB">
              <w:rPr>
                <w:rFonts w:eastAsia="Times New Roman"/>
                <w:i/>
                <w:iCs/>
                <w:color w:val="000000"/>
                <w:sz w:val="20"/>
                <w:szCs w:val="20"/>
                <w:lang w:eastAsia="en-GB"/>
              </w:rPr>
              <w:t>7.4</w:t>
            </w:r>
          </w:p>
        </w:tc>
      </w:tr>
    </w:tbl>
    <w:p w:rsidR="00E037B4" w:rsidRDefault="00E037B4" w:rsidP="006A0590">
      <w:pPr>
        <w:rPr>
          <w:rFonts w:eastAsia="Arial"/>
          <w:b/>
          <w:sz w:val="22"/>
          <w:szCs w:val="22"/>
        </w:rPr>
      </w:pPr>
      <w:r w:rsidRPr="002631AA">
        <w:rPr>
          <w:rFonts w:eastAsia="Arial"/>
          <w:sz w:val="18"/>
          <w:szCs w:val="20"/>
        </w:rPr>
        <w:t>EBRT: External beam radiotherapy; ADT: Andr</w:t>
      </w:r>
      <w:r>
        <w:rPr>
          <w:rFonts w:eastAsia="Arial"/>
          <w:sz w:val="18"/>
          <w:szCs w:val="20"/>
        </w:rPr>
        <w:t>ogen deprivation therapy; Systemic therapy includes c</w:t>
      </w:r>
      <w:r w:rsidRPr="002631AA">
        <w:rPr>
          <w:rFonts w:eastAsia="Arial"/>
          <w:sz w:val="18"/>
          <w:szCs w:val="20"/>
        </w:rPr>
        <w:t>hemot</w:t>
      </w:r>
      <w:r>
        <w:rPr>
          <w:rFonts w:eastAsia="Arial"/>
          <w:sz w:val="18"/>
          <w:szCs w:val="20"/>
        </w:rPr>
        <w:t xml:space="preserve">herapy/Abiraterone/Enzalutamide. </w:t>
      </w:r>
    </w:p>
    <w:p w:rsidR="00E037B4" w:rsidRDefault="00E037B4">
      <w:pPr>
        <w:spacing w:before="0" w:after="200"/>
        <w:rPr>
          <w:rFonts w:eastAsia="Arial"/>
          <w:b/>
          <w:sz w:val="22"/>
          <w:szCs w:val="22"/>
        </w:rPr>
        <w:sectPr w:rsidR="00E037B4" w:rsidSect="006A0590">
          <w:pgSz w:w="16838" w:h="11906" w:orient="landscape"/>
          <w:pgMar w:top="851" w:right="851" w:bottom="851" w:left="851" w:header="709" w:footer="709" w:gutter="0"/>
          <w:cols w:space="708"/>
          <w:docGrid w:linePitch="360"/>
        </w:sectPr>
      </w:pPr>
    </w:p>
    <w:p w:rsidR="00E037B4" w:rsidRDefault="00E037B4" w:rsidP="006A0590">
      <w:pPr>
        <w:spacing w:before="0" w:after="240" w:line="240" w:lineRule="auto"/>
        <w:outlineLvl w:val="0"/>
        <w:rPr>
          <w:rFonts w:eastAsia="Arial"/>
          <w:b/>
          <w:sz w:val="22"/>
          <w:szCs w:val="22"/>
        </w:rPr>
      </w:pPr>
      <w:r>
        <w:rPr>
          <w:rFonts w:eastAsia="Arial"/>
          <w:b/>
          <w:sz w:val="22"/>
          <w:szCs w:val="22"/>
        </w:rPr>
        <w:lastRenderedPageBreak/>
        <w:t>Table 2: Functional and HRQL outcomes in men diagnosed with prostate cancer 18-42 months previously</w:t>
      </w:r>
    </w:p>
    <w:tbl>
      <w:tblPr>
        <w:tblW w:w="5063" w:type="pct"/>
        <w:tblLook w:val="04A0" w:firstRow="1" w:lastRow="0" w:firstColumn="1" w:lastColumn="0" w:noHBand="0" w:noVBand="1"/>
      </w:tblPr>
      <w:tblGrid>
        <w:gridCol w:w="1692"/>
        <w:gridCol w:w="1327"/>
        <w:gridCol w:w="1097"/>
        <w:gridCol w:w="1098"/>
        <w:gridCol w:w="1098"/>
        <w:gridCol w:w="1098"/>
        <w:gridCol w:w="1098"/>
        <w:gridCol w:w="1098"/>
        <w:gridCol w:w="1098"/>
        <w:gridCol w:w="1148"/>
        <w:gridCol w:w="1182"/>
        <w:gridCol w:w="1279"/>
        <w:gridCol w:w="1279"/>
      </w:tblGrid>
      <w:tr w:rsidR="00E037B4" w:rsidRPr="008E372B" w:rsidTr="006A0590">
        <w:trPr>
          <w:trHeight w:val="255"/>
        </w:trPr>
        <w:tc>
          <w:tcPr>
            <w:tcW w:w="543" w:type="pct"/>
            <w:tcBorders>
              <w:top w:val="single" w:sz="4" w:space="0" w:color="auto"/>
              <w:left w:val="nil"/>
              <w:bottom w:val="nil"/>
              <w:right w:val="nil"/>
            </w:tcBorders>
            <w:shd w:val="clear" w:color="auto" w:fill="auto"/>
            <w:noWrap/>
            <w:vAlign w:val="center"/>
            <w:hideMark/>
          </w:tcPr>
          <w:p w:rsidR="00E037B4" w:rsidRPr="008E372B" w:rsidRDefault="00E037B4" w:rsidP="006A0590">
            <w:pPr>
              <w:spacing w:before="0" w:line="240" w:lineRule="auto"/>
              <w:rPr>
                <w:rFonts w:eastAsia="Times New Roman"/>
                <w:color w:val="000000"/>
                <w:sz w:val="18"/>
                <w:szCs w:val="18"/>
                <w:lang w:eastAsia="en-GB"/>
              </w:rPr>
            </w:pPr>
            <w:r w:rsidRPr="008E372B">
              <w:rPr>
                <w:rFonts w:eastAsia="Times New Roman"/>
                <w:color w:val="000000"/>
                <w:sz w:val="18"/>
                <w:szCs w:val="18"/>
                <w:lang w:eastAsia="en-GB"/>
              </w:rPr>
              <w:t> </w:t>
            </w:r>
          </w:p>
        </w:tc>
        <w:tc>
          <w:tcPr>
            <w:tcW w:w="1834" w:type="pct"/>
            <w:gridSpan w:val="5"/>
            <w:tcBorders>
              <w:top w:val="single" w:sz="4" w:space="0" w:color="auto"/>
              <w:left w:val="nil"/>
              <w:bottom w:val="nil"/>
              <w:right w:val="nil"/>
            </w:tcBorders>
            <w:shd w:val="clear" w:color="auto" w:fill="auto"/>
            <w:noWrap/>
            <w:vAlign w:val="center"/>
            <w:hideMark/>
          </w:tcPr>
          <w:p w:rsidR="00E037B4" w:rsidRPr="008E372B" w:rsidRDefault="00E037B4" w:rsidP="006A0590">
            <w:pPr>
              <w:spacing w:before="0" w:line="240" w:lineRule="auto"/>
              <w:jc w:val="center"/>
              <w:rPr>
                <w:rFonts w:eastAsia="Times New Roman"/>
                <w:b/>
                <w:bCs/>
                <w:color w:val="000000"/>
                <w:sz w:val="18"/>
                <w:szCs w:val="18"/>
                <w:lang w:eastAsia="en-GB"/>
              </w:rPr>
            </w:pPr>
            <w:r w:rsidRPr="008E372B">
              <w:rPr>
                <w:rFonts w:eastAsia="Times New Roman"/>
                <w:b/>
                <w:bCs/>
                <w:color w:val="000000"/>
                <w:sz w:val="18"/>
                <w:szCs w:val="18"/>
                <w:lang w:eastAsia="en-GB"/>
              </w:rPr>
              <w:t xml:space="preserve">EPIC-26 domain </w:t>
            </w:r>
          </w:p>
        </w:tc>
        <w:tc>
          <w:tcPr>
            <w:tcW w:w="1803" w:type="pct"/>
            <w:gridSpan w:val="5"/>
            <w:tcBorders>
              <w:top w:val="single" w:sz="4" w:space="0" w:color="auto"/>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center"/>
              <w:rPr>
                <w:rFonts w:eastAsia="Times New Roman"/>
                <w:b/>
                <w:bCs/>
                <w:color w:val="000000"/>
                <w:sz w:val="18"/>
                <w:szCs w:val="18"/>
                <w:lang w:eastAsia="en-GB"/>
              </w:rPr>
            </w:pPr>
            <w:r w:rsidRPr="008E372B">
              <w:rPr>
                <w:rFonts w:eastAsia="Times New Roman"/>
                <w:b/>
                <w:bCs/>
                <w:color w:val="000000"/>
                <w:sz w:val="18"/>
                <w:szCs w:val="18"/>
                <w:lang w:eastAsia="en-GB"/>
              </w:rPr>
              <w:t>EQ-5D dimension</w:t>
            </w:r>
          </w:p>
        </w:tc>
        <w:tc>
          <w:tcPr>
            <w:tcW w:w="820" w:type="pct"/>
            <w:gridSpan w:val="2"/>
            <w:tcBorders>
              <w:top w:val="single" w:sz="4" w:space="0" w:color="auto"/>
              <w:left w:val="nil"/>
              <w:bottom w:val="nil"/>
              <w:right w:val="nil"/>
            </w:tcBorders>
            <w:shd w:val="clear" w:color="auto" w:fill="auto"/>
            <w:noWrap/>
            <w:vAlign w:val="bottom"/>
            <w:hideMark/>
          </w:tcPr>
          <w:p w:rsidR="00E037B4" w:rsidRPr="008E372B" w:rsidRDefault="00E037B4" w:rsidP="006A0590">
            <w:pPr>
              <w:spacing w:before="0" w:line="240" w:lineRule="auto"/>
              <w:jc w:val="center"/>
              <w:rPr>
                <w:rFonts w:eastAsia="Times New Roman"/>
                <w:b/>
                <w:bCs/>
                <w:color w:val="000000"/>
                <w:sz w:val="18"/>
                <w:szCs w:val="18"/>
                <w:lang w:eastAsia="en-GB"/>
              </w:rPr>
            </w:pPr>
            <w:r>
              <w:rPr>
                <w:rFonts w:eastAsia="Times New Roman"/>
                <w:b/>
                <w:bCs/>
                <w:color w:val="000000"/>
                <w:sz w:val="18"/>
                <w:szCs w:val="18"/>
                <w:lang w:eastAsia="en-GB"/>
              </w:rPr>
              <w:t>Overall HRQL</w:t>
            </w:r>
          </w:p>
        </w:tc>
      </w:tr>
      <w:tr w:rsidR="00E037B4" w:rsidRPr="008E372B" w:rsidTr="006A0590">
        <w:trPr>
          <w:trHeight w:val="255"/>
        </w:trPr>
        <w:tc>
          <w:tcPr>
            <w:tcW w:w="543"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center"/>
              <w:rPr>
                <w:rFonts w:eastAsia="Times New Roman"/>
                <w:b/>
                <w:bCs/>
                <w:color w:val="000000"/>
                <w:sz w:val="18"/>
                <w:szCs w:val="18"/>
                <w:lang w:eastAsia="en-GB"/>
              </w:rPr>
            </w:pPr>
          </w:p>
        </w:tc>
        <w:tc>
          <w:tcPr>
            <w:tcW w:w="1834" w:type="pct"/>
            <w:gridSpan w:val="5"/>
            <w:tcBorders>
              <w:top w:val="nil"/>
              <w:left w:val="nil"/>
              <w:bottom w:val="single" w:sz="4" w:space="0" w:color="auto"/>
              <w:right w:val="nil"/>
            </w:tcBorders>
            <w:shd w:val="clear" w:color="auto" w:fill="auto"/>
            <w:noWrap/>
            <w:vAlign w:val="center"/>
            <w:hideMark/>
          </w:tcPr>
          <w:p w:rsidR="00E037B4" w:rsidRPr="008E372B" w:rsidRDefault="00E037B4" w:rsidP="006A0590">
            <w:pPr>
              <w:spacing w:before="0" w:line="240" w:lineRule="auto"/>
              <w:jc w:val="center"/>
              <w:rPr>
                <w:rFonts w:eastAsia="Times New Roman"/>
                <w:b/>
                <w:bCs/>
                <w:color w:val="000000"/>
                <w:sz w:val="18"/>
                <w:szCs w:val="18"/>
                <w:lang w:eastAsia="en-GB"/>
              </w:rPr>
            </w:pPr>
            <w:r w:rsidRPr="008E372B">
              <w:rPr>
                <w:rFonts w:eastAsia="Times New Roman"/>
                <w:b/>
                <w:bCs/>
                <w:color w:val="000000"/>
                <w:sz w:val="18"/>
                <w:szCs w:val="18"/>
                <w:lang w:eastAsia="en-GB"/>
              </w:rPr>
              <w:t>Adjusted mean score</w:t>
            </w:r>
            <w:r>
              <w:rPr>
                <w:rFonts w:eastAsia="Times New Roman"/>
                <w:b/>
                <w:bCs/>
                <w:color w:val="000000"/>
                <w:sz w:val="18"/>
                <w:szCs w:val="18"/>
                <w:lang w:eastAsia="en-GB"/>
              </w:rPr>
              <w:t>*</w:t>
            </w:r>
            <w:r w:rsidRPr="008E372B">
              <w:rPr>
                <w:rFonts w:eastAsia="Times New Roman"/>
                <w:b/>
                <w:bCs/>
                <w:color w:val="000000"/>
                <w:sz w:val="18"/>
                <w:szCs w:val="18"/>
                <w:lang w:eastAsia="en-GB"/>
              </w:rPr>
              <w:t xml:space="preserve"> (95% CI)</w:t>
            </w:r>
          </w:p>
        </w:tc>
        <w:tc>
          <w:tcPr>
            <w:tcW w:w="1803" w:type="pct"/>
            <w:gridSpan w:val="5"/>
            <w:tcBorders>
              <w:top w:val="nil"/>
              <w:left w:val="nil"/>
              <w:bottom w:val="single" w:sz="4" w:space="0" w:color="auto"/>
              <w:right w:val="nil"/>
            </w:tcBorders>
            <w:shd w:val="clear" w:color="auto" w:fill="D9D9D9" w:themeFill="background1" w:themeFillShade="D9"/>
            <w:noWrap/>
            <w:vAlign w:val="bottom"/>
            <w:hideMark/>
          </w:tcPr>
          <w:p w:rsidR="00E037B4" w:rsidRPr="008E372B" w:rsidRDefault="00E037B4" w:rsidP="006A0590">
            <w:pPr>
              <w:spacing w:before="0" w:line="240" w:lineRule="auto"/>
              <w:jc w:val="center"/>
              <w:rPr>
                <w:rFonts w:eastAsia="Times New Roman"/>
                <w:b/>
                <w:bCs/>
                <w:color w:val="000000"/>
                <w:sz w:val="18"/>
                <w:szCs w:val="18"/>
                <w:lang w:eastAsia="en-GB"/>
              </w:rPr>
            </w:pPr>
            <w:r w:rsidRPr="008E372B">
              <w:rPr>
                <w:rFonts w:eastAsia="Times New Roman"/>
                <w:b/>
                <w:bCs/>
                <w:color w:val="000000"/>
                <w:sz w:val="18"/>
                <w:szCs w:val="18"/>
                <w:lang w:eastAsia="en-GB"/>
              </w:rPr>
              <w:t>Adjusted % reporting any level of problem</w:t>
            </w:r>
            <w:r>
              <w:rPr>
                <w:rFonts w:eastAsia="Times New Roman"/>
                <w:b/>
                <w:bCs/>
                <w:color w:val="000000"/>
                <w:sz w:val="18"/>
                <w:szCs w:val="18"/>
                <w:lang w:eastAsia="en-GB"/>
              </w:rPr>
              <w:t>*</w:t>
            </w:r>
            <w:r w:rsidRPr="008E372B">
              <w:rPr>
                <w:rFonts w:eastAsia="Times New Roman"/>
                <w:b/>
                <w:bCs/>
                <w:color w:val="000000"/>
                <w:sz w:val="18"/>
                <w:szCs w:val="18"/>
                <w:lang w:eastAsia="en-GB"/>
              </w:rPr>
              <w:t xml:space="preserve"> (95% CI)</w:t>
            </w:r>
          </w:p>
        </w:tc>
        <w:tc>
          <w:tcPr>
            <w:tcW w:w="820" w:type="pct"/>
            <w:gridSpan w:val="2"/>
            <w:tcBorders>
              <w:top w:val="nil"/>
              <w:left w:val="nil"/>
              <w:bottom w:val="single" w:sz="4" w:space="0" w:color="auto"/>
              <w:right w:val="nil"/>
            </w:tcBorders>
            <w:shd w:val="clear" w:color="auto" w:fill="auto"/>
            <w:noWrap/>
            <w:vAlign w:val="bottom"/>
            <w:hideMark/>
          </w:tcPr>
          <w:p w:rsidR="00E037B4" w:rsidRPr="008E372B" w:rsidRDefault="00E037B4" w:rsidP="006A0590">
            <w:pPr>
              <w:spacing w:before="0" w:line="240" w:lineRule="auto"/>
              <w:jc w:val="center"/>
              <w:rPr>
                <w:rFonts w:eastAsia="Times New Roman"/>
                <w:b/>
                <w:bCs/>
                <w:color w:val="000000"/>
                <w:sz w:val="18"/>
                <w:szCs w:val="18"/>
                <w:lang w:eastAsia="en-GB"/>
              </w:rPr>
            </w:pPr>
            <w:r>
              <w:rPr>
                <w:rFonts w:eastAsia="Times New Roman"/>
                <w:b/>
                <w:bCs/>
                <w:color w:val="000000"/>
                <w:sz w:val="18"/>
                <w:szCs w:val="18"/>
                <w:lang w:eastAsia="en-GB"/>
              </w:rPr>
              <w:t>Adjusted result* (95% CI)</w:t>
            </w:r>
          </w:p>
        </w:tc>
      </w:tr>
      <w:tr w:rsidR="00E037B4" w:rsidRPr="008E372B" w:rsidTr="006A0590">
        <w:trPr>
          <w:trHeight w:val="480"/>
        </w:trPr>
        <w:tc>
          <w:tcPr>
            <w:tcW w:w="543"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center"/>
              <w:rPr>
                <w:rFonts w:eastAsia="Times New Roman"/>
                <w:b/>
                <w:bCs/>
                <w:color w:val="000000"/>
                <w:sz w:val="18"/>
                <w:szCs w:val="18"/>
                <w:lang w:eastAsia="en-GB"/>
              </w:rPr>
            </w:pPr>
          </w:p>
        </w:tc>
        <w:tc>
          <w:tcPr>
            <w:tcW w:w="426" w:type="pct"/>
            <w:tcBorders>
              <w:top w:val="nil"/>
              <w:left w:val="nil"/>
              <w:bottom w:val="nil"/>
              <w:right w:val="nil"/>
            </w:tcBorders>
            <w:shd w:val="clear" w:color="auto" w:fill="auto"/>
            <w:vAlign w:val="center"/>
            <w:hideMark/>
          </w:tcPr>
          <w:p w:rsidR="00E037B4" w:rsidRPr="008E372B" w:rsidRDefault="00E037B4" w:rsidP="006A0590">
            <w:pPr>
              <w:spacing w:before="0" w:line="240" w:lineRule="auto"/>
              <w:jc w:val="right"/>
              <w:rPr>
                <w:rFonts w:eastAsia="Times New Roman"/>
                <w:b/>
                <w:bCs/>
                <w:color w:val="000000"/>
                <w:sz w:val="18"/>
                <w:szCs w:val="18"/>
                <w:lang w:eastAsia="en-GB"/>
              </w:rPr>
            </w:pPr>
            <w:r w:rsidRPr="008E372B">
              <w:rPr>
                <w:rFonts w:eastAsia="Times New Roman"/>
                <w:b/>
                <w:bCs/>
                <w:color w:val="000000"/>
                <w:sz w:val="18"/>
                <w:szCs w:val="18"/>
                <w:lang w:eastAsia="en-GB"/>
              </w:rPr>
              <w:t>Urinary incontinence</w:t>
            </w:r>
          </w:p>
        </w:tc>
        <w:tc>
          <w:tcPr>
            <w:tcW w:w="352" w:type="pct"/>
            <w:tcBorders>
              <w:top w:val="nil"/>
              <w:left w:val="nil"/>
              <w:bottom w:val="nil"/>
              <w:right w:val="nil"/>
            </w:tcBorders>
            <w:shd w:val="clear" w:color="auto" w:fill="auto"/>
            <w:vAlign w:val="center"/>
            <w:hideMark/>
          </w:tcPr>
          <w:p w:rsidR="00E037B4" w:rsidRPr="008E372B" w:rsidRDefault="00E037B4" w:rsidP="006A0590">
            <w:pPr>
              <w:spacing w:before="0" w:line="240" w:lineRule="auto"/>
              <w:jc w:val="right"/>
              <w:rPr>
                <w:rFonts w:eastAsia="Times New Roman"/>
                <w:b/>
                <w:bCs/>
                <w:color w:val="000000"/>
                <w:sz w:val="18"/>
                <w:szCs w:val="18"/>
                <w:lang w:eastAsia="en-GB"/>
              </w:rPr>
            </w:pPr>
            <w:r w:rsidRPr="008E372B">
              <w:rPr>
                <w:rFonts w:eastAsia="Times New Roman"/>
                <w:b/>
                <w:bCs/>
                <w:color w:val="000000"/>
                <w:sz w:val="18"/>
                <w:szCs w:val="18"/>
                <w:lang w:eastAsia="en-GB"/>
              </w:rPr>
              <w:t>Urinary irritation</w:t>
            </w:r>
          </w:p>
        </w:tc>
        <w:tc>
          <w:tcPr>
            <w:tcW w:w="352" w:type="pct"/>
            <w:tcBorders>
              <w:top w:val="nil"/>
              <w:left w:val="nil"/>
              <w:bottom w:val="nil"/>
              <w:right w:val="nil"/>
            </w:tcBorders>
            <w:shd w:val="clear" w:color="auto" w:fill="auto"/>
            <w:vAlign w:val="center"/>
            <w:hideMark/>
          </w:tcPr>
          <w:p w:rsidR="00E037B4" w:rsidRPr="008E372B" w:rsidRDefault="00E037B4" w:rsidP="006A0590">
            <w:pPr>
              <w:spacing w:before="0" w:line="240" w:lineRule="auto"/>
              <w:jc w:val="right"/>
              <w:rPr>
                <w:rFonts w:eastAsia="Times New Roman"/>
                <w:b/>
                <w:bCs/>
                <w:color w:val="000000"/>
                <w:sz w:val="18"/>
                <w:szCs w:val="18"/>
                <w:lang w:eastAsia="en-GB"/>
              </w:rPr>
            </w:pPr>
            <w:r w:rsidRPr="008E372B">
              <w:rPr>
                <w:rFonts w:eastAsia="Times New Roman"/>
                <w:b/>
                <w:bCs/>
                <w:color w:val="000000"/>
                <w:sz w:val="18"/>
                <w:szCs w:val="18"/>
                <w:lang w:eastAsia="en-GB"/>
              </w:rPr>
              <w:t>Bowel function</w:t>
            </w:r>
          </w:p>
        </w:tc>
        <w:tc>
          <w:tcPr>
            <w:tcW w:w="352" w:type="pct"/>
            <w:tcBorders>
              <w:top w:val="nil"/>
              <w:left w:val="nil"/>
              <w:bottom w:val="nil"/>
              <w:right w:val="nil"/>
            </w:tcBorders>
            <w:shd w:val="clear" w:color="auto" w:fill="auto"/>
            <w:vAlign w:val="center"/>
            <w:hideMark/>
          </w:tcPr>
          <w:p w:rsidR="00E037B4" w:rsidRPr="008E372B" w:rsidRDefault="00E037B4" w:rsidP="006A0590">
            <w:pPr>
              <w:spacing w:before="0" w:line="240" w:lineRule="auto"/>
              <w:jc w:val="right"/>
              <w:rPr>
                <w:rFonts w:eastAsia="Times New Roman"/>
                <w:b/>
                <w:bCs/>
                <w:color w:val="000000"/>
                <w:sz w:val="18"/>
                <w:szCs w:val="18"/>
                <w:lang w:eastAsia="en-GB"/>
              </w:rPr>
            </w:pPr>
            <w:r w:rsidRPr="008E372B">
              <w:rPr>
                <w:rFonts w:eastAsia="Times New Roman"/>
                <w:b/>
                <w:bCs/>
                <w:color w:val="000000"/>
                <w:sz w:val="18"/>
                <w:szCs w:val="18"/>
                <w:lang w:eastAsia="en-GB"/>
              </w:rPr>
              <w:t>Hormonal function</w:t>
            </w:r>
          </w:p>
        </w:tc>
        <w:tc>
          <w:tcPr>
            <w:tcW w:w="352" w:type="pct"/>
            <w:tcBorders>
              <w:top w:val="nil"/>
              <w:left w:val="nil"/>
              <w:bottom w:val="nil"/>
              <w:right w:val="nil"/>
            </w:tcBorders>
            <w:shd w:val="clear" w:color="auto" w:fill="auto"/>
            <w:vAlign w:val="center"/>
            <w:hideMark/>
          </w:tcPr>
          <w:p w:rsidR="00E037B4" w:rsidRPr="008E372B" w:rsidRDefault="00E037B4" w:rsidP="006A0590">
            <w:pPr>
              <w:spacing w:before="0" w:line="240" w:lineRule="auto"/>
              <w:jc w:val="right"/>
              <w:rPr>
                <w:rFonts w:eastAsia="Times New Roman"/>
                <w:b/>
                <w:bCs/>
                <w:color w:val="000000"/>
                <w:sz w:val="18"/>
                <w:szCs w:val="18"/>
                <w:lang w:eastAsia="en-GB"/>
              </w:rPr>
            </w:pPr>
            <w:r w:rsidRPr="008E372B">
              <w:rPr>
                <w:rFonts w:eastAsia="Times New Roman"/>
                <w:b/>
                <w:bCs/>
                <w:color w:val="000000"/>
                <w:sz w:val="18"/>
                <w:szCs w:val="18"/>
                <w:lang w:eastAsia="en-GB"/>
              </w:rPr>
              <w:t>Sexual function</w:t>
            </w:r>
          </w:p>
        </w:tc>
        <w:tc>
          <w:tcPr>
            <w:tcW w:w="352" w:type="pct"/>
            <w:tcBorders>
              <w:top w:val="nil"/>
              <w:left w:val="nil"/>
              <w:bottom w:val="nil"/>
              <w:right w:val="nil"/>
            </w:tcBorders>
            <w:shd w:val="clear" w:color="auto" w:fill="D9D9D9" w:themeFill="background1" w:themeFillShade="D9"/>
            <w:vAlign w:val="bottom"/>
            <w:hideMark/>
          </w:tcPr>
          <w:p w:rsidR="00E037B4" w:rsidRPr="008E372B" w:rsidRDefault="00E037B4" w:rsidP="006A0590">
            <w:pPr>
              <w:spacing w:before="0" w:line="240" w:lineRule="auto"/>
              <w:jc w:val="right"/>
              <w:rPr>
                <w:rFonts w:eastAsia="Times New Roman"/>
                <w:b/>
                <w:bCs/>
                <w:color w:val="000000"/>
                <w:sz w:val="18"/>
                <w:szCs w:val="18"/>
                <w:lang w:eastAsia="en-GB"/>
              </w:rPr>
            </w:pPr>
            <w:r w:rsidRPr="008E372B">
              <w:rPr>
                <w:rFonts w:eastAsia="Times New Roman"/>
                <w:b/>
                <w:bCs/>
                <w:color w:val="000000"/>
                <w:sz w:val="18"/>
                <w:szCs w:val="18"/>
                <w:lang w:eastAsia="en-GB"/>
              </w:rPr>
              <w:t xml:space="preserve">Mobility </w:t>
            </w:r>
          </w:p>
        </w:tc>
        <w:tc>
          <w:tcPr>
            <w:tcW w:w="352" w:type="pct"/>
            <w:tcBorders>
              <w:top w:val="nil"/>
              <w:left w:val="nil"/>
              <w:bottom w:val="nil"/>
              <w:right w:val="nil"/>
            </w:tcBorders>
            <w:shd w:val="clear" w:color="auto" w:fill="D9D9D9" w:themeFill="background1" w:themeFillShade="D9"/>
            <w:vAlign w:val="bottom"/>
            <w:hideMark/>
          </w:tcPr>
          <w:p w:rsidR="00E037B4" w:rsidRPr="008E372B" w:rsidRDefault="00E037B4" w:rsidP="006A0590">
            <w:pPr>
              <w:spacing w:before="0" w:line="240" w:lineRule="auto"/>
              <w:jc w:val="right"/>
              <w:rPr>
                <w:rFonts w:eastAsia="Times New Roman"/>
                <w:b/>
                <w:bCs/>
                <w:color w:val="000000"/>
                <w:sz w:val="18"/>
                <w:szCs w:val="18"/>
                <w:lang w:eastAsia="en-GB"/>
              </w:rPr>
            </w:pPr>
            <w:r w:rsidRPr="008E372B">
              <w:rPr>
                <w:rFonts w:eastAsia="Times New Roman"/>
                <w:b/>
                <w:bCs/>
                <w:color w:val="000000"/>
                <w:sz w:val="18"/>
                <w:szCs w:val="18"/>
                <w:lang w:eastAsia="en-GB"/>
              </w:rPr>
              <w:t>Self-care</w:t>
            </w:r>
          </w:p>
        </w:tc>
        <w:tc>
          <w:tcPr>
            <w:tcW w:w="352" w:type="pct"/>
            <w:tcBorders>
              <w:top w:val="nil"/>
              <w:left w:val="nil"/>
              <w:bottom w:val="nil"/>
              <w:right w:val="nil"/>
            </w:tcBorders>
            <w:shd w:val="clear" w:color="auto" w:fill="D9D9D9" w:themeFill="background1" w:themeFillShade="D9"/>
            <w:vAlign w:val="bottom"/>
            <w:hideMark/>
          </w:tcPr>
          <w:p w:rsidR="00E037B4" w:rsidRPr="008E372B" w:rsidRDefault="00E037B4" w:rsidP="006A0590">
            <w:pPr>
              <w:spacing w:before="0" w:line="240" w:lineRule="auto"/>
              <w:jc w:val="right"/>
              <w:rPr>
                <w:rFonts w:eastAsia="Times New Roman"/>
                <w:b/>
                <w:bCs/>
                <w:color w:val="000000"/>
                <w:sz w:val="18"/>
                <w:szCs w:val="18"/>
                <w:lang w:eastAsia="en-GB"/>
              </w:rPr>
            </w:pPr>
            <w:r w:rsidRPr="008E372B">
              <w:rPr>
                <w:rFonts w:eastAsia="Times New Roman"/>
                <w:b/>
                <w:bCs/>
                <w:color w:val="000000"/>
                <w:sz w:val="18"/>
                <w:szCs w:val="18"/>
                <w:lang w:eastAsia="en-GB"/>
              </w:rPr>
              <w:t>Usual activities</w:t>
            </w:r>
          </w:p>
        </w:tc>
        <w:tc>
          <w:tcPr>
            <w:tcW w:w="368" w:type="pct"/>
            <w:tcBorders>
              <w:top w:val="nil"/>
              <w:left w:val="nil"/>
              <w:bottom w:val="nil"/>
              <w:right w:val="nil"/>
            </w:tcBorders>
            <w:shd w:val="clear" w:color="auto" w:fill="D9D9D9" w:themeFill="background1" w:themeFillShade="D9"/>
            <w:vAlign w:val="bottom"/>
            <w:hideMark/>
          </w:tcPr>
          <w:p w:rsidR="00E037B4" w:rsidRPr="008E372B" w:rsidRDefault="00E037B4" w:rsidP="006A0590">
            <w:pPr>
              <w:spacing w:before="0" w:line="240" w:lineRule="auto"/>
              <w:jc w:val="right"/>
              <w:rPr>
                <w:rFonts w:eastAsia="Times New Roman"/>
                <w:b/>
                <w:bCs/>
                <w:color w:val="000000"/>
                <w:sz w:val="18"/>
                <w:szCs w:val="18"/>
                <w:lang w:eastAsia="en-GB"/>
              </w:rPr>
            </w:pPr>
            <w:r w:rsidRPr="008E372B">
              <w:rPr>
                <w:rFonts w:eastAsia="Times New Roman"/>
                <w:b/>
                <w:bCs/>
                <w:color w:val="000000"/>
                <w:sz w:val="18"/>
                <w:szCs w:val="18"/>
                <w:lang w:eastAsia="en-GB"/>
              </w:rPr>
              <w:t>Pain/ discomfort</w:t>
            </w:r>
          </w:p>
        </w:tc>
        <w:tc>
          <w:tcPr>
            <w:tcW w:w="379" w:type="pct"/>
            <w:tcBorders>
              <w:top w:val="nil"/>
              <w:left w:val="nil"/>
              <w:bottom w:val="nil"/>
              <w:right w:val="nil"/>
            </w:tcBorders>
            <w:shd w:val="clear" w:color="auto" w:fill="D9D9D9" w:themeFill="background1" w:themeFillShade="D9"/>
            <w:vAlign w:val="bottom"/>
            <w:hideMark/>
          </w:tcPr>
          <w:p w:rsidR="00E037B4" w:rsidRPr="008E372B" w:rsidRDefault="00E037B4" w:rsidP="006A0590">
            <w:pPr>
              <w:spacing w:before="0" w:line="240" w:lineRule="auto"/>
              <w:jc w:val="right"/>
              <w:rPr>
                <w:rFonts w:eastAsia="Times New Roman"/>
                <w:b/>
                <w:bCs/>
                <w:color w:val="000000"/>
                <w:sz w:val="18"/>
                <w:szCs w:val="18"/>
                <w:lang w:eastAsia="en-GB"/>
              </w:rPr>
            </w:pPr>
            <w:r w:rsidRPr="008E372B">
              <w:rPr>
                <w:rFonts w:eastAsia="Times New Roman"/>
                <w:b/>
                <w:bCs/>
                <w:color w:val="000000"/>
                <w:sz w:val="18"/>
                <w:szCs w:val="18"/>
                <w:lang w:eastAsia="en-GB"/>
              </w:rPr>
              <w:t>Anxiety/ depression</w:t>
            </w:r>
          </w:p>
        </w:tc>
        <w:tc>
          <w:tcPr>
            <w:tcW w:w="410" w:type="pct"/>
            <w:tcBorders>
              <w:top w:val="nil"/>
              <w:left w:val="nil"/>
              <w:bottom w:val="nil"/>
              <w:right w:val="nil"/>
            </w:tcBorders>
            <w:shd w:val="clear" w:color="auto" w:fill="auto"/>
            <w:vAlign w:val="bottom"/>
            <w:hideMark/>
          </w:tcPr>
          <w:p w:rsidR="00E037B4" w:rsidRPr="008E372B" w:rsidRDefault="00E037B4" w:rsidP="006A0590">
            <w:pPr>
              <w:spacing w:before="0" w:line="240" w:lineRule="auto"/>
              <w:jc w:val="right"/>
              <w:rPr>
                <w:rFonts w:eastAsia="Times New Roman"/>
                <w:b/>
                <w:bCs/>
                <w:color w:val="000000"/>
                <w:sz w:val="18"/>
                <w:szCs w:val="18"/>
                <w:lang w:eastAsia="en-GB"/>
              </w:rPr>
            </w:pPr>
            <w:r>
              <w:rPr>
                <w:rFonts w:eastAsia="Times New Roman"/>
                <w:b/>
                <w:bCs/>
                <w:color w:val="000000"/>
                <w:sz w:val="18"/>
                <w:szCs w:val="18"/>
                <w:lang w:eastAsia="en-GB"/>
              </w:rPr>
              <w:t xml:space="preserve">% reporting ≥1 problem </w:t>
            </w:r>
          </w:p>
        </w:tc>
        <w:tc>
          <w:tcPr>
            <w:tcW w:w="410" w:type="pct"/>
            <w:tcBorders>
              <w:top w:val="nil"/>
              <w:left w:val="nil"/>
              <w:bottom w:val="nil"/>
              <w:right w:val="nil"/>
            </w:tcBorders>
            <w:shd w:val="clear" w:color="auto" w:fill="auto"/>
            <w:vAlign w:val="bottom"/>
            <w:hideMark/>
          </w:tcPr>
          <w:p w:rsidR="00E037B4" w:rsidRPr="008E372B" w:rsidRDefault="00E037B4" w:rsidP="006A0590">
            <w:pPr>
              <w:spacing w:before="0" w:line="240" w:lineRule="auto"/>
              <w:jc w:val="right"/>
              <w:rPr>
                <w:rFonts w:eastAsia="Times New Roman"/>
                <w:b/>
                <w:bCs/>
                <w:color w:val="000000"/>
                <w:sz w:val="18"/>
                <w:szCs w:val="18"/>
                <w:lang w:eastAsia="en-GB"/>
              </w:rPr>
            </w:pPr>
            <w:r>
              <w:rPr>
                <w:rFonts w:eastAsia="Times New Roman"/>
                <w:b/>
                <w:bCs/>
                <w:color w:val="000000"/>
                <w:sz w:val="18"/>
                <w:szCs w:val="18"/>
                <w:lang w:eastAsia="en-GB"/>
              </w:rPr>
              <w:t>Mean SAH rating</w:t>
            </w:r>
          </w:p>
        </w:tc>
      </w:tr>
      <w:tr w:rsidR="00E037B4" w:rsidRPr="008E372B" w:rsidTr="006A0590">
        <w:trPr>
          <w:trHeight w:val="255"/>
        </w:trPr>
        <w:tc>
          <w:tcPr>
            <w:tcW w:w="543" w:type="pct"/>
            <w:tcBorders>
              <w:top w:val="nil"/>
              <w:left w:val="nil"/>
              <w:bottom w:val="single" w:sz="4" w:space="0" w:color="auto"/>
              <w:right w:val="nil"/>
            </w:tcBorders>
            <w:shd w:val="clear" w:color="auto" w:fill="auto"/>
            <w:noWrap/>
            <w:vAlign w:val="center"/>
            <w:hideMark/>
          </w:tcPr>
          <w:p w:rsidR="00E037B4" w:rsidRPr="008E372B" w:rsidRDefault="00E037B4" w:rsidP="006A0590">
            <w:pPr>
              <w:spacing w:before="0" w:line="240" w:lineRule="auto"/>
              <w:rPr>
                <w:rFonts w:eastAsia="Times New Roman"/>
                <w:b/>
                <w:bCs/>
                <w:color w:val="000000"/>
                <w:sz w:val="18"/>
                <w:szCs w:val="18"/>
                <w:lang w:eastAsia="en-GB"/>
              </w:rPr>
            </w:pPr>
            <w:r w:rsidRPr="008E372B">
              <w:rPr>
                <w:rFonts w:eastAsia="Times New Roman"/>
                <w:b/>
                <w:bCs/>
                <w:color w:val="000000"/>
                <w:sz w:val="18"/>
                <w:szCs w:val="18"/>
                <w:lang w:eastAsia="en-GB"/>
              </w:rPr>
              <w:t> </w:t>
            </w:r>
          </w:p>
        </w:tc>
        <w:tc>
          <w:tcPr>
            <w:tcW w:w="426"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b/>
                <w:bCs/>
                <w:color w:val="000000"/>
                <w:sz w:val="18"/>
                <w:szCs w:val="18"/>
                <w:lang w:eastAsia="en-GB"/>
              </w:rPr>
            </w:pPr>
            <w:r w:rsidRPr="008E372B">
              <w:rPr>
                <w:rFonts w:eastAsia="Times New Roman"/>
                <w:b/>
                <w:bCs/>
                <w:color w:val="000000"/>
                <w:sz w:val="18"/>
                <w:szCs w:val="18"/>
                <w:lang w:eastAsia="en-GB"/>
              </w:rPr>
              <w:t>n=31,827</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b/>
                <w:bCs/>
                <w:color w:val="000000"/>
                <w:sz w:val="18"/>
                <w:szCs w:val="18"/>
                <w:lang w:eastAsia="en-GB"/>
              </w:rPr>
            </w:pPr>
            <w:r w:rsidRPr="008E372B">
              <w:rPr>
                <w:rFonts w:eastAsia="Times New Roman"/>
                <w:b/>
                <w:bCs/>
                <w:color w:val="000000"/>
                <w:sz w:val="18"/>
                <w:szCs w:val="18"/>
                <w:lang w:eastAsia="en-GB"/>
              </w:rPr>
              <w:t>n=29,274</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b/>
                <w:bCs/>
                <w:color w:val="000000"/>
                <w:sz w:val="18"/>
                <w:szCs w:val="18"/>
                <w:lang w:eastAsia="en-GB"/>
              </w:rPr>
            </w:pPr>
            <w:r w:rsidRPr="008E372B">
              <w:rPr>
                <w:rFonts w:eastAsia="Times New Roman"/>
                <w:b/>
                <w:bCs/>
                <w:color w:val="000000"/>
                <w:sz w:val="18"/>
                <w:szCs w:val="18"/>
                <w:lang w:eastAsia="en-GB"/>
              </w:rPr>
              <w:t>n=30,861</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b/>
                <w:bCs/>
                <w:color w:val="000000"/>
                <w:sz w:val="18"/>
                <w:szCs w:val="18"/>
                <w:lang w:eastAsia="en-GB"/>
              </w:rPr>
            </w:pPr>
            <w:r w:rsidRPr="008E372B">
              <w:rPr>
                <w:rFonts w:eastAsia="Times New Roman"/>
                <w:b/>
                <w:bCs/>
                <w:color w:val="000000"/>
                <w:sz w:val="18"/>
                <w:szCs w:val="18"/>
                <w:lang w:eastAsia="en-GB"/>
              </w:rPr>
              <w:t>n=31,746</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b/>
                <w:bCs/>
                <w:color w:val="000000"/>
                <w:sz w:val="18"/>
                <w:szCs w:val="18"/>
                <w:lang w:eastAsia="en-GB"/>
              </w:rPr>
            </w:pPr>
            <w:r w:rsidRPr="008E372B">
              <w:rPr>
                <w:rFonts w:eastAsia="Times New Roman"/>
                <w:b/>
                <w:bCs/>
                <w:color w:val="000000"/>
                <w:sz w:val="18"/>
                <w:szCs w:val="18"/>
                <w:lang w:eastAsia="en-GB"/>
              </w:rPr>
              <w:t>n=32,525</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b/>
                <w:bCs/>
                <w:color w:val="000000"/>
                <w:sz w:val="18"/>
                <w:szCs w:val="18"/>
                <w:lang w:eastAsia="en-GB"/>
              </w:rPr>
            </w:pPr>
            <w:r w:rsidRPr="008E372B">
              <w:rPr>
                <w:rFonts w:eastAsia="Times New Roman"/>
                <w:b/>
                <w:bCs/>
                <w:color w:val="000000"/>
                <w:sz w:val="18"/>
                <w:szCs w:val="18"/>
                <w:lang w:eastAsia="en-GB"/>
              </w:rPr>
              <w:t>n=35,411</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b/>
                <w:bCs/>
                <w:color w:val="000000"/>
                <w:sz w:val="18"/>
                <w:szCs w:val="18"/>
                <w:lang w:eastAsia="en-GB"/>
              </w:rPr>
            </w:pPr>
            <w:r w:rsidRPr="008E372B">
              <w:rPr>
                <w:rFonts w:eastAsia="Times New Roman"/>
                <w:b/>
                <w:bCs/>
                <w:color w:val="000000"/>
                <w:sz w:val="18"/>
                <w:szCs w:val="18"/>
                <w:lang w:eastAsia="en-GB"/>
              </w:rPr>
              <w:t>n=35,470</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b/>
                <w:bCs/>
                <w:color w:val="000000"/>
                <w:sz w:val="18"/>
                <w:szCs w:val="18"/>
                <w:lang w:eastAsia="en-GB"/>
              </w:rPr>
            </w:pPr>
            <w:r w:rsidRPr="008E372B">
              <w:rPr>
                <w:rFonts w:eastAsia="Times New Roman"/>
                <w:b/>
                <w:bCs/>
                <w:color w:val="000000"/>
                <w:sz w:val="18"/>
                <w:szCs w:val="18"/>
                <w:lang w:eastAsia="en-GB"/>
              </w:rPr>
              <w:t>n=35,416</w:t>
            </w:r>
          </w:p>
        </w:tc>
        <w:tc>
          <w:tcPr>
            <w:tcW w:w="368"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b/>
                <w:bCs/>
                <w:color w:val="000000"/>
                <w:sz w:val="18"/>
                <w:szCs w:val="18"/>
                <w:lang w:eastAsia="en-GB"/>
              </w:rPr>
            </w:pPr>
            <w:r w:rsidRPr="008E372B">
              <w:rPr>
                <w:rFonts w:eastAsia="Times New Roman"/>
                <w:b/>
                <w:bCs/>
                <w:color w:val="000000"/>
                <w:sz w:val="18"/>
                <w:szCs w:val="18"/>
                <w:lang w:eastAsia="en-GB"/>
              </w:rPr>
              <w:t>n=35,349</w:t>
            </w:r>
          </w:p>
        </w:tc>
        <w:tc>
          <w:tcPr>
            <w:tcW w:w="379"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b/>
                <w:bCs/>
                <w:color w:val="000000"/>
                <w:sz w:val="18"/>
                <w:szCs w:val="18"/>
                <w:lang w:eastAsia="en-GB"/>
              </w:rPr>
            </w:pPr>
            <w:r w:rsidRPr="008E372B">
              <w:rPr>
                <w:rFonts w:eastAsia="Times New Roman"/>
                <w:b/>
                <w:bCs/>
                <w:color w:val="000000"/>
                <w:sz w:val="18"/>
                <w:szCs w:val="18"/>
                <w:lang w:eastAsia="en-GB"/>
              </w:rPr>
              <w:t>n=35,310</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b/>
                <w:bCs/>
                <w:color w:val="000000"/>
                <w:sz w:val="18"/>
                <w:szCs w:val="18"/>
                <w:lang w:eastAsia="en-GB"/>
              </w:rPr>
            </w:pPr>
            <w:r w:rsidRPr="008E372B">
              <w:rPr>
                <w:rFonts w:eastAsia="Times New Roman"/>
                <w:b/>
                <w:bCs/>
                <w:color w:val="000000"/>
                <w:sz w:val="18"/>
                <w:szCs w:val="18"/>
                <w:lang w:eastAsia="en-GB"/>
              </w:rPr>
              <w:t>n=34,769</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b/>
                <w:bCs/>
                <w:color w:val="000000"/>
                <w:sz w:val="18"/>
                <w:szCs w:val="18"/>
                <w:lang w:eastAsia="en-GB"/>
              </w:rPr>
            </w:pPr>
            <w:r w:rsidRPr="008E372B">
              <w:rPr>
                <w:rFonts w:eastAsia="Times New Roman"/>
                <w:b/>
                <w:bCs/>
                <w:color w:val="000000"/>
                <w:sz w:val="18"/>
                <w:szCs w:val="18"/>
                <w:lang w:eastAsia="en-GB"/>
              </w:rPr>
              <w:t>n=35,003</w:t>
            </w:r>
          </w:p>
        </w:tc>
      </w:tr>
      <w:tr w:rsidR="00E037B4" w:rsidRPr="008E372B" w:rsidTr="006A0590">
        <w:trPr>
          <w:trHeight w:val="255"/>
        </w:trPr>
        <w:tc>
          <w:tcPr>
            <w:tcW w:w="543"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rPr>
                <w:rFonts w:eastAsia="Times New Roman"/>
                <w:b/>
                <w:bCs/>
                <w:color w:val="000000"/>
                <w:sz w:val="18"/>
                <w:szCs w:val="18"/>
                <w:lang w:eastAsia="en-GB"/>
              </w:rPr>
            </w:pPr>
            <w:r w:rsidRPr="008E372B">
              <w:rPr>
                <w:rFonts w:eastAsia="Times New Roman"/>
                <w:b/>
                <w:bCs/>
                <w:color w:val="000000"/>
                <w:sz w:val="18"/>
                <w:szCs w:val="18"/>
                <w:lang w:eastAsia="en-GB"/>
              </w:rPr>
              <w:t>All men</w:t>
            </w:r>
          </w:p>
        </w:tc>
        <w:tc>
          <w:tcPr>
            <w:tcW w:w="426" w:type="pct"/>
            <w:tcBorders>
              <w:top w:val="single" w:sz="4" w:space="0" w:color="auto"/>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82.6</w:t>
            </w:r>
          </w:p>
        </w:tc>
        <w:tc>
          <w:tcPr>
            <w:tcW w:w="352" w:type="pct"/>
            <w:tcBorders>
              <w:top w:val="single" w:sz="4" w:space="0" w:color="auto"/>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85.9</w:t>
            </w:r>
          </w:p>
        </w:tc>
        <w:tc>
          <w:tcPr>
            <w:tcW w:w="352" w:type="pct"/>
            <w:tcBorders>
              <w:top w:val="single" w:sz="4" w:space="0" w:color="auto"/>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88.9</w:t>
            </w:r>
          </w:p>
        </w:tc>
        <w:tc>
          <w:tcPr>
            <w:tcW w:w="352" w:type="pct"/>
            <w:tcBorders>
              <w:top w:val="single" w:sz="4" w:space="0" w:color="auto"/>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79.9</w:t>
            </w:r>
          </w:p>
        </w:tc>
        <w:tc>
          <w:tcPr>
            <w:tcW w:w="352" w:type="pct"/>
            <w:tcBorders>
              <w:top w:val="single" w:sz="4" w:space="0" w:color="auto"/>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24.0</w:t>
            </w:r>
          </w:p>
        </w:tc>
        <w:tc>
          <w:tcPr>
            <w:tcW w:w="352" w:type="pct"/>
            <w:tcBorders>
              <w:top w:val="single" w:sz="4" w:space="0" w:color="auto"/>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33.8</w:t>
            </w:r>
          </w:p>
        </w:tc>
        <w:tc>
          <w:tcPr>
            <w:tcW w:w="352" w:type="pct"/>
            <w:tcBorders>
              <w:top w:val="single" w:sz="4" w:space="0" w:color="auto"/>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11.5</w:t>
            </w:r>
          </w:p>
        </w:tc>
        <w:tc>
          <w:tcPr>
            <w:tcW w:w="352" w:type="pct"/>
            <w:tcBorders>
              <w:top w:val="single" w:sz="4" w:space="0" w:color="auto"/>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36.5</w:t>
            </w:r>
          </w:p>
        </w:tc>
        <w:tc>
          <w:tcPr>
            <w:tcW w:w="368" w:type="pct"/>
            <w:tcBorders>
              <w:top w:val="single" w:sz="4" w:space="0" w:color="auto"/>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41.7</w:t>
            </w:r>
          </w:p>
        </w:tc>
        <w:tc>
          <w:tcPr>
            <w:tcW w:w="379" w:type="pct"/>
            <w:tcBorders>
              <w:top w:val="single" w:sz="4" w:space="0" w:color="auto"/>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33.0</w:t>
            </w:r>
          </w:p>
        </w:tc>
        <w:tc>
          <w:tcPr>
            <w:tcW w:w="410" w:type="pct"/>
            <w:tcBorders>
              <w:top w:val="single" w:sz="4" w:space="0" w:color="auto"/>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63.2</w:t>
            </w:r>
          </w:p>
        </w:tc>
        <w:tc>
          <w:tcPr>
            <w:tcW w:w="410" w:type="pct"/>
            <w:tcBorders>
              <w:top w:val="single" w:sz="4" w:space="0" w:color="auto"/>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76.3</w:t>
            </w:r>
          </w:p>
        </w:tc>
      </w:tr>
      <w:tr w:rsidR="00E037B4" w:rsidRPr="008E372B" w:rsidTr="006A0590">
        <w:trPr>
          <w:trHeight w:val="255"/>
        </w:trPr>
        <w:tc>
          <w:tcPr>
            <w:tcW w:w="543"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p>
        </w:tc>
        <w:tc>
          <w:tcPr>
            <w:tcW w:w="426"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(82.4-82.9)</w:t>
            </w: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(85.7-86.1)</w:t>
            </w: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(88.8-89.1)</w:t>
            </w: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(79.7-80.1)</w:t>
            </w: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(23.6-24.2)</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(33.2-34.3)</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(11.1-11.9)</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(35.9-37.0)</w:t>
            </w:r>
          </w:p>
        </w:tc>
        <w:tc>
          <w:tcPr>
            <w:tcW w:w="368"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(41.1-42.2)</w:t>
            </w:r>
          </w:p>
        </w:tc>
        <w:tc>
          <w:tcPr>
            <w:tcW w:w="379"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(32.5-33.5)</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(62.6-63.7)</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(76.1-76.5)</w:t>
            </w:r>
          </w:p>
        </w:tc>
      </w:tr>
      <w:tr w:rsidR="00E037B4" w:rsidRPr="008E372B" w:rsidTr="006A0590">
        <w:trPr>
          <w:trHeight w:val="255"/>
        </w:trPr>
        <w:tc>
          <w:tcPr>
            <w:tcW w:w="543"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p>
        </w:tc>
        <w:tc>
          <w:tcPr>
            <w:tcW w:w="426"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368"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379"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r>
      <w:tr w:rsidR="00E037B4" w:rsidRPr="008E372B" w:rsidTr="006A0590">
        <w:trPr>
          <w:trHeight w:val="255"/>
        </w:trPr>
        <w:tc>
          <w:tcPr>
            <w:tcW w:w="543" w:type="pct"/>
            <w:tcBorders>
              <w:top w:val="nil"/>
              <w:left w:val="nil"/>
              <w:bottom w:val="nil"/>
              <w:right w:val="nil"/>
            </w:tcBorders>
            <w:shd w:val="clear" w:color="auto" w:fill="auto"/>
            <w:vAlign w:val="center"/>
            <w:hideMark/>
          </w:tcPr>
          <w:p w:rsidR="00E037B4" w:rsidRPr="008E372B" w:rsidRDefault="00E037B4" w:rsidP="006A0590">
            <w:pPr>
              <w:spacing w:before="0" w:line="240" w:lineRule="auto"/>
              <w:rPr>
                <w:rFonts w:eastAsia="Times New Roman"/>
                <w:b/>
                <w:bCs/>
                <w:color w:val="000000"/>
                <w:sz w:val="18"/>
                <w:szCs w:val="18"/>
                <w:lang w:eastAsia="en-GB"/>
              </w:rPr>
            </w:pPr>
            <w:r w:rsidRPr="008E372B">
              <w:rPr>
                <w:rFonts w:eastAsia="Times New Roman"/>
                <w:b/>
                <w:bCs/>
                <w:color w:val="000000"/>
                <w:sz w:val="18"/>
                <w:szCs w:val="18"/>
                <w:lang w:eastAsia="en-GB"/>
              </w:rPr>
              <w:t>Stage</w:t>
            </w:r>
          </w:p>
        </w:tc>
        <w:tc>
          <w:tcPr>
            <w:tcW w:w="426"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rPr>
                <w:rFonts w:eastAsia="Times New Roman"/>
                <w:b/>
                <w:bCs/>
                <w:color w:val="000000"/>
                <w:sz w:val="18"/>
                <w:szCs w:val="18"/>
                <w:lang w:eastAsia="en-GB"/>
              </w:rPr>
            </w:pP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368"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379"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r>
      <w:tr w:rsidR="00E037B4" w:rsidRPr="008E372B" w:rsidTr="006A0590">
        <w:trPr>
          <w:trHeight w:val="255"/>
        </w:trPr>
        <w:tc>
          <w:tcPr>
            <w:tcW w:w="543"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rPr>
                <w:rFonts w:eastAsia="Times New Roman"/>
                <w:color w:val="000000"/>
                <w:sz w:val="18"/>
                <w:szCs w:val="18"/>
                <w:lang w:eastAsia="en-GB"/>
              </w:rPr>
            </w:pPr>
            <w:r w:rsidRPr="008E372B">
              <w:rPr>
                <w:rFonts w:eastAsia="Times New Roman"/>
                <w:color w:val="000000"/>
                <w:sz w:val="18"/>
                <w:szCs w:val="18"/>
                <w:lang w:eastAsia="en-GB"/>
              </w:rPr>
              <w:t>I/II</w:t>
            </w:r>
          </w:p>
        </w:tc>
        <w:tc>
          <w:tcPr>
            <w:tcW w:w="426"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82.9</w:t>
            </w: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86.0</w:t>
            </w: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89.6</w:t>
            </w: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83.6</w:t>
            </w: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28.5</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29.7</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9.8</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32.0</w:t>
            </w:r>
          </w:p>
        </w:tc>
        <w:tc>
          <w:tcPr>
            <w:tcW w:w="368"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38.9</w:t>
            </w:r>
          </w:p>
        </w:tc>
        <w:tc>
          <w:tcPr>
            <w:tcW w:w="379"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31.0</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59.8</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77.4</w:t>
            </w:r>
          </w:p>
        </w:tc>
      </w:tr>
      <w:tr w:rsidR="00E037B4" w:rsidRPr="008E372B" w:rsidTr="006A0590">
        <w:trPr>
          <w:trHeight w:val="255"/>
        </w:trPr>
        <w:tc>
          <w:tcPr>
            <w:tcW w:w="543"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p>
        </w:tc>
        <w:tc>
          <w:tcPr>
            <w:tcW w:w="426"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(82.6-83.3)</w:t>
            </w: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(85.8-86.3)</w:t>
            </w: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(89.4-89.8)</w:t>
            </w: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(83.3-83.8)</w:t>
            </w: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(28.1-28.9)</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(29.0-30.3)</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(9.4-10.2)</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(31.3-32.7)</w:t>
            </w:r>
          </w:p>
        </w:tc>
        <w:tc>
          <w:tcPr>
            <w:tcW w:w="368"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(38.1-39.6)</w:t>
            </w:r>
          </w:p>
        </w:tc>
        <w:tc>
          <w:tcPr>
            <w:tcW w:w="379"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(30.3-31.7)</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(59.1-60.1)</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(77.2-77.7)</w:t>
            </w:r>
          </w:p>
        </w:tc>
      </w:tr>
      <w:tr w:rsidR="00E037B4" w:rsidRPr="008E372B" w:rsidTr="006A0590">
        <w:trPr>
          <w:trHeight w:val="255"/>
        </w:trPr>
        <w:tc>
          <w:tcPr>
            <w:tcW w:w="543"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rPr>
                <w:rFonts w:eastAsia="Times New Roman"/>
                <w:color w:val="000000"/>
                <w:sz w:val="18"/>
                <w:szCs w:val="18"/>
                <w:lang w:eastAsia="en-GB"/>
              </w:rPr>
            </w:pPr>
            <w:r w:rsidRPr="008E372B">
              <w:rPr>
                <w:rFonts w:eastAsia="Times New Roman"/>
                <w:color w:val="000000"/>
                <w:sz w:val="18"/>
                <w:szCs w:val="18"/>
                <w:lang w:eastAsia="en-GB"/>
              </w:rPr>
              <w:t>III</w:t>
            </w:r>
          </w:p>
        </w:tc>
        <w:tc>
          <w:tcPr>
            <w:tcW w:w="426"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81.2</w:t>
            </w: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86.2</w:t>
            </w: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87.4</w:t>
            </w: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75.3</w:t>
            </w: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16.4</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34.8</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11.6</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38.5</w:t>
            </w:r>
          </w:p>
        </w:tc>
        <w:tc>
          <w:tcPr>
            <w:tcW w:w="368"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42.3</w:t>
            </w:r>
          </w:p>
        </w:tc>
        <w:tc>
          <w:tcPr>
            <w:tcW w:w="379"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33.9</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64.7</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76.3</w:t>
            </w:r>
          </w:p>
        </w:tc>
      </w:tr>
      <w:tr w:rsidR="00E037B4" w:rsidRPr="008E372B" w:rsidTr="006A0590">
        <w:trPr>
          <w:trHeight w:val="255"/>
        </w:trPr>
        <w:tc>
          <w:tcPr>
            <w:tcW w:w="543"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p>
        </w:tc>
        <w:tc>
          <w:tcPr>
            <w:tcW w:w="426"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(80.7-81.8)</w:t>
            </w: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(85.8-86.5)</w:t>
            </w: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(87.0-87.8)</w:t>
            </w: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(74.8-75.9)</w:t>
            </w: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(15.9-16.9)</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(33.6-36.0)</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(10.8-12.2)</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(37.3-39.6)</w:t>
            </w:r>
          </w:p>
        </w:tc>
        <w:tc>
          <w:tcPr>
            <w:tcW w:w="368"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(41.1-43.5)</w:t>
            </w:r>
          </w:p>
        </w:tc>
        <w:tc>
          <w:tcPr>
            <w:tcW w:w="379"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(32.8-35.0)</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(63.6-65.9)</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(75.9-76.7)</w:t>
            </w:r>
          </w:p>
        </w:tc>
      </w:tr>
      <w:tr w:rsidR="00E037B4" w:rsidRPr="008E372B" w:rsidTr="006A0590">
        <w:trPr>
          <w:trHeight w:val="255"/>
        </w:trPr>
        <w:tc>
          <w:tcPr>
            <w:tcW w:w="543"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rPr>
                <w:rFonts w:eastAsia="Times New Roman"/>
                <w:color w:val="000000"/>
                <w:sz w:val="18"/>
                <w:szCs w:val="18"/>
                <w:lang w:eastAsia="en-GB"/>
              </w:rPr>
            </w:pPr>
            <w:r w:rsidRPr="008E372B">
              <w:rPr>
                <w:rFonts w:eastAsia="Times New Roman"/>
                <w:color w:val="000000"/>
                <w:sz w:val="18"/>
                <w:szCs w:val="18"/>
                <w:lang w:eastAsia="en-GB"/>
              </w:rPr>
              <w:t>IV</w:t>
            </w:r>
          </w:p>
        </w:tc>
        <w:tc>
          <w:tcPr>
            <w:tcW w:w="426"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83.2</w:t>
            </w: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84.7</w:t>
            </w: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88.1</w:t>
            </w: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68.0</w:t>
            </w: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11.9</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49.8</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18.9</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53.3</w:t>
            </w:r>
          </w:p>
        </w:tc>
        <w:tc>
          <w:tcPr>
            <w:tcW w:w="368"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54.6</w:t>
            </w:r>
          </w:p>
        </w:tc>
        <w:tc>
          <w:tcPr>
            <w:tcW w:w="379"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43.0</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76.5</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71.7</w:t>
            </w:r>
          </w:p>
        </w:tc>
      </w:tr>
      <w:tr w:rsidR="00E037B4" w:rsidRPr="008E372B" w:rsidTr="006A0590">
        <w:trPr>
          <w:trHeight w:val="255"/>
        </w:trPr>
        <w:tc>
          <w:tcPr>
            <w:tcW w:w="543"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p>
        </w:tc>
        <w:tc>
          <w:tcPr>
            <w:tcW w:w="426"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(82.5-83.9)</w:t>
            </w: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(84.1-85.2)</w:t>
            </w: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(87.5-88.7)</w:t>
            </w: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(67.3-68.7)</w:t>
            </w: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(11.4-12.4)</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(48.0-51.6)</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(17.6-20.2)</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(51.6-55.0)</w:t>
            </w:r>
          </w:p>
        </w:tc>
        <w:tc>
          <w:tcPr>
            <w:tcW w:w="368"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(53.0-56.3)</w:t>
            </w:r>
          </w:p>
        </w:tc>
        <w:tc>
          <w:tcPr>
            <w:tcW w:w="379"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(41.4-44.6)</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(75.2-77.9)</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(71.1-72.3)</w:t>
            </w:r>
          </w:p>
        </w:tc>
      </w:tr>
      <w:tr w:rsidR="00E037B4" w:rsidRPr="008E372B" w:rsidTr="006A0590">
        <w:trPr>
          <w:trHeight w:val="255"/>
        </w:trPr>
        <w:tc>
          <w:tcPr>
            <w:tcW w:w="543"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p>
        </w:tc>
        <w:tc>
          <w:tcPr>
            <w:tcW w:w="426"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368"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379"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r>
      <w:tr w:rsidR="00E037B4" w:rsidRPr="008E372B" w:rsidTr="006A0590">
        <w:trPr>
          <w:trHeight w:val="255"/>
        </w:trPr>
        <w:tc>
          <w:tcPr>
            <w:tcW w:w="543" w:type="pct"/>
            <w:tcBorders>
              <w:top w:val="nil"/>
              <w:left w:val="nil"/>
              <w:bottom w:val="nil"/>
              <w:right w:val="nil"/>
            </w:tcBorders>
            <w:shd w:val="clear" w:color="auto" w:fill="auto"/>
            <w:vAlign w:val="center"/>
            <w:hideMark/>
          </w:tcPr>
          <w:p w:rsidR="00E037B4" w:rsidRPr="008E372B" w:rsidRDefault="00E037B4" w:rsidP="006A0590">
            <w:pPr>
              <w:spacing w:before="0" w:line="240" w:lineRule="auto"/>
              <w:rPr>
                <w:rFonts w:eastAsia="Times New Roman"/>
                <w:b/>
                <w:bCs/>
                <w:color w:val="000000"/>
                <w:sz w:val="18"/>
                <w:szCs w:val="18"/>
                <w:lang w:eastAsia="en-GB"/>
              </w:rPr>
            </w:pPr>
            <w:r w:rsidRPr="008E372B">
              <w:rPr>
                <w:rFonts w:eastAsia="Times New Roman"/>
                <w:b/>
                <w:bCs/>
                <w:color w:val="000000"/>
                <w:sz w:val="18"/>
                <w:szCs w:val="18"/>
                <w:lang w:eastAsia="en-GB"/>
              </w:rPr>
              <w:t>Treatment</w:t>
            </w:r>
          </w:p>
        </w:tc>
        <w:tc>
          <w:tcPr>
            <w:tcW w:w="426"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rPr>
                <w:rFonts w:eastAsia="Times New Roman"/>
                <w:b/>
                <w:bCs/>
                <w:color w:val="000000"/>
                <w:sz w:val="18"/>
                <w:szCs w:val="18"/>
                <w:lang w:eastAsia="en-GB"/>
              </w:rPr>
            </w:pP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368"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379"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ascii="Times New Roman" w:eastAsia="Times New Roman" w:hAnsi="Times New Roman" w:cs="Times New Roman"/>
                <w:sz w:val="20"/>
                <w:szCs w:val="20"/>
                <w:lang w:eastAsia="en-GB"/>
              </w:rPr>
            </w:pPr>
          </w:p>
        </w:tc>
      </w:tr>
      <w:tr w:rsidR="00E037B4" w:rsidRPr="008E372B" w:rsidTr="006A0590">
        <w:trPr>
          <w:trHeight w:val="255"/>
        </w:trPr>
        <w:tc>
          <w:tcPr>
            <w:tcW w:w="543"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rPr>
                <w:rFonts w:eastAsia="Times New Roman"/>
                <w:color w:val="000000"/>
                <w:sz w:val="18"/>
                <w:szCs w:val="18"/>
                <w:lang w:eastAsia="en-GB"/>
              </w:rPr>
            </w:pPr>
            <w:r w:rsidRPr="008E372B">
              <w:rPr>
                <w:rFonts w:eastAsia="Times New Roman"/>
                <w:color w:val="000000"/>
                <w:sz w:val="18"/>
                <w:szCs w:val="18"/>
                <w:lang w:eastAsia="en-GB"/>
              </w:rPr>
              <w:t>AS</w:t>
            </w:r>
          </w:p>
        </w:tc>
        <w:tc>
          <w:tcPr>
            <w:tcW w:w="426"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87.6</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83.0</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93.1</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90.0</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44.6</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24.3</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7.4</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23.9</w:t>
            </w:r>
          </w:p>
        </w:tc>
        <w:tc>
          <w:tcPr>
            <w:tcW w:w="368"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34.5</w:t>
            </w:r>
          </w:p>
        </w:tc>
        <w:tc>
          <w:tcPr>
            <w:tcW w:w="379"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30.8</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57.3</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78.7</w:t>
            </w:r>
          </w:p>
        </w:tc>
      </w:tr>
      <w:tr w:rsidR="00E037B4" w:rsidRPr="008E372B" w:rsidTr="006A0590">
        <w:trPr>
          <w:trHeight w:val="255"/>
        </w:trPr>
        <w:tc>
          <w:tcPr>
            <w:tcW w:w="543"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p>
        </w:tc>
        <w:tc>
          <w:tcPr>
            <w:tcW w:w="426"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(87.0-88.3)</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(82.3-83.6)</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(92.6-93.6)</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(89.5-90.5)</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(43.6-45.7)</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(22.6-26.0)</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(6.4-8.3)</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(22.2-25.5)</w:t>
            </w:r>
          </w:p>
        </w:tc>
        <w:tc>
          <w:tcPr>
            <w:tcW w:w="368"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(32.6-36.3)</w:t>
            </w:r>
          </w:p>
        </w:tc>
        <w:tc>
          <w:tcPr>
            <w:tcW w:w="379"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(29.0-32.5)</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(55.4-59.2)</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(78.2-79.3)</w:t>
            </w:r>
          </w:p>
        </w:tc>
      </w:tr>
      <w:tr w:rsidR="00E037B4" w:rsidRPr="008E372B" w:rsidTr="006A0590">
        <w:trPr>
          <w:trHeight w:val="255"/>
        </w:trPr>
        <w:tc>
          <w:tcPr>
            <w:tcW w:w="543"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rPr>
                <w:rFonts w:eastAsia="Times New Roman"/>
                <w:color w:val="000000"/>
                <w:sz w:val="18"/>
                <w:szCs w:val="18"/>
                <w:lang w:eastAsia="en-GB"/>
              </w:rPr>
            </w:pPr>
            <w:r w:rsidRPr="008E372B">
              <w:rPr>
                <w:rFonts w:eastAsia="Times New Roman"/>
                <w:color w:val="000000"/>
                <w:sz w:val="18"/>
                <w:szCs w:val="18"/>
                <w:lang w:eastAsia="en-GB"/>
              </w:rPr>
              <w:t>WW</w:t>
            </w:r>
          </w:p>
        </w:tc>
        <w:tc>
          <w:tcPr>
            <w:tcW w:w="426"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87.1</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85.2</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93.1</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88.0</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41.3</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31.6</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10.4</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31.6</w:t>
            </w:r>
          </w:p>
        </w:tc>
        <w:tc>
          <w:tcPr>
            <w:tcW w:w="368"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36.7</w:t>
            </w:r>
          </w:p>
        </w:tc>
        <w:tc>
          <w:tcPr>
            <w:tcW w:w="379"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30.9</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59.0</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77.2</w:t>
            </w:r>
          </w:p>
        </w:tc>
      </w:tr>
      <w:tr w:rsidR="00E037B4" w:rsidRPr="008E372B" w:rsidTr="006A0590">
        <w:trPr>
          <w:trHeight w:val="255"/>
        </w:trPr>
        <w:tc>
          <w:tcPr>
            <w:tcW w:w="543"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p>
        </w:tc>
        <w:tc>
          <w:tcPr>
            <w:tcW w:w="426"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(86.3-87.9)</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(84.6-85.9)</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(92.6-93.7)</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(87.4-88.5)</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(40.0-42.6)</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(29.6-33.5)</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(9.3-11.6)</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(29.7-33.4)</w:t>
            </w:r>
          </w:p>
        </w:tc>
        <w:tc>
          <w:tcPr>
            <w:tcW w:w="368"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(34.8-38.7)</w:t>
            </w:r>
          </w:p>
        </w:tc>
        <w:tc>
          <w:tcPr>
            <w:tcW w:w="379"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(29.0-32.8)</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(56.9-61.0)</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(76.5-77.8)</w:t>
            </w:r>
          </w:p>
        </w:tc>
      </w:tr>
      <w:tr w:rsidR="00E037B4" w:rsidRPr="008E372B" w:rsidTr="006A0590">
        <w:trPr>
          <w:trHeight w:val="255"/>
        </w:trPr>
        <w:tc>
          <w:tcPr>
            <w:tcW w:w="543"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rPr>
                <w:rFonts w:eastAsia="Times New Roman"/>
                <w:color w:val="000000"/>
                <w:sz w:val="18"/>
                <w:szCs w:val="18"/>
                <w:lang w:eastAsia="en-GB"/>
              </w:rPr>
            </w:pPr>
            <w:r w:rsidRPr="008E372B">
              <w:rPr>
                <w:rFonts w:eastAsia="Times New Roman"/>
                <w:color w:val="000000"/>
                <w:sz w:val="18"/>
                <w:szCs w:val="18"/>
                <w:lang w:eastAsia="en-GB"/>
              </w:rPr>
              <w:t>Brachy alone</w:t>
            </w:r>
          </w:p>
        </w:tc>
        <w:tc>
          <w:tcPr>
            <w:tcW w:w="426"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89.2</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84.1</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88.8</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89.3</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37.6</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20.7</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5.9</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22.9</w:t>
            </w:r>
          </w:p>
        </w:tc>
        <w:tc>
          <w:tcPr>
            <w:tcW w:w="368"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36.4</w:t>
            </w:r>
          </w:p>
        </w:tc>
        <w:tc>
          <w:tcPr>
            <w:tcW w:w="379"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25.2</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52.6</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79.6</w:t>
            </w:r>
          </w:p>
        </w:tc>
      </w:tr>
      <w:tr w:rsidR="00E037B4" w:rsidRPr="008E372B" w:rsidTr="006A0590">
        <w:trPr>
          <w:trHeight w:val="255"/>
        </w:trPr>
        <w:tc>
          <w:tcPr>
            <w:tcW w:w="543"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p>
        </w:tc>
        <w:tc>
          <w:tcPr>
            <w:tcW w:w="426"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(88.3-90.1)</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(83.1-85.0)</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(87.9-89.7)</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(88.4-90.1)</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(36.2-39.0)</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(18.1-23.2)</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(4.5-7.3)</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(20.3-25.5)</w:t>
            </w:r>
          </w:p>
        </w:tc>
        <w:tc>
          <w:tcPr>
            <w:tcW w:w="368"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(33.5-39.3)</w:t>
            </w:r>
          </w:p>
        </w:tc>
        <w:tc>
          <w:tcPr>
            <w:tcW w:w="379"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(22.7-27.7)</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(49.6-55.6)</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(78.9-80.4)</w:t>
            </w:r>
          </w:p>
        </w:tc>
      </w:tr>
      <w:tr w:rsidR="00E037B4" w:rsidRPr="008E372B" w:rsidTr="006A0590">
        <w:trPr>
          <w:trHeight w:val="255"/>
        </w:trPr>
        <w:tc>
          <w:tcPr>
            <w:tcW w:w="543"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rPr>
                <w:rFonts w:eastAsia="Times New Roman"/>
                <w:color w:val="000000"/>
                <w:sz w:val="18"/>
                <w:szCs w:val="18"/>
                <w:lang w:eastAsia="en-GB"/>
              </w:rPr>
            </w:pPr>
            <w:r w:rsidRPr="008E372B">
              <w:rPr>
                <w:rFonts w:eastAsia="Times New Roman"/>
                <w:color w:val="000000"/>
                <w:sz w:val="18"/>
                <w:szCs w:val="18"/>
                <w:lang w:eastAsia="en-GB"/>
              </w:rPr>
              <w:t>Surg alone</w:t>
            </w:r>
          </w:p>
        </w:tc>
        <w:tc>
          <w:tcPr>
            <w:tcW w:w="426"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73.5</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90.0</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93.4</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89.6</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22.1</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23.9</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7.6</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29.1</w:t>
            </w:r>
          </w:p>
        </w:tc>
        <w:tc>
          <w:tcPr>
            <w:tcW w:w="368"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33.5</w:t>
            </w:r>
          </w:p>
        </w:tc>
        <w:tc>
          <w:tcPr>
            <w:tcW w:w="379"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27.3</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54.6</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79.5</w:t>
            </w:r>
          </w:p>
        </w:tc>
      </w:tr>
      <w:tr w:rsidR="00E037B4" w:rsidRPr="008E372B" w:rsidTr="006A0590">
        <w:trPr>
          <w:trHeight w:val="255"/>
        </w:trPr>
        <w:tc>
          <w:tcPr>
            <w:tcW w:w="543"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p>
        </w:tc>
        <w:tc>
          <w:tcPr>
            <w:tcW w:w="426"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(72.8-74.1)</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(89.7-90.4)</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(93.1-93.7)</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(89.2-89.9)</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(21.5-22.6)</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(22.8-25.0)</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(7.0-8.2)</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(27.9-30.2)</w:t>
            </w:r>
          </w:p>
        </w:tc>
        <w:tc>
          <w:tcPr>
            <w:tcW w:w="368"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(32.3-34.7)</w:t>
            </w:r>
          </w:p>
        </w:tc>
        <w:tc>
          <w:tcPr>
            <w:tcW w:w="379"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(26.2-28.4)</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(53.3-55.8)</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(79.2-79.9)</w:t>
            </w:r>
          </w:p>
        </w:tc>
      </w:tr>
      <w:tr w:rsidR="00E037B4" w:rsidRPr="008E372B" w:rsidTr="006A0590">
        <w:trPr>
          <w:trHeight w:val="255"/>
        </w:trPr>
        <w:tc>
          <w:tcPr>
            <w:tcW w:w="543"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rPr>
                <w:rFonts w:eastAsia="Times New Roman"/>
                <w:color w:val="000000"/>
                <w:sz w:val="18"/>
                <w:szCs w:val="18"/>
                <w:lang w:eastAsia="en-GB"/>
              </w:rPr>
            </w:pPr>
            <w:r w:rsidRPr="008E372B">
              <w:rPr>
                <w:rFonts w:eastAsia="Times New Roman"/>
                <w:color w:val="000000"/>
                <w:sz w:val="18"/>
                <w:szCs w:val="18"/>
                <w:lang w:eastAsia="en-GB"/>
              </w:rPr>
              <w:t>Surg + EBRT/ADT</w:t>
            </w:r>
          </w:p>
        </w:tc>
        <w:tc>
          <w:tcPr>
            <w:tcW w:w="426"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73.1</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86.1</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86.2</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76.9</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14.9</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34.0</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11.6</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40.0</w:t>
            </w:r>
          </w:p>
        </w:tc>
        <w:tc>
          <w:tcPr>
            <w:tcW w:w="368"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42.9</w:t>
            </w:r>
          </w:p>
        </w:tc>
        <w:tc>
          <w:tcPr>
            <w:tcW w:w="379"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35.5</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66.1</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76.0</w:t>
            </w:r>
          </w:p>
        </w:tc>
      </w:tr>
      <w:tr w:rsidR="00E037B4" w:rsidRPr="008E372B" w:rsidTr="006A0590">
        <w:trPr>
          <w:trHeight w:val="255"/>
        </w:trPr>
        <w:tc>
          <w:tcPr>
            <w:tcW w:w="543"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p>
        </w:tc>
        <w:tc>
          <w:tcPr>
            <w:tcW w:w="426"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(71.9-74.2)</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(85.3-86.8)</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(85.5-87.0)</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(76.0-77.8)</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(14.1-15.7)</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(32.0-36.0)</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(10.3-12.8)</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(37.9-42.1)</w:t>
            </w:r>
          </w:p>
        </w:tc>
        <w:tc>
          <w:tcPr>
            <w:tcW w:w="368"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(40.1-45.0)</w:t>
            </w:r>
          </w:p>
        </w:tc>
        <w:tc>
          <w:tcPr>
            <w:tcW w:w="379"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(33.5-37.4)</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(64.1-68.1)</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(75.4-76.7)</w:t>
            </w:r>
          </w:p>
        </w:tc>
      </w:tr>
      <w:tr w:rsidR="00E037B4" w:rsidRPr="008E372B" w:rsidTr="006A0590">
        <w:trPr>
          <w:trHeight w:val="255"/>
        </w:trPr>
        <w:tc>
          <w:tcPr>
            <w:tcW w:w="543"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rPr>
                <w:rFonts w:eastAsia="Times New Roman"/>
                <w:color w:val="000000"/>
                <w:sz w:val="18"/>
                <w:szCs w:val="18"/>
                <w:lang w:eastAsia="en-GB"/>
              </w:rPr>
            </w:pPr>
            <w:r w:rsidRPr="008E372B">
              <w:rPr>
                <w:rFonts w:eastAsia="Times New Roman"/>
                <w:color w:val="000000"/>
                <w:sz w:val="18"/>
                <w:szCs w:val="18"/>
                <w:lang w:eastAsia="en-GB"/>
              </w:rPr>
              <w:t>EBRT alone</w:t>
            </w:r>
          </w:p>
        </w:tc>
        <w:tc>
          <w:tcPr>
            <w:tcW w:w="426"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86.7</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86.1</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86.2</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80.7</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25.6</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32.8</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10.2</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33.4</w:t>
            </w:r>
          </w:p>
        </w:tc>
        <w:tc>
          <w:tcPr>
            <w:tcW w:w="368"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41.2</w:t>
            </w:r>
          </w:p>
        </w:tc>
        <w:tc>
          <w:tcPr>
            <w:tcW w:w="379"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28.4</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59.7</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77.6</w:t>
            </w:r>
          </w:p>
        </w:tc>
      </w:tr>
      <w:tr w:rsidR="00E037B4" w:rsidRPr="008E372B" w:rsidTr="006A0590">
        <w:trPr>
          <w:trHeight w:val="255"/>
        </w:trPr>
        <w:tc>
          <w:tcPr>
            <w:tcW w:w="543"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p>
        </w:tc>
        <w:tc>
          <w:tcPr>
            <w:tcW w:w="426"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(85.9-87.5)</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(85.4-86.8)</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(85.4-87.0)</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(79.9-81.5)</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(24.5-26.7)</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(30.9-34.7)</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(9.1-11.3)</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(31.5-35.3)</w:t>
            </w:r>
          </w:p>
        </w:tc>
        <w:tc>
          <w:tcPr>
            <w:tcW w:w="368"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(39.3-43.2)</w:t>
            </w:r>
          </w:p>
        </w:tc>
        <w:tc>
          <w:tcPr>
            <w:tcW w:w="379"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(26.6-30.2)</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(57.6-61.7)</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(76.9-78.2)</w:t>
            </w:r>
          </w:p>
        </w:tc>
      </w:tr>
      <w:tr w:rsidR="00E037B4" w:rsidRPr="008E372B" w:rsidTr="006A0590">
        <w:trPr>
          <w:trHeight w:val="255"/>
        </w:trPr>
        <w:tc>
          <w:tcPr>
            <w:tcW w:w="543"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rPr>
                <w:rFonts w:eastAsia="Times New Roman"/>
                <w:color w:val="000000"/>
                <w:sz w:val="18"/>
                <w:szCs w:val="18"/>
                <w:lang w:eastAsia="en-GB"/>
              </w:rPr>
            </w:pPr>
            <w:r w:rsidRPr="008E372B">
              <w:rPr>
                <w:rFonts w:eastAsia="Times New Roman"/>
                <w:color w:val="000000"/>
                <w:sz w:val="18"/>
                <w:szCs w:val="18"/>
                <w:lang w:eastAsia="en-GB"/>
              </w:rPr>
              <w:t>EBRT + ADT</w:t>
            </w:r>
          </w:p>
        </w:tc>
        <w:tc>
          <w:tcPr>
            <w:tcW w:w="426"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86.8</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85.5</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84.4</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72.2</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19.1</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34.4</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10.7</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38.0</w:t>
            </w:r>
          </w:p>
        </w:tc>
        <w:tc>
          <w:tcPr>
            <w:tcW w:w="368"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44.6</w:t>
            </w:r>
          </w:p>
        </w:tc>
        <w:tc>
          <w:tcPr>
            <w:tcW w:w="379"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34.3</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64.8</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76.2</w:t>
            </w:r>
          </w:p>
        </w:tc>
      </w:tr>
      <w:tr w:rsidR="00E037B4" w:rsidRPr="008E372B" w:rsidTr="006A0590">
        <w:trPr>
          <w:trHeight w:val="255"/>
        </w:trPr>
        <w:tc>
          <w:tcPr>
            <w:tcW w:w="543"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p>
        </w:tc>
        <w:tc>
          <w:tcPr>
            <w:tcW w:w="426"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(86.4-87.3)</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(85.1-85.8)</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(84.0-84.9)</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(71.7-72.7)</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(18.5-19.6)</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(33.3-35.6)</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(10.0-11.4)</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(36.8-39.2)</w:t>
            </w:r>
          </w:p>
        </w:tc>
        <w:tc>
          <w:tcPr>
            <w:tcW w:w="368"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(43.4-45.7)</w:t>
            </w:r>
          </w:p>
        </w:tc>
        <w:tc>
          <w:tcPr>
            <w:tcW w:w="379"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(33.2-35.4)</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(63.7-66.0)</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(75.8-76.5)</w:t>
            </w:r>
          </w:p>
        </w:tc>
      </w:tr>
      <w:tr w:rsidR="00E037B4" w:rsidRPr="008E372B" w:rsidTr="006A0590">
        <w:trPr>
          <w:trHeight w:val="255"/>
        </w:trPr>
        <w:tc>
          <w:tcPr>
            <w:tcW w:w="543"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rPr>
                <w:rFonts w:eastAsia="Times New Roman"/>
                <w:color w:val="000000"/>
                <w:sz w:val="18"/>
                <w:szCs w:val="18"/>
                <w:lang w:eastAsia="en-GB"/>
              </w:rPr>
            </w:pPr>
            <w:r w:rsidRPr="008E372B">
              <w:rPr>
                <w:rFonts w:eastAsia="Times New Roman"/>
                <w:color w:val="000000"/>
                <w:sz w:val="18"/>
                <w:szCs w:val="18"/>
                <w:lang w:eastAsia="en-GB"/>
              </w:rPr>
              <w:t>ADT alone</w:t>
            </w:r>
          </w:p>
        </w:tc>
        <w:tc>
          <w:tcPr>
            <w:tcW w:w="426"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86.4</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84.6</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90.9</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69.3</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15.3</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43.0</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15.9</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47.6</w:t>
            </w:r>
          </w:p>
        </w:tc>
        <w:tc>
          <w:tcPr>
            <w:tcW w:w="368"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46.5</w:t>
            </w:r>
          </w:p>
        </w:tc>
        <w:tc>
          <w:tcPr>
            <w:tcW w:w="379"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41.0</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74.3</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72.0</w:t>
            </w:r>
          </w:p>
        </w:tc>
      </w:tr>
      <w:tr w:rsidR="00E037B4" w:rsidRPr="008E372B" w:rsidTr="006A0590">
        <w:trPr>
          <w:trHeight w:val="255"/>
        </w:trPr>
        <w:tc>
          <w:tcPr>
            <w:tcW w:w="543"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p>
        </w:tc>
        <w:tc>
          <w:tcPr>
            <w:tcW w:w="426"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(85.7-87.2)</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(83.9-85.2)</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(90.3-91.5)</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(68.5-70.1)</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(14.6-16.1)</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(41.0-45.0)</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(14.6-17.2)</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(45.6-49.6)</w:t>
            </w:r>
          </w:p>
        </w:tc>
        <w:tc>
          <w:tcPr>
            <w:tcW w:w="368"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(44.5-48.4)</w:t>
            </w:r>
          </w:p>
        </w:tc>
        <w:tc>
          <w:tcPr>
            <w:tcW w:w="379"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(39.1-42.9)</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(72.5-76.0)</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(71.3-72.7)</w:t>
            </w:r>
          </w:p>
        </w:tc>
      </w:tr>
      <w:tr w:rsidR="00E037B4" w:rsidRPr="008E372B" w:rsidTr="006A0590">
        <w:trPr>
          <w:trHeight w:val="255"/>
        </w:trPr>
        <w:tc>
          <w:tcPr>
            <w:tcW w:w="543"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rPr>
                <w:rFonts w:eastAsia="Times New Roman"/>
                <w:color w:val="000000"/>
                <w:sz w:val="18"/>
                <w:szCs w:val="18"/>
                <w:lang w:eastAsia="en-GB"/>
              </w:rPr>
            </w:pPr>
            <w:r w:rsidRPr="008E372B">
              <w:rPr>
                <w:rFonts w:eastAsia="Times New Roman"/>
                <w:color w:val="000000"/>
                <w:sz w:val="18"/>
                <w:szCs w:val="18"/>
                <w:lang w:eastAsia="en-GB"/>
              </w:rPr>
              <w:t>Syst + ADT</w:t>
            </w:r>
          </w:p>
        </w:tc>
        <w:tc>
          <w:tcPr>
            <w:tcW w:w="426"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86.2</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84.6</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90.7</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66.9</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11.5</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55.1</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19.5</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59.3</w:t>
            </w:r>
          </w:p>
        </w:tc>
        <w:tc>
          <w:tcPr>
            <w:tcW w:w="368"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57.2</w:t>
            </w:r>
          </w:p>
        </w:tc>
        <w:tc>
          <w:tcPr>
            <w:tcW w:w="379"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46.4</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81.8</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70.4</w:t>
            </w:r>
          </w:p>
        </w:tc>
      </w:tr>
      <w:tr w:rsidR="00E037B4" w:rsidRPr="008E372B" w:rsidTr="006A0590">
        <w:trPr>
          <w:trHeight w:val="255"/>
        </w:trPr>
        <w:tc>
          <w:tcPr>
            <w:tcW w:w="543"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p>
        </w:tc>
        <w:tc>
          <w:tcPr>
            <w:tcW w:w="426"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(84.5-87.9)</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(83.3-86.0)</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(89.6-91.9)</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(65.2-68.5)</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(10.4-12.7)</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(50.7-59.5)</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(16.2-22.8)</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(55.1-63.5)</w:t>
            </w:r>
          </w:p>
        </w:tc>
        <w:tc>
          <w:tcPr>
            <w:tcW w:w="368"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(53.1-61.2)</w:t>
            </w:r>
          </w:p>
        </w:tc>
        <w:tc>
          <w:tcPr>
            <w:tcW w:w="379"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(42.4-50.5)</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(78.7-84.8)</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(68.9-71.9)</w:t>
            </w:r>
          </w:p>
        </w:tc>
      </w:tr>
      <w:tr w:rsidR="00E037B4" w:rsidRPr="008E372B" w:rsidTr="006A0590">
        <w:trPr>
          <w:trHeight w:val="255"/>
        </w:trPr>
        <w:tc>
          <w:tcPr>
            <w:tcW w:w="543"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rPr>
                <w:rFonts w:eastAsia="Times New Roman"/>
                <w:color w:val="000000"/>
                <w:sz w:val="18"/>
                <w:szCs w:val="18"/>
                <w:lang w:eastAsia="en-GB"/>
              </w:rPr>
            </w:pPr>
            <w:r w:rsidRPr="008E372B">
              <w:rPr>
                <w:rFonts w:eastAsia="Times New Roman"/>
                <w:color w:val="000000"/>
                <w:sz w:val="18"/>
                <w:szCs w:val="18"/>
                <w:lang w:eastAsia="en-GB"/>
              </w:rPr>
              <w:t>Syst + EBRT</w:t>
            </w:r>
          </w:p>
        </w:tc>
        <w:tc>
          <w:tcPr>
            <w:tcW w:w="426" w:type="pct"/>
            <w:tcBorders>
              <w:top w:val="nil"/>
              <w:left w:val="nil"/>
              <w:bottom w:val="nil"/>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85.1</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83.4</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83.8</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66.2</w:t>
            </w:r>
          </w:p>
        </w:tc>
        <w:tc>
          <w:tcPr>
            <w:tcW w:w="352"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12.4</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59.5</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25.5</w:t>
            </w:r>
          </w:p>
        </w:tc>
        <w:tc>
          <w:tcPr>
            <w:tcW w:w="352"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62.2</w:t>
            </w:r>
          </w:p>
        </w:tc>
        <w:tc>
          <w:tcPr>
            <w:tcW w:w="368"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61.7</w:t>
            </w:r>
          </w:p>
        </w:tc>
        <w:tc>
          <w:tcPr>
            <w:tcW w:w="379" w:type="pct"/>
            <w:tcBorders>
              <w:top w:val="nil"/>
              <w:left w:val="nil"/>
              <w:bottom w:val="nil"/>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45.6</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82.4</w:t>
            </w:r>
          </w:p>
        </w:tc>
        <w:tc>
          <w:tcPr>
            <w:tcW w:w="410" w:type="pct"/>
            <w:tcBorders>
              <w:top w:val="nil"/>
              <w:left w:val="nil"/>
              <w:bottom w:val="nil"/>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68.3</w:t>
            </w:r>
          </w:p>
        </w:tc>
      </w:tr>
      <w:tr w:rsidR="00E037B4" w:rsidRPr="008E372B" w:rsidTr="006A0590">
        <w:trPr>
          <w:trHeight w:val="255"/>
        </w:trPr>
        <w:tc>
          <w:tcPr>
            <w:tcW w:w="543" w:type="pct"/>
            <w:tcBorders>
              <w:top w:val="nil"/>
              <w:left w:val="nil"/>
              <w:bottom w:val="single" w:sz="4" w:space="0" w:color="auto"/>
              <w:right w:val="nil"/>
            </w:tcBorders>
            <w:shd w:val="clear" w:color="auto" w:fill="auto"/>
            <w:noWrap/>
            <w:vAlign w:val="bottom"/>
            <w:hideMark/>
          </w:tcPr>
          <w:p w:rsidR="00E037B4" w:rsidRPr="008E372B" w:rsidRDefault="00E037B4" w:rsidP="006A0590">
            <w:pPr>
              <w:spacing w:before="0" w:line="240" w:lineRule="auto"/>
              <w:rPr>
                <w:rFonts w:eastAsia="Times New Roman"/>
                <w:color w:val="000000"/>
                <w:sz w:val="18"/>
                <w:szCs w:val="18"/>
                <w:lang w:eastAsia="en-GB"/>
              </w:rPr>
            </w:pPr>
            <w:r w:rsidRPr="008E372B">
              <w:rPr>
                <w:rFonts w:eastAsia="Times New Roman"/>
                <w:color w:val="000000"/>
                <w:sz w:val="18"/>
                <w:szCs w:val="18"/>
                <w:lang w:eastAsia="en-GB"/>
              </w:rPr>
              <w:t> </w:t>
            </w:r>
          </w:p>
        </w:tc>
        <w:tc>
          <w:tcPr>
            <w:tcW w:w="426" w:type="pct"/>
            <w:tcBorders>
              <w:top w:val="nil"/>
              <w:left w:val="nil"/>
              <w:bottom w:val="single" w:sz="4" w:space="0" w:color="auto"/>
              <w:right w:val="nil"/>
            </w:tcBorders>
            <w:shd w:val="clear" w:color="auto" w:fill="auto"/>
            <w:noWrap/>
            <w:vAlign w:val="center"/>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(83.3-86.9)</w:t>
            </w:r>
          </w:p>
        </w:tc>
        <w:tc>
          <w:tcPr>
            <w:tcW w:w="352" w:type="pct"/>
            <w:tcBorders>
              <w:top w:val="nil"/>
              <w:left w:val="nil"/>
              <w:bottom w:val="single" w:sz="4" w:space="0" w:color="auto"/>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(81.7-85.0)</w:t>
            </w:r>
          </w:p>
        </w:tc>
        <w:tc>
          <w:tcPr>
            <w:tcW w:w="352" w:type="pct"/>
            <w:tcBorders>
              <w:top w:val="nil"/>
              <w:left w:val="nil"/>
              <w:bottom w:val="single" w:sz="4" w:space="0" w:color="auto"/>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(82.1-85.5)</w:t>
            </w:r>
          </w:p>
        </w:tc>
        <w:tc>
          <w:tcPr>
            <w:tcW w:w="352" w:type="pct"/>
            <w:tcBorders>
              <w:top w:val="nil"/>
              <w:left w:val="nil"/>
              <w:bottom w:val="single" w:sz="4" w:space="0" w:color="auto"/>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(64.3-68.1)</w:t>
            </w:r>
          </w:p>
        </w:tc>
        <w:tc>
          <w:tcPr>
            <w:tcW w:w="352" w:type="pct"/>
            <w:tcBorders>
              <w:top w:val="nil"/>
              <w:left w:val="nil"/>
              <w:bottom w:val="single" w:sz="4" w:space="0" w:color="auto"/>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(11.1-13.8)</w:t>
            </w:r>
          </w:p>
        </w:tc>
        <w:tc>
          <w:tcPr>
            <w:tcW w:w="352" w:type="pct"/>
            <w:tcBorders>
              <w:top w:val="nil"/>
              <w:left w:val="nil"/>
              <w:bottom w:val="single" w:sz="4" w:space="0" w:color="auto"/>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(54.8-64.3)</w:t>
            </w:r>
          </w:p>
        </w:tc>
        <w:tc>
          <w:tcPr>
            <w:tcW w:w="352" w:type="pct"/>
            <w:tcBorders>
              <w:top w:val="nil"/>
              <w:left w:val="nil"/>
              <w:bottom w:val="single" w:sz="4" w:space="0" w:color="auto"/>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(21.2-29.7)</w:t>
            </w:r>
          </w:p>
        </w:tc>
        <w:tc>
          <w:tcPr>
            <w:tcW w:w="352" w:type="pct"/>
            <w:tcBorders>
              <w:top w:val="nil"/>
              <w:left w:val="nil"/>
              <w:bottom w:val="single" w:sz="4" w:space="0" w:color="auto"/>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(57.7-66.8)</w:t>
            </w:r>
          </w:p>
        </w:tc>
        <w:tc>
          <w:tcPr>
            <w:tcW w:w="368" w:type="pct"/>
            <w:tcBorders>
              <w:top w:val="nil"/>
              <w:left w:val="nil"/>
              <w:bottom w:val="single" w:sz="4" w:space="0" w:color="auto"/>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(57.3-66.1)</w:t>
            </w:r>
          </w:p>
        </w:tc>
        <w:tc>
          <w:tcPr>
            <w:tcW w:w="379" w:type="pct"/>
            <w:tcBorders>
              <w:top w:val="nil"/>
              <w:left w:val="nil"/>
              <w:bottom w:val="single" w:sz="4" w:space="0" w:color="auto"/>
              <w:right w:val="nil"/>
            </w:tcBorders>
            <w:shd w:val="clear" w:color="auto" w:fill="D9D9D9" w:themeFill="background1" w:themeFillShade="D9"/>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(41.1-50.1)</w:t>
            </w:r>
          </w:p>
        </w:tc>
        <w:tc>
          <w:tcPr>
            <w:tcW w:w="410" w:type="pct"/>
            <w:tcBorders>
              <w:top w:val="nil"/>
              <w:left w:val="nil"/>
              <w:bottom w:val="single" w:sz="4" w:space="0" w:color="auto"/>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(79.0-85.7)</w:t>
            </w:r>
          </w:p>
        </w:tc>
        <w:tc>
          <w:tcPr>
            <w:tcW w:w="410" w:type="pct"/>
            <w:tcBorders>
              <w:top w:val="nil"/>
              <w:left w:val="nil"/>
              <w:bottom w:val="single" w:sz="4" w:space="0" w:color="auto"/>
              <w:right w:val="nil"/>
            </w:tcBorders>
            <w:shd w:val="clear" w:color="auto" w:fill="auto"/>
            <w:noWrap/>
            <w:vAlign w:val="bottom"/>
            <w:hideMark/>
          </w:tcPr>
          <w:p w:rsidR="00E037B4" w:rsidRPr="008E372B" w:rsidRDefault="00E037B4" w:rsidP="006A0590">
            <w:pPr>
              <w:spacing w:before="0" w:line="240" w:lineRule="auto"/>
              <w:jc w:val="right"/>
              <w:rPr>
                <w:rFonts w:eastAsia="Times New Roman"/>
                <w:color w:val="000000"/>
                <w:sz w:val="18"/>
                <w:szCs w:val="18"/>
                <w:lang w:eastAsia="en-GB"/>
              </w:rPr>
            </w:pPr>
            <w:r w:rsidRPr="008E372B">
              <w:rPr>
                <w:rFonts w:eastAsia="Times New Roman"/>
                <w:color w:val="000000"/>
                <w:sz w:val="18"/>
                <w:szCs w:val="18"/>
                <w:lang w:eastAsia="en-GB"/>
              </w:rPr>
              <w:t>(66.5-70.0)</w:t>
            </w:r>
          </w:p>
        </w:tc>
      </w:tr>
    </w:tbl>
    <w:p w:rsidR="00E037B4" w:rsidRDefault="00E037B4" w:rsidP="006A0590">
      <w:pPr>
        <w:rPr>
          <w:rFonts w:eastAsia="Arial"/>
          <w:sz w:val="18"/>
          <w:szCs w:val="20"/>
        </w:rPr>
      </w:pPr>
      <w:r>
        <w:rPr>
          <w:rFonts w:eastAsia="Arial"/>
          <w:sz w:val="18"/>
          <w:szCs w:val="20"/>
        </w:rPr>
        <w:t>*Adjusted for age at survey, socio-economic deprivation and number of other long-term conditions</w:t>
      </w:r>
    </w:p>
    <w:p w:rsidR="00E037B4" w:rsidRDefault="00E037B4" w:rsidP="006A0590">
      <w:pPr>
        <w:rPr>
          <w:rFonts w:eastAsia="Arial"/>
          <w:sz w:val="18"/>
          <w:szCs w:val="20"/>
        </w:rPr>
      </w:pPr>
      <w:r>
        <w:rPr>
          <w:rFonts w:eastAsia="Arial"/>
          <w:sz w:val="18"/>
          <w:szCs w:val="20"/>
        </w:rPr>
        <w:lastRenderedPageBreak/>
        <w:t>For EPIC-26 scores and SAH ratings, 100=best possible function/health</w:t>
      </w:r>
    </w:p>
    <w:p w:rsidR="00E037B4" w:rsidRDefault="00E037B4" w:rsidP="006A0590">
      <w:pPr>
        <w:rPr>
          <w:rFonts w:eastAsia="Arial"/>
          <w:b/>
          <w:sz w:val="22"/>
          <w:szCs w:val="22"/>
        </w:rPr>
      </w:pPr>
      <w:r w:rsidRPr="002631AA">
        <w:rPr>
          <w:rFonts w:eastAsia="Arial"/>
          <w:sz w:val="18"/>
          <w:szCs w:val="20"/>
        </w:rPr>
        <w:t>AS: Active surveillance; WW: Watchful waiting; Brachy: Brachytherapy; Surg: Surgery; EBRT: External beam radiotherapy; ADT: Androgen deprivation therapy; Syst: Systemic therapy (Chemotherapy/Abiraterone/Enzalutamide)</w:t>
      </w:r>
      <w:r>
        <w:rPr>
          <w:rFonts w:eastAsia="Arial"/>
          <w:sz w:val="18"/>
          <w:szCs w:val="20"/>
        </w:rPr>
        <w:t xml:space="preserve">; SAH: Self-assessed health. </w:t>
      </w:r>
    </w:p>
    <w:p w:rsidR="00E037B4" w:rsidRPr="0065629A" w:rsidRDefault="00E037B4" w:rsidP="006A0590">
      <w:pPr>
        <w:rPr>
          <w:rFonts w:eastAsia="Arial"/>
          <w:sz w:val="18"/>
          <w:szCs w:val="22"/>
        </w:rPr>
      </w:pPr>
      <w:r w:rsidRPr="0065629A">
        <w:rPr>
          <w:rFonts w:eastAsia="Times New Roman"/>
          <w:color w:val="000000"/>
          <w:sz w:val="18"/>
          <w:szCs w:val="22"/>
          <w:lang w:val="en-US" w:eastAsia="en-GB"/>
        </w:rPr>
        <w:t xml:space="preserve">Due to the large number of men included in the study, statistical significance can be achieved with only small differences in outcomes, and these may not be clinically relevant.  Results should be considered alongside previously estimated minimally important differences.  For EPIC-26: Urinary incontinence (6-9 points); Urinary irritation/obstruction (5-7 points); Bowel function (4-6 points); Vitality/hormone function (4-6 points); Sexual function (10-12 points).  For EQ-5D Self-assessed health (7 points). </w:t>
      </w:r>
    </w:p>
    <w:p w:rsidR="00E037B4" w:rsidRDefault="00E037B4" w:rsidP="006A0590">
      <w:pPr>
        <w:spacing w:before="0" w:after="200"/>
        <w:outlineLvl w:val="0"/>
        <w:rPr>
          <w:b/>
          <w:sz w:val="22"/>
        </w:rPr>
        <w:sectPr w:rsidR="00E037B4" w:rsidSect="006A0590">
          <w:pgSz w:w="16838" w:h="11906" w:orient="landscape"/>
          <w:pgMar w:top="720" w:right="720" w:bottom="720" w:left="720" w:header="567" w:footer="397" w:gutter="0"/>
          <w:cols w:space="708"/>
          <w:docGrid w:linePitch="360"/>
        </w:sectPr>
      </w:pPr>
    </w:p>
    <w:p w:rsidR="00E037B4" w:rsidRDefault="00E037B4" w:rsidP="006A0590">
      <w:pPr>
        <w:spacing w:before="0" w:after="200"/>
        <w:outlineLvl w:val="0"/>
        <w:rPr>
          <w:b/>
          <w:sz w:val="22"/>
        </w:rPr>
      </w:pPr>
      <w:r>
        <w:rPr>
          <w:b/>
          <w:sz w:val="22"/>
        </w:rPr>
        <w:lastRenderedPageBreak/>
        <w:t>Table 3: Comparison of self-assessed health ratings in the LAPCD cohort and general population surveys (men aged 60 and over)</w:t>
      </w:r>
    </w:p>
    <w:tbl>
      <w:tblPr>
        <w:tblW w:w="5670" w:type="dxa"/>
        <w:tblLook w:val="04A0" w:firstRow="1" w:lastRow="0" w:firstColumn="1" w:lastColumn="0" w:noHBand="0" w:noVBand="1"/>
      </w:tblPr>
      <w:tblGrid>
        <w:gridCol w:w="3218"/>
        <w:gridCol w:w="1000"/>
        <w:gridCol w:w="1452"/>
      </w:tblGrid>
      <w:tr w:rsidR="00E037B4" w:rsidRPr="00962BC1" w:rsidTr="006A0590">
        <w:trPr>
          <w:trHeight w:val="255"/>
        </w:trPr>
        <w:tc>
          <w:tcPr>
            <w:tcW w:w="3218" w:type="dxa"/>
            <w:tcBorders>
              <w:top w:val="single" w:sz="4" w:space="0" w:color="auto"/>
              <w:left w:val="nil"/>
              <w:bottom w:val="single" w:sz="4" w:space="0" w:color="auto"/>
              <w:right w:val="nil"/>
            </w:tcBorders>
            <w:shd w:val="clear" w:color="auto" w:fill="auto"/>
            <w:noWrap/>
            <w:vAlign w:val="bottom"/>
            <w:hideMark/>
          </w:tcPr>
          <w:p w:rsidR="00E037B4" w:rsidRPr="00962BC1" w:rsidRDefault="00E037B4" w:rsidP="006A0590">
            <w:pPr>
              <w:spacing w:before="0" w:line="240" w:lineRule="auto"/>
              <w:rPr>
                <w:rFonts w:eastAsia="Times New Roman"/>
                <w:b/>
                <w:bCs/>
                <w:color w:val="000000"/>
                <w:sz w:val="20"/>
                <w:szCs w:val="20"/>
                <w:lang w:eastAsia="en-GB"/>
              </w:rPr>
            </w:pPr>
            <w:r w:rsidRPr="00962BC1">
              <w:rPr>
                <w:rFonts w:eastAsia="Times New Roman"/>
                <w:b/>
                <w:bCs/>
                <w:color w:val="000000"/>
                <w:sz w:val="20"/>
                <w:szCs w:val="20"/>
                <w:lang w:eastAsia="en-GB"/>
              </w:rPr>
              <w:t> </w:t>
            </w:r>
          </w:p>
        </w:tc>
        <w:tc>
          <w:tcPr>
            <w:tcW w:w="1000" w:type="dxa"/>
            <w:tcBorders>
              <w:top w:val="single" w:sz="4" w:space="0" w:color="auto"/>
              <w:left w:val="nil"/>
              <w:bottom w:val="single" w:sz="4" w:space="0" w:color="auto"/>
              <w:right w:val="nil"/>
            </w:tcBorders>
            <w:shd w:val="clear" w:color="auto" w:fill="auto"/>
            <w:noWrap/>
            <w:vAlign w:val="bottom"/>
            <w:hideMark/>
          </w:tcPr>
          <w:p w:rsidR="00E037B4" w:rsidRPr="00F619DC" w:rsidRDefault="00E037B4" w:rsidP="006A0590">
            <w:pPr>
              <w:spacing w:before="0" w:line="240" w:lineRule="auto"/>
              <w:jc w:val="right"/>
              <w:rPr>
                <w:rFonts w:eastAsia="Times New Roman"/>
                <w:b/>
                <w:bCs/>
                <w:i/>
                <w:color w:val="000000"/>
                <w:sz w:val="20"/>
                <w:szCs w:val="20"/>
                <w:lang w:eastAsia="en-GB"/>
              </w:rPr>
            </w:pPr>
            <w:r w:rsidRPr="00F619DC">
              <w:rPr>
                <w:rFonts w:eastAsia="Times New Roman"/>
                <w:b/>
                <w:bCs/>
                <w:i/>
                <w:color w:val="000000"/>
                <w:sz w:val="20"/>
                <w:szCs w:val="20"/>
                <w:lang w:eastAsia="en-GB"/>
              </w:rPr>
              <w:t>n</w:t>
            </w:r>
          </w:p>
        </w:tc>
        <w:tc>
          <w:tcPr>
            <w:tcW w:w="1452" w:type="dxa"/>
            <w:tcBorders>
              <w:top w:val="single" w:sz="4" w:space="0" w:color="auto"/>
              <w:left w:val="nil"/>
              <w:bottom w:val="single" w:sz="4" w:space="0" w:color="auto"/>
              <w:right w:val="nil"/>
            </w:tcBorders>
            <w:shd w:val="clear" w:color="auto" w:fill="auto"/>
            <w:noWrap/>
            <w:vAlign w:val="bottom"/>
            <w:hideMark/>
          </w:tcPr>
          <w:p w:rsidR="00E037B4" w:rsidRPr="00962BC1" w:rsidRDefault="00E037B4" w:rsidP="006A0590">
            <w:pPr>
              <w:spacing w:before="0" w:line="240" w:lineRule="auto"/>
              <w:jc w:val="right"/>
              <w:rPr>
                <w:rFonts w:eastAsia="Times New Roman"/>
                <w:b/>
                <w:bCs/>
                <w:color w:val="000000"/>
                <w:sz w:val="20"/>
                <w:szCs w:val="20"/>
                <w:lang w:eastAsia="en-GB"/>
              </w:rPr>
            </w:pPr>
            <w:r>
              <w:rPr>
                <w:rFonts w:eastAsia="Times New Roman"/>
                <w:b/>
                <w:bCs/>
                <w:color w:val="000000"/>
                <w:sz w:val="20"/>
                <w:szCs w:val="20"/>
                <w:lang w:eastAsia="en-GB"/>
              </w:rPr>
              <w:t>Mean SAH</w:t>
            </w:r>
          </w:p>
        </w:tc>
      </w:tr>
      <w:tr w:rsidR="00E037B4" w:rsidRPr="00962BC1" w:rsidTr="006A0590">
        <w:trPr>
          <w:trHeight w:val="255"/>
        </w:trPr>
        <w:tc>
          <w:tcPr>
            <w:tcW w:w="3218" w:type="dxa"/>
            <w:tcBorders>
              <w:top w:val="nil"/>
              <w:left w:val="nil"/>
              <w:bottom w:val="nil"/>
              <w:right w:val="nil"/>
            </w:tcBorders>
            <w:shd w:val="clear" w:color="auto" w:fill="auto"/>
            <w:noWrap/>
            <w:vAlign w:val="bottom"/>
            <w:hideMark/>
          </w:tcPr>
          <w:p w:rsidR="00E037B4" w:rsidRPr="00962BC1" w:rsidRDefault="00E037B4" w:rsidP="006A0590">
            <w:pPr>
              <w:spacing w:before="0" w:line="240" w:lineRule="auto"/>
              <w:rPr>
                <w:rFonts w:eastAsia="Times New Roman"/>
                <w:i/>
                <w:iCs/>
                <w:color w:val="000000"/>
                <w:sz w:val="20"/>
                <w:szCs w:val="20"/>
                <w:lang w:eastAsia="en-GB"/>
              </w:rPr>
            </w:pPr>
            <w:r w:rsidRPr="00962BC1">
              <w:rPr>
                <w:rFonts w:eastAsia="Times New Roman"/>
                <w:i/>
                <w:iCs/>
                <w:color w:val="000000"/>
                <w:sz w:val="20"/>
                <w:szCs w:val="20"/>
                <w:lang w:eastAsia="en-GB"/>
              </w:rPr>
              <w:t>LAPCD</w:t>
            </w:r>
          </w:p>
        </w:tc>
        <w:tc>
          <w:tcPr>
            <w:tcW w:w="1000" w:type="dxa"/>
            <w:tcBorders>
              <w:top w:val="nil"/>
              <w:left w:val="nil"/>
              <w:bottom w:val="nil"/>
              <w:right w:val="nil"/>
            </w:tcBorders>
            <w:shd w:val="clear" w:color="auto" w:fill="auto"/>
            <w:noWrap/>
            <w:vAlign w:val="bottom"/>
            <w:hideMark/>
          </w:tcPr>
          <w:p w:rsidR="00E037B4" w:rsidRPr="00962BC1" w:rsidRDefault="00E037B4" w:rsidP="006A0590">
            <w:pPr>
              <w:spacing w:before="0" w:line="240" w:lineRule="auto"/>
              <w:rPr>
                <w:rFonts w:eastAsia="Times New Roman"/>
                <w:i/>
                <w:iCs/>
                <w:color w:val="000000"/>
                <w:sz w:val="20"/>
                <w:szCs w:val="20"/>
                <w:lang w:eastAsia="en-GB"/>
              </w:rPr>
            </w:pPr>
          </w:p>
        </w:tc>
        <w:tc>
          <w:tcPr>
            <w:tcW w:w="1452" w:type="dxa"/>
            <w:tcBorders>
              <w:top w:val="nil"/>
              <w:left w:val="nil"/>
              <w:bottom w:val="nil"/>
              <w:right w:val="nil"/>
            </w:tcBorders>
            <w:shd w:val="clear" w:color="auto" w:fill="auto"/>
            <w:noWrap/>
            <w:vAlign w:val="bottom"/>
            <w:hideMark/>
          </w:tcPr>
          <w:p w:rsidR="00E037B4" w:rsidRPr="00962BC1" w:rsidRDefault="00E037B4" w:rsidP="006A0590">
            <w:pPr>
              <w:spacing w:before="0" w:line="240" w:lineRule="auto"/>
              <w:rPr>
                <w:rFonts w:ascii="Times New Roman" w:eastAsia="Times New Roman" w:hAnsi="Times New Roman" w:cs="Times New Roman"/>
                <w:sz w:val="20"/>
                <w:szCs w:val="20"/>
                <w:lang w:eastAsia="en-GB"/>
              </w:rPr>
            </w:pPr>
          </w:p>
        </w:tc>
      </w:tr>
      <w:tr w:rsidR="00E037B4" w:rsidRPr="00962BC1" w:rsidTr="006A0590">
        <w:trPr>
          <w:trHeight w:val="255"/>
        </w:trPr>
        <w:tc>
          <w:tcPr>
            <w:tcW w:w="3218" w:type="dxa"/>
            <w:tcBorders>
              <w:top w:val="nil"/>
              <w:left w:val="nil"/>
              <w:bottom w:val="nil"/>
              <w:right w:val="nil"/>
            </w:tcBorders>
            <w:shd w:val="clear" w:color="auto" w:fill="auto"/>
            <w:noWrap/>
            <w:vAlign w:val="bottom"/>
            <w:hideMark/>
          </w:tcPr>
          <w:p w:rsidR="00E037B4" w:rsidRPr="00962BC1" w:rsidRDefault="00E037B4" w:rsidP="006A0590">
            <w:pPr>
              <w:spacing w:before="0" w:line="240" w:lineRule="auto"/>
              <w:rPr>
                <w:rFonts w:eastAsia="Times New Roman"/>
                <w:color w:val="000000"/>
                <w:sz w:val="20"/>
                <w:szCs w:val="20"/>
                <w:lang w:eastAsia="en-GB"/>
              </w:rPr>
            </w:pPr>
            <w:r w:rsidRPr="00962BC1">
              <w:rPr>
                <w:rFonts w:eastAsia="Times New Roman"/>
                <w:color w:val="000000"/>
                <w:sz w:val="20"/>
                <w:szCs w:val="20"/>
                <w:lang w:eastAsia="en-GB"/>
              </w:rPr>
              <w:t>Stage I/II</w:t>
            </w:r>
          </w:p>
        </w:tc>
        <w:tc>
          <w:tcPr>
            <w:tcW w:w="1000" w:type="dxa"/>
            <w:tcBorders>
              <w:top w:val="nil"/>
              <w:left w:val="nil"/>
              <w:bottom w:val="nil"/>
              <w:right w:val="nil"/>
            </w:tcBorders>
            <w:shd w:val="clear" w:color="auto" w:fill="auto"/>
            <w:noWrap/>
            <w:vAlign w:val="bottom"/>
            <w:hideMark/>
          </w:tcPr>
          <w:p w:rsidR="00E037B4" w:rsidRPr="00962BC1" w:rsidRDefault="00E037B4" w:rsidP="006A0590">
            <w:pPr>
              <w:spacing w:before="0" w:line="240" w:lineRule="auto"/>
              <w:jc w:val="right"/>
              <w:rPr>
                <w:rFonts w:eastAsia="Times New Roman"/>
                <w:color w:val="000000"/>
                <w:sz w:val="20"/>
                <w:szCs w:val="20"/>
                <w:lang w:eastAsia="en-GB"/>
              </w:rPr>
            </w:pPr>
            <w:r w:rsidRPr="00962BC1">
              <w:rPr>
                <w:rFonts w:eastAsia="Times New Roman"/>
                <w:color w:val="000000"/>
                <w:sz w:val="20"/>
                <w:szCs w:val="20"/>
                <w:lang w:eastAsia="en-GB"/>
              </w:rPr>
              <w:t>18,055</w:t>
            </w:r>
          </w:p>
        </w:tc>
        <w:tc>
          <w:tcPr>
            <w:tcW w:w="1452" w:type="dxa"/>
            <w:tcBorders>
              <w:top w:val="nil"/>
              <w:left w:val="nil"/>
              <w:bottom w:val="nil"/>
              <w:right w:val="nil"/>
            </w:tcBorders>
            <w:shd w:val="clear" w:color="auto" w:fill="auto"/>
            <w:noWrap/>
            <w:vAlign w:val="bottom"/>
            <w:hideMark/>
          </w:tcPr>
          <w:p w:rsidR="00E037B4" w:rsidRPr="00962BC1" w:rsidRDefault="00E037B4" w:rsidP="006A0590">
            <w:pPr>
              <w:spacing w:before="0" w:line="240" w:lineRule="auto"/>
              <w:jc w:val="right"/>
              <w:rPr>
                <w:rFonts w:eastAsia="Times New Roman"/>
                <w:color w:val="000000"/>
                <w:sz w:val="20"/>
                <w:szCs w:val="20"/>
                <w:lang w:eastAsia="en-GB"/>
              </w:rPr>
            </w:pPr>
            <w:r w:rsidRPr="00962BC1">
              <w:rPr>
                <w:rFonts w:eastAsia="Times New Roman"/>
                <w:color w:val="000000"/>
                <w:sz w:val="20"/>
                <w:szCs w:val="20"/>
                <w:lang w:eastAsia="en-GB"/>
              </w:rPr>
              <w:t>77.8</w:t>
            </w:r>
          </w:p>
        </w:tc>
      </w:tr>
      <w:tr w:rsidR="00E037B4" w:rsidRPr="00962BC1" w:rsidTr="006A0590">
        <w:trPr>
          <w:trHeight w:val="255"/>
        </w:trPr>
        <w:tc>
          <w:tcPr>
            <w:tcW w:w="3218" w:type="dxa"/>
            <w:tcBorders>
              <w:top w:val="nil"/>
              <w:left w:val="nil"/>
              <w:bottom w:val="nil"/>
              <w:right w:val="nil"/>
            </w:tcBorders>
            <w:shd w:val="clear" w:color="auto" w:fill="auto"/>
            <w:noWrap/>
            <w:vAlign w:val="bottom"/>
            <w:hideMark/>
          </w:tcPr>
          <w:p w:rsidR="00E037B4" w:rsidRPr="00962BC1" w:rsidRDefault="00E037B4" w:rsidP="006A0590">
            <w:pPr>
              <w:spacing w:before="0" w:line="240" w:lineRule="auto"/>
              <w:rPr>
                <w:rFonts w:eastAsia="Times New Roman"/>
                <w:color w:val="000000"/>
                <w:sz w:val="20"/>
                <w:szCs w:val="20"/>
                <w:lang w:eastAsia="en-GB"/>
              </w:rPr>
            </w:pPr>
            <w:r w:rsidRPr="00962BC1">
              <w:rPr>
                <w:rFonts w:eastAsia="Times New Roman"/>
                <w:color w:val="000000"/>
                <w:sz w:val="20"/>
                <w:szCs w:val="20"/>
                <w:lang w:eastAsia="en-GB"/>
              </w:rPr>
              <w:t>Stage III</w:t>
            </w:r>
          </w:p>
        </w:tc>
        <w:tc>
          <w:tcPr>
            <w:tcW w:w="1000" w:type="dxa"/>
            <w:tcBorders>
              <w:top w:val="nil"/>
              <w:left w:val="nil"/>
              <w:bottom w:val="nil"/>
              <w:right w:val="nil"/>
            </w:tcBorders>
            <w:shd w:val="clear" w:color="auto" w:fill="auto"/>
            <w:noWrap/>
            <w:vAlign w:val="bottom"/>
            <w:hideMark/>
          </w:tcPr>
          <w:p w:rsidR="00E037B4" w:rsidRPr="00962BC1" w:rsidRDefault="00E037B4" w:rsidP="006A0590">
            <w:pPr>
              <w:spacing w:before="0" w:line="240" w:lineRule="auto"/>
              <w:jc w:val="right"/>
              <w:rPr>
                <w:rFonts w:eastAsia="Times New Roman"/>
                <w:color w:val="000000"/>
                <w:sz w:val="20"/>
                <w:szCs w:val="20"/>
                <w:lang w:eastAsia="en-GB"/>
              </w:rPr>
            </w:pPr>
            <w:r w:rsidRPr="00962BC1">
              <w:rPr>
                <w:rFonts w:eastAsia="Times New Roman"/>
                <w:color w:val="000000"/>
                <w:sz w:val="20"/>
                <w:szCs w:val="20"/>
                <w:lang w:eastAsia="en-GB"/>
              </w:rPr>
              <w:t>6,792</w:t>
            </w:r>
          </w:p>
        </w:tc>
        <w:tc>
          <w:tcPr>
            <w:tcW w:w="1452" w:type="dxa"/>
            <w:tcBorders>
              <w:top w:val="nil"/>
              <w:left w:val="nil"/>
              <w:bottom w:val="nil"/>
              <w:right w:val="nil"/>
            </w:tcBorders>
            <w:shd w:val="clear" w:color="auto" w:fill="auto"/>
            <w:noWrap/>
            <w:vAlign w:val="bottom"/>
            <w:hideMark/>
          </w:tcPr>
          <w:p w:rsidR="00E037B4" w:rsidRPr="00962BC1" w:rsidRDefault="00E037B4" w:rsidP="006A0590">
            <w:pPr>
              <w:spacing w:before="0" w:line="240" w:lineRule="auto"/>
              <w:jc w:val="right"/>
              <w:rPr>
                <w:rFonts w:eastAsia="Times New Roman"/>
                <w:color w:val="000000"/>
                <w:sz w:val="20"/>
                <w:szCs w:val="20"/>
                <w:lang w:eastAsia="en-GB"/>
              </w:rPr>
            </w:pPr>
            <w:r w:rsidRPr="00962BC1">
              <w:rPr>
                <w:rFonts w:eastAsia="Times New Roman"/>
                <w:color w:val="000000"/>
                <w:sz w:val="20"/>
                <w:szCs w:val="20"/>
                <w:lang w:eastAsia="en-GB"/>
              </w:rPr>
              <w:t>76.6</w:t>
            </w:r>
          </w:p>
        </w:tc>
      </w:tr>
      <w:tr w:rsidR="00E037B4" w:rsidRPr="00962BC1" w:rsidTr="006A0590">
        <w:trPr>
          <w:trHeight w:val="255"/>
        </w:trPr>
        <w:tc>
          <w:tcPr>
            <w:tcW w:w="3218" w:type="dxa"/>
            <w:tcBorders>
              <w:top w:val="nil"/>
              <w:left w:val="nil"/>
              <w:bottom w:val="nil"/>
              <w:right w:val="nil"/>
            </w:tcBorders>
            <w:shd w:val="clear" w:color="auto" w:fill="auto"/>
            <w:noWrap/>
            <w:vAlign w:val="bottom"/>
            <w:hideMark/>
          </w:tcPr>
          <w:p w:rsidR="00E037B4" w:rsidRPr="00962BC1" w:rsidRDefault="00E037B4" w:rsidP="006A0590">
            <w:pPr>
              <w:spacing w:before="0" w:line="240" w:lineRule="auto"/>
              <w:rPr>
                <w:rFonts w:eastAsia="Times New Roman"/>
                <w:color w:val="000000"/>
                <w:sz w:val="20"/>
                <w:szCs w:val="20"/>
                <w:lang w:eastAsia="en-GB"/>
              </w:rPr>
            </w:pPr>
            <w:r w:rsidRPr="00962BC1">
              <w:rPr>
                <w:rFonts w:eastAsia="Times New Roman"/>
                <w:color w:val="000000"/>
                <w:sz w:val="20"/>
                <w:szCs w:val="20"/>
                <w:lang w:eastAsia="en-GB"/>
              </w:rPr>
              <w:t>Stage IV</w:t>
            </w:r>
          </w:p>
        </w:tc>
        <w:tc>
          <w:tcPr>
            <w:tcW w:w="1000" w:type="dxa"/>
            <w:tcBorders>
              <w:top w:val="nil"/>
              <w:left w:val="nil"/>
              <w:bottom w:val="nil"/>
              <w:right w:val="nil"/>
            </w:tcBorders>
            <w:shd w:val="clear" w:color="auto" w:fill="auto"/>
            <w:noWrap/>
            <w:vAlign w:val="bottom"/>
            <w:hideMark/>
          </w:tcPr>
          <w:p w:rsidR="00E037B4" w:rsidRPr="00962BC1" w:rsidRDefault="00E037B4" w:rsidP="006A0590">
            <w:pPr>
              <w:spacing w:before="0" w:line="240" w:lineRule="auto"/>
              <w:jc w:val="right"/>
              <w:rPr>
                <w:rFonts w:eastAsia="Times New Roman"/>
                <w:color w:val="000000"/>
                <w:sz w:val="20"/>
                <w:szCs w:val="20"/>
                <w:lang w:eastAsia="en-GB"/>
              </w:rPr>
            </w:pPr>
            <w:r w:rsidRPr="00962BC1">
              <w:rPr>
                <w:rFonts w:eastAsia="Times New Roman"/>
                <w:color w:val="000000"/>
                <w:sz w:val="20"/>
                <w:szCs w:val="20"/>
                <w:lang w:eastAsia="en-GB"/>
              </w:rPr>
              <w:t>3,759</w:t>
            </w:r>
          </w:p>
        </w:tc>
        <w:tc>
          <w:tcPr>
            <w:tcW w:w="1452" w:type="dxa"/>
            <w:tcBorders>
              <w:top w:val="nil"/>
              <w:left w:val="nil"/>
              <w:bottom w:val="nil"/>
              <w:right w:val="nil"/>
            </w:tcBorders>
            <w:shd w:val="clear" w:color="auto" w:fill="auto"/>
            <w:noWrap/>
            <w:vAlign w:val="bottom"/>
            <w:hideMark/>
          </w:tcPr>
          <w:p w:rsidR="00E037B4" w:rsidRPr="00962BC1" w:rsidRDefault="00E037B4" w:rsidP="006A0590">
            <w:pPr>
              <w:spacing w:before="0" w:line="240" w:lineRule="auto"/>
              <w:jc w:val="right"/>
              <w:rPr>
                <w:rFonts w:eastAsia="Times New Roman"/>
                <w:color w:val="000000"/>
                <w:sz w:val="20"/>
                <w:szCs w:val="20"/>
                <w:lang w:eastAsia="en-GB"/>
              </w:rPr>
            </w:pPr>
            <w:r w:rsidRPr="00962BC1">
              <w:rPr>
                <w:rFonts w:eastAsia="Times New Roman"/>
                <w:color w:val="000000"/>
                <w:sz w:val="20"/>
                <w:szCs w:val="20"/>
                <w:lang w:eastAsia="en-GB"/>
              </w:rPr>
              <w:t>71.7</w:t>
            </w:r>
          </w:p>
        </w:tc>
      </w:tr>
      <w:tr w:rsidR="00E037B4" w:rsidRPr="00962BC1" w:rsidTr="006A0590">
        <w:trPr>
          <w:trHeight w:val="255"/>
        </w:trPr>
        <w:tc>
          <w:tcPr>
            <w:tcW w:w="3218" w:type="dxa"/>
            <w:tcBorders>
              <w:top w:val="nil"/>
              <w:left w:val="nil"/>
              <w:bottom w:val="nil"/>
              <w:right w:val="nil"/>
            </w:tcBorders>
            <w:shd w:val="clear" w:color="auto" w:fill="auto"/>
            <w:noWrap/>
            <w:vAlign w:val="bottom"/>
            <w:hideMark/>
          </w:tcPr>
          <w:p w:rsidR="00E037B4" w:rsidRPr="00962BC1" w:rsidRDefault="00E037B4" w:rsidP="006A0590">
            <w:pPr>
              <w:spacing w:before="0" w:line="240" w:lineRule="auto"/>
              <w:rPr>
                <w:rFonts w:eastAsia="Times New Roman"/>
                <w:color w:val="000000"/>
                <w:sz w:val="20"/>
                <w:szCs w:val="20"/>
                <w:lang w:eastAsia="en-GB"/>
              </w:rPr>
            </w:pPr>
            <w:r w:rsidRPr="00962BC1">
              <w:rPr>
                <w:rFonts w:eastAsia="Times New Roman"/>
                <w:color w:val="000000"/>
                <w:sz w:val="20"/>
                <w:szCs w:val="20"/>
                <w:lang w:eastAsia="en-GB"/>
              </w:rPr>
              <w:t>Overall</w:t>
            </w:r>
          </w:p>
        </w:tc>
        <w:tc>
          <w:tcPr>
            <w:tcW w:w="1000" w:type="dxa"/>
            <w:tcBorders>
              <w:top w:val="nil"/>
              <w:left w:val="nil"/>
              <w:bottom w:val="nil"/>
              <w:right w:val="nil"/>
            </w:tcBorders>
            <w:shd w:val="clear" w:color="auto" w:fill="auto"/>
            <w:noWrap/>
            <w:vAlign w:val="bottom"/>
            <w:hideMark/>
          </w:tcPr>
          <w:p w:rsidR="00E037B4" w:rsidRPr="00962BC1" w:rsidRDefault="00E037B4" w:rsidP="006A0590">
            <w:pPr>
              <w:spacing w:before="0" w:line="240" w:lineRule="auto"/>
              <w:jc w:val="right"/>
              <w:rPr>
                <w:rFonts w:eastAsia="Times New Roman"/>
                <w:color w:val="000000"/>
                <w:sz w:val="20"/>
                <w:szCs w:val="20"/>
                <w:lang w:eastAsia="en-GB"/>
              </w:rPr>
            </w:pPr>
            <w:r>
              <w:rPr>
                <w:rFonts w:eastAsia="Times New Roman"/>
                <w:color w:val="000000"/>
                <w:sz w:val="20"/>
                <w:szCs w:val="20"/>
                <w:lang w:eastAsia="en-GB"/>
              </w:rPr>
              <w:t>33,370</w:t>
            </w:r>
          </w:p>
        </w:tc>
        <w:tc>
          <w:tcPr>
            <w:tcW w:w="1452" w:type="dxa"/>
            <w:tcBorders>
              <w:top w:val="nil"/>
              <w:left w:val="nil"/>
              <w:bottom w:val="nil"/>
              <w:right w:val="nil"/>
            </w:tcBorders>
            <w:shd w:val="clear" w:color="auto" w:fill="auto"/>
            <w:noWrap/>
            <w:vAlign w:val="bottom"/>
            <w:hideMark/>
          </w:tcPr>
          <w:p w:rsidR="00E037B4" w:rsidRPr="00962BC1" w:rsidRDefault="00E037B4" w:rsidP="006A0590">
            <w:pPr>
              <w:spacing w:before="0" w:line="240" w:lineRule="auto"/>
              <w:jc w:val="right"/>
              <w:rPr>
                <w:rFonts w:eastAsia="Times New Roman"/>
                <w:color w:val="000000"/>
                <w:sz w:val="20"/>
                <w:szCs w:val="20"/>
                <w:lang w:eastAsia="en-GB"/>
              </w:rPr>
            </w:pPr>
            <w:r w:rsidRPr="00962BC1">
              <w:rPr>
                <w:rFonts w:eastAsia="Times New Roman"/>
                <w:color w:val="000000"/>
                <w:sz w:val="20"/>
                <w:szCs w:val="20"/>
                <w:lang w:eastAsia="en-GB"/>
              </w:rPr>
              <w:t>76.5</w:t>
            </w:r>
          </w:p>
        </w:tc>
      </w:tr>
      <w:tr w:rsidR="00E037B4" w:rsidRPr="00962BC1" w:rsidTr="006A0590">
        <w:trPr>
          <w:trHeight w:val="255"/>
        </w:trPr>
        <w:tc>
          <w:tcPr>
            <w:tcW w:w="3218" w:type="dxa"/>
            <w:tcBorders>
              <w:top w:val="nil"/>
              <w:left w:val="nil"/>
              <w:bottom w:val="nil"/>
              <w:right w:val="nil"/>
            </w:tcBorders>
            <w:shd w:val="clear" w:color="auto" w:fill="auto"/>
            <w:noWrap/>
            <w:vAlign w:val="bottom"/>
            <w:hideMark/>
          </w:tcPr>
          <w:p w:rsidR="00E037B4" w:rsidRPr="00962BC1" w:rsidRDefault="00E037B4" w:rsidP="006A0590">
            <w:pPr>
              <w:spacing w:before="0" w:line="240" w:lineRule="auto"/>
              <w:jc w:val="right"/>
              <w:rPr>
                <w:rFonts w:eastAsia="Times New Roman"/>
                <w:color w:val="000000"/>
                <w:sz w:val="20"/>
                <w:szCs w:val="20"/>
                <w:lang w:eastAsia="en-GB"/>
              </w:rPr>
            </w:pPr>
          </w:p>
        </w:tc>
        <w:tc>
          <w:tcPr>
            <w:tcW w:w="1000" w:type="dxa"/>
            <w:tcBorders>
              <w:top w:val="nil"/>
              <w:left w:val="nil"/>
              <w:bottom w:val="nil"/>
              <w:right w:val="nil"/>
            </w:tcBorders>
            <w:shd w:val="clear" w:color="auto" w:fill="auto"/>
            <w:noWrap/>
            <w:vAlign w:val="bottom"/>
            <w:hideMark/>
          </w:tcPr>
          <w:p w:rsidR="00E037B4" w:rsidRPr="00962BC1" w:rsidRDefault="00E037B4" w:rsidP="006A0590">
            <w:pPr>
              <w:spacing w:before="0" w:line="240" w:lineRule="auto"/>
              <w:rPr>
                <w:rFonts w:ascii="Times New Roman" w:eastAsia="Times New Roman" w:hAnsi="Times New Roman" w:cs="Times New Roman"/>
                <w:sz w:val="20"/>
                <w:szCs w:val="20"/>
                <w:lang w:eastAsia="en-GB"/>
              </w:rPr>
            </w:pPr>
          </w:p>
        </w:tc>
        <w:tc>
          <w:tcPr>
            <w:tcW w:w="1452" w:type="dxa"/>
            <w:tcBorders>
              <w:top w:val="nil"/>
              <w:left w:val="nil"/>
              <w:bottom w:val="nil"/>
              <w:right w:val="nil"/>
            </w:tcBorders>
            <w:shd w:val="clear" w:color="auto" w:fill="auto"/>
            <w:noWrap/>
            <w:vAlign w:val="bottom"/>
            <w:hideMark/>
          </w:tcPr>
          <w:p w:rsidR="00E037B4" w:rsidRPr="00962BC1" w:rsidRDefault="00E037B4" w:rsidP="006A0590">
            <w:pPr>
              <w:spacing w:before="0" w:line="240" w:lineRule="auto"/>
              <w:rPr>
                <w:rFonts w:ascii="Times New Roman" w:eastAsia="Times New Roman" w:hAnsi="Times New Roman" w:cs="Times New Roman"/>
                <w:sz w:val="20"/>
                <w:szCs w:val="20"/>
                <w:lang w:eastAsia="en-GB"/>
              </w:rPr>
            </w:pPr>
          </w:p>
        </w:tc>
      </w:tr>
      <w:tr w:rsidR="00E037B4" w:rsidRPr="00962BC1" w:rsidTr="006A0590">
        <w:trPr>
          <w:trHeight w:val="255"/>
        </w:trPr>
        <w:tc>
          <w:tcPr>
            <w:tcW w:w="3218" w:type="dxa"/>
            <w:tcBorders>
              <w:top w:val="nil"/>
              <w:left w:val="nil"/>
              <w:bottom w:val="nil"/>
              <w:right w:val="nil"/>
            </w:tcBorders>
            <w:shd w:val="clear" w:color="auto" w:fill="auto"/>
            <w:noWrap/>
            <w:vAlign w:val="bottom"/>
            <w:hideMark/>
          </w:tcPr>
          <w:p w:rsidR="00E037B4" w:rsidRPr="00962BC1" w:rsidRDefault="00E037B4" w:rsidP="006A0590">
            <w:pPr>
              <w:spacing w:before="0" w:line="240" w:lineRule="auto"/>
              <w:rPr>
                <w:rFonts w:eastAsia="Times New Roman"/>
                <w:i/>
                <w:iCs/>
                <w:color w:val="000000"/>
                <w:sz w:val="20"/>
                <w:szCs w:val="20"/>
                <w:lang w:eastAsia="en-GB"/>
              </w:rPr>
            </w:pPr>
            <w:r w:rsidRPr="00962BC1">
              <w:rPr>
                <w:rFonts w:eastAsia="Times New Roman"/>
                <w:i/>
                <w:iCs/>
                <w:color w:val="000000"/>
                <w:sz w:val="20"/>
                <w:szCs w:val="20"/>
                <w:lang w:eastAsia="en-GB"/>
              </w:rPr>
              <w:t>General population</w:t>
            </w:r>
          </w:p>
        </w:tc>
        <w:tc>
          <w:tcPr>
            <w:tcW w:w="1000" w:type="dxa"/>
            <w:tcBorders>
              <w:top w:val="nil"/>
              <w:left w:val="nil"/>
              <w:bottom w:val="nil"/>
              <w:right w:val="nil"/>
            </w:tcBorders>
            <w:shd w:val="clear" w:color="auto" w:fill="auto"/>
            <w:noWrap/>
            <w:vAlign w:val="bottom"/>
            <w:hideMark/>
          </w:tcPr>
          <w:p w:rsidR="00E037B4" w:rsidRPr="00962BC1" w:rsidRDefault="00E037B4" w:rsidP="006A0590">
            <w:pPr>
              <w:spacing w:before="0" w:line="240" w:lineRule="auto"/>
              <w:rPr>
                <w:rFonts w:eastAsia="Times New Roman"/>
                <w:i/>
                <w:iCs/>
                <w:color w:val="000000"/>
                <w:sz w:val="20"/>
                <w:szCs w:val="20"/>
                <w:lang w:eastAsia="en-GB"/>
              </w:rPr>
            </w:pPr>
          </w:p>
        </w:tc>
        <w:tc>
          <w:tcPr>
            <w:tcW w:w="1452" w:type="dxa"/>
            <w:tcBorders>
              <w:top w:val="nil"/>
              <w:left w:val="nil"/>
              <w:bottom w:val="nil"/>
              <w:right w:val="nil"/>
            </w:tcBorders>
            <w:shd w:val="clear" w:color="auto" w:fill="auto"/>
            <w:noWrap/>
            <w:vAlign w:val="bottom"/>
            <w:hideMark/>
          </w:tcPr>
          <w:p w:rsidR="00E037B4" w:rsidRPr="00962BC1" w:rsidRDefault="00E037B4" w:rsidP="006A0590">
            <w:pPr>
              <w:spacing w:before="0" w:line="240" w:lineRule="auto"/>
              <w:rPr>
                <w:rFonts w:ascii="Times New Roman" w:eastAsia="Times New Roman" w:hAnsi="Times New Roman" w:cs="Times New Roman"/>
                <w:sz w:val="20"/>
                <w:szCs w:val="20"/>
                <w:lang w:eastAsia="en-GB"/>
              </w:rPr>
            </w:pPr>
          </w:p>
        </w:tc>
      </w:tr>
      <w:tr w:rsidR="00E037B4" w:rsidRPr="00962BC1" w:rsidTr="006A0590">
        <w:trPr>
          <w:trHeight w:val="255"/>
        </w:trPr>
        <w:tc>
          <w:tcPr>
            <w:tcW w:w="3218" w:type="dxa"/>
            <w:tcBorders>
              <w:top w:val="nil"/>
              <w:left w:val="nil"/>
              <w:bottom w:val="nil"/>
              <w:right w:val="nil"/>
            </w:tcBorders>
            <w:shd w:val="clear" w:color="auto" w:fill="auto"/>
            <w:noWrap/>
            <w:vAlign w:val="bottom"/>
            <w:hideMark/>
          </w:tcPr>
          <w:p w:rsidR="00E037B4" w:rsidRPr="00962BC1" w:rsidRDefault="00E037B4" w:rsidP="006A0590">
            <w:pPr>
              <w:spacing w:before="0" w:line="240" w:lineRule="auto"/>
              <w:rPr>
                <w:rFonts w:eastAsia="Times New Roman"/>
                <w:color w:val="000000"/>
                <w:sz w:val="20"/>
                <w:szCs w:val="20"/>
                <w:lang w:eastAsia="en-GB"/>
              </w:rPr>
            </w:pPr>
            <w:r w:rsidRPr="00962BC1">
              <w:rPr>
                <w:rFonts w:eastAsia="Times New Roman"/>
                <w:color w:val="000000"/>
                <w:sz w:val="20"/>
                <w:szCs w:val="20"/>
                <w:lang w:eastAsia="en-GB"/>
              </w:rPr>
              <w:t>Northern Ireland</w:t>
            </w:r>
            <w:r>
              <w:rPr>
                <w:rFonts w:eastAsia="Times New Roman"/>
                <w:color w:val="000000"/>
                <w:sz w:val="20"/>
                <w:szCs w:val="20"/>
                <w:lang w:eastAsia="en-GB"/>
              </w:rPr>
              <w:t>, 2016</w:t>
            </w:r>
            <w:r w:rsidRPr="00962BC1">
              <w:rPr>
                <w:rFonts w:eastAsia="Times New Roman"/>
                <w:color w:val="000000"/>
                <w:sz w:val="20"/>
                <w:szCs w:val="20"/>
                <w:vertAlign w:val="superscript"/>
                <w:lang w:eastAsia="en-GB"/>
              </w:rPr>
              <w:t>1</w:t>
            </w:r>
          </w:p>
        </w:tc>
        <w:tc>
          <w:tcPr>
            <w:tcW w:w="1000" w:type="dxa"/>
            <w:tcBorders>
              <w:top w:val="nil"/>
              <w:left w:val="nil"/>
              <w:bottom w:val="nil"/>
              <w:right w:val="nil"/>
            </w:tcBorders>
            <w:shd w:val="clear" w:color="auto" w:fill="auto"/>
            <w:noWrap/>
            <w:vAlign w:val="bottom"/>
            <w:hideMark/>
          </w:tcPr>
          <w:p w:rsidR="00E037B4" w:rsidRPr="00962BC1" w:rsidRDefault="00E037B4" w:rsidP="006A0590">
            <w:pPr>
              <w:spacing w:before="0" w:line="240" w:lineRule="auto"/>
              <w:jc w:val="right"/>
              <w:rPr>
                <w:rFonts w:eastAsia="Times New Roman"/>
                <w:color w:val="000000"/>
                <w:sz w:val="20"/>
                <w:szCs w:val="20"/>
                <w:lang w:eastAsia="en-GB"/>
              </w:rPr>
            </w:pPr>
            <w:r w:rsidRPr="00962BC1">
              <w:rPr>
                <w:rFonts w:eastAsia="Times New Roman"/>
                <w:color w:val="000000"/>
                <w:sz w:val="20"/>
                <w:szCs w:val="20"/>
                <w:lang w:eastAsia="en-GB"/>
              </w:rPr>
              <w:t>2,597</w:t>
            </w:r>
          </w:p>
        </w:tc>
        <w:tc>
          <w:tcPr>
            <w:tcW w:w="1452" w:type="dxa"/>
            <w:tcBorders>
              <w:top w:val="nil"/>
              <w:left w:val="nil"/>
              <w:bottom w:val="nil"/>
              <w:right w:val="nil"/>
            </w:tcBorders>
            <w:shd w:val="clear" w:color="auto" w:fill="auto"/>
            <w:noWrap/>
            <w:vAlign w:val="bottom"/>
            <w:hideMark/>
          </w:tcPr>
          <w:p w:rsidR="00E037B4" w:rsidRPr="00962BC1" w:rsidRDefault="00E037B4" w:rsidP="006A0590">
            <w:pPr>
              <w:spacing w:before="0" w:line="240" w:lineRule="auto"/>
              <w:jc w:val="right"/>
              <w:rPr>
                <w:rFonts w:eastAsia="Times New Roman"/>
                <w:color w:val="000000"/>
                <w:sz w:val="20"/>
                <w:szCs w:val="20"/>
                <w:lang w:eastAsia="en-GB"/>
              </w:rPr>
            </w:pPr>
            <w:r w:rsidRPr="00962BC1">
              <w:rPr>
                <w:rFonts w:eastAsia="Times New Roman"/>
                <w:color w:val="000000"/>
                <w:sz w:val="20"/>
                <w:szCs w:val="20"/>
                <w:lang w:eastAsia="en-GB"/>
              </w:rPr>
              <w:t>77.2</w:t>
            </w:r>
          </w:p>
        </w:tc>
      </w:tr>
      <w:tr w:rsidR="00E037B4" w:rsidRPr="00962BC1" w:rsidTr="006A0590">
        <w:trPr>
          <w:trHeight w:val="255"/>
        </w:trPr>
        <w:tc>
          <w:tcPr>
            <w:tcW w:w="3218" w:type="dxa"/>
            <w:tcBorders>
              <w:top w:val="nil"/>
              <w:left w:val="nil"/>
              <w:bottom w:val="single" w:sz="4" w:space="0" w:color="auto"/>
              <w:right w:val="nil"/>
            </w:tcBorders>
            <w:shd w:val="clear" w:color="auto" w:fill="auto"/>
            <w:noWrap/>
            <w:vAlign w:val="bottom"/>
            <w:hideMark/>
          </w:tcPr>
          <w:p w:rsidR="00E037B4" w:rsidRPr="00962BC1" w:rsidRDefault="00E037B4" w:rsidP="006A0590">
            <w:pPr>
              <w:spacing w:before="0" w:line="240" w:lineRule="auto"/>
              <w:rPr>
                <w:rFonts w:eastAsia="Times New Roman"/>
                <w:color w:val="000000"/>
                <w:sz w:val="20"/>
                <w:szCs w:val="20"/>
                <w:lang w:eastAsia="en-GB"/>
              </w:rPr>
            </w:pPr>
            <w:r w:rsidRPr="00962BC1">
              <w:rPr>
                <w:rFonts w:eastAsia="Times New Roman"/>
                <w:color w:val="000000"/>
                <w:sz w:val="20"/>
                <w:szCs w:val="20"/>
                <w:lang w:eastAsia="en-GB"/>
              </w:rPr>
              <w:t>Health Survey for England</w:t>
            </w:r>
            <w:r>
              <w:rPr>
                <w:rFonts w:eastAsia="Times New Roman"/>
                <w:color w:val="000000"/>
                <w:sz w:val="20"/>
                <w:szCs w:val="20"/>
                <w:lang w:eastAsia="en-GB"/>
              </w:rPr>
              <w:t>, 2012</w:t>
            </w:r>
            <w:r w:rsidRPr="00962BC1">
              <w:rPr>
                <w:rFonts w:eastAsia="Times New Roman"/>
                <w:color w:val="000000"/>
                <w:sz w:val="20"/>
                <w:szCs w:val="20"/>
                <w:vertAlign w:val="superscript"/>
                <w:lang w:eastAsia="en-GB"/>
              </w:rPr>
              <w:t>2</w:t>
            </w:r>
          </w:p>
        </w:tc>
        <w:tc>
          <w:tcPr>
            <w:tcW w:w="1000" w:type="dxa"/>
            <w:tcBorders>
              <w:top w:val="nil"/>
              <w:left w:val="nil"/>
              <w:bottom w:val="single" w:sz="4" w:space="0" w:color="auto"/>
              <w:right w:val="nil"/>
            </w:tcBorders>
            <w:shd w:val="clear" w:color="auto" w:fill="auto"/>
            <w:noWrap/>
            <w:vAlign w:val="bottom"/>
            <w:hideMark/>
          </w:tcPr>
          <w:p w:rsidR="00E037B4" w:rsidRPr="00962BC1" w:rsidRDefault="00E037B4" w:rsidP="006A0590">
            <w:pPr>
              <w:spacing w:before="0" w:line="240" w:lineRule="auto"/>
              <w:jc w:val="right"/>
              <w:rPr>
                <w:rFonts w:eastAsia="Times New Roman"/>
                <w:color w:val="000000"/>
                <w:sz w:val="20"/>
                <w:szCs w:val="20"/>
                <w:lang w:eastAsia="en-GB"/>
              </w:rPr>
            </w:pPr>
            <w:r w:rsidRPr="00962BC1">
              <w:rPr>
                <w:rFonts w:eastAsia="Times New Roman"/>
                <w:color w:val="000000"/>
                <w:sz w:val="20"/>
                <w:szCs w:val="20"/>
                <w:lang w:eastAsia="en-GB"/>
              </w:rPr>
              <w:t>1,016</w:t>
            </w:r>
          </w:p>
        </w:tc>
        <w:tc>
          <w:tcPr>
            <w:tcW w:w="1452" w:type="dxa"/>
            <w:tcBorders>
              <w:top w:val="nil"/>
              <w:left w:val="nil"/>
              <w:bottom w:val="single" w:sz="4" w:space="0" w:color="auto"/>
              <w:right w:val="nil"/>
            </w:tcBorders>
            <w:shd w:val="clear" w:color="auto" w:fill="auto"/>
            <w:noWrap/>
            <w:vAlign w:val="bottom"/>
            <w:hideMark/>
          </w:tcPr>
          <w:p w:rsidR="00E037B4" w:rsidRPr="00962BC1" w:rsidRDefault="00E037B4" w:rsidP="006A0590">
            <w:pPr>
              <w:spacing w:before="0" w:line="240" w:lineRule="auto"/>
              <w:jc w:val="right"/>
              <w:rPr>
                <w:rFonts w:eastAsia="Times New Roman"/>
                <w:color w:val="000000"/>
                <w:sz w:val="20"/>
                <w:szCs w:val="20"/>
                <w:lang w:eastAsia="en-GB"/>
              </w:rPr>
            </w:pPr>
            <w:r w:rsidRPr="00962BC1">
              <w:rPr>
                <w:rFonts w:eastAsia="Times New Roman"/>
                <w:color w:val="000000"/>
                <w:sz w:val="20"/>
                <w:szCs w:val="20"/>
                <w:lang w:eastAsia="en-GB"/>
              </w:rPr>
              <w:t>74.2</w:t>
            </w:r>
          </w:p>
        </w:tc>
      </w:tr>
    </w:tbl>
    <w:p w:rsidR="00E037B4" w:rsidRPr="007E5D44" w:rsidRDefault="00E037B4" w:rsidP="006A0590">
      <w:pPr>
        <w:spacing w:after="120"/>
        <w:rPr>
          <w:sz w:val="18"/>
        </w:rPr>
      </w:pPr>
      <w:r w:rsidRPr="007E5D44">
        <w:rPr>
          <w:sz w:val="18"/>
        </w:rPr>
        <w:t>SAH: Self-assessed health</w:t>
      </w:r>
    </w:p>
    <w:p w:rsidR="00E037B4" w:rsidRPr="00016194" w:rsidRDefault="00E037B4" w:rsidP="006A0590">
      <w:pPr>
        <w:spacing w:before="0" w:after="120" w:line="240" w:lineRule="auto"/>
        <w:rPr>
          <w:sz w:val="16"/>
        </w:rPr>
      </w:pPr>
      <w:r w:rsidRPr="00E865D7">
        <w:rPr>
          <w:sz w:val="18"/>
          <w:vertAlign w:val="superscript"/>
        </w:rPr>
        <w:t>1</w:t>
      </w:r>
      <w:r w:rsidRPr="00E865D7">
        <w:rPr>
          <w:sz w:val="18"/>
        </w:rPr>
        <w:t>Northern Ireland General population survey</w:t>
      </w:r>
      <w:r>
        <w:rPr>
          <w:sz w:val="18"/>
        </w:rPr>
        <w:t xml:space="preserve"> (Donnelly et al. </w:t>
      </w:r>
      <w:r w:rsidRPr="00016194">
        <w:rPr>
          <w:noProof/>
          <w:sz w:val="18"/>
        </w:rPr>
        <w:t xml:space="preserve">Urinary, bowel and sexual health in older men from Northern Ireland. </w:t>
      </w:r>
      <w:r w:rsidRPr="00016194">
        <w:rPr>
          <w:i/>
          <w:noProof/>
          <w:sz w:val="18"/>
        </w:rPr>
        <w:t>BJU Int</w:t>
      </w:r>
      <w:r>
        <w:rPr>
          <w:noProof/>
          <w:sz w:val="18"/>
        </w:rPr>
        <w:t xml:space="preserve"> 2018. </w:t>
      </w:r>
      <w:r w:rsidRPr="00016194">
        <w:rPr>
          <w:color w:val="000000"/>
          <w:sz w:val="18"/>
          <w:szCs w:val="17"/>
          <w:shd w:val="clear" w:color="auto" w:fill="FFFFFF"/>
        </w:rPr>
        <w:t>doi: 10.1111/bju.14182</w:t>
      </w:r>
      <w:r>
        <w:rPr>
          <w:color w:val="000000"/>
          <w:sz w:val="18"/>
          <w:szCs w:val="17"/>
          <w:shd w:val="clear" w:color="auto" w:fill="FFFFFF"/>
        </w:rPr>
        <w:t>).</w:t>
      </w:r>
    </w:p>
    <w:p w:rsidR="006A0590" w:rsidRDefault="00E037B4" w:rsidP="00E037B4">
      <w:pPr>
        <w:spacing w:before="0" w:after="120" w:line="240" w:lineRule="auto"/>
      </w:pPr>
      <w:r w:rsidRPr="00E865D7">
        <w:rPr>
          <w:sz w:val="18"/>
          <w:vertAlign w:val="superscript"/>
        </w:rPr>
        <w:t>2</w:t>
      </w:r>
      <w:r w:rsidRPr="00E865D7">
        <w:rPr>
          <w:sz w:val="18"/>
        </w:rPr>
        <w:t>Health Survey for England</w:t>
      </w:r>
      <w:r>
        <w:rPr>
          <w:sz w:val="18"/>
        </w:rPr>
        <w:t xml:space="preserve"> 2012</w:t>
      </w:r>
      <w:r w:rsidRPr="00E865D7">
        <w:rPr>
          <w:sz w:val="18"/>
        </w:rPr>
        <w:t xml:space="preserve"> </w:t>
      </w:r>
      <w:r>
        <w:rPr>
          <w:sz w:val="18"/>
        </w:rPr>
        <w:t xml:space="preserve">(NHS Digital. Available from </w:t>
      </w:r>
      <w:hyperlink r:id="rId11" w:history="1">
        <w:r w:rsidRPr="00016194">
          <w:rPr>
            <w:rStyle w:val="Hyperlink"/>
            <w:noProof/>
            <w:sz w:val="18"/>
          </w:rPr>
          <w:t>https://digital.nhs.uk/data-and-information/publications/statistical/health-survey-for-england/health-survey-for-england-2012</w:t>
        </w:r>
      </w:hyperlink>
      <w:r>
        <w:rPr>
          <w:noProof/>
          <w:sz w:val="18"/>
        </w:rPr>
        <w:t>).</w:t>
      </w:r>
    </w:p>
    <w:sectPr w:rsidR="006A0590" w:rsidSect="00E037B4">
      <w:pgSz w:w="11906" w:h="16838"/>
      <w:pgMar w:top="1440" w:right="1440" w:bottom="1440" w:left="1440"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5A4" w:rsidRDefault="00DF75A4">
      <w:pPr>
        <w:spacing w:before="0" w:line="240" w:lineRule="auto"/>
      </w:pPr>
      <w:r>
        <w:separator/>
      </w:r>
    </w:p>
  </w:endnote>
  <w:endnote w:type="continuationSeparator" w:id="0">
    <w:p w:rsidR="00DF75A4" w:rsidRDefault="00DF75A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549329"/>
      <w:docPartObj>
        <w:docPartGallery w:val="Page Numbers (Bottom of Page)"/>
        <w:docPartUnique/>
      </w:docPartObj>
    </w:sdtPr>
    <w:sdtEndPr>
      <w:rPr>
        <w:noProof/>
        <w:sz w:val="22"/>
        <w:szCs w:val="22"/>
      </w:rPr>
    </w:sdtEndPr>
    <w:sdtContent>
      <w:p w:rsidR="00DF75A4" w:rsidRPr="000A48B2" w:rsidRDefault="00DF75A4">
        <w:pPr>
          <w:pStyle w:val="Footer"/>
          <w:jc w:val="right"/>
          <w:rPr>
            <w:sz w:val="22"/>
            <w:szCs w:val="22"/>
          </w:rPr>
        </w:pPr>
        <w:r>
          <w:fldChar w:fldCharType="begin"/>
        </w:r>
        <w:r>
          <w:instrText xml:space="preserve"> PAGE   \* MERGEFORMAT </w:instrText>
        </w:r>
        <w:r>
          <w:fldChar w:fldCharType="separate"/>
        </w:r>
        <w:r w:rsidR="00AD66D9" w:rsidRPr="00AD66D9">
          <w:rPr>
            <w:noProof/>
            <w:sz w:val="20"/>
            <w:szCs w:val="22"/>
          </w:rPr>
          <w:t>1</w:t>
        </w:r>
        <w:r>
          <w:rPr>
            <w:noProof/>
            <w:sz w:val="20"/>
            <w:szCs w:val="22"/>
          </w:rPr>
          <w:fldChar w:fldCharType="end"/>
        </w:r>
      </w:p>
    </w:sdtContent>
  </w:sdt>
  <w:p w:rsidR="00DF75A4" w:rsidRDefault="00DF7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5A4" w:rsidRDefault="00DF75A4">
      <w:pPr>
        <w:spacing w:before="0" w:line="240" w:lineRule="auto"/>
      </w:pPr>
      <w:r>
        <w:separator/>
      </w:r>
    </w:p>
  </w:footnote>
  <w:footnote w:type="continuationSeparator" w:id="0">
    <w:p w:rsidR="00DF75A4" w:rsidRDefault="00DF75A4">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D81CE5"/>
    <w:multiLevelType w:val="hybridMultilevel"/>
    <w:tmpl w:val="1700C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9B3BF9"/>
    <w:multiLevelType w:val="multilevel"/>
    <w:tmpl w:val="11A8C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037B4"/>
    <w:rsid w:val="00100143"/>
    <w:rsid w:val="001F4FA8"/>
    <w:rsid w:val="005E234B"/>
    <w:rsid w:val="00615636"/>
    <w:rsid w:val="0064707A"/>
    <w:rsid w:val="006A0590"/>
    <w:rsid w:val="007A3C0B"/>
    <w:rsid w:val="007F65C7"/>
    <w:rsid w:val="008C2E5E"/>
    <w:rsid w:val="00AD66D9"/>
    <w:rsid w:val="00DF75A4"/>
    <w:rsid w:val="00E037B4"/>
    <w:rsid w:val="00E753C5"/>
    <w:rsid w:val="00FE0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0D9A5-76E0-479E-B06C-98BC8DE3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7B4"/>
    <w:pPr>
      <w:spacing w:before="120" w:after="0" w:line="276" w:lineRule="auto"/>
    </w:pPr>
    <w:rPr>
      <w:rFonts w:ascii="Arial" w:hAnsi="Arial" w:cs="Arial"/>
      <w:sz w:val="24"/>
      <w:szCs w:val="24"/>
    </w:rPr>
  </w:style>
  <w:style w:type="paragraph" w:styleId="Heading1">
    <w:name w:val="heading 1"/>
    <w:basedOn w:val="Normal"/>
    <w:next w:val="Normal"/>
    <w:link w:val="Heading1Char"/>
    <w:autoRedefine/>
    <w:uiPriority w:val="9"/>
    <w:qFormat/>
    <w:rsid w:val="00E037B4"/>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037B4"/>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037B4"/>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037B4"/>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E037B4"/>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E037B4"/>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E037B4"/>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E037B4"/>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E037B4"/>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7B4"/>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037B4"/>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037B4"/>
    <w:rPr>
      <w:rFonts w:ascii="Arial" w:eastAsiaTheme="majorEastAsia" w:hAnsi="Arial" w:cs="Arial"/>
      <w:b/>
      <w:bCs/>
      <w:sz w:val="24"/>
      <w:szCs w:val="24"/>
    </w:rPr>
  </w:style>
  <w:style w:type="character" w:customStyle="1" w:styleId="Heading4Char">
    <w:name w:val="Heading 4 Char"/>
    <w:basedOn w:val="DefaultParagraphFont"/>
    <w:link w:val="Heading4"/>
    <w:uiPriority w:val="9"/>
    <w:rsid w:val="00E037B4"/>
    <w:rPr>
      <w:rFonts w:ascii="Arial" w:eastAsiaTheme="majorEastAsia" w:hAnsi="Arial" w:cs="Arial"/>
      <w:b/>
      <w:bCs/>
      <w:iCs/>
      <w:sz w:val="24"/>
      <w:szCs w:val="24"/>
    </w:rPr>
  </w:style>
  <w:style w:type="character" w:customStyle="1" w:styleId="Heading5Char">
    <w:name w:val="Heading 5 Char"/>
    <w:basedOn w:val="DefaultParagraphFont"/>
    <w:link w:val="Heading5"/>
    <w:uiPriority w:val="9"/>
    <w:rsid w:val="00E037B4"/>
    <w:rPr>
      <w:rFonts w:ascii="Arial" w:eastAsiaTheme="majorEastAsia" w:hAnsi="Arial" w:cs="Arial"/>
      <w:b/>
      <w:sz w:val="24"/>
      <w:szCs w:val="24"/>
    </w:rPr>
  </w:style>
  <w:style w:type="character" w:customStyle="1" w:styleId="Heading6Char">
    <w:name w:val="Heading 6 Char"/>
    <w:basedOn w:val="DefaultParagraphFont"/>
    <w:link w:val="Heading6"/>
    <w:uiPriority w:val="9"/>
    <w:rsid w:val="00E037B4"/>
    <w:rPr>
      <w:rFonts w:ascii="Arial" w:eastAsiaTheme="majorEastAsia" w:hAnsi="Arial" w:cs="Arial"/>
      <w:b/>
      <w:iCs/>
      <w:sz w:val="24"/>
      <w:szCs w:val="24"/>
    </w:rPr>
  </w:style>
  <w:style w:type="character" w:customStyle="1" w:styleId="Heading7Char">
    <w:name w:val="Heading 7 Char"/>
    <w:basedOn w:val="DefaultParagraphFont"/>
    <w:link w:val="Heading7"/>
    <w:uiPriority w:val="9"/>
    <w:rsid w:val="00E037B4"/>
    <w:rPr>
      <w:rFonts w:ascii="Arial" w:eastAsiaTheme="majorEastAsia" w:hAnsi="Arial" w:cstheme="majorBidi"/>
      <w:b/>
      <w:i/>
      <w:iCs/>
      <w:sz w:val="24"/>
      <w:szCs w:val="24"/>
    </w:rPr>
  </w:style>
  <w:style w:type="character" w:customStyle="1" w:styleId="Heading8Char">
    <w:name w:val="Heading 8 Char"/>
    <w:basedOn w:val="DefaultParagraphFont"/>
    <w:link w:val="Heading8"/>
    <w:uiPriority w:val="9"/>
    <w:rsid w:val="00E037B4"/>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E037B4"/>
    <w:rPr>
      <w:rFonts w:ascii="Arial" w:eastAsiaTheme="majorEastAsia" w:hAnsi="Arial" w:cstheme="majorBidi"/>
      <w:i/>
      <w:iCs/>
      <w:sz w:val="24"/>
      <w:szCs w:val="20"/>
    </w:rPr>
  </w:style>
  <w:style w:type="paragraph" w:customStyle="1" w:styleId="Subheading">
    <w:name w:val="Subheading"/>
    <w:basedOn w:val="Normal"/>
    <w:next w:val="Normal"/>
    <w:link w:val="SubheadingChar"/>
    <w:rsid w:val="00E037B4"/>
    <w:pPr>
      <w:keepNext/>
    </w:pPr>
    <w:rPr>
      <w:b/>
    </w:rPr>
  </w:style>
  <w:style w:type="character" w:customStyle="1" w:styleId="SubheadingChar">
    <w:name w:val="Subheading Char"/>
    <w:basedOn w:val="DefaultParagraphFont"/>
    <w:link w:val="Subheading"/>
    <w:rsid w:val="00E037B4"/>
    <w:rPr>
      <w:rFonts w:ascii="Arial" w:hAnsi="Arial" w:cs="Arial"/>
      <w:b/>
      <w:sz w:val="24"/>
      <w:szCs w:val="24"/>
    </w:rPr>
  </w:style>
  <w:style w:type="paragraph" w:styleId="Caption">
    <w:name w:val="caption"/>
    <w:basedOn w:val="Normal"/>
    <w:next w:val="Normal"/>
    <w:uiPriority w:val="35"/>
    <w:unhideWhenUsed/>
    <w:qFormat/>
    <w:rsid w:val="00E037B4"/>
    <w:pPr>
      <w:spacing w:line="240" w:lineRule="auto"/>
    </w:pPr>
    <w:rPr>
      <w:b/>
      <w:bCs/>
      <w:szCs w:val="18"/>
    </w:rPr>
  </w:style>
  <w:style w:type="paragraph" w:styleId="Title">
    <w:name w:val="Title"/>
    <w:basedOn w:val="Normal"/>
    <w:next w:val="Normal"/>
    <w:link w:val="TitleChar"/>
    <w:autoRedefine/>
    <w:uiPriority w:val="10"/>
    <w:qFormat/>
    <w:rsid w:val="00E037B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E037B4"/>
    <w:rPr>
      <w:rFonts w:ascii="Arial" w:eastAsiaTheme="majorEastAsia" w:hAnsi="Arial" w:cs="Arial"/>
      <w:b/>
      <w:spacing w:val="5"/>
      <w:sz w:val="36"/>
      <w:szCs w:val="52"/>
    </w:rPr>
  </w:style>
  <w:style w:type="paragraph" w:styleId="Subtitle">
    <w:name w:val="Subtitle"/>
    <w:basedOn w:val="Normal"/>
    <w:next w:val="Normal"/>
    <w:link w:val="SubtitleChar"/>
    <w:autoRedefine/>
    <w:uiPriority w:val="11"/>
    <w:qFormat/>
    <w:rsid w:val="00E037B4"/>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037B4"/>
    <w:rPr>
      <w:rFonts w:ascii="Arial" w:eastAsiaTheme="majorEastAsia" w:hAnsi="Arial" w:cs="Arial"/>
      <w:iCs/>
      <w:spacing w:val="15"/>
      <w:sz w:val="28"/>
      <w:szCs w:val="24"/>
    </w:rPr>
  </w:style>
  <w:style w:type="paragraph" w:styleId="Quote">
    <w:name w:val="Quote"/>
    <w:basedOn w:val="Normal"/>
    <w:next w:val="Normal"/>
    <w:link w:val="QuoteChar1"/>
    <w:uiPriority w:val="29"/>
    <w:qFormat/>
    <w:rsid w:val="00E037B4"/>
    <w:pPr>
      <w:ind w:left="794" w:right="794"/>
    </w:pPr>
    <w:rPr>
      <w:i/>
      <w:iCs/>
    </w:rPr>
  </w:style>
  <w:style w:type="character" w:customStyle="1" w:styleId="QuoteChar">
    <w:name w:val="Quote Char"/>
    <w:basedOn w:val="DefaultParagraphFont"/>
    <w:uiPriority w:val="29"/>
    <w:rsid w:val="00E037B4"/>
    <w:rPr>
      <w:rFonts w:ascii="Arial" w:hAnsi="Arial" w:cs="Arial"/>
      <w:i/>
      <w:iCs/>
      <w:color w:val="000000" w:themeColor="text1"/>
      <w:sz w:val="28"/>
    </w:rPr>
  </w:style>
  <w:style w:type="character" w:customStyle="1" w:styleId="QuoteChar1">
    <w:name w:val="Quote Char1"/>
    <w:basedOn w:val="DefaultParagraphFont"/>
    <w:link w:val="Quote"/>
    <w:uiPriority w:val="29"/>
    <w:rsid w:val="00E037B4"/>
    <w:rPr>
      <w:rFonts w:ascii="Arial" w:hAnsi="Arial" w:cs="Arial"/>
      <w:i/>
      <w:iCs/>
      <w:sz w:val="24"/>
      <w:szCs w:val="24"/>
    </w:rPr>
  </w:style>
  <w:style w:type="paragraph" w:styleId="ListBullet">
    <w:name w:val="List Bullet"/>
    <w:basedOn w:val="Normal"/>
    <w:uiPriority w:val="99"/>
    <w:semiHidden/>
    <w:unhideWhenUsed/>
    <w:rsid w:val="00E037B4"/>
    <w:pPr>
      <w:numPr>
        <w:numId w:val="1"/>
      </w:numPr>
      <w:contextualSpacing/>
    </w:pPr>
  </w:style>
  <w:style w:type="paragraph" w:styleId="ListNumber">
    <w:name w:val="List Number"/>
    <w:basedOn w:val="Normal"/>
    <w:uiPriority w:val="99"/>
    <w:semiHidden/>
    <w:unhideWhenUsed/>
    <w:rsid w:val="00E037B4"/>
    <w:pPr>
      <w:numPr>
        <w:numId w:val="2"/>
      </w:numPr>
      <w:contextualSpacing/>
    </w:pPr>
  </w:style>
  <w:style w:type="paragraph" w:styleId="TableofFigures">
    <w:name w:val="table of figures"/>
    <w:basedOn w:val="Normal"/>
    <w:next w:val="Normal"/>
    <w:uiPriority w:val="99"/>
    <w:semiHidden/>
    <w:unhideWhenUsed/>
    <w:rsid w:val="00E037B4"/>
  </w:style>
  <w:style w:type="character" w:styleId="IntenseEmphasis">
    <w:name w:val="Intense Emphasis"/>
    <w:basedOn w:val="DefaultParagraphFont"/>
    <w:uiPriority w:val="21"/>
    <w:qFormat/>
    <w:rsid w:val="00E037B4"/>
    <w:rPr>
      <w:b/>
      <w:bCs/>
      <w:i/>
      <w:iCs/>
      <w:color w:val="auto"/>
    </w:rPr>
  </w:style>
  <w:style w:type="paragraph" w:styleId="IntenseQuote">
    <w:name w:val="Intense Quote"/>
    <w:basedOn w:val="Normal"/>
    <w:next w:val="Normal"/>
    <w:link w:val="IntenseQuoteChar"/>
    <w:uiPriority w:val="30"/>
    <w:qFormat/>
    <w:rsid w:val="00E037B4"/>
    <w:pPr>
      <w:pBdr>
        <w:bottom w:val="single" w:sz="4" w:space="4" w:color="5B9BD5"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037B4"/>
    <w:rPr>
      <w:rFonts w:ascii="Arial" w:hAnsi="Arial" w:cs="Arial"/>
      <w:b/>
      <w:bCs/>
      <w:i/>
      <w:iCs/>
      <w:sz w:val="24"/>
      <w:szCs w:val="24"/>
    </w:rPr>
  </w:style>
  <w:style w:type="character" w:styleId="SubtleReference">
    <w:name w:val="Subtle Reference"/>
    <w:basedOn w:val="DefaultParagraphFont"/>
    <w:uiPriority w:val="31"/>
    <w:qFormat/>
    <w:rsid w:val="00E037B4"/>
    <w:rPr>
      <w:smallCaps/>
      <w:color w:val="auto"/>
      <w:u w:val="single"/>
    </w:rPr>
  </w:style>
  <w:style w:type="character" w:styleId="IntenseReference">
    <w:name w:val="Intense Reference"/>
    <w:basedOn w:val="DefaultParagraphFont"/>
    <w:uiPriority w:val="32"/>
    <w:qFormat/>
    <w:rsid w:val="00E037B4"/>
    <w:rPr>
      <w:b/>
      <w:bCs/>
      <w:smallCaps/>
      <w:color w:val="auto"/>
      <w:spacing w:val="5"/>
      <w:u w:val="single"/>
    </w:rPr>
  </w:style>
  <w:style w:type="paragraph" w:styleId="TOCHeading">
    <w:name w:val="TOC Heading"/>
    <w:basedOn w:val="Heading1"/>
    <w:next w:val="Normal"/>
    <w:uiPriority w:val="39"/>
    <w:semiHidden/>
    <w:unhideWhenUsed/>
    <w:qFormat/>
    <w:rsid w:val="00E037B4"/>
    <w:pPr>
      <w:spacing w:before="480"/>
      <w:outlineLvl w:val="9"/>
    </w:pPr>
    <w:rPr>
      <w:rFonts w:cstheme="majorBidi"/>
      <w:sz w:val="28"/>
    </w:rPr>
  </w:style>
  <w:style w:type="paragraph" w:styleId="BlockText">
    <w:name w:val="Block Text"/>
    <w:basedOn w:val="Normal"/>
    <w:uiPriority w:val="99"/>
    <w:semiHidden/>
    <w:unhideWhenUsed/>
    <w:rsid w:val="00E037B4"/>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E037B4"/>
    <w:rPr>
      <w:color w:val="auto"/>
    </w:rPr>
  </w:style>
  <w:style w:type="paragraph" w:styleId="TOAHeading">
    <w:name w:val="toa heading"/>
    <w:basedOn w:val="Normal"/>
    <w:next w:val="Normal"/>
    <w:uiPriority w:val="99"/>
    <w:semiHidden/>
    <w:unhideWhenUsed/>
    <w:rsid w:val="00E037B4"/>
    <w:rPr>
      <w:rFonts w:eastAsiaTheme="majorEastAsia" w:cstheme="majorBidi"/>
      <w:b/>
      <w:bCs/>
      <w:sz w:val="28"/>
    </w:rPr>
  </w:style>
  <w:style w:type="paragraph" w:styleId="PlainText">
    <w:name w:val="Plain Text"/>
    <w:basedOn w:val="Normal"/>
    <w:link w:val="PlainTextChar"/>
    <w:uiPriority w:val="99"/>
    <w:semiHidden/>
    <w:unhideWhenUsed/>
    <w:rsid w:val="00E037B4"/>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E037B4"/>
    <w:rPr>
      <w:rFonts w:ascii="Consolas" w:hAnsi="Consolas" w:cs="Arial"/>
      <w:sz w:val="24"/>
      <w:szCs w:val="21"/>
    </w:rPr>
  </w:style>
  <w:style w:type="paragraph" w:styleId="BodyText3">
    <w:name w:val="Body Text 3"/>
    <w:basedOn w:val="Normal"/>
    <w:link w:val="BodyText3Char"/>
    <w:uiPriority w:val="99"/>
    <w:semiHidden/>
    <w:unhideWhenUsed/>
    <w:rsid w:val="00E037B4"/>
    <w:pPr>
      <w:spacing w:after="120"/>
    </w:pPr>
    <w:rPr>
      <w:sz w:val="20"/>
      <w:szCs w:val="16"/>
    </w:rPr>
  </w:style>
  <w:style w:type="character" w:customStyle="1" w:styleId="BodyText3Char">
    <w:name w:val="Body Text 3 Char"/>
    <w:basedOn w:val="DefaultParagraphFont"/>
    <w:link w:val="BodyText3"/>
    <w:uiPriority w:val="99"/>
    <w:semiHidden/>
    <w:rsid w:val="00E037B4"/>
    <w:rPr>
      <w:rFonts w:ascii="Arial" w:hAnsi="Arial" w:cs="Arial"/>
      <w:sz w:val="20"/>
      <w:szCs w:val="16"/>
    </w:rPr>
  </w:style>
  <w:style w:type="paragraph" w:styleId="BodyText">
    <w:name w:val="Body Text"/>
    <w:basedOn w:val="Normal"/>
    <w:link w:val="BodyTextChar"/>
    <w:uiPriority w:val="99"/>
    <w:semiHidden/>
    <w:unhideWhenUsed/>
    <w:rsid w:val="00E037B4"/>
    <w:pPr>
      <w:spacing w:after="120"/>
    </w:pPr>
  </w:style>
  <w:style w:type="character" w:customStyle="1" w:styleId="BodyTextChar">
    <w:name w:val="Body Text Char"/>
    <w:basedOn w:val="DefaultParagraphFont"/>
    <w:link w:val="BodyText"/>
    <w:uiPriority w:val="99"/>
    <w:semiHidden/>
    <w:rsid w:val="00E037B4"/>
    <w:rPr>
      <w:rFonts w:ascii="Arial" w:hAnsi="Arial" w:cs="Arial"/>
      <w:sz w:val="24"/>
      <w:szCs w:val="24"/>
    </w:rPr>
  </w:style>
  <w:style w:type="paragraph" w:styleId="BodyTextFirstIndent">
    <w:name w:val="Body Text First Indent"/>
    <w:basedOn w:val="BodyText"/>
    <w:link w:val="BodyTextFirstIndentChar"/>
    <w:uiPriority w:val="99"/>
    <w:unhideWhenUsed/>
    <w:rsid w:val="00E037B4"/>
    <w:pPr>
      <w:spacing w:after="320"/>
      <w:ind w:firstLine="360"/>
    </w:pPr>
  </w:style>
  <w:style w:type="character" w:customStyle="1" w:styleId="BodyTextFirstIndentChar">
    <w:name w:val="Body Text First Indent Char"/>
    <w:basedOn w:val="BodyTextChar"/>
    <w:link w:val="BodyTextFirstIndent"/>
    <w:uiPriority w:val="99"/>
    <w:rsid w:val="00E037B4"/>
    <w:rPr>
      <w:rFonts w:ascii="Arial" w:hAnsi="Arial" w:cs="Arial"/>
      <w:sz w:val="24"/>
      <w:szCs w:val="24"/>
    </w:rPr>
  </w:style>
  <w:style w:type="paragraph" w:styleId="BodyTextIndent3">
    <w:name w:val="Body Text Indent 3"/>
    <w:basedOn w:val="Normal"/>
    <w:link w:val="BodyTextIndent3Char"/>
    <w:uiPriority w:val="99"/>
    <w:unhideWhenUsed/>
    <w:rsid w:val="00E037B4"/>
    <w:pPr>
      <w:spacing w:after="120"/>
      <w:ind w:left="283"/>
    </w:pPr>
    <w:rPr>
      <w:sz w:val="20"/>
      <w:szCs w:val="16"/>
    </w:rPr>
  </w:style>
  <w:style w:type="character" w:customStyle="1" w:styleId="BodyTextIndent3Char">
    <w:name w:val="Body Text Indent 3 Char"/>
    <w:basedOn w:val="DefaultParagraphFont"/>
    <w:link w:val="BodyTextIndent3"/>
    <w:uiPriority w:val="99"/>
    <w:rsid w:val="00E037B4"/>
    <w:rPr>
      <w:rFonts w:ascii="Arial" w:hAnsi="Arial" w:cs="Arial"/>
      <w:sz w:val="20"/>
      <w:szCs w:val="16"/>
    </w:rPr>
  </w:style>
  <w:style w:type="paragraph" w:styleId="DocumentMap">
    <w:name w:val="Document Map"/>
    <w:basedOn w:val="Normal"/>
    <w:link w:val="DocumentMapChar"/>
    <w:uiPriority w:val="99"/>
    <w:semiHidden/>
    <w:unhideWhenUsed/>
    <w:rsid w:val="00E037B4"/>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E037B4"/>
    <w:rPr>
      <w:rFonts w:ascii="Arial" w:hAnsi="Arial" w:cs="Tahoma"/>
      <w:sz w:val="24"/>
      <w:szCs w:val="16"/>
    </w:rPr>
  </w:style>
  <w:style w:type="paragraph" w:styleId="EndnoteText">
    <w:name w:val="endnote text"/>
    <w:basedOn w:val="Normal"/>
    <w:link w:val="EndnoteTextChar"/>
    <w:uiPriority w:val="99"/>
    <w:unhideWhenUsed/>
    <w:rsid w:val="00E037B4"/>
    <w:pPr>
      <w:spacing w:before="0" w:line="240" w:lineRule="auto"/>
    </w:pPr>
    <w:rPr>
      <w:szCs w:val="20"/>
    </w:rPr>
  </w:style>
  <w:style w:type="character" w:customStyle="1" w:styleId="EndnoteTextChar">
    <w:name w:val="Endnote Text Char"/>
    <w:basedOn w:val="DefaultParagraphFont"/>
    <w:link w:val="EndnoteText"/>
    <w:uiPriority w:val="99"/>
    <w:rsid w:val="00E037B4"/>
    <w:rPr>
      <w:rFonts w:ascii="Arial" w:hAnsi="Arial" w:cs="Arial"/>
      <w:sz w:val="24"/>
      <w:szCs w:val="20"/>
    </w:rPr>
  </w:style>
  <w:style w:type="character" w:styleId="Emphasis">
    <w:name w:val="Emphasis"/>
    <w:basedOn w:val="DefaultParagraphFont"/>
    <w:uiPriority w:val="20"/>
    <w:qFormat/>
    <w:rsid w:val="00E037B4"/>
    <w:rPr>
      <w:i/>
      <w:iCs/>
    </w:rPr>
  </w:style>
  <w:style w:type="paragraph" w:styleId="EnvelopeReturn">
    <w:name w:val="envelope return"/>
    <w:basedOn w:val="Normal"/>
    <w:uiPriority w:val="99"/>
    <w:semiHidden/>
    <w:unhideWhenUsed/>
    <w:rsid w:val="00E037B4"/>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E037B4"/>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E037B4"/>
    <w:rPr>
      <w:rFonts w:ascii="Arial" w:eastAsiaTheme="majorEastAsia" w:hAnsi="Arial" w:cstheme="majorBidi"/>
      <w:sz w:val="24"/>
      <w:szCs w:val="24"/>
      <w:shd w:val="pct20" w:color="auto" w:fill="auto"/>
    </w:rPr>
  </w:style>
  <w:style w:type="paragraph" w:styleId="NoSpacing">
    <w:name w:val="No Spacing"/>
    <w:uiPriority w:val="1"/>
    <w:qFormat/>
    <w:rsid w:val="00E037B4"/>
    <w:pPr>
      <w:spacing w:after="0" w:line="240" w:lineRule="auto"/>
    </w:pPr>
    <w:rPr>
      <w:rFonts w:ascii="Arial" w:hAnsi="Arial" w:cs="Arial"/>
      <w:sz w:val="24"/>
      <w:szCs w:val="24"/>
    </w:rPr>
  </w:style>
  <w:style w:type="paragraph" w:styleId="NormalWeb">
    <w:name w:val="Normal (Web)"/>
    <w:basedOn w:val="Normal"/>
    <w:uiPriority w:val="99"/>
    <w:semiHidden/>
    <w:unhideWhenUsed/>
    <w:rsid w:val="00E037B4"/>
    <w:rPr>
      <w:rFonts w:cs="Times New Roman"/>
    </w:rPr>
  </w:style>
  <w:style w:type="paragraph" w:styleId="Index1">
    <w:name w:val="index 1"/>
    <w:basedOn w:val="Normal"/>
    <w:next w:val="Normal"/>
    <w:autoRedefine/>
    <w:uiPriority w:val="99"/>
    <w:semiHidden/>
    <w:unhideWhenUsed/>
    <w:rsid w:val="00E037B4"/>
    <w:pPr>
      <w:spacing w:before="0" w:line="240" w:lineRule="auto"/>
      <w:ind w:left="240" w:hanging="240"/>
    </w:pPr>
  </w:style>
  <w:style w:type="paragraph" w:styleId="IndexHeading">
    <w:name w:val="index heading"/>
    <w:basedOn w:val="Normal"/>
    <w:next w:val="Index1"/>
    <w:uiPriority w:val="99"/>
    <w:semiHidden/>
    <w:unhideWhenUsed/>
    <w:rsid w:val="00E037B4"/>
    <w:rPr>
      <w:rFonts w:eastAsiaTheme="majorEastAsia" w:cstheme="majorBidi"/>
      <w:b/>
      <w:bCs/>
    </w:rPr>
  </w:style>
  <w:style w:type="character" w:styleId="CommentReference">
    <w:name w:val="annotation reference"/>
    <w:basedOn w:val="DefaultParagraphFont"/>
    <w:uiPriority w:val="99"/>
    <w:semiHidden/>
    <w:unhideWhenUsed/>
    <w:rsid w:val="00E037B4"/>
    <w:rPr>
      <w:sz w:val="16"/>
      <w:szCs w:val="16"/>
    </w:rPr>
  </w:style>
  <w:style w:type="paragraph" w:styleId="CommentText">
    <w:name w:val="annotation text"/>
    <w:basedOn w:val="Normal"/>
    <w:link w:val="CommentTextChar"/>
    <w:uiPriority w:val="99"/>
    <w:unhideWhenUsed/>
    <w:rsid w:val="00E037B4"/>
    <w:pPr>
      <w:spacing w:line="240" w:lineRule="auto"/>
    </w:pPr>
    <w:rPr>
      <w:sz w:val="20"/>
      <w:szCs w:val="20"/>
    </w:rPr>
  </w:style>
  <w:style w:type="character" w:customStyle="1" w:styleId="CommentTextChar">
    <w:name w:val="Comment Text Char"/>
    <w:basedOn w:val="DefaultParagraphFont"/>
    <w:link w:val="CommentText"/>
    <w:uiPriority w:val="99"/>
    <w:rsid w:val="00E037B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037B4"/>
    <w:rPr>
      <w:b/>
      <w:bCs/>
    </w:rPr>
  </w:style>
  <w:style w:type="character" w:customStyle="1" w:styleId="CommentSubjectChar">
    <w:name w:val="Comment Subject Char"/>
    <w:basedOn w:val="CommentTextChar"/>
    <w:link w:val="CommentSubject"/>
    <w:uiPriority w:val="99"/>
    <w:semiHidden/>
    <w:rsid w:val="00E037B4"/>
    <w:rPr>
      <w:rFonts w:ascii="Arial" w:hAnsi="Arial" w:cs="Arial"/>
      <w:b/>
      <w:bCs/>
      <w:sz w:val="20"/>
      <w:szCs w:val="20"/>
    </w:rPr>
  </w:style>
  <w:style w:type="paragraph" w:styleId="BalloonText">
    <w:name w:val="Balloon Text"/>
    <w:basedOn w:val="Normal"/>
    <w:link w:val="BalloonTextChar"/>
    <w:uiPriority w:val="99"/>
    <w:semiHidden/>
    <w:unhideWhenUsed/>
    <w:rsid w:val="00E037B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7B4"/>
    <w:rPr>
      <w:rFonts w:ascii="Segoe UI" w:hAnsi="Segoe UI" w:cs="Segoe UI"/>
      <w:sz w:val="18"/>
      <w:szCs w:val="18"/>
    </w:rPr>
  </w:style>
  <w:style w:type="paragraph" w:customStyle="1" w:styleId="EndNoteBibliographyTitle">
    <w:name w:val="EndNote Bibliography Title"/>
    <w:basedOn w:val="Normal"/>
    <w:link w:val="EndNoteBibliographyTitleChar"/>
    <w:rsid w:val="00E037B4"/>
    <w:pPr>
      <w:jc w:val="center"/>
    </w:pPr>
    <w:rPr>
      <w:noProof/>
      <w:lang w:val="en-US"/>
    </w:rPr>
  </w:style>
  <w:style w:type="character" w:customStyle="1" w:styleId="EndNoteBibliographyTitleChar">
    <w:name w:val="EndNote Bibliography Title Char"/>
    <w:basedOn w:val="DefaultParagraphFont"/>
    <w:link w:val="EndNoteBibliographyTitle"/>
    <w:rsid w:val="00E037B4"/>
    <w:rPr>
      <w:rFonts w:ascii="Arial" w:hAnsi="Arial" w:cs="Arial"/>
      <w:noProof/>
      <w:sz w:val="24"/>
      <w:szCs w:val="24"/>
      <w:lang w:val="en-US"/>
    </w:rPr>
  </w:style>
  <w:style w:type="paragraph" w:customStyle="1" w:styleId="EndNoteBibliography">
    <w:name w:val="EndNote Bibliography"/>
    <w:basedOn w:val="Normal"/>
    <w:link w:val="EndNoteBibliographyChar"/>
    <w:rsid w:val="00E037B4"/>
    <w:pPr>
      <w:spacing w:line="240" w:lineRule="auto"/>
      <w:jc w:val="center"/>
    </w:pPr>
    <w:rPr>
      <w:noProof/>
      <w:lang w:val="en-US"/>
    </w:rPr>
  </w:style>
  <w:style w:type="character" w:customStyle="1" w:styleId="EndNoteBibliographyChar">
    <w:name w:val="EndNote Bibliography Char"/>
    <w:basedOn w:val="DefaultParagraphFont"/>
    <w:link w:val="EndNoteBibliography"/>
    <w:rsid w:val="00E037B4"/>
    <w:rPr>
      <w:rFonts w:ascii="Arial" w:hAnsi="Arial" w:cs="Arial"/>
      <w:noProof/>
      <w:sz w:val="24"/>
      <w:szCs w:val="24"/>
      <w:lang w:val="en-US"/>
    </w:rPr>
  </w:style>
  <w:style w:type="character" w:styleId="Hyperlink">
    <w:name w:val="Hyperlink"/>
    <w:basedOn w:val="DefaultParagraphFont"/>
    <w:uiPriority w:val="99"/>
    <w:unhideWhenUsed/>
    <w:rsid w:val="00E037B4"/>
    <w:rPr>
      <w:color w:val="0563C1" w:themeColor="hyperlink"/>
      <w:u w:val="single"/>
    </w:rPr>
  </w:style>
  <w:style w:type="character" w:styleId="FollowedHyperlink">
    <w:name w:val="FollowedHyperlink"/>
    <w:basedOn w:val="DefaultParagraphFont"/>
    <w:uiPriority w:val="99"/>
    <w:semiHidden/>
    <w:unhideWhenUsed/>
    <w:rsid w:val="00E037B4"/>
    <w:rPr>
      <w:color w:val="954F72" w:themeColor="followedHyperlink"/>
      <w:u w:val="single"/>
    </w:rPr>
  </w:style>
  <w:style w:type="paragraph" w:styleId="Header">
    <w:name w:val="header"/>
    <w:basedOn w:val="Normal"/>
    <w:link w:val="HeaderChar"/>
    <w:uiPriority w:val="99"/>
    <w:unhideWhenUsed/>
    <w:rsid w:val="00E037B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037B4"/>
    <w:rPr>
      <w:rFonts w:ascii="Arial" w:hAnsi="Arial" w:cs="Arial"/>
      <w:sz w:val="24"/>
      <w:szCs w:val="24"/>
    </w:rPr>
  </w:style>
  <w:style w:type="paragraph" w:styleId="Footer">
    <w:name w:val="footer"/>
    <w:basedOn w:val="Normal"/>
    <w:link w:val="FooterChar"/>
    <w:uiPriority w:val="99"/>
    <w:unhideWhenUsed/>
    <w:rsid w:val="00E037B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037B4"/>
    <w:rPr>
      <w:rFonts w:ascii="Arial" w:hAnsi="Arial" w:cs="Arial"/>
      <w:sz w:val="24"/>
      <w:szCs w:val="24"/>
    </w:rPr>
  </w:style>
  <w:style w:type="character" w:styleId="Strong">
    <w:name w:val="Strong"/>
    <w:basedOn w:val="DefaultParagraphFont"/>
    <w:uiPriority w:val="22"/>
    <w:qFormat/>
    <w:rsid w:val="00E037B4"/>
    <w:rPr>
      <w:b/>
      <w:bCs/>
    </w:rPr>
  </w:style>
  <w:style w:type="paragraph" w:styleId="Revision">
    <w:name w:val="Revision"/>
    <w:hidden/>
    <w:uiPriority w:val="99"/>
    <w:semiHidden/>
    <w:rsid w:val="00E037B4"/>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jopen.bmj.com/content/6/12/e0135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owning@leeds.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data-and-information/publications/statistical/health-survey-for-england/health-survey-for-england-2012"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sdscotland.org/Products-and-Services/GPD-Support/Deprivation/SI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8085</Words>
  <Characters>46087</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Downing</dc:creator>
  <cp:keywords/>
  <dc:description/>
  <cp:lastModifiedBy>HAMILTON Elsbeth</cp:lastModifiedBy>
  <cp:revision>2</cp:revision>
  <dcterms:created xsi:type="dcterms:W3CDTF">2019-02-07T11:38:00Z</dcterms:created>
  <dcterms:modified xsi:type="dcterms:W3CDTF">2019-02-07T11:38:00Z</dcterms:modified>
</cp:coreProperties>
</file>