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7874" w14:textId="7CEDC1F5" w:rsidR="00B52909" w:rsidRPr="00F54F89" w:rsidRDefault="003D1CFC" w:rsidP="00B52909">
      <w:pPr>
        <w:pStyle w:val="BATitle"/>
        <w:spacing w:before="0" w:line="360" w:lineRule="auto"/>
        <w:jc w:val="both"/>
        <w:rPr>
          <w:b/>
          <w:sz w:val="24"/>
          <w:szCs w:val="24"/>
          <w:lang w:val="en-GB"/>
        </w:rPr>
      </w:pPr>
      <w:r w:rsidRPr="00F54F89">
        <w:rPr>
          <w:b/>
          <w:sz w:val="24"/>
          <w:szCs w:val="24"/>
          <w:lang w:val="en-GB"/>
        </w:rPr>
        <w:t xml:space="preserve">Phytosomal nanocarriers as platforms for improved delivery of natural antioxidant </w:t>
      </w:r>
      <w:r w:rsidR="004559FF" w:rsidRPr="00F54F89">
        <w:rPr>
          <w:b/>
          <w:sz w:val="24"/>
          <w:szCs w:val="24"/>
          <w:lang w:val="en-GB"/>
        </w:rPr>
        <w:t xml:space="preserve">and photoprotective </w:t>
      </w:r>
      <w:r w:rsidR="007753B6" w:rsidRPr="00F54F89">
        <w:rPr>
          <w:b/>
          <w:sz w:val="24"/>
          <w:szCs w:val="24"/>
          <w:lang w:val="en-GB"/>
        </w:rPr>
        <w:t xml:space="preserve">compounds in </w:t>
      </w:r>
      <w:r w:rsidRPr="00F54F89">
        <w:rPr>
          <w:b/>
          <w:sz w:val="24"/>
          <w:szCs w:val="24"/>
          <w:lang w:val="en-GB"/>
        </w:rPr>
        <w:t xml:space="preserve">propolis: </w:t>
      </w:r>
      <w:r w:rsidR="00680131" w:rsidRPr="00F54F89">
        <w:rPr>
          <w:b/>
          <w:sz w:val="24"/>
          <w:szCs w:val="24"/>
          <w:lang w:val="en-GB"/>
        </w:rPr>
        <w:t>A</w:t>
      </w:r>
      <w:r w:rsidRPr="00F54F89">
        <w:rPr>
          <w:b/>
          <w:sz w:val="24"/>
          <w:szCs w:val="24"/>
          <w:lang w:val="en-GB"/>
        </w:rPr>
        <w:t>n approach for enhanced</w:t>
      </w:r>
      <w:r w:rsidR="007A36BF" w:rsidRPr="00F54F89">
        <w:rPr>
          <w:b/>
          <w:sz w:val="24"/>
          <w:szCs w:val="24"/>
          <w:lang w:val="en-GB"/>
        </w:rPr>
        <w:t xml:space="preserve"> both</w:t>
      </w:r>
      <w:r w:rsidRPr="00F54F89">
        <w:rPr>
          <w:b/>
          <w:sz w:val="24"/>
          <w:szCs w:val="24"/>
          <w:lang w:val="en-GB"/>
        </w:rPr>
        <w:t xml:space="preserve"> dissolution </w:t>
      </w:r>
      <w:r w:rsidR="00396031" w:rsidRPr="00F54F89">
        <w:rPr>
          <w:b/>
          <w:sz w:val="24"/>
          <w:szCs w:val="24"/>
          <w:lang w:val="en-GB"/>
        </w:rPr>
        <w:t>behaviour</w:t>
      </w:r>
      <w:r w:rsidRPr="00F54F89">
        <w:rPr>
          <w:b/>
          <w:sz w:val="24"/>
          <w:szCs w:val="24"/>
          <w:lang w:val="en-GB"/>
        </w:rPr>
        <w:t xml:space="preserve"> in biorelevant media and skin retention profiles</w:t>
      </w:r>
    </w:p>
    <w:p w14:paraId="3A79EFDB" w14:textId="41A317AC" w:rsidR="00F42B43" w:rsidRPr="00F54F89" w:rsidRDefault="00F42B43" w:rsidP="00F42B43">
      <w:pPr>
        <w:pStyle w:val="BBAuthorName"/>
        <w:spacing w:after="360" w:line="360" w:lineRule="auto"/>
        <w:jc w:val="both"/>
        <w:rPr>
          <w:rFonts w:ascii="Times New Roman" w:hAnsi="Times New Roman"/>
          <w:i w:val="0"/>
          <w:szCs w:val="24"/>
        </w:rPr>
      </w:pPr>
      <w:r w:rsidRPr="00F54F89">
        <w:rPr>
          <w:rFonts w:ascii="Times New Roman" w:hAnsi="Times New Roman"/>
          <w:i w:val="0"/>
          <w:szCs w:val="24"/>
        </w:rPr>
        <w:t>Andi Dian Permana</w:t>
      </w:r>
      <w:r w:rsidRPr="00F54F89">
        <w:rPr>
          <w:rFonts w:ascii="Times New Roman" w:hAnsi="Times New Roman"/>
          <w:i w:val="0"/>
          <w:szCs w:val="24"/>
          <w:vertAlign w:val="superscript"/>
        </w:rPr>
        <w:t>1,2</w:t>
      </w:r>
      <w:r w:rsidR="00680131" w:rsidRPr="00F54F89">
        <w:rPr>
          <w:rFonts w:ascii="Times New Roman" w:hAnsi="Times New Roman"/>
          <w:i w:val="0"/>
          <w:szCs w:val="24"/>
          <w:vertAlign w:val="superscript"/>
        </w:rPr>
        <w:t>*</w:t>
      </w:r>
      <w:r w:rsidRPr="00F54F89">
        <w:rPr>
          <w:rFonts w:ascii="Times New Roman" w:hAnsi="Times New Roman"/>
          <w:i w:val="0"/>
          <w:szCs w:val="24"/>
        </w:rPr>
        <w:t>, Rifka Nurul Utami</w:t>
      </w:r>
      <w:r w:rsidRPr="00F54F89">
        <w:rPr>
          <w:rFonts w:ascii="Times New Roman" w:hAnsi="Times New Roman"/>
          <w:i w:val="0"/>
          <w:szCs w:val="24"/>
          <w:vertAlign w:val="superscript"/>
        </w:rPr>
        <w:t>3</w:t>
      </w:r>
      <w:r w:rsidRPr="00F54F89">
        <w:rPr>
          <w:rFonts w:ascii="Times New Roman" w:hAnsi="Times New Roman"/>
          <w:i w:val="0"/>
          <w:szCs w:val="24"/>
        </w:rPr>
        <w:t>, Aaron J. Courtenay</w:t>
      </w:r>
      <w:r w:rsidRPr="00F54F89">
        <w:rPr>
          <w:rFonts w:ascii="Times New Roman" w:hAnsi="Times New Roman"/>
          <w:i w:val="0"/>
          <w:szCs w:val="24"/>
          <w:vertAlign w:val="superscript"/>
        </w:rPr>
        <w:t>1</w:t>
      </w:r>
      <w:r w:rsidRPr="00F54F89">
        <w:rPr>
          <w:rFonts w:ascii="Times New Roman" w:hAnsi="Times New Roman"/>
          <w:i w:val="0"/>
          <w:szCs w:val="24"/>
        </w:rPr>
        <w:t xml:space="preserve">, </w:t>
      </w:r>
      <w:r w:rsidRPr="00F54F89">
        <w:rPr>
          <w:rStyle w:val="text"/>
          <w:rFonts w:ascii="Times New Roman" w:hAnsi="Times New Roman"/>
          <w:i w:val="0"/>
          <w:szCs w:val="24"/>
        </w:rPr>
        <w:t>Marianti A. Mangg</w:t>
      </w:r>
      <w:r w:rsidR="00E8261F" w:rsidRPr="00F54F89">
        <w:rPr>
          <w:rStyle w:val="text"/>
          <w:rFonts w:ascii="Times New Roman" w:hAnsi="Times New Roman"/>
          <w:i w:val="0"/>
          <w:szCs w:val="24"/>
        </w:rPr>
        <w:t>a</w:t>
      </w:r>
      <w:r w:rsidRPr="00F54F89">
        <w:rPr>
          <w:rStyle w:val="text"/>
          <w:rFonts w:ascii="Times New Roman" w:hAnsi="Times New Roman"/>
          <w:i w:val="0"/>
          <w:szCs w:val="24"/>
        </w:rPr>
        <w:t>u</w:t>
      </w:r>
      <w:r w:rsidRPr="00F54F89">
        <w:rPr>
          <w:rFonts w:ascii="Times New Roman" w:hAnsi="Times New Roman"/>
          <w:i w:val="0"/>
          <w:szCs w:val="24"/>
          <w:vertAlign w:val="superscript"/>
        </w:rPr>
        <w:t>4</w:t>
      </w:r>
      <w:r w:rsidRPr="00F54F89">
        <w:rPr>
          <w:rFonts w:ascii="Times New Roman" w:hAnsi="Times New Roman"/>
          <w:i w:val="0"/>
          <w:szCs w:val="24"/>
        </w:rPr>
        <w:t>, Ryan F. Donnelly</w:t>
      </w:r>
      <w:r w:rsidRPr="00F54F89">
        <w:rPr>
          <w:rFonts w:ascii="Times New Roman" w:hAnsi="Times New Roman"/>
          <w:i w:val="0"/>
          <w:szCs w:val="24"/>
          <w:vertAlign w:val="superscript"/>
        </w:rPr>
        <w:t>1</w:t>
      </w:r>
      <w:r w:rsidRPr="00F54F89">
        <w:rPr>
          <w:rFonts w:ascii="Times New Roman" w:hAnsi="Times New Roman"/>
          <w:i w:val="0"/>
          <w:szCs w:val="24"/>
        </w:rPr>
        <w:t>, Latifah Rahman</w:t>
      </w:r>
      <w:r w:rsidRPr="00F54F89">
        <w:rPr>
          <w:rFonts w:ascii="Times New Roman" w:hAnsi="Times New Roman"/>
          <w:i w:val="0"/>
          <w:szCs w:val="24"/>
          <w:vertAlign w:val="superscript"/>
        </w:rPr>
        <w:t>2</w:t>
      </w:r>
      <w:r w:rsidR="00680131" w:rsidRPr="00F54F89">
        <w:rPr>
          <w:rFonts w:ascii="Times New Roman" w:hAnsi="Times New Roman"/>
          <w:i w:val="0"/>
          <w:szCs w:val="24"/>
          <w:vertAlign w:val="superscript"/>
        </w:rPr>
        <w:t>**</w:t>
      </w:r>
    </w:p>
    <w:p w14:paraId="72F3830A" w14:textId="77777777" w:rsidR="00F42B43" w:rsidRPr="00F54F89" w:rsidRDefault="00F42B43" w:rsidP="00F42B43">
      <w:pPr>
        <w:pStyle w:val="BCAuthorAddress"/>
        <w:numPr>
          <w:ilvl w:val="0"/>
          <w:numId w:val="1"/>
        </w:numPr>
        <w:spacing w:after="360" w:line="360" w:lineRule="auto"/>
        <w:ind w:left="284" w:hanging="284"/>
        <w:jc w:val="both"/>
        <w:rPr>
          <w:rFonts w:ascii="Times New Roman" w:hAnsi="Times New Roman"/>
          <w:szCs w:val="24"/>
        </w:rPr>
      </w:pPr>
      <w:r w:rsidRPr="00F54F89">
        <w:rPr>
          <w:rFonts w:ascii="Times New Roman" w:hAnsi="Times New Roman"/>
          <w:szCs w:val="24"/>
        </w:rPr>
        <w:t>School of Pharmacy, Queen's University Belfast, Medical Biology Centre, 97 Lisburn Road, Belfast.  BT9 7BL, UK</w:t>
      </w:r>
    </w:p>
    <w:p w14:paraId="02F718B6" w14:textId="3050ABB2" w:rsidR="00F42B43" w:rsidRPr="00F54F89" w:rsidRDefault="00F42B43" w:rsidP="00F42B43">
      <w:pPr>
        <w:pStyle w:val="BCAuthorAddress"/>
        <w:numPr>
          <w:ilvl w:val="0"/>
          <w:numId w:val="1"/>
        </w:numPr>
        <w:spacing w:after="360" w:line="360" w:lineRule="auto"/>
        <w:ind w:left="284" w:hanging="284"/>
        <w:jc w:val="both"/>
        <w:rPr>
          <w:rFonts w:ascii="Times New Roman" w:hAnsi="Times New Roman"/>
          <w:szCs w:val="24"/>
        </w:rPr>
      </w:pPr>
      <w:r w:rsidRPr="00F54F89">
        <w:rPr>
          <w:rFonts w:ascii="Times New Roman" w:hAnsi="Times New Roman"/>
          <w:szCs w:val="24"/>
        </w:rPr>
        <w:t>Department of Pharmaceutics, Faculty of Pharmacy, Hasanuddin University, Makassar, Indonesia</w:t>
      </w:r>
    </w:p>
    <w:p w14:paraId="6440ADB9" w14:textId="08149856" w:rsidR="00F42B43" w:rsidRPr="00F54F89" w:rsidRDefault="00F42B43" w:rsidP="00F42B43">
      <w:pPr>
        <w:pStyle w:val="BCAuthorAddress"/>
        <w:numPr>
          <w:ilvl w:val="0"/>
          <w:numId w:val="1"/>
        </w:numPr>
        <w:spacing w:after="360" w:line="360" w:lineRule="auto"/>
        <w:ind w:left="284" w:hanging="284"/>
        <w:jc w:val="both"/>
        <w:rPr>
          <w:rFonts w:ascii="Times New Roman" w:hAnsi="Times New Roman"/>
          <w:szCs w:val="24"/>
        </w:rPr>
      </w:pPr>
      <w:r w:rsidRPr="00F54F89">
        <w:rPr>
          <w:rFonts w:ascii="Times New Roman" w:hAnsi="Times New Roman"/>
          <w:szCs w:val="24"/>
        </w:rPr>
        <w:t xml:space="preserve">College of Pharmacy </w:t>
      </w:r>
      <w:r w:rsidR="00680131" w:rsidRPr="00F54F89">
        <w:rPr>
          <w:rFonts w:ascii="Times New Roman" w:hAnsi="Times New Roman"/>
          <w:szCs w:val="24"/>
        </w:rPr>
        <w:t xml:space="preserve">STIFA </w:t>
      </w:r>
      <w:r w:rsidRPr="00F54F89">
        <w:rPr>
          <w:rFonts w:ascii="Times New Roman" w:hAnsi="Times New Roman"/>
          <w:szCs w:val="24"/>
        </w:rPr>
        <w:t>Kebangsaan, Makassar, Indonesia</w:t>
      </w:r>
    </w:p>
    <w:p w14:paraId="408B4FF4" w14:textId="119BC017" w:rsidR="00F42B43" w:rsidRPr="00F54F89" w:rsidRDefault="00F42B43" w:rsidP="00F42B43">
      <w:pPr>
        <w:pStyle w:val="BCAuthorAddress"/>
        <w:numPr>
          <w:ilvl w:val="0"/>
          <w:numId w:val="1"/>
        </w:numPr>
        <w:spacing w:after="360" w:line="360" w:lineRule="auto"/>
        <w:ind w:left="284" w:hanging="284"/>
        <w:jc w:val="both"/>
        <w:rPr>
          <w:rFonts w:ascii="Times New Roman" w:hAnsi="Times New Roman"/>
          <w:szCs w:val="24"/>
        </w:rPr>
      </w:pPr>
      <w:r w:rsidRPr="00F54F89">
        <w:rPr>
          <w:rFonts w:ascii="Times New Roman" w:hAnsi="Times New Roman"/>
          <w:szCs w:val="24"/>
        </w:rPr>
        <w:t>Department of Pharmacology and Toxicology, Faculty of Pharmacy, Hasanuddin University, Makassar, Indonesia</w:t>
      </w:r>
    </w:p>
    <w:p w14:paraId="4BB1E836" w14:textId="1C7BF6FC" w:rsidR="000C6856" w:rsidRPr="00F54F89" w:rsidRDefault="00680131" w:rsidP="00AF3C2C">
      <w:pPr>
        <w:spacing w:line="360" w:lineRule="auto"/>
        <w:jc w:val="both"/>
        <w:rPr>
          <w:b/>
        </w:rPr>
      </w:pPr>
      <w:r w:rsidRPr="00F54F89">
        <w:rPr>
          <w:b/>
        </w:rPr>
        <w:t>Corresponding author:</w:t>
      </w:r>
    </w:p>
    <w:p w14:paraId="5ABEE98D" w14:textId="35E053D4" w:rsidR="00680131" w:rsidRPr="00F54F89" w:rsidRDefault="00680131" w:rsidP="005A75C4">
      <w:pPr>
        <w:spacing w:line="360" w:lineRule="auto"/>
        <w:jc w:val="both"/>
        <w:rPr>
          <w:b/>
        </w:rPr>
      </w:pPr>
      <w:r w:rsidRPr="00F54F89">
        <w:rPr>
          <w:b/>
        </w:rPr>
        <w:t xml:space="preserve">* Andi Dian Permana </w:t>
      </w:r>
      <w:r w:rsidR="005A75C4" w:rsidRPr="00F54F89">
        <w:rPr>
          <w:b/>
        </w:rPr>
        <w:t>(</w:t>
      </w:r>
      <w:r w:rsidR="005A75C4" w:rsidRPr="00F54F89">
        <w:rPr>
          <w:b/>
          <w:bCs/>
        </w:rPr>
        <w:t>School of Pharmacy, Queen's University Belfast, Medical Biology Centre, 97 Lisburn Road, Belfast.  BT9 7BL, UK;</w:t>
      </w:r>
      <w:r w:rsidR="005A75C4" w:rsidRPr="00F54F89">
        <w:rPr>
          <w:b/>
        </w:rPr>
        <w:t xml:space="preserve"> </w:t>
      </w:r>
      <w:r w:rsidRPr="00F54F89">
        <w:rPr>
          <w:b/>
        </w:rPr>
        <w:t>apermana01@qub.ac.uk)</w:t>
      </w:r>
    </w:p>
    <w:p w14:paraId="22D1988E" w14:textId="3EF061F9" w:rsidR="00680131" w:rsidRPr="00F54F89" w:rsidRDefault="00680131" w:rsidP="00AF3C2C">
      <w:pPr>
        <w:spacing w:line="360" w:lineRule="auto"/>
        <w:jc w:val="both"/>
        <w:rPr>
          <w:b/>
        </w:rPr>
      </w:pPr>
      <w:r w:rsidRPr="00F54F89">
        <w:rPr>
          <w:b/>
        </w:rPr>
        <w:t>** Latifah Rahman (tifah_rahman15@yahoo.com)</w:t>
      </w:r>
    </w:p>
    <w:p w14:paraId="03263304" w14:textId="77777777" w:rsidR="003D1CFC" w:rsidRPr="00F54F89" w:rsidRDefault="003D1CFC" w:rsidP="00AF3C2C">
      <w:pPr>
        <w:spacing w:line="360" w:lineRule="auto"/>
        <w:jc w:val="both"/>
        <w:rPr>
          <w:b/>
        </w:rPr>
      </w:pPr>
    </w:p>
    <w:p w14:paraId="6B7FDA4C" w14:textId="77777777" w:rsidR="003D1CFC" w:rsidRPr="00F54F89" w:rsidRDefault="003D1CFC" w:rsidP="00AF3C2C">
      <w:pPr>
        <w:spacing w:line="360" w:lineRule="auto"/>
        <w:jc w:val="both"/>
        <w:rPr>
          <w:b/>
        </w:rPr>
      </w:pPr>
    </w:p>
    <w:p w14:paraId="22E67825" w14:textId="77777777" w:rsidR="003D1CFC" w:rsidRPr="00F54F89" w:rsidRDefault="003D1CFC" w:rsidP="00AF3C2C">
      <w:pPr>
        <w:spacing w:line="360" w:lineRule="auto"/>
        <w:jc w:val="both"/>
        <w:rPr>
          <w:b/>
        </w:rPr>
      </w:pPr>
    </w:p>
    <w:p w14:paraId="7E9BE872" w14:textId="77777777" w:rsidR="003D1CFC" w:rsidRPr="00F54F89" w:rsidRDefault="003D1CFC" w:rsidP="00AF3C2C">
      <w:pPr>
        <w:spacing w:line="360" w:lineRule="auto"/>
        <w:jc w:val="both"/>
        <w:rPr>
          <w:b/>
        </w:rPr>
      </w:pPr>
    </w:p>
    <w:p w14:paraId="3E3168C8" w14:textId="77777777" w:rsidR="003D1CFC" w:rsidRPr="00F54F89" w:rsidRDefault="003D1CFC" w:rsidP="00AF3C2C">
      <w:pPr>
        <w:spacing w:line="360" w:lineRule="auto"/>
        <w:jc w:val="both"/>
        <w:rPr>
          <w:b/>
        </w:rPr>
      </w:pPr>
    </w:p>
    <w:p w14:paraId="088D94CE" w14:textId="77777777" w:rsidR="003D1CFC" w:rsidRPr="00F54F89" w:rsidRDefault="003D1CFC" w:rsidP="00AF3C2C">
      <w:pPr>
        <w:spacing w:line="360" w:lineRule="auto"/>
        <w:jc w:val="both"/>
        <w:rPr>
          <w:b/>
        </w:rPr>
      </w:pPr>
    </w:p>
    <w:p w14:paraId="3A9255A3" w14:textId="77777777" w:rsidR="003D1CFC" w:rsidRPr="00F54F89" w:rsidRDefault="003D1CFC" w:rsidP="00AF3C2C">
      <w:pPr>
        <w:spacing w:line="360" w:lineRule="auto"/>
        <w:jc w:val="both"/>
        <w:rPr>
          <w:b/>
        </w:rPr>
      </w:pPr>
    </w:p>
    <w:p w14:paraId="1AEC2DE7" w14:textId="77777777" w:rsidR="003D1CFC" w:rsidRPr="00F54F89" w:rsidRDefault="003D1CFC" w:rsidP="00AF3C2C">
      <w:pPr>
        <w:spacing w:line="360" w:lineRule="auto"/>
        <w:jc w:val="both"/>
        <w:rPr>
          <w:b/>
        </w:rPr>
      </w:pPr>
    </w:p>
    <w:p w14:paraId="71A9A8AB" w14:textId="77777777" w:rsidR="003D1CFC" w:rsidRPr="00F54F89" w:rsidRDefault="003D1CFC" w:rsidP="00AF3C2C">
      <w:pPr>
        <w:spacing w:line="360" w:lineRule="auto"/>
        <w:jc w:val="both"/>
        <w:rPr>
          <w:b/>
        </w:rPr>
      </w:pPr>
    </w:p>
    <w:p w14:paraId="137FFD3B" w14:textId="77777777" w:rsidR="00D10A6E" w:rsidRPr="00F54F89" w:rsidRDefault="00D10A6E" w:rsidP="00AF3C2C">
      <w:pPr>
        <w:spacing w:line="360" w:lineRule="auto"/>
        <w:jc w:val="both"/>
        <w:rPr>
          <w:b/>
        </w:rPr>
      </w:pPr>
    </w:p>
    <w:p w14:paraId="6068BDC9" w14:textId="77777777" w:rsidR="00D10A6E" w:rsidRPr="00F54F89" w:rsidRDefault="00D10A6E" w:rsidP="00AF3C2C">
      <w:pPr>
        <w:spacing w:line="360" w:lineRule="auto"/>
        <w:jc w:val="both"/>
        <w:rPr>
          <w:b/>
        </w:rPr>
      </w:pPr>
    </w:p>
    <w:p w14:paraId="7387F1D8" w14:textId="77777777" w:rsidR="00D10A6E" w:rsidRPr="00F54F89" w:rsidRDefault="00D10A6E" w:rsidP="00AF3C2C">
      <w:pPr>
        <w:spacing w:line="360" w:lineRule="auto"/>
        <w:jc w:val="both"/>
        <w:rPr>
          <w:b/>
        </w:rPr>
      </w:pPr>
    </w:p>
    <w:p w14:paraId="31A86430" w14:textId="01BE1067" w:rsidR="006D6CB1" w:rsidRPr="00F54F89" w:rsidRDefault="006D6CB1" w:rsidP="00AF3C2C">
      <w:pPr>
        <w:spacing w:line="360" w:lineRule="auto"/>
        <w:jc w:val="both"/>
        <w:rPr>
          <w:b/>
        </w:rPr>
      </w:pPr>
      <w:r w:rsidRPr="00F54F89">
        <w:rPr>
          <w:b/>
        </w:rPr>
        <w:lastRenderedPageBreak/>
        <w:t>Abstract</w:t>
      </w:r>
    </w:p>
    <w:p w14:paraId="272E0590" w14:textId="2092BCCB" w:rsidR="007753B6" w:rsidRPr="00F54F89" w:rsidRDefault="00C927B0" w:rsidP="00AF3C2C">
      <w:pPr>
        <w:spacing w:line="360" w:lineRule="auto"/>
        <w:jc w:val="both"/>
      </w:pPr>
      <w:r w:rsidRPr="00F54F89">
        <w:t>Propolis has been reported to possess rich content of antioxidant compounds and may provide health benefits through</w:t>
      </w:r>
      <w:r w:rsidR="00102500" w:rsidRPr="00F54F89">
        <w:t xml:space="preserve"> </w:t>
      </w:r>
      <w:r w:rsidR="00102500" w:rsidRPr="00F54F89">
        <w:rPr>
          <w:color w:val="000000" w:themeColor="text1"/>
        </w:rPr>
        <w:t>oxidative stress</w:t>
      </w:r>
      <w:r w:rsidRPr="00F54F89">
        <w:rPr>
          <w:color w:val="000000" w:themeColor="text1"/>
        </w:rPr>
        <w:t xml:space="preserve"> red</w:t>
      </w:r>
      <w:r w:rsidR="00102500" w:rsidRPr="00F54F89">
        <w:rPr>
          <w:color w:val="000000" w:themeColor="text1"/>
        </w:rPr>
        <w:t>uction</w:t>
      </w:r>
      <w:r w:rsidR="00102500" w:rsidRPr="00F54F89">
        <w:t>.</w:t>
      </w:r>
      <w:r w:rsidRPr="00F54F89">
        <w:t xml:space="preserve">  Presently, the formulation activities used to enhance the drug delivery have been hampered due to inherently low aqueous solubility and poor transdermal permeation of the bioactive phenols and flavonoids. Here, we show, the formulation of propolis extract (PE) into phytosome delivery systems. The optimum antioxidant activity was attained through</w:t>
      </w:r>
      <w:r w:rsidR="00BB31F0" w:rsidRPr="00F54F89">
        <w:t xml:space="preserve"> </w:t>
      </w:r>
      <w:r w:rsidRPr="00F54F89">
        <w:t xml:space="preserve">extraction process using 75% v/v ethanol. The phytosome was prepared using thin-layer hydration technique with </w:t>
      </w:r>
      <w:r w:rsidRPr="00F54F89">
        <w:rPr>
          <w:shd w:val="clear" w:color="auto" w:fill="FFFFFF"/>
        </w:rPr>
        <w:t>L-α-Phosphatidylcholine</w:t>
      </w:r>
      <w:r w:rsidRPr="00F54F89">
        <w:t xml:space="preserve"> as a phospholipid. Fourier transform infrared (FTIR) was used to investigate the occurrence of molecular interactions between formulation components. This innovative approach could encapsulate &gt;40% of bioactive compounds in PE, namely caffeic acid, quercetin, and kaempferol. FTIR spectroscopy indicated new hydrogen bond formation, supporting successful phytosome formulation. The phytosome</w:t>
      </w:r>
      <w:r w:rsidR="0003160D" w:rsidRPr="00F54F89">
        <w:rPr>
          <w:color w:val="000000" w:themeColor="text1"/>
        </w:rPr>
        <w:t>s</w:t>
      </w:r>
      <w:r w:rsidRPr="00F54F89">
        <w:t xml:space="preserve"> enhanced the dissolution up to 4-folds of bioactive compounds in bio-mimicked release media, as well as improved </w:t>
      </w:r>
      <w:r w:rsidRPr="00F54F89">
        <w:rPr>
          <w:color w:val="000000"/>
          <w:lang w:eastAsia="en-GB"/>
        </w:rPr>
        <w:t>penetrability and skin retention up to 6-folds of the three main compounds of propolis, when compared to non-encapsulated PE formulation.</w:t>
      </w:r>
      <w:r w:rsidR="0003160D" w:rsidRPr="00F54F89">
        <w:rPr>
          <w:color w:val="000000"/>
          <w:lang w:eastAsia="en-GB"/>
        </w:rPr>
        <w:t xml:space="preserve"> </w:t>
      </w:r>
      <w:r w:rsidR="003413B9" w:rsidRPr="00F54F89">
        <w:rPr>
          <w:color w:val="000000"/>
          <w:lang w:eastAsia="en-GB"/>
        </w:rPr>
        <w:t xml:space="preserve">Importantly, the hydrogel containing phytosome showed a potential for UVA and UVB radiation absorption, indicated by the SPF values of higher than 15. </w:t>
      </w:r>
      <w:r w:rsidR="0003160D" w:rsidRPr="00F54F89">
        <w:rPr>
          <w:color w:val="000000"/>
          <w:lang w:eastAsia="en-GB"/>
        </w:rPr>
        <w:t xml:space="preserve">To conclude, this work shows promising novel delivery approaches </w:t>
      </w:r>
      <w:r w:rsidR="00986877" w:rsidRPr="00F54F89">
        <w:rPr>
          <w:color w:val="000000"/>
          <w:lang w:eastAsia="en-GB"/>
        </w:rPr>
        <w:t>for PE</w:t>
      </w:r>
      <w:r w:rsidRPr="00F54F89">
        <w:rPr>
          <w:color w:val="000000"/>
          <w:lang w:eastAsia="en-GB"/>
        </w:rPr>
        <w:t xml:space="preserve"> </w:t>
      </w:r>
      <w:r w:rsidRPr="00F54F89">
        <w:t>in the treatment of organ injured stress oxidative and skin aging</w:t>
      </w:r>
      <w:r w:rsidR="003413B9" w:rsidRPr="00F54F89">
        <w:t>.</w:t>
      </w:r>
    </w:p>
    <w:p w14:paraId="64B6DA33" w14:textId="77777777" w:rsidR="00C927B0" w:rsidRPr="00F54F89" w:rsidRDefault="00C927B0" w:rsidP="00AF3C2C">
      <w:pPr>
        <w:spacing w:line="360" w:lineRule="auto"/>
        <w:jc w:val="both"/>
        <w:rPr>
          <w:b/>
        </w:rPr>
      </w:pPr>
    </w:p>
    <w:p w14:paraId="2B983F01" w14:textId="1158202A" w:rsidR="006D6CB1" w:rsidRPr="00F54F89" w:rsidRDefault="00AB2710" w:rsidP="00AF3C2C">
      <w:pPr>
        <w:spacing w:line="360" w:lineRule="auto"/>
        <w:jc w:val="both"/>
        <w:rPr>
          <w:b/>
        </w:rPr>
      </w:pPr>
      <w:r w:rsidRPr="00F54F89">
        <w:rPr>
          <w:b/>
        </w:rPr>
        <w:t xml:space="preserve">Keywords: </w:t>
      </w:r>
      <w:r w:rsidRPr="00F54F89">
        <w:t xml:space="preserve">Propolis; phytosome; natural antioxidant; </w:t>
      </w:r>
      <w:r w:rsidR="00AE5DE9" w:rsidRPr="00F54F89">
        <w:t xml:space="preserve">photoprotective, </w:t>
      </w:r>
      <w:r w:rsidR="004B2E12" w:rsidRPr="00F54F89">
        <w:t>dissolution enhancement; antiaging</w:t>
      </w:r>
    </w:p>
    <w:p w14:paraId="6494084F" w14:textId="77777777" w:rsidR="00D751AB" w:rsidRPr="00F54F89" w:rsidRDefault="00D751AB" w:rsidP="000C6856">
      <w:pPr>
        <w:spacing w:line="360" w:lineRule="auto"/>
        <w:jc w:val="both"/>
        <w:rPr>
          <w:b/>
          <w:bCs/>
        </w:rPr>
      </w:pPr>
    </w:p>
    <w:p w14:paraId="5BBCC55E" w14:textId="77777777" w:rsidR="00D751AB" w:rsidRPr="00F54F89" w:rsidRDefault="00D751AB" w:rsidP="000C6856">
      <w:pPr>
        <w:spacing w:line="360" w:lineRule="auto"/>
        <w:jc w:val="both"/>
        <w:rPr>
          <w:b/>
          <w:bCs/>
        </w:rPr>
      </w:pPr>
    </w:p>
    <w:p w14:paraId="53A73560" w14:textId="77777777" w:rsidR="00D751AB" w:rsidRPr="00F54F89" w:rsidRDefault="00D751AB" w:rsidP="000C6856">
      <w:pPr>
        <w:spacing w:line="360" w:lineRule="auto"/>
        <w:jc w:val="both"/>
        <w:rPr>
          <w:b/>
          <w:bCs/>
        </w:rPr>
      </w:pPr>
    </w:p>
    <w:p w14:paraId="296D3204" w14:textId="218C8154" w:rsidR="00D751AB" w:rsidRPr="00F54F89" w:rsidRDefault="00D751AB" w:rsidP="000C6856">
      <w:pPr>
        <w:spacing w:line="360" w:lineRule="auto"/>
        <w:jc w:val="both"/>
        <w:rPr>
          <w:b/>
          <w:bCs/>
        </w:rPr>
      </w:pPr>
    </w:p>
    <w:p w14:paraId="264A2665" w14:textId="05AFB0FC" w:rsidR="00243348" w:rsidRPr="00F54F89" w:rsidRDefault="00243348" w:rsidP="000C6856">
      <w:pPr>
        <w:spacing w:line="360" w:lineRule="auto"/>
        <w:jc w:val="both"/>
        <w:rPr>
          <w:b/>
          <w:bCs/>
        </w:rPr>
      </w:pPr>
    </w:p>
    <w:p w14:paraId="4025612E" w14:textId="679C4F18" w:rsidR="00243348" w:rsidRPr="00F54F89" w:rsidRDefault="00243348" w:rsidP="000C6856">
      <w:pPr>
        <w:spacing w:line="360" w:lineRule="auto"/>
        <w:jc w:val="both"/>
        <w:rPr>
          <w:b/>
          <w:bCs/>
        </w:rPr>
      </w:pPr>
    </w:p>
    <w:p w14:paraId="729337D6" w14:textId="14D21112" w:rsidR="00CE3FB2" w:rsidRPr="00F54F89" w:rsidRDefault="00CE3FB2" w:rsidP="000C6856">
      <w:pPr>
        <w:spacing w:line="360" w:lineRule="auto"/>
        <w:jc w:val="both"/>
        <w:rPr>
          <w:b/>
          <w:bCs/>
        </w:rPr>
      </w:pPr>
    </w:p>
    <w:p w14:paraId="59E58A9F" w14:textId="278A1894" w:rsidR="00CE3FB2" w:rsidRPr="00F54F89" w:rsidRDefault="00CE3FB2" w:rsidP="000C6856">
      <w:pPr>
        <w:spacing w:line="360" w:lineRule="auto"/>
        <w:jc w:val="both"/>
        <w:rPr>
          <w:b/>
          <w:bCs/>
        </w:rPr>
      </w:pPr>
    </w:p>
    <w:p w14:paraId="054E168E" w14:textId="77777777" w:rsidR="00D10A6E" w:rsidRPr="00F54F89" w:rsidRDefault="00D10A6E" w:rsidP="000C6856">
      <w:pPr>
        <w:spacing w:line="360" w:lineRule="auto"/>
        <w:jc w:val="both"/>
        <w:rPr>
          <w:b/>
          <w:bCs/>
        </w:rPr>
      </w:pPr>
    </w:p>
    <w:p w14:paraId="43B325BD" w14:textId="77777777" w:rsidR="00D10A6E" w:rsidRPr="00F54F89" w:rsidRDefault="00D10A6E" w:rsidP="000C6856">
      <w:pPr>
        <w:spacing w:line="360" w:lineRule="auto"/>
        <w:jc w:val="both"/>
        <w:rPr>
          <w:b/>
          <w:bCs/>
        </w:rPr>
      </w:pPr>
    </w:p>
    <w:p w14:paraId="0B59B912" w14:textId="77777777" w:rsidR="00D10A6E" w:rsidRPr="00F54F89" w:rsidRDefault="00D10A6E" w:rsidP="000C6856">
      <w:pPr>
        <w:spacing w:line="360" w:lineRule="auto"/>
        <w:jc w:val="both"/>
        <w:rPr>
          <w:b/>
          <w:bCs/>
        </w:rPr>
      </w:pPr>
    </w:p>
    <w:p w14:paraId="71ADEA06" w14:textId="77777777" w:rsidR="00D10A6E" w:rsidRPr="00F54F89" w:rsidRDefault="00D10A6E" w:rsidP="000C6856">
      <w:pPr>
        <w:spacing w:line="360" w:lineRule="auto"/>
        <w:jc w:val="both"/>
        <w:rPr>
          <w:b/>
          <w:bCs/>
        </w:rPr>
      </w:pPr>
    </w:p>
    <w:p w14:paraId="0AB5CD1A" w14:textId="2F1C747F" w:rsidR="000C6856" w:rsidRPr="00F54F89" w:rsidRDefault="004B2E12" w:rsidP="000C6856">
      <w:pPr>
        <w:spacing w:line="360" w:lineRule="auto"/>
        <w:jc w:val="both"/>
        <w:rPr>
          <w:b/>
          <w:bCs/>
        </w:rPr>
      </w:pPr>
      <w:r w:rsidRPr="00F54F89">
        <w:rPr>
          <w:b/>
          <w:bCs/>
        </w:rPr>
        <w:lastRenderedPageBreak/>
        <w:t xml:space="preserve">1. </w:t>
      </w:r>
      <w:r w:rsidR="000C6856" w:rsidRPr="00F54F89">
        <w:rPr>
          <w:b/>
          <w:bCs/>
        </w:rPr>
        <w:t>I</w:t>
      </w:r>
      <w:r w:rsidRPr="00F54F89">
        <w:rPr>
          <w:b/>
          <w:bCs/>
        </w:rPr>
        <w:t>ntroduction</w:t>
      </w:r>
    </w:p>
    <w:p w14:paraId="7C094EF4" w14:textId="21A3BAE4" w:rsidR="000C6856" w:rsidRPr="00F54F89" w:rsidRDefault="00A12486" w:rsidP="000C6856">
      <w:pPr>
        <w:spacing w:line="360" w:lineRule="auto"/>
        <w:jc w:val="both"/>
      </w:pPr>
      <w:r w:rsidRPr="00F54F89">
        <w:t>Free radicals, including reactive oxygen species (ROS) and reactive nitrogen species (RNS)</w:t>
      </w:r>
      <w:r w:rsidR="002B7DFD" w:rsidRPr="00F54F89">
        <w:t xml:space="preserve">, have a </w:t>
      </w:r>
      <w:r w:rsidR="00CE3FB2" w:rsidRPr="00F54F89">
        <w:t>considerable</w:t>
      </w:r>
      <w:r w:rsidR="002B7DFD" w:rsidRPr="00F54F89">
        <w:t xml:space="preserve"> impact on human health. </w:t>
      </w:r>
      <w:r w:rsidR="00CE3FB2" w:rsidRPr="00F54F89">
        <w:t>Due to</w:t>
      </w:r>
      <w:r w:rsidR="000C6856" w:rsidRPr="00F54F89">
        <w:t xml:space="preserve"> their reactivity, free radicals are able to interact with biological molecules, such as lipid</w:t>
      </w:r>
      <w:r w:rsidR="00CE3FB2" w:rsidRPr="00F54F89">
        <w:t>s</w:t>
      </w:r>
      <w:r w:rsidR="000C6856" w:rsidRPr="00F54F89">
        <w:t>, protein</w:t>
      </w:r>
      <w:r w:rsidR="00CE3FB2" w:rsidRPr="00F54F89">
        <w:t>s</w:t>
      </w:r>
      <w:r w:rsidR="000C6856" w:rsidRPr="00F54F89">
        <w:t xml:space="preserve"> and DNA, causing damage that may eventually lead to cell death.</w:t>
      </w:r>
      <w:r w:rsidR="00602A28" w:rsidRPr="00F54F89">
        <w:t xml:space="preserve"> </w:t>
      </w:r>
      <w:r w:rsidR="002B7DFD" w:rsidRPr="00F54F89">
        <w:t>The imbalance of free radicals and body antioxidant</w:t>
      </w:r>
      <w:r w:rsidR="00CE3FB2" w:rsidRPr="00F54F89">
        <w:t>s</w:t>
      </w:r>
      <w:r w:rsidR="002B7DFD" w:rsidRPr="00F54F89">
        <w:t xml:space="preserve"> lead</w:t>
      </w:r>
      <w:r w:rsidR="00CE3FB2" w:rsidRPr="00F54F89">
        <w:t>s</w:t>
      </w:r>
      <w:r w:rsidR="002B7DFD" w:rsidRPr="00F54F89">
        <w:t xml:space="preserve"> to a condition called oxidative stress</w:t>
      </w:r>
      <w:r w:rsidRPr="00F54F89">
        <w:t xml:space="preserve"> </w:t>
      </w:r>
      <w:r w:rsidR="000C6856" w:rsidRPr="00F54F89">
        <w:fldChar w:fldCharType="begin" w:fldLock="1"/>
      </w:r>
      <w:r w:rsidR="00BF6FF3" w:rsidRPr="00F54F89">
        <w:instrText>ADDIN CSL_CITATION {"citationItems":[{"id":"ITEM-1","itemData":{"ISSN":"09737847","abstract":"In recent years, there has been a great deal of attention toward the field of free radical chemistry. Free radicals reactive oxygen species and reactive nitrogen species are generated by our body by various endogenous systems, exposure to different physiochemical conditions or pathological states. A balance between free radicals and antioxidants is necessary for proper physiological function. If free radicals overwhelm the body's ability to regulate them, a condition known as oxidative stress ensues. Free radicals thus adversely alter lipids, proteins, and DNA and trigger a number of human diseases. Hence application of external source of antioxidants can assist in coping this oxidative stress. Synthetic antioxidants such as butylated hydroxytoluene and butylated hydroxyanisole have recently been reported to be dangerous for human health. Thus, the search for effective, nontoxic natural compounds with antioxidative activity has been intensified in recent years. The present review provides a brief overview on oxidative stress mediated cellular damages and role of dietary antioxidants as functional foods in the management of human diseases.","author":[{"dropping-particle":"","family":"Lobo","given":"V.","non-dropping-particle":"","parse-names":false,"suffix":""},{"dropping-particle":"","family":"Patil","given":"A.","non-dropping-particle":"","parse-names":false,"suffix":""},{"dropping-particle":"","family":"Phatak","given":"A.","non-dropping-particle":"","parse-names":false,"suffix":""},{"dropping-particle":"","family":"Chandra","given":"N.","non-dropping-particle":"","parse-names":false,"suffix":""}],"container-title":"Pharmacognosy Reviews","id":"ITEM-1","issued":{"date-parts":[["2010"]]},"page":"118-126","title":"Free radicals, antioxidants and functional foods: Impact on human health","type":"article-journal","volume":"4"},"uris":["http://www.mendeley.com/documents/?uuid=3d64276a-690a-4647-bc60-63fca987ff29"]},{"id":"ITEM-2","itemData":{"ISSN":"19506007","abstract":"Mitochondria is one of the main source of oxidative stress (ROS), as it utilizes the oxygen for the energy production. ROS and RNS are normally generated by tightly regulated enzymes. Excessive stimulation of NAD(P)H and electron transport chain leads to the overproduction of ROS, results in oxidative stress, which is a good mediator to injure the cell structures, lipids, proteins, and DNA. Various oxidative events implicated in many diseases due to oxidative stress include alteration in mitochondrial proteins, mitochondrial lipids and mitochondrial DNA, Which in turn leads to the damage to nerve cell as they are metabolically very active. ROS/RNS at moderate concentrations also play roles in normal physiology of many processes like signaling pathways, induction of mitogenic response and in defense against infectious pathogens. Oxidative stress has been considered to be the main cause in the etiology of many diseases, which includes Parkinson's and Alzheimer diseases. Several PD associated genes have been found to be involved in mitochondrial function, dynamics and morphology as well. This review includes source of free radical generation, chemistry and biochemistry of ROS/RNS and mitochondrial dysfunction and the mechanism involved in neurodegenerative diseases.","author":[{"dropping-particle":"","family":"Bhat","given":"Aashiq Hussain","non-dropping-particle":"","parse-names":false,"suffix":""},{"dropping-particle":"","family":"Dar","given":"Khalid Bashir","non-dropping-particle":"","parse-names":false,"suffix":""},{"dropping-particle":"","family":"Anees","given":"Suhail","non-dropping-particle":"","parse-names":false,"suffix":""},{"dropping-particle":"","family":"Zargar","given":"Mohammad Afzal","non-dropping-particle":"","parse-names":false,"suffix":""},{"dropping-particle":"","family":"Masood","given":"Akbar","non-dropping-particle":"","parse-names":false,"suffix":""},{"dropping-particle":"","family":"Sofi","given":"Manzoor Ahmad","non-dropping-particle":"","parse-names":false,"suffix":""},{"dropping-particle":"","family":"Ganie","given":"Showkat Ahmad","non-dropping-particle":"","parse-names":false,"suffix":""}],"container-title":"Biomedicine and Pharmacotherapy","id":"ITEM-2","issued":{"date-parts":[["2015"]]},"page":"101-110","title":"Oxidative stress, mitochondrial dysfunction and neurodegenerative diseases; a mechanistic insight","type":"article-journal","volume":"74"},"uris":["http://www.mendeley.com/documents/?uuid=700bb3f4-316e-41ee-beed-8d9be29143fa"]}],"mendeley":{"formattedCitation":"[1,2]","plainTextFormattedCitation":"[1,2]","previouslyFormattedCitation":"[1,2]"},"properties":{"noteIndex":0},"schema":"https://github.com/citation-style-language/schema/raw/master/csl-citation.json"}</w:instrText>
      </w:r>
      <w:r w:rsidR="000C6856" w:rsidRPr="00F54F89">
        <w:fldChar w:fldCharType="separate"/>
      </w:r>
      <w:r w:rsidR="00EA5ACF" w:rsidRPr="00F54F89">
        <w:rPr>
          <w:noProof/>
        </w:rPr>
        <w:t>[1,2]</w:t>
      </w:r>
      <w:r w:rsidR="000C6856" w:rsidRPr="00F54F89">
        <w:fldChar w:fldCharType="end"/>
      </w:r>
      <w:r w:rsidR="000C6856" w:rsidRPr="00F54F89">
        <w:t>.</w:t>
      </w:r>
      <w:r w:rsidRPr="00F54F89">
        <w:t xml:space="preserve"> </w:t>
      </w:r>
      <w:r w:rsidR="00CE3FB2" w:rsidRPr="00F54F89">
        <w:t>An e</w:t>
      </w:r>
      <w:r w:rsidR="000C6856" w:rsidRPr="00F54F89">
        <w:t>xtensive number of studies ha</w:t>
      </w:r>
      <w:r w:rsidR="00CE3FB2" w:rsidRPr="00F54F89">
        <w:t>s</w:t>
      </w:r>
      <w:r w:rsidR="000C6856" w:rsidRPr="00F54F89">
        <w:t xml:space="preserve"> established the link between oxidative stress and various medical conditions. Firstly,</w:t>
      </w:r>
      <w:r w:rsidR="00CE3FB2" w:rsidRPr="00F54F89">
        <w:t xml:space="preserve"> researchers have found </w:t>
      </w:r>
      <w:r w:rsidR="002B7DFD" w:rsidRPr="00F54F89">
        <w:t>correlation</w:t>
      </w:r>
      <w:r w:rsidR="00CE3FB2" w:rsidRPr="00F54F89">
        <w:t>s</w:t>
      </w:r>
      <w:r w:rsidR="002B7DFD" w:rsidRPr="00F54F89">
        <w:t xml:space="preserve"> between</w:t>
      </w:r>
      <w:r w:rsidR="000C6856" w:rsidRPr="00F54F89">
        <w:t xml:space="preserve"> oxidative stress </w:t>
      </w:r>
      <w:r w:rsidR="002B7DFD" w:rsidRPr="00F54F89">
        <w:t xml:space="preserve">and </w:t>
      </w:r>
      <w:r w:rsidR="000C6856" w:rsidRPr="00F54F89">
        <w:t xml:space="preserve">the </w:t>
      </w:r>
      <w:r w:rsidR="001D3277" w:rsidRPr="00F54F89">
        <w:t>aetiology</w:t>
      </w:r>
      <w:r w:rsidR="000C6856" w:rsidRPr="00F54F89">
        <w:t xml:space="preserve"> of numerous diseases. The group of diseases include</w:t>
      </w:r>
      <w:r w:rsidR="00CE3FB2" w:rsidRPr="00F54F89">
        <w:t>s</w:t>
      </w:r>
      <w:r w:rsidR="000C6856" w:rsidRPr="00F54F89">
        <w:t xml:space="preserve">, but </w:t>
      </w:r>
      <w:r w:rsidR="00CE3FB2" w:rsidRPr="00F54F89">
        <w:t>is</w:t>
      </w:r>
      <w:r w:rsidR="002231AD" w:rsidRPr="00F54F89">
        <w:t xml:space="preserve"> </w:t>
      </w:r>
      <w:r w:rsidR="000C6856" w:rsidRPr="00F54F89">
        <w:t xml:space="preserve">not limited to, cardiovascular diseases </w:t>
      </w:r>
      <w:r w:rsidR="000C6856" w:rsidRPr="00F54F89">
        <w:fldChar w:fldCharType="begin" w:fldLock="1"/>
      </w:r>
      <w:r w:rsidR="00BF6FF3" w:rsidRPr="00F54F89">
        <w:instrText>ADDIN CSL_CITATION {"citationItems":[{"id":"ITEM-1","itemData":{"ISSN":"18733492","abstract":"Myeloperoxidase (MPO) is a member of the superfamily of heme peroxidases that is mainly expressed in neutrophils and monocytes. MPO-derived reactive species play a key role in neutrophil antimicrobial activity and human defense against various pathogens primarily by participating in phagocytosis. Elevated MPO levels in circulation are associated with inflammation and increased oxidative stress. Multiple lines of evidence suggest an association between MPO and cardiovascular disease (CVD) including coronary artery disease, congestive heart failure, arterial hypertension, pulmonary arterial hypertension, peripheral arterial disease, myocardial ischemia/reperfusion-related injury, stroke, cardiac arrhythmia and venous thrombosis. Elevated MPO levels are associated with a poor prognosis including increased risk for overall and CVD-related mortality. Elevated MPO may signify an increased risk for CVD for at least 2 reasons. First, low-grade inflammation and increased oxidative stress coexist with many metabolic abnormalities and comorbidities and consequently an elevated MPO level may represent an increased cardiometabolic risk in general. Second, MPO produces a large number of highly reactive species which can attack, destroy or modify the function of every known cellular component. The most common MPO actions relevant to CVD are generation of dysfunctional lipoproteins with an increased atherogenicity potential, reduced NO availability, endothelial dysfunction, impaired vasoreactivity and atherosclerotic plaque instability. These actions strongly suggest that MPO is directly involved in the pathophysiology of CVD. In this regard MPO may be seen as a mediator or an instrument through which inflammation promotes CVD at molecular and cellular level. Clinical value of MPO therapeutic inhibition remains to be tested.","author":[{"dropping-particle":"","family":"Ndrepepa","given":"Gjin","non-dropping-particle":"","parse-names":false,"suffix":""}],"container-title":"Clinica Chimica Acta","id":"ITEM-1","issued":{"date-parts":[["2019"]]},"page":"36-51","publisher":"Elsevier","title":"Myeloperoxidase – A bridge linking inflammation and oxidative stress with cardiovascular disease","type":"article-journal","volume":"493"},"uris":["http://www.mendeley.com/documents/?uuid=aea62d24-1272-4afa-8a6c-6f1589c1ef2b"]}],"mendeley":{"formattedCitation":"[3]","plainTextFormattedCitation":"[3]","previouslyFormattedCitation":"[3]"},"properties":{"noteIndex":0},"schema":"https://github.com/citation-style-language/schema/raw/master/csl-citation.json"}</w:instrText>
      </w:r>
      <w:r w:rsidR="000C6856" w:rsidRPr="00F54F89">
        <w:fldChar w:fldCharType="separate"/>
      </w:r>
      <w:r w:rsidR="00EA5ACF" w:rsidRPr="00F54F89">
        <w:rPr>
          <w:noProof/>
        </w:rPr>
        <w:t>[3]</w:t>
      </w:r>
      <w:r w:rsidR="000C6856" w:rsidRPr="00F54F89">
        <w:fldChar w:fldCharType="end"/>
      </w:r>
      <w:r w:rsidR="000C6856" w:rsidRPr="00F54F89">
        <w:t xml:space="preserve">, autoimmune diseases </w:t>
      </w:r>
      <w:r w:rsidR="000C6856" w:rsidRPr="00F54F89">
        <w:fldChar w:fldCharType="begin" w:fldLock="1"/>
      </w:r>
      <w:r w:rsidR="00BF6FF3" w:rsidRPr="00F54F89">
        <w:instrText>ADDIN CSL_CITATION {"citationItems":[{"id":"ITEM-1","itemData":{"ISSN":"18734596","abstract":"The management of patients with autoimmune rheumatic diseases such as rheumatoid arthritis (RA) remains a significant challenge. Often the rheumatologist is restricted to treating and relieving the symptoms and consequences and not the underlying cause of the disease. Oxidative stress occurs in many autoimmune diseases, along with the excess production of reactive oxygen species (ROS) and reactive nitrogen species (RNS). The sources of such reactive species include NADPH oxidases (NOXs), the mitochondrial electron transport chain, nitric oxide synthases, nitrite reductases, and the hydrogen sulfide producing enzymes cystathionine-β synthase and cystathionine-γ lyase. Superoxide undergoes a dismutation reaction to generate hydrogen peroxide which, in the presence of transition metal ions (e.g. ferrous ions), forms the hydroxyl radical. The enzyme myeloperoxidase, present in inflammatory cells, produces hypochlorous acid, and in healthy individuals ROS and RNS production by phagocytic cells is important in microbial killing. Both low molecular weight antioxidant molecules and antioxidant enzymes, such as superoxide dismutase, catalase, glutathione peroxidase, and peroxiredoxin remove ROS. However, when ROS production exceeds the antioxidant protection, oxidative stress occurs. Oxidative post-translational modifications of proteins then occur. Sometimes protein modifications may give rise to neoepitopes that are recognized by the immune system as ‘non-self’ and result in the formation of autoantibodies. The detection of autoantibodies against specific antigens, might improve both early diagnosis and monitoring of disease activity. Promising diagnostic autoantibodies include anti-carbamylated proteins and anti-oxidized type II collagen antibodies. Some of the most promising future strategies for redox-based therapeutic compounds are the activation of endogenous cellular antioxidant systems (e.g. Nrf2-dependent pathways), inhibition of disease-relevant sources of ROS/RNS (e.g. isoform-specific NOX inhibitors), or perhaps specifically scavenging disease-related ROS/RNS via site-specific antioxidants.","author":[{"dropping-particle":"","family":"Smallwood","given":"Miranda J.","non-dropping-particle":"","parse-names":false,"suffix":""},{"dropping-particle":"","family":"Nissim","given":"Ahuva","non-dropping-particle":"","parse-names":false,"suffix":""},{"dropping-particle":"","family":"Knight","given":"Annie R.","non-dropping-particle":"","parse-names":false,"suffix":""},{"dropping-particle":"","family":"Whiteman","given":"Matthew","non-dropping-particle":"","parse-names":false,"suffix":""},{"dropping-particle":"","family":"Haigh","given":"Richard","non-dropping-particle":"","parse-names":false,"suffix":""},{"dropping-particle":"","family":"Winyard","given":"Paul G.","non-dropping-particle":"","parse-names":false,"suffix":""}],"container-title":"Free Radical Biology and Medicine","id":"ITEM-1","issued":{"date-parts":[["2018"]]},"page":"3-14","publisher":"Elsevier B.V.","title":"Oxidative stress in autoimmune rheumatic diseases","type":"article-journal","volume":"125"},"uris":["http://www.mendeley.com/documents/?uuid=7659e211-ee61-46bc-9ef1-912e78844248"]},{"id":"ITEM-2","itemData":{"ISSN":"15322777","abstract":"Vitiligo (VL) is a chronic autoimmune pigmentation disorder characterized by destruction of melanocytes. The condition is associated with several other autoimmune diseases, but autoimmune thyroid diseases, especially Hashimoto's thyroiditis (HT), is the most prevalent organ-specific autoimmune disease with a co-morbidity up to 34%. Among the many hypotheses that have been proposed for the pathogenesis of both diseases, autoimmunity and oxidative stress-mediated toxicity in melanocytes or thyrocytes, respectively, have been the most widely accepted – with autoimmunity being the presumed consequence of oxidative stress-mediated toxicity. However, the predominant etiologic basis for impairment of redox balance has rarely been studied. The two autoimmune diseases are not only linked by a concordance of clinical presentations and an autoimmune/oxidative stress-mediated toxicity pathogenesis but also by an apparent biochemical commonality. The target molecules produced in the thyroid and skin, i.e., thyroxine and melanin, respectively, are derived from the same primordial parent molecule, tyrosine. On the basis of these similarities between Hashimoto's thyroiditis and vitiligo, specifically with respect to the activation of oxidative stress, we propose a novel hypothesis accounting for the destruction of melanocytes or thyrocytes in VL and AT. We suggest a new therapeutic regimen of quinone derivatives to combat ROS-induced autoimmunity resulting from this common biochemical etiologic error.","author":[{"dropping-particle":"","family":"Li","given":"Dongmei","non-dropping-particle":"","parse-names":false,"suffix":""},{"dropping-particle":"","family":"Liang","given":"Guanzhao","non-dropping-particle":"","parse-names":false,"suffix":""},{"dropping-particle":"","family":"Calderone","given":"Richard","non-dropping-particle":"","parse-names":false,"suffix":""},{"dropping-particle":"","family":"Bellanti","given":"Joseph A.","non-dropping-particle":"","parse-names":false,"suffix":""}],"container-title":"Medical Hypotheses","id":"ITEM-2","issued":{"date-parts":[["2019"]]},"page":"69-75","publisher":"Elsevier","title":"Vitiligo and Hashimoto's thyroiditis: Autoimmune diseases linked by clinical presentation, biochemical commonality, and autoimmune/oxidative stress-mediated toxicity pathogenesis","type":"article-journal","volume":"128"},"uris":["http://www.mendeley.com/documents/?uuid=45ee5def-7e3c-413e-bcae-6debb21b1356"]}],"mendeley":{"formattedCitation":"[4,5]","plainTextFormattedCitation":"[4,5]","previouslyFormattedCitation":"[4,5]"},"properties":{"noteIndex":0},"schema":"https://github.com/citation-style-language/schema/raw/master/csl-citation.json"}</w:instrText>
      </w:r>
      <w:r w:rsidR="000C6856" w:rsidRPr="00F54F89">
        <w:fldChar w:fldCharType="separate"/>
      </w:r>
      <w:r w:rsidR="00EA5ACF" w:rsidRPr="00F54F89">
        <w:rPr>
          <w:noProof/>
        </w:rPr>
        <w:t>[4,5]</w:t>
      </w:r>
      <w:r w:rsidR="000C6856" w:rsidRPr="00F54F89">
        <w:fldChar w:fldCharType="end"/>
      </w:r>
      <w:r w:rsidR="000C6856" w:rsidRPr="00F54F89">
        <w:t xml:space="preserve">, neurodegenerative diseases </w:t>
      </w:r>
      <w:r w:rsidR="000C6856" w:rsidRPr="00F54F89">
        <w:fldChar w:fldCharType="begin" w:fldLock="1"/>
      </w:r>
      <w:r w:rsidR="00BF6FF3" w:rsidRPr="00F54F89">
        <w:instrText>ADDIN CSL_CITATION {"citationItems":[{"id":"ITEM-1","itemData":{"ISSN":"18727972","abstract":"Parkinson's disease (PD) is defined as a chronic neurodegenerative disorder which is diagnosed mostly by its clinical manifestations. Reactive oxygen species (ROS) are considered as key modulators in the development of PD. Despite the intensive investigations, antioxidant-dependent molecular mechanisms of initiation and development of PD are controversial. Free radicals cause serious damage and death of dopamine producing cells when antioxidant capacity of the cells is reduced against oxidative stress (OxS). Many intracellular reactions create ROS, including activation of NADPH oxidase (NOX), mitochondrial dysfunction, and hydrogen peroxide (H₂O₂) decomposition. On the contrary, natural antioxidants, vitamins, proteins, and antioxidant signaling pathways are major factors to neutralize ROS and its destructive effects. The functional role of nuclear factor E2-related factor 2, Heme oxygenase-1, and selenium against ROS-dependent initiation and progression of PD is elucidated. In this review, we collected multiple factors that play the main role in the initiation, development, and pathogenesis of PD and we discussed their function in the PD.","author":[{"dropping-particle":"","family":"Hemmati-Dinarvand","given":"Mohsen","non-dropping-particle":"","parse-names":false,"suffix":""},{"dropping-particle":"","family":"Saedi","given":"Samira","non-dropping-particle":"","parse-names":false,"suffix":""},{"dropping-particle":"","family":"Valilo","given":"Mohammad","non-dropping-particle":"","parse-names":false,"suffix":""},{"dropping-particle":"","family":"Kalantary-Charvadeh","given":"Ashkan","non-dropping-particle":"","parse-names":false,"suffix":""},{"dropping-particle":"","family":"Alizadeh Sani","given":"Mahmood","non-dropping-particle":"","parse-names":false,"suffix":""},{"dropping-particle":"","family":"Kargar","given":"Roya","non-dropping-particle":"","parse-names":false,"suffix":""},{"dropping-particle":"","family":"Safari","given":"Hossein","non-dropping-particle":"","parse-names":false,"suffix":""},{"dropping-particle":"","family":"Samadi","given":"Nasser","non-dropping-particle":"","parse-names":false,"suffix":""}],"container-title":"Neuroscience Letters","id":"ITEM-1","issued":{"date-parts":[["2019"]]},"page":"134296","title":"Oxidative stress and Parkinson's disease: conflict of oxidant-antioxidant systems","type":"article-journal","volume":"709"},"uris":["http://www.mendeley.com/documents/?uuid=02bd54ad-028f-4a44-bcdf-e7f89d2f6c47"]}],"mendeley":{"formattedCitation":"[6]","plainTextFormattedCitation":"[6]","previouslyFormattedCitation":"[6]"},"properties":{"noteIndex":0},"schema":"https://github.com/citation-style-language/schema/raw/master/csl-citation.json"}</w:instrText>
      </w:r>
      <w:r w:rsidR="000C6856" w:rsidRPr="00F54F89">
        <w:fldChar w:fldCharType="separate"/>
      </w:r>
      <w:r w:rsidR="00EA5ACF" w:rsidRPr="00F54F89">
        <w:rPr>
          <w:noProof/>
        </w:rPr>
        <w:t>[6]</w:t>
      </w:r>
      <w:r w:rsidR="000C6856" w:rsidRPr="00F54F89">
        <w:fldChar w:fldCharType="end"/>
      </w:r>
      <w:r w:rsidR="000C6856" w:rsidRPr="00F54F89">
        <w:t xml:space="preserve">, chronic kidney disease </w:t>
      </w:r>
      <w:r w:rsidR="000C6856" w:rsidRPr="00F54F89">
        <w:fldChar w:fldCharType="begin" w:fldLock="1"/>
      </w:r>
      <w:r w:rsidR="00BF6FF3" w:rsidRPr="00F54F89">
        <w:instrText>ADDIN CSL_CITATION {"citationItems":[{"id":"ITEM-1","itemData":{"ISSN":"18734596","abstract":"Chronic kidney disease (CKD) patients have an extremely high risk of developing cardiovascular diseases (CVD) compared to the general population. Systemic inflammation associated with oxidative stress could be an important determinant of morbidity and mortality associated with CVD. We suspected that dysregulation of iron metabolism should be considered in these patients. Anemia is prevalent in CKD patients and is often treated with erythropoiesis-stimulating agents (ESAs) and iron. In addition, iron administration sometimes causes iron overdose. Excessive iron in the cytosol and mitochondria can accelerate the formation of a highly toxic reactive oxygen species, hydroxyl radicals, which damage lipids, proteins, and DNA. In this review, we propose the following four major reasons for oxidative stress in CKD patients: 1) iron is sequestered in cells by proinflammatory cytokines and hepcidin; 2) the reduction in frataxin increases “free” iron in mitochondria; 3) the accumulation of 5-aminolevulinic acid, a heme precursor, has toxic effects on iron and mitochondrial metabolism; and 4) the elevated levels of the metabolic hormone, leptin, promote hepatic hepcidin production. Although an efficient therapy for preventing oxidative stress in these patients has not yet been well defined, we propose that ESAs for renal anemia may ameliorate these causes of oxidative stress. Further clinical trials are necessary to clarify the effectiveness of ESAs on oxidative stress in CKD patients.","author":[{"dropping-particle":"","family":"Nakanishi","given":"Takeshi","non-dropping-particle":"","parse-names":false,"suffix":""},{"dropping-particle":"","family":"Kuragano","given":"Takahiro","non-dropping-particle":"","parse-names":false,"suffix":""},{"dropping-particle":"","family":"Nanami","given":"Masayoshi","non-dropping-particle":"","parse-names":false,"suffix":""},{"dropping-particle":"","family":"Nagasawa","given":"Yasuyuki","non-dropping-particle":"","parse-names":false,"suffix":""},{"dropping-particle":"","family":"Hasuike","given":"Yukiko","non-dropping-particle":"","parse-names":false,"suffix":""}],"container-title":"Free Radical Biology and Medicine","id":"ITEM-1","issued":{"date-parts":[["2019"]]},"page":"248-253","publisher":"Elsevier B.V.","title":"Misdistribution of iron and oxidative stress in chronic kidney disease","type":"article-journal","volume":"133"},"uris":["http://www.mendeley.com/documents/?uuid=e4c6cde3-bc55-488c-8f13-f7e83149b03a"]}],"mendeley":{"formattedCitation":"[7]","plainTextFormattedCitation":"[7]","previouslyFormattedCitation":"[7]"},"properties":{"noteIndex":0},"schema":"https://github.com/citation-style-language/schema/raw/master/csl-citation.json"}</w:instrText>
      </w:r>
      <w:r w:rsidR="000C6856" w:rsidRPr="00F54F89">
        <w:fldChar w:fldCharType="separate"/>
      </w:r>
      <w:r w:rsidR="00EA5ACF" w:rsidRPr="00F54F89">
        <w:rPr>
          <w:noProof/>
        </w:rPr>
        <w:t>[7]</w:t>
      </w:r>
      <w:r w:rsidR="000C6856" w:rsidRPr="00F54F89">
        <w:fldChar w:fldCharType="end"/>
      </w:r>
      <w:r w:rsidR="000C6856" w:rsidRPr="00F54F89">
        <w:t xml:space="preserve">, liver diseases </w:t>
      </w:r>
      <w:r w:rsidR="007D0946" w:rsidRPr="00F54F89">
        <w:fldChar w:fldCharType="begin" w:fldLock="1"/>
      </w:r>
      <w:r w:rsidR="007D0946" w:rsidRPr="00F54F89">
        <w:instrText>ADDIN CSL_CITATION {"citationItems":[{"id":"ITEM-1","itemData":{"ISSN":"25425684","abstract":"Autophagy is an evolutionarily conserved intracellular degradative function that is important for liver homeostasis. Accumulating evidence suggests that autophagy is deregulated during the progression and development of alcoholic and non-alcoholic liver diseases. Impaired autophagy prevents the clearance of excessive lipid droplets (LDs), damaged mitochondria, and toxic protein aggregates, which can be generated during the progression of various liver diseases, thus contributing to the development of steatosis, injury, steatohepatitis, fibrosis, and tumors. In this review, we look at the status of hepatic autophagy during the pathogenesis of alcoholic and non-alcoholic liver diseases. We also examine the mechanisms of defects in autophagy, and the hepato-protective roles of autophagy in non-alcoholic fatty liver disease (NAFLD) and alcoholic liver disease (ALD), focusing mainly on steatosis and liver injury. Finally, we discuss the therapeutic potential of autophagy modulating agents for the treatment of these two common liver diseases.","author":[{"dropping-particle":"","family":"Khambu","given":"Bilon","non-dropping-particle":"","parse-names":false,"suffix":""},{"dropping-particle":"","family":"Yan","given":"Shengmin","non-dropping-particle":"","parse-names":false,"suffix":""},{"dropping-particle":"","family":"Huda","given":"Nazmul","non-dropping-particle":"","parse-names":false,"suffix":""},{"dropping-particle":"","family":"Liu","given":"Gang","non-dropping-particle":"","parse-names":false,"suffix":""},{"dropping-particle":"","family":"Yin","given":"Xiao-Ming","non-dropping-particle":"","parse-names":false,"suffix":""}],"container-title":"Liver Research","id":"ITEM-1","issue":"3","issued":{"date-parts":[["2018"]]},"page":"112-119","publisher":"Elsevier Ltd","title":"Autophagy in non-alcoholic fatty liver disease and alcoholic liver disease","type":"article-journal","volume":"2"},"uris":["http://www.mendeley.com/documents/?uuid=0924e244-6def-4aaf-b4f6-64e3a9e2697a"]}],"mendeley":{"formattedCitation":"[8]","plainTextFormattedCitation":"[8]","previouslyFormattedCitation":"[8]"},"properties":{"noteIndex":0},"schema":"https://github.com/citation-style-language/schema/raw/master/csl-citation.json"}</w:instrText>
      </w:r>
      <w:r w:rsidR="007D0946" w:rsidRPr="00F54F89">
        <w:fldChar w:fldCharType="separate"/>
      </w:r>
      <w:r w:rsidR="007D0946" w:rsidRPr="00F54F89">
        <w:rPr>
          <w:noProof/>
        </w:rPr>
        <w:t>[8]</w:t>
      </w:r>
      <w:r w:rsidR="007D0946" w:rsidRPr="00F54F89">
        <w:fldChar w:fldCharType="end"/>
      </w:r>
      <w:r w:rsidR="007D0946" w:rsidRPr="00F54F89">
        <w:t xml:space="preserve"> </w:t>
      </w:r>
      <w:r w:rsidR="000C6856" w:rsidRPr="00F54F89">
        <w:t xml:space="preserve">and cancer </w:t>
      </w:r>
      <w:r w:rsidR="000C6856" w:rsidRPr="00F54F89">
        <w:fldChar w:fldCharType="begin" w:fldLock="1"/>
      </w:r>
      <w:r w:rsidR="007D0946" w:rsidRPr="00F54F89">
        <w:instrText>ADDIN CSL_CITATION {"citationItems":[{"id":"ITEM-1","itemData":{"ISSN":"07533322","author":[{"dropping-particle":"","family":"Lin","given":"Yuning","non-dropping-particle":"","parse-names":false,"suffix":""},{"dropping-particle":"","family":"Jiang","given":"Mei","non-dropping-particle":"","parse-names":false,"suffix":""},{"dropping-particle":"","family":"Chen","given":"Wanjun","non-dropping-particle":"","parse-names":false,"suffix":""},{"dropping-particle":"","family":"Zhao","given":"Tiejian","non-dropping-particle":"","parse-names":false,"suffix":""},{"dropping-particle":"","family":"Wei","given":"Yanfei","non-dropping-particle":"","parse-names":false,"suffix":""}],"container-title":"Biomedicine &amp; Pharmacotherapy","id":"ITEM-1","issued":{"date-parts":[["2019"]]},"page":"109249","title":"Cancer and ER stress: Mutual crosstalk between autophagy, oxidative stress and inflammatory response","type":"article-journal","volume":"118"},"uris":["http://www.mendeley.com/documents/?uuid=58d98859-5361-4521-8220-7a832011d867"]}],"mendeley":{"formattedCitation":"[9]","plainTextFormattedCitation":"[9]","previouslyFormattedCitation":"[9]"},"properties":{"noteIndex":0},"schema":"https://github.com/citation-style-language/schema/raw/master/csl-citation.json"}</w:instrText>
      </w:r>
      <w:r w:rsidR="000C6856" w:rsidRPr="00F54F89">
        <w:fldChar w:fldCharType="separate"/>
      </w:r>
      <w:r w:rsidR="007D0946" w:rsidRPr="00F54F89">
        <w:rPr>
          <w:noProof/>
        </w:rPr>
        <w:t>[9]</w:t>
      </w:r>
      <w:r w:rsidR="000C6856" w:rsidRPr="00F54F89">
        <w:fldChar w:fldCharType="end"/>
      </w:r>
      <w:r w:rsidR="000C6856" w:rsidRPr="00F54F89">
        <w:t xml:space="preserve">. Secondly, oxidative stress has been found to be the primary causes of skin aging. Some biochemical responses </w:t>
      </w:r>
      <w:r w:rsidR="002231AD" w:rsidRPr="00F54F89">
        <w:t>within the</w:t>
      </w:r>
      <w:r w:rsidR="000C6856" w:rsidRPr="00F54F89">
        <w:t xml:space="preserve"> human body</w:t>
      </w:r>
      <w:r w:rsidR="002231AD" w:rsidRPr="00F54F89">
        <w:t>,</w:t>
      </w:r>
      <w:r w:rsidR="000C6856" w:rsidRPr="00F54F89">
        <w:t xml:space="preserve"> </w:t>
      </w:r>
      <w:r w:rsidR="00CE3FB2" w:rsidRPr="00F54F89">
        <w:t>as well</w:t>
      </w:r>
      <w:r w:rsidR="000C6856" w:rsidRPr="00F54F89">
        <w:t xml:space="preserve"> external factors</w:t>
      </w:r>
      <w:r w:rsidR="002231AD" w:rsidRPr="00F54F89">
        <w:t>,</w:t>
      </w:r>
      <w:r w:rsidR="000C6856" w:rsidRPr="00F54F89">
        <w:t xml:space="preserve"> produce ROS </w:t>
      </w:r>
      <w:r w:rsidR="000C6856" w:rsidRPr="00F54F89">
        <w:fldChar w:fldCharType="begin" w:fldLock="1"/>
      </w:r>
      <w:r w:rsidR="007D0946" w:rsidRPr="00F54F89">
        <w:instrText>ADDIN CSL_CITATION {"citationItems":[{"id":"ITEM-1","itemData":{"ISSN":"03076938","abstract":"Chronic photodamage of the skin manifests itself as extrinsic skin ageing (photoageing) and photocarcinogenesis. DNA photodamage and UV-generated reactive oxygen species are the initial molecular events that lead to most of the typical histological and clinical manifestations of chronic photodamage of the skin. Knowledge of the UV-absorbing chromophores in the skin and of the molecular mechanisms leading to the unwanted effects of sun exposure provide a basis for the development of novel strategies for the prevention and repair of photoageing. This review provides an overview of the photochemistry of the major skin chromophores and their relationship to chronic photodamage.","author":[{"dropping-particle":"","family":"Trautinger","given":"F.","non-dropping-particle":"","parse-names":false,"suffix":""}],"container-title":"Clinical and Experimental Dermatology","id":"ITEM-1","issue":"7","issued":{"date-parts":[["2001"]]},"page":"573-577","title":"Mechanisms of photodamage of the skin and its functional consequences for skin ageing","type":"article-journal","volume":"26"},"uris":["http://www.mendeley.com/documents/?uuid=193741ce-cc6f-4a4c-b8a7-5f64d3e35acb"]}],"mendeley":{"formattedCitation":"[10]","plainTextFormattedCitation":"[10]","previouslyFormattedCitation":"[10]"},"properties":{"noteIndex":0},"schema":"https://github.com/citation-style-language/schema/raw/master/csl-citation.json"}</w:instrText>
      </w:r>
      <w:r w:rsidR="000C6856" w:rsidRPr="00F54F89">
        <w:fldChar w:fldCharType="separate"/>
      </w:r>
      <w:r w:rsidR="007D0946" w:rsidRPr="00F54F89">
        <w:rPr>
          <w:noProof/>
        </w:rPr>
        <w:t>[10]</w:t>
      </w:r>
      <w:r w:rsidR="000C6856" w:rsidRPr="00F54F89">
        <w:fldChar w:fldCharType="end"/>
      </w:r>
      <w:r w:rsidR="000C6856" w:rsidRPr="00F54F89">
        <w:t>. The production</w:t>
      </w:r>
      <w:r w:rsidR="002231AD" w:rsidRPr="00F54F89">
        <w:t xml:space="preserve"> of</w:t>
      </w:r>
      <w:r w:rsidR="000C6856" w:rsidRPr="00F54F89">
        <w:t xml:space="preserve"> ROS in the skin is initiated by UV radiation</w:t>
      </w:r>
      <w:r w:rsidR="003A0A9C" w:rsidRPr="00F54F89">
        <w:t xml:space="preserve"> which </w:t>
      </w:r>
      <w:r w:rsidR="000C6856" w:rsidRPr="00F54F89">
        <w:t xml:space="preserve">leads to lipid peroxidation in cells, resulting in mitochondrial damage </w:t>
      </w:r>
      <w:r w:rsidR="000C6856" w:rsidRPr="00F54F89">
        <w:fldChar w:fldCharType="begin" w:fldLock="1"/>
      </w:r>
      <w:r w:rsidR="007D0946" w:rsidRPr="00F54F89">
        <w:instrText>ADDIN CSL_CITATION {"citationItems":[{"id":"ITEM-1","itemData":{"ISSN":"00145793","abstract":"A new perspective is emerging indicating that mitochondria play a critical role in aging not only because they are the major source and the most proximal target of reactive oxygen species, but also because they regulate stress response and apoptosis. Recent literature indicates that, in response to stress, a variety of molecules translocate to and localise in mitochondria. These molecules are likely to interact with each other, in order to mediate mitochondria/nucleus cross-talk and to regulate apoptosis. We surmise that an integration of signals in multimolecular complexes occurs at mitochondrial level. These phenomena can be of critical importance for human aging and longevity. © 2001 Federation of European Biochemical Societies.","author":[{"dropping-particle":"","family":"Salvioli","given":"Stefano","non-dropping-particle":"","parse-names":false,"suffix":""},{"dropping-particle":"","family":"Bonafè","given":"Massimiliano","non-dropping-particle":"","parse-names":false,"suffix":""},{"dropping-particle":"","family":"Capri","given":"Miriam","non-dropping-particle":"","parse-names":false,"suffix":""},{"dropping-particle":"","family":"Monti","given":"Daniela","non-dropping-particle":"","parse-names":false,"suffix":""},{"dropping-particle":"","family":"Franceschi","given":"Claudio","non-dropping-particle":"","parse-names":false,"suffix":""}],"container-title":"FEBS Letters","id":"ITEM-1","issue":"1-2","issued":{"date-parts":[["2001"]]},"page":"9-13","title":"Mitochondria, aging and longevity - A new perspective","type":"article-journal","volume":"492"},"uris":["http://www.mendeley.com/documents/?uuid=a13ff7aa-7b38-4a1a-b59a-4eedfc1d5d98"]}],"mendeley":{"formattedCitation":"[11]","plainTextFormattedCitation":"[11]","previouslyFormattedCitation":"[11]"},"properties":{"noteIndex":0},"schema":"https://github.com/citation-style-language/schema/raw/master/csl-citation.json"}</w:instrText>
      </w:r>
      <w:r w:rsidR="000C6856" w:rsidRPr="00F54F89">
        <w:fldChar w:fldCharType="separate"/>
      </w:r>
      <w:r w:rsidR="007D0946" w:rsidRPr="00F54F89">
        <w:rPr>
          <w:noProof/>
        </w:rPr>
        <w:t>[11]</w:t>
      </w:r>
      <w:r w:rsidR="000C6856" w:rsidRPr="00F54F89">
        <w:fldChar w:fldCharType="end"/>
      </w:r>
      <w:r w:rsidR="000C6856" w:rsidRPr="00F54F89">
        <w:t>. The</w:t>
      </w:r>
      <w:r w:rsidR="003A0A9C" w:rsidRPr="00F54F89">
        <w:t>se</w:t>
      </w:r>
      <w:r w:rsidR="000C6856" w:rsidRPr="00F54F89">
        <w:t xml:space="preserve"> radicals decrease the collagen and elastin in the skin. </w:t>
      </w:r>
      <w:r w:rsidR="003A0A9C" w:rsidRPr="00F54F89">
        <w:t xml:space="preserve">This will consequently cause </w:t>
      </w:r>
      <w:r w:rsidR="000C6856" w:rsidRPr="00F54F89">
        <w:t>thinning, loosening</w:t>
      </w:r>
      <w:r w:rsidR="002231AD" w:rsidRPr="00F54F89">
        <w:t>,</w:t>
      </w:r>
      <w:r w:rsidR="000C6856" w:rsidRPr="00F54F89">
        <w:t xml:space="preserve"> and </w:t>
      </w:r>
      <w:r w:rsidR="00CE3FB2" w:rsidRPr="00F54F89">
        <w:t>wrinkling of the skin.</w:t>
      </w:r>
      <w:r w:rsidR="003455CE" w:rsidRPr="00F54F89">
        <w:t xml:space="preserve"> </w:t>
      </w:r>
      <w:r w:rsidR="00E148A1" w:rsidRPr="00F54F89">
        <w:t>These findings have</w:t>
      </w:r>
      <w:r w:rsidR="000C6856" w:rsidRPr="00F54F89">
        <w:t xml:space="preserve"> brought the important role of antioxidant</w:t>
      </w:r>
      <w:r w:rsidR="002231AD" w:rsidRPr="00F54F89">
        <w:t>s</w:t>
      </w:r>
      <w:r w:rsidR="000C6856" w:rsidRPr="00F54F89">
        <w:t xml:space="preserve"> into perspective. Although synthetic antioxidants have been widely investigated, the </w:t>
      </w:r>
      <w:r w:rsidR="00CE3FB2" w:rsidRPr="00F54F89">
        <w:t>natural sources continue</w:t>
      </w:r>
      <w:r w:rsidR="000C6856" w:rsidRPr="00F54F89">
        <w:t xml:space="preserve"> to be the leading </w:t>
      </w:r>
      <w:r w:rsidR="00CE3FB2" w:rsidRPr="00F54F89">
        <w:t>reservoir of</w:t>
      </w:r>
      <w:r w:rsidR="000C6856" w:rsidRPr="00F54F89">
        <w:t xml:space="preserve"> antioxidant compounds. </w:t>
      </w:r>
      <w:r w:rsidR="002231AD" w:rsidRPr="00F54F89">
        <w:t>To date,</w:t>
      </w:r>
      <w:r w:rsidR="000C6856" w:rsidRPr="00F54F89">
        <w:t xml:space="preserve"> extensive number</w:t>
      </w:r>
      <w:r w:rsidR="002231AD" w:rsidRPr="00F54F89">
        <w:t>s</w:t>
      </w:r>
      <w:r w:rsidR="000C6856" w:rsidRPr="00F54F89">
        <w:t xml:space="preserve"> of studies have been carried out on natural sources, particularly on those containing polyphenols and flavonoids which have been prove</w:t>
      </w:r>
      <w:r w:rsidR="002231AD" w:rsidRPr="00F54F89">
        <w:t>n</w:t>
      </w:r>
      <w:r w:rsidR="000C6856" w:rsidRPr="00F54F89">
        <w:t xml:space="preserve"> to exhibit antioxidant activities </w:t>
      </w:r>
      <w:r w:rsidR="000C6856" w:rsidRPr="00F54F89">
        <w:fldChar w:fldCharType="begin" w:fldLock="1"/>
      </w:r>
      <w:r w:rsidR="007D0946" w:rsidRPr="00F54F89">
        <w:instrText>ADDIN CSL_CITATION {"citationItems":[{"id":"ITEM-1","itemData":{"ISSN":"17564646","abstract":"Alcoholic steatohepatitis is an important medical problem but its effective therapies are still not available. Plant polyphenols are widely used for prevention of toxic liver damages. The aim of the study was to evaluate the hepatoprotective mechanism(s) of a cranberry peel polyphenol-rich extract, focusing on the effects of the polyphenols on the mitochondrial function. The main components of cranberry peel phenolic compounds were anthocyanins, flavan-3-ols, procyanidins, flavonols, phenolic acids, as was detected using UHPLC-ESI-QTOF-MS. The treatment of rats receiving ethanol (4 g/kg bw, 8 weeks) with cranberry polyphenols (daily, 4 mg/kg bw) partially prevented alcoholic liver damage, ameliorating steatosis and inflammatory signs in the liver, decreasing serum and liver triglyceride contents, ALT and AST activities, as well as diminishing TNFα and TGFβ levels in serum. The polyphenols inhibited Ca 2+ - induced mitochondrial permeability transition, free radical generation in mitochondria during intoxication. The polyphenols (25 µg/ml) prevented mitochondrial oxidative impairments in vitro. In conclusion, the cranberry peel polyphenols with antioxidant properties exerted a hepatoprotective and anti-inflammatory effects in the model of alcoholic steatohepatitis via prevention of liver mitochondria dysfunction.","author":[{"dropping-particle":"","family":"Zavodnik","given":"Ilya","non-dropping-particle":"","parse-names":false,"suffix":""},{"dropping-particle":"","family":"Buko","given":"Vyacheslav","non-dropping-particle":"","parse-names":false,"suffix":""},{"dropping-particle":"","family":"Lukivskaya","given":"Oxana","non-dropping-particle":"","parse-names":false,"suffix":""},{"dropping-particle":"","family":"Lapshina","given":"Elena","non-dropping-particle":"","parse-names":false,"suffix":""},{"dropping-particle":"","family":"Ilyich","given":"Tatsiana","non-dropping-particle":"","parse-names":false,"suffix":""},{"dropping-particle":"","family":"Belonovskaya","given":"Elena","non-dropping-particle":"","parse-names":false,"suffix":""},{"dropping-particle":"","family":"Kirko","given":"Siarhei","non-dropping-particle":"","parse-names":false,"suffix":""},{"dropping-particle":"","family":"Naruta","given":"Elena","non-dropping-particle":"","parse-names":false,"suffix":""},{"dropping-particle":"","family":"Kuzmitskaya","given":"Irina","non-dropping-particle":"","parse-names":false,"suffix":""},{"dropping-particle":"","family":"Budryn","given":"Grazyna","non-dropping-particle":"","parse-names":false,"suffix":""},{"dropping-particle":"","family":"Zyzelevicz","given":"Dorota","non-dropping-particle":"","parse-names":false,"suffix":""},{"dropping-particle":"","family":"Orach","given":"Joanna","non-dropping-particle":"","parse-names":false,"suffix":""},{"dropping-particle":"","family":"Zakrzeska","given":"Agnieszka","non-dropping-particle":"","parse-names":false,"suffix":""},{"dropping-particle":"","family":"Kiryukhina","given":"Lyudmila","non-dropping-particle":"","parse-names":false,"suffix":""}],"container-title":"Journal of Functional Foods","id":"ITEM-1","issued":{"date-parts":[["2019"]]},"page":"83-94","publisher":"Elsevier","title":"Cranberry (Vaccinium macrocarpon) peel polyphenol-rich extract attenuates rat liver mitochondria impairments in alcoholic steatohepatitis in vivo and after oxidative treatment in vitro","type":"article-journal","volume":"57"},"uris":["http://www.mendeley.com/documents/?uuid=e77ce619-bece-432b-93c1-bda0b6ecc7ed"]},{"id":"ITEM-2","itemData":{"ISSN":"18736351","abstract":"Oxidative stress leads to many disorders as diabetes mellitus and liver diseases. This study evaluates the antihyperglycemic and hepatoprotective activities of Brachychiton rupestris (Malvaceae). The antihyperglycemic activity of the total methanol extract of B. rupestris leaves (BRT) and its ethyl acetate fraction (BRE) was evaluated using streptozotocin induced diabetic rats. The hepatoprotective activity was assessed using carbon-tetrachloride induced hepatotoxicity. Oral administration of 50 mg/kg b.wt (body weight) of BRT and BRE to Streptozotocin -diabetic rats caused a notable decrease in serum glucose by 39.38 and 42.09% with 35.62 and 15.44% increase in serum insulin, respectively, compared with Streptozotocin-diabetic rats. Oral administration of BRT and BRE to carbon-tetrachloride -treated rats (50 mg/kg b.wt) resulted in reduction in serum aspartate transaminase (AST) (28.88 and 27.2%, respectively) and alanine transaminase (ALT) (8 and 13.56%) levels, respectively. They also ameliorated oxidative stress in both models as evidenced from oxidative stress markers. Liquid chromatography coupled with electrospray ionization mass spectrometry (LC-ESI-MS) analysis of the most active fraction (BRE) identified nine compounds including flavonoids and phenolic acids. Molecular modelling of the identified compounds was performed on human pancreatic α-amylase (HPA) and human α-glucosidase (HAG) using Discovery Studio 2.5. Quercetin-3-O-(6″-O-α-L-rhamnopyranosyl)-β-D-glucoside showed the greatest affinity towards both HPA and HAG. Thus, this study provided scientific evidence on the antihyperglycemic and hepatoprotective activities of Brachychiton rupestris.","author":[{"dropping-particle":"","family":"Thabet","given":"Amany A.","non-dropping-particle":"","parse-names":false,"suffix":""},{"dropping-particle":"","family":"Youssef","given":"Fadia S.","non-dropping-particle":"","parse-names":false,"suffix":""},{"dropping-particle":"","family":"El-Shazly","given":"Mohamed","non-dropping-particle":"","parse-names":false,"suffix":""},{"dropping-particle":"","family":"El-Beshbishy","given":"Hesham A.","non-dropping-particle":"","parse-names":false,"suffix":""},{"dropping-particle":"","family":"Singab","given":"Abdel Nasser B.","non-dropping-particle":"","parse-names":false,"suffix":""}],"container-title":"Food and Chemical Toxicology","id":"ITEM-2","issued":{"date-parts":[["2018"]]},"page":"302-310","publisher":"Elsevier","title":"Validation of the antihyperglycaemic and hepatoprotective activity of the flavonoid rich fraction of Brachychiton rupestris using in vivo experimental models and molecular modelling","type":"article-journal","volume":"114"},"uris":["http://www.mendeley.com/documents/?uuid=b5989b31-3d63-42d0-8e49-19cf2e372e6e"]}],"mendeley":{"formattedCitation":"[12,13]","plainTextFormattedCitation":"[12,13]","previouslyFormattedCitation":"[12,13]"},"properties":{"noteIndex":0},"schema":"https://github.com/citation-style-language/schema/raw/master/csl-citation.json"}</w:instrText>
      </w:r>
      <w:r w:rsidR="000C6856" w:rsidRPr="00F54F89">
        <w:fldChar w:fldCharType="separate"/>
      </w:r>
      <w:r w:rsidR="007D0946" w:rsidRPr="00F54F89">
        <w:rPr>
          <w:noProof/>
        </w:rPr>
        <w:t>[12,13]</w:t>
      </w:r>
      <w:r w:rsidR="000C6856" w:rsidRPr="00F54F89">
        <w:fldChar w:fldCharType="end"/>
      </w:r>
      <w:r w:rsidR="000C6856" w:rsidRPr="00F54F89">
        <w:t>. Compared to their synthetic counterparts, natural antioxidants possess several advantages</w:t>
      </w:r>
      <w:r w:rsidR="00CE3FB2" w:rsidRPr="00F54F89">
        <w:t>,</w:t>
      </w:r>
      <w:r w:rsidR="000C6856" w:rsidRPr="00F54F89">
        <w:t xml:space="preserve"> including </w:t>
      </w:r>
      <w:r w:rsidR="002231AD" w:rsidRPr="00F54F89">
        <w:t>fewer</w:t>
      </w:r>
      <w:r w:rsidR="000C6856" w:rsidRPr="00F54F89">
        <w:t xml:space="preserve"> side effect</w:t>
      </w:r>
      <w:r w:rsidR="002231AD" w:rsidRPr="00F54F89">
        <w:t>s</w:t>
      </w:r>
      <w:r w:rsidR="000C6856" w:rsidRPr="00F54F89">
        <w:t xml:space="preserve"> and</w:t>
      </w:r>
      <w:r w:rsidR="00CE3FB2" w:rsidRPr="00F54F89">
        <w:t xml:space="preserve"> lower</w:t>
      </w:r>
      <w:r w:rsidR="002231AD" w:rsidRPr="00F54F89">
        <w:t xml:space="preserve"> financial</w:t>
      </w:r>
      <w:r w:rsidR="000C6856" w:rsidRPr="00F54F89">
        <w:t xml:space="preserve"> cost</w:t>
      </w:r>
      <w:r w:rsidR="002231AD" w:rsidRPr="00F54F89">
        <w:t>s</w:t>
      </w:r>
      <w:r w:rsidR="000C6856" w:rsidRPr="00F54F89">
        <w:t>. Therefore, the</w:t>
      </w:r>
      <w:r w:rsidR="002231AD" w:rsidRPr="00F54F89">
        <w:t>re is a need to develop</w:t>
      </w:r>
      <w:r w:rsidR="000C6856" w:rsidRPr="00F54F89">
        <w:t xml:space="preserve"> novel antioxidant compounds from natural sources. </w:t>
      </w:r>
    </w:p>
    <w:p w14:paraId="0C26DFF4" w14:textId="30E830C5" w:rsidR="000C6856" w:rsidRPr="00F54F89" w:rsidRDefault="000C6856" w:rsidP="000C6856">
      <w:pPr>
        <w:spacing w:line="360" w:lineRule="auto"/>
        <w:jc w:val="both"/>
      </w:pPr>
      <w:r w:rsidRPr="00F54F89">
        <w:t>Propolis, a bee product, is one example of</w:t>
      </w:r>
      <w:r w:rsidR="002231AD" w:rsidRPr="00F54F89">
        <w:t xml:space="preserve"> a</w:t>
      </w:r>
      <w:r w:rsidR="00CE3FB2" w:rsidRPr="00F54F89">
        <w:t xml:space="preserve"> natural product with </w:t>
      </w:r>
      <w:r w:rsidRPr="00F54F89">
        <w:t>promising antioxidant activity. Propolis is often referred</w:t>
      </w:r>
      <w:r w:rsidR="002231AD" w:rsidRPr="00F54F89">
        <w:t xml:space="preserve"> to</w:t>
      </w:r>
      <w:r w:rsidRPr="00F54F89">
        <w:t xml:space="preserve"> as “bee glue” and is described as</w:t>
      </w:r>
      <w:r w:rsidR="00CE3FB2" w:rsidRPr="00F54F89">
        <w:t xml:space="preserve"> a</w:t>
      </w:r>
      <w:r w:rsidRPr="00F54F89">
        <w:t xml:space="preserve"> resinous material produced by honeybees from leaves, flowers, sprouts, or other parts of various plants </w:t>
      </w:r>
      <w:r w:rsidRPr="00F54F89">
        <w:fldChar w:fldCharType="begin" w:fldLock="1"/>
      </w:r>
      <w:r w:rsidR="007D0946" w:rsidRPr="00F54F89">
        <w:instrText>ADDIN CSL_CITATION {"citationItems":[{"id":"ITEM-1","itemData":{"ISSN":"19420994","abstract":"Honeybees products comprise of numerous substances, including propolis, bee pollen, and royal jelly, which have long been known for their medicinal and health-promoting properties. Their wide biological effects have been known and used since antiquity. Bee products are considered to be a potential source of natural antioxidants such as flavonoids, phenolic acids, or terpenoids. Nowadays, the still growing concern in natural substances capable of counteracting the effects of oxidative stress underlying the pathogenesis of numerous diseases, such as neurodegenerative disorders, cancer, diabetes, and atherosclerosis, as well as negative effects of different harmful factors and drugs, is being observed. Having regarded the importance of acquiring drugs from natural sources, this review is aimed at updating the current state of knowledge of antioxidant capacity of selected bee products, namely, propolis, bee pollen, and royal jelly, and of their potential antioxidant-related therapeutic applications. Moreover, the particular attention has been attributed to the understanding of the mechanisms underlying antioxidant properties of bee products. The influence of bee species, plant origin, geographic location, and seasonality as well as type of extraction solutions on the composition of bee products extracts were also discussed.","author":[{"dropping-particle":"","family":"Kocot","given":"Joanna","non-dropping-particle":"","parse-names":false,"suffix":""},{"dropping-particle":"","family":"Kiełczykowska","given":"Małgorzata","non-dropping-particle":"","parse-names":false,"suffix":""},{"dropping-particle":"","family":"Luchowska-Kocot","given":"Dorota","non-dropping-particle":"","parse-names":false,"suffix":""},{"dropping-particle":"","family":"Kurzepa","given":"Jacek","non-dropping-particle":"","parse-names":false,"suffix":""},{"dropping-particle":"","family":"Musik","given":"Irena","non-dropping-particle":"","parse-names":false,"suffix":""}],"container-title":"Oxidative Medicine and Cellular Longevity","id":"ITEM-1","issued":{"date-parts":[["2018"]]},"page":"1-29","title":"Antioxidant potential of propolis, bee pollen, and royal jelly: Possible medical application","type":"article-journal","volume":"2018"},"uris":["http://www.mendeley.com/documents/?uuid=fd09392f-bf58-437a-8a5a-1b94b996fe70"]}],"mendeley":{"formattedCitation":"[14]","plainTextFormattedCitation":"[14]","previouslyFormattedCitation":"[14]"},"properties":{"noteIndex":0},"schema":"https://github.com/citation-style-language/schema/raw/master/csl-citation.json"}</w:instrText>
      </w:r>
      <w:r w:rsidRPr="00F54F89">
        <w:fldChar w:fldCharType="separate"/>
      </w:r>
      <w:r w:rsidR="007D0946" w:rsidRPr="00F54F89">
        <w:rPr>
          <w:noProof/>
        </w:rPr>
        <w:t>[14]</w:t>
      </w:r>
      <w:r w:rsidRPr="00F54F89">
        <w:fldChar w:fldCharType="end"/>
      </w:r>
      <w:r w:rsidRPr="00F54F89">
        <w:t xml:space="preserve">. The excellent antioxidant activity of propolis has been attributed to the high content of flavonoid and other phenolic compounds </w:t>
      </w:r>
      <w:r w:rsidRPr="00F54F89">
        <w:fldChar w:fldCharType="begin" w:fldLock="1"/>
      </w:r>
      <w:r w:rsidR="007D0946" w:rsidRPr="00F54F89">
        <w:instrText>ADDIN CSL_CITATION {"citationItems":[{"id":"ITEM-1","itemData":{"ISSN":"18737145","abstract":"Propolis is a resinous bee hive product that has many biological activities. In this study, a total of 11 raw propolis samples were collected from various geographical areas in Turkey. Phenolic compounds were extracted from all samples and analyses of total phenolics and flavonoids and total antioxidant capacities were performed. All the samples showed high total phenolic and flavonoid contents and antioxidant capacities. Moreover, the in vitro bioaccessibility of Turkish propolis samples were investigated according to simulated in vitro gastrointestinal digestion method. Bioaccessibility was increased through the gastric and intestinal phases. Furthermore, the composition of polyphenols (phenolic acids and flavonoids) in Turkish propolis extracts was investigated by LC-MS/MS method. A total of 32 phenolic compounds, including Caffeic acid phenylethyl ester (CAPE) which was observed in all samples, were identified in the samples. Higher CAPE contents were determined in the samples from the Marmara region which is in line with its higher antioxidant capacity values. As a conclusion, propolis samples collected from different geographical locations differ for their phenolic and flavonoid contents, individual phenolic profile and bioaccessibility.","author":[{"dropping-particle":"","family":"Ozdal","given":"Tugba","non-dropping-particle":"","parse-names":false,"suffix":""},{"dropping-particle":"","family":"Ceylan","given":"Fatma Duygu","non-dropping-particle":"","parse-names":false,"suffix":""},{"dropping-particle":"","family":"Eroglu","given":"Nazife","non-dropping-particle":"","parse-names":false,"suffix":""},{"dropping-particle":"","family":"Kaplan","given":"Muammer","non-dropping-particle":"","parse-names":false,"suffix":""},{"dropping-particle":"","family":"Olgun","given":"Elmas Oktem","non-dropping-particle":"","parse-names":false,"suffix":""},{"dropping-particle":"","family":"Capanoglu","given":"Esra","non-dropping-particle":"","parse-names":false,"suffix":""}],"container-title":"Food Research International","id":"ITEM-1","issued":{"date-parts":[["2019"]]},"page":"528-536","publisher":"Elsevier","title":"Investigation of antioxidant capacity, bioaccessibility and LC-MS/MS phenolic profile of Turkish propolis","type":"article-journal","volume":"122"},"uris":["http://www.mendeley.com/documents/?uuid=c14eaadb-e915-43b9-8f62-37b7f3d27c8e"]}],"mendeley":{"formattedCitation":"[15]","plainTextFormattedCitation":"[15]","previouslyFormattedCitation":"[15]"},"properties":{"noteIndex":0},"schema":"https://github.com/citation-style-language/schema/raw/master/csl-citation.json"}</w:instrText>
      </w:r>
      <w:r w:rsidRPr="00F54F89">
        <w:fldChar w:fldCharType="separate"/>
      </w:r>
      <w:r w:rsidR="007D0946" w:rsidRPr="00F54F89">
        <w:rPr>
          <w:noProof/>
        </w:rPr>
        <w:t>[15]</w:t>
      </w:r>
      <w:r w:rsidRPr="00F54F89">
        <w:fldChar w:fldCharType="end"/>
      </w:r>
      <w:r w:rsidRPr="00F54F89">
        <w:t xml:space="preserve">. </w:t>
      </w:r>
      <w:r w:rsidR="00D751AB" w:rsidRPr="00F54F89">
        <w:t xml:space="preserve">Additionally, caffeic acid (CA), quercetin (QU) and kaempferol (KP) contained </w:t>
      </w:r>
      <w:r w:rsidR="00CE3FB2" w:rsidRPr="00F54F89">
        <w:t>in</w:t>
      </w:r>
      <w:r w:rsidR="00D751AB" w:rsidRPr="00F54F89">
        <w:t xml:space="preserve"> propolis have </w:t>
      </w:r>
      <w:r w:rsidR="00CE3FB2" w:rsidRPr="00F54F89">
        <w:t xml:space="preserve">all </w:t>
      </w:r>
      <w:r w:rsidR="00D751AB" w:rsidRPr="00F54F89">
        <w:t xml:space="preserve">shown </w:t>
      </w:r>
      <w:r w:rsidR="00CE3FB2" w:rsidRPr="00F54F89">
        <w:t>strong</w:t>
      </w:r>
      <w:r w:rsidR="00D751AB" w:rsidRPr="00F54F89">
        <w:t xml:space="preserve"> antioxidant </w:t>
      </w:r>
      <w:r w:rsidR="00CE3FB2" w:rsidRPr="00F54F89">
        <w:t>capacity to protect</w:t>
      </w:r>
      <w:r w:rsidR="00D751AB" w:rsidRPr="00F54F89">
        <w:t xml:space="preserve"> body tissues from oxidative</w:t>
      </w:r>
      <w:r w:rsidR="00CE3FB2" w:rsidRPr="00F54F89">
        <w:t xml:space="preserve"> stress </w:t>
      </w:r>
      <w:r w:rsidR="00D751AB" w:rsidRPr="00F54F89">
        <w:fldChar w:fldCharType="begin" w:fldLock="1"/>
      </w:r>
      <w:r w:rsidR="007D0946" w:rsidRPr="00F54F89">
        <w:instrText>ADDIN CSL_CITATION {"citationItems":[{"id":"ITEM-1","itemData":{"ISSN":"13861425","abstract":"Caffeic acid (CA) is a plant metabolite acting as a carcinogenic inhibitor, and exhibits a high antioxidant effect and some antimicrobial activity. Besides, this compound can be useful in the prevention of heart diseases and atherosclerosis, among others. The present study aims to determine the in vitro antioxidant activity of CA in order to increase the frequency of its use and reliability in the prevention of damage caused by free radicals and other reactive species. The tests performed were as follows: Radical anion superoxide capture; crocin bleaching assay; capturing ability of hypochlorous acid; H 2 O 2 capture; capturing capacity of the ABTS •+ /DPPH • ; and SOD-like activity. The values of the CA antioxidant activity were very close to the values of standards in all tests. Besides, CA presented an antioxidant activity greater than that of ascorbic acid and trolox, and its advantages include higher stability than ascorbic acid and extraction from natural sources, as opposed to trolox.","author":[{"dropping-particle":"","family":"Spagnol","given":"Caroline Magnani","non-dropping-particle":"","parse-names":false,"suffix":""},{"dropping-particle":"","family":"Assis","given":"Renata Pires","non-dropping-particle":"","parse-names":false,"suffix":""},{"dropping-particle":"","family":"Brunetti","given":"Iguatemy Lourenço","non-dropping-particle":"","parse-names":false,"suffix":""},{"dropping-particle":"","family":"Isaac","given":"Vera Lucia Borges","non-dropping-particle":"","parse-names":false,"suffix":""},{"dropping-particle":"","family":"Salgado","given":"Hérida Regina Nunes","non-dropping-particle":"","parse-names":false,"suffix":""},{"dropping-particle":"","family":"Corrêa","given":"Marcos Antonio","non-dropping-particle":"","parse-names":false,"suffix":""}],"container-title":"Spectrochimica Acta - Part A: Molecular and Biomolecular Spectroscopy","id":"ITEM-1","issued":{"date-parts":[["2019"]]},"page":"358-366","title":"In vitro methods to determine the antioxidant activity of caffeic acid","type":"article-journal","volume":"219"},"uris":["http://www.mendeley.com/documents/?uuid=5b118945-a485-44f9-8971-65b4b31590eb"]},{"id":"ITEM-2","itemData":{"ISSN":"18785352","abstract":"The present study was designed to evaluate the antioxidant potential of three natural origin drugs, namely crocin, kaempferol and podophyllotoxin by chemical, biochemical and electrochemical assays. The chemical assay was carried out by DPPH and reducing power assays while the biochemical assay evaluated the lipid peroxidation inhibition capacity, using brain cells as models; the electrochemical characterization was performed by cyclic voltammetry and differential pulse voltammetry using multi-walled carbon nanotube paste electrode (MWCNTPE) in 0.02 M acetate buffer (pH 4.5). The superoxide radical scavenging activity was performed at dropping mercury electrode (DME) in 0.1 M KCl. All the species proved to have antioxidant activity, and particularly, by the electrochemical techniques, it has been shown that these drugs showed scavenging ability on superoxide anion produced by electrochemical reduction of oxygen. The highest scavenging property of crocin may be due to the hydroxyl and glucose moieties that could provide the necessary component as a radical scavenger.","author":[{"dropping-particle":"","family":"Dar","given":"Riyaz A.","non-dropping-particle":"","parse-names":false,"suffix":""},{"dropping-particle":"","family":"Brahman","given":"Pradeep K.","non-dropping-particle":"","parse-names":false,"suffix":""},{"dropping-particle":"","family":"Khurana","given":"N.","non-dropping-particle":"","parse-names":false,"suffix":""},{"dropping-particle":"","family":"Wagay","given":"Javed A.","non-dropping-particle":"","parse-names":false,"suffix":""},{"dropping-particle":"","family":"Lone","given":"Zahoor A.","non-dropping-particle":"","parse-names":false,"suffix":""},{"dropping-particle":"","family":"Ganaie","given":"Mohd A.","non-dropping-particle":"","parse-names":false,"suffix":""},{"dropping-particle":"","family":"Pitre","given":"Krishna S.","non-dropping-particle":"","parse-names":false,"suffix":""}],"container-title":"Arabian Journal of Chemistry","id":"ITEM-2","issued":{"date-parts":[["2017"]]},"page":"S1119-S1128","title":"Evaluation of antioxidant activity of crocin, podophyllotoxin and kaempferol by chemical, biochemical and electrochemical assays","type":"article-journal","volume":"10"},"uris":["http://www.mendeley.com/documents/?uuid=530ad167-32dd-4302-a67f-96f46bc5bcfe"]},{"id":"ITEM-3","itemData":{"ISSN":"03785173","author":[{"dropping-particle":"","family":"Simon","given":"L.","non-dropping-particle":"","parse-names":false,"suffix":""},{"dropping-particle":"","family":"Vincent","given":"M.","non-dropping-particle":"","parse-names":false,"suffix":""},{"dropping-particle":"","family":"Saux","given":"S.","non-dropping-particle":"Le","parse-names":false,"suffix":""},{"dropping-particle":"","family":"Lapinte","given":"V.","non-dropping-particle":"","parse-names":false,"suffix":""},{"dropping-particle":"","family":"Marcotte","given":"N.","non-dropping-particle":"","parse-names":false,"suffix":""},{"dropping-particle":"","family":"Morille","given":"M.","non-dropping-particle":"","parse-names":false,"suffix":""},{"dropping-particle":"","family":"Dorandeu","given":"C.","non-dropping-particle":"","parse-names":false,"suffix":""},{"dropping-particle":"","family":"Devoisselle","given":"J.M.","non-dropping-particle":"","parse-names":false,"suffix":""},{"dropping-particle":"","family":"Bégu","given":"S.","non-dropping-particle":"","parse-names":false,"suffix":""}],"container-title":"International Journal of Pharmaceutics","id":"ITEM-3","issued":{"date-parts":[["2019"]]},"page":"118516","publisher":"Elsevier","title":"Polyoxazolines based mixed micelles as PEG free formulations for an effective quercetin antioxidant topical delivery","type":"article-journal","volume":"570"},"uris":["http://www.mendeley.com/documents/?uuid=87ee4a01-c49b-4158-bfed-550f0c681145"]},{"id":"ITEM-4","itemData":{"ISSN":"13190164","abstract":"In the present work attempts have been made to prepare the nanostructured lipid carrier (NLC) gel, by using minoxidil, which is preferably used in case of Alopecia, i.e. baldness pattern as a effective drug. The nine different formulations of Minoxidil-NLC (NLC1-NLC9) were prepared using solid and liquid lipids with Cholesterol and Soya lecithin in different concentrations by the melt dispersion ultrasonication method. Properties of NLC1-NLC9 such as the particle size and its distribution, the scanning electron microscopy (SEM), the drug entrapment efficiency (EE), and the drug release behavior were investigated. The nanoparticulate dispersion was suitably gelled and characterized with respect to drug content, pH, spreadability, rheology, and in vitro release. Safety of the NLC-based gel was assessed using primary skin irritation studies. The formulated NLC3 was spherical in shape, with average particle size of 280. nm, zeta potential of -42.40. mV and entrapment efficiency of 86.09%. Differential Scanning Calorimeter (DSC) measurements revealed that imperfect crystallization occurred in the inner core of the NLC particles. The drug release behavior from the NLC displayed a biphasic drug release pattern with burst release at the initial stage followed by sustained release. These results indicated that the NLC3 is a suitable carrier of minoxidil with improved drug loading capacity and controlled drug release properties. It has been observed that NLC gel produces the gel with good consistency, homogeneity, spreadability and rheological behavior. The developed NLC-based gel showed faster onset and elicited prolonged activity up to 16. h. The present study concluded that the NLC-based gel containing minoxidil dissolved in a mixture of solid lipid and liquid lipid in the nanoparticulate form helped us to attain the objective of faster onset yet prolonged action as evident from in vitro release. © 2012.","author":[{"dropping-particle":"","family":"Uprit","given":"Shubham","non-dropping-particle":"","parse-names":false,"suffix":""},{"dropping-particle":"","family":"Kumar Sahu","given":"Ram","non-dropping-particle":"","parse-names":false,"suffix":""},{"dropping-particle":"","family":"Roy","given":"Amit","non-dropping-particle":"","parse-names":false,"suffix":""},{"dropping-particle":"","family":"Pare","given":"Aniruddha","non-dropping-particle":"","parse-names":false,"suffix":""}],"container-title":"Saudi Pharmaceutical Journal","id":"ITEM-4","issue":"4","issued":{"date-parts":[["2013"]]},"page":"379-385","publisher":"King Saud University","title":"Preparation and characterization of minoxidil loaded nanostructured lipid carrier gel for effective treatment of alopecia","type":"article-journal","volume":"21"},"uris":["http://www.mendeley.com/documents/?uuid=e07a5261-18bd-4bf2-81e3-2853d5abc9d0"]}],"mendeley":{"formattedCitation":"[16–19]","plainTextFormattedCitation":"[16–19]","previouslyFormattedCitation":"[16–19]"},"properties":{"noteIndex":0},"schema":"https://github.com/citation-style-language/schema/raw/master/csl-citation.json"}</w:instrText>
      </w:r>
      <w:r w:rsidR="00D751AB" w:rsidRPr="00F54F89">
        <w:fldChar w:fldCharType="separate"/>
      </w:r>
      <w:r w:rsidR="007D0946" w:rsidRPr="00F54F89">
        <w:rPr>
          <w:noProof/>
        </w:rPr>
        <w:t>[16–19]</w:t>
      </w:r>
      <w:r w:rsidR="00D751AB" w:rsidRPr="00F54F89">
        <w:fldChar w:fldCharType="end"/>
      </w:r>
      <w:r w:rsidR="00D751AB" w:rsidRPr="00F54F89">
        <w:t xml:space="preserve">. These three compounds have </w:t>
      </w:r>
      <w:r w:rsidR="00986877" w:rsidRPr="00F54F89">
        <w:t>also been</w:t>
      </w:r>
      <w:r w:rsidR="00D751AB" w:rsidRPr="00F54F89">
        <w:t xml:space="preserve"> reported to have anti</w:t>
      </w:r>
      <w:r w:rsidR="00CE3FB2" w:rsidRPr="00F54F89">
        <w:t>-</w:t>
      </w:r>
      <w:r w:rsidR="00D751AB" w:rsidRPr="00F54F89">
        <w:t>ag</w:t>
      </w:r>
      <w:r w:rsidR="00CE3FB2" w:rsidRPr="00F54F89">
        <w:t>e</w:t>
      </w:r>
      <w:r w:rsidR="00D751AB" w:rsidRPr="00F54F89">
        <w:t xml:space="preserve">ing properties. </w:t>
      </w:r>
      <w:r w:rsidRPr="00F54F89">
        <w:t xml:space="preserve">However, </w:t>
      </w:r>
      <w:r w:rsidR="00CE3FB2" w:rsidRPr="00F54F89">
        <w:t>significant</w:t>
      </w:r>
      <w:r w:rsidRPr="00F54F89">
        <w:t xml:space="preserve"> problem arises because of the nature of </w:t>
      </w:r>
      <w:r w:rsidR="00A12486" w:rsidRPr="00F54F89">
        <w:t>these compounds</w:t>
      </w:r>
      <w:r w:rsidRPr="00F54F89">
        <w:t>. The</w:t>
      </w:r>
      <w:r w:rsidR="00CE3FB2" w:rsidRPr="00F54F89">
        <w:t>y</w:t>
      </w:r>
      <w:r w:rsidRPr="00F54F89">
        <w:t xml:space="preserve"> have </w:t>
      </w:r>
      <w:r w:rsidR="00CE3FB2" w:rsidRPr="00F54F89">
        <w:t xml:space="preserve">all </w:t>
      </w:r>
      <w:r w:rsidRPr="00F54F89">
        <w:t>been re</w:t>
      </w:r>
      <w:r w:rsidR="00CE3FB2" w:rsidRPr="00F54F89">
        <w:t>ported to exhibit low solubility</w:t>
      </w:r>
      <w:r w:rsidRPr="00F54F89">
        <w:t xml:space="preserve">, </w:t>
      </w:r>
      <w:r w:rsidR="00CE3FB2" w:rsidRPr="00F54F89">
        <w:t xml:space="preserve">poor </w:t>
      </w:r>
      <w:r w:rsidRPr="00F54F89">
        <w:t>dissolution profile</w:t>
      </w:r>
      <w:r w:rsidR="00CE3FB2" w:rsidRPr="00F54F89">
        <w:t>s</w:t>
      </w:r>
      <w:r w:rsidRPr="00F54F89">
        <w:t xml:space="preserve"> and </w:t>
      </w:r>
      <w:r w:rsidR="00CE3FB2" w:rsidRPr="00F54F89">
        <w:t>reduced skin permeation abilities</w:t>
      </w:r>
      <w:r w:rsidRPr="00F54F89">
        <w:t xml:space="preserve"> </w:t>
      </w:r>
      <w:r w:rsidRPr="00F54F89">
        <w:fldChar w:fldCharType="begin" w:fldLock="1"/>
      </w:r>
      <w:r w:rsidR="007D0946" w:rsidRPr="00F54F89">
        <w:instrText>ADDIN CSL_CITATION {"citationItems":[{"id":"ITEM-1","itemData":{"ISSN":"1741427X","abstract":"Antioxidant and free radical scavenging effects are attributed to phenolic compounds present in propolis, and when delivered to the skin surface and following penetration into epidermis and dermis, they can contribute to skin protection from damaging action of free radicals that are formed under UV and premature skin aging. This study was designed to determine the penetration of phenolic acids and vanillin into the human skin in vitro from experimentally designed vehicles. Results of the study demonstrated the ability of propolis phenolic acids (vanillic, coumaric, caffeic, and ferulic acids) and vanillin to penetrate into skin epidermis and dermis. The rate of penetration and distribution is affected both by physicochemical characteristics of active substances and physical structure and chemical composition of semisolid vehicle. Vanillin and vanillic acid demonstrated relatively high penetration through epidermis into dermis where these compounds were concentrated, coumaric and ferulic acids were uniformly distributed between epidermis and dermis, and caffeic acid slowly penetrated into epidermis and was not determined in dermis. Further studies are deemed relevant for the development of semisolid topically applied systems designed for efficient delivery of propolis antioxidants into the skin.","author":[{"dropping-particle":"","family":"Žilius","given":"Modestas","non-dropping-particle":"","parse-names":false,"suffix":""},{"dropping-particle":"","family":"Ramanauskiene","given":"Kristina","non-dropping-particle":"","parse-names":false,"suffix":""},{"dropping-particle":"","family":"Briedis","given":"Vitalis","non-dropping-particle":"","parse-names":false,"suffix":""}],"container-title":"Evidence-based Complementary and Alternative Medicine","id":"ITEM-1","issued":{"date-parts":[["2013"]]},"title":"Release of propolis phenolic acids from semisolid formulations and their penetration into the human skin in vitro","type":"article-journal","volume":"2013"},"uris":["http://www.mendeley.com/documents/?uuid=2371b62a-acc3-41f1-81fd-487b999dbe87"]},{"id":"ITEM-2","itemData":{"ISSN":"18737072","abstract":"Caffeic acid is a natural phenylpropanoid that exhibits various health benefits. However, it suffers from a poor aqueous solubility limiting its application. This drawback could be overcome by complexation in cyclodextrins (CD) or cosolvency. Herein, we investigated, for the first time, the combined effect of CD and ethanol as cosolvent on complexation, solubilization and antioxidant activity of caffeic acid. Results showed that CD, ethanol and their combined use enhanced the solubility of this phenylpropanoid. However, the presence of ethanol affects the formation of inclusion complexes as lower formation constants (K f ) and complexation efficiencies (CE) were obtained while increasing the ethanol percentage (0–45% v/v). No inclusion complex could be observed at 45% v/v ethanol. These results were confirmed by 2D DOSY and 2D ROESY NMR experiments. Furthermore, the antioxidant activity of caffeic acid in the combined system was enhanced consequent to its increased solubility.","author":[{"dropping-particle":"","family":"Kfoury","given":"Miriana","non-dropping-particle":"","parse-names":false,"suffix":""},{"dropping-particle":"","family":"Geagea","given":"Chantal","non-dropping-particle":"","parse-names":false,"suffix":""},{"dropping-particle":"","family":"Ruellan","given":"Steven","non-dropping-particle":"","parse-names":false,"suffix":""},{"dropping-particle":"","family":"Greige-Gerges","given":"Hélène","non-dropping-particle":"","parse-names":false,"suffix":""},{"dropping-particle":"","family":"Fourmentin","given":"Sophie","non-dropping-particle":"","parse-names":false,"suffix":""}],"container-title":"Food Chemistry","id":"ITEM-2","issued":{"date-parts":[["2019"]]},"page":"163-169","title":"Effect of cyclodextrin and cosolvent on the solubility and antioxidant activity of caffeic acid","type":"article-journal","volume":"278"},"uris":["http://www.mendeley.com/documents/?uuid=dbdbae5f-e723-4594-9ad2-c189e2dbaeab"]},{"id":"ITEM-3","itemData":{"ISSN":"03785173","author":[{"dropping-particle":"","family":"Simon","given":"L.","non-dropping-particle":"","parse-names":false,"suffix":""},{"dropping-particle":"","family":"Vincent","given":"M.","non-dropping-particle":"","parse-names":false,"suffix":""},{"dropping-particle":"","family":"Saux","given":"S.","non-dropping-particle":"Le","parse-names":false,"suffix":""},{"dropping-particle":"","family":"Lapinte","given":"V.","non-dropping-particle":"","parse-names":false,"suffix":""},{"dropping-particle":"","family":"Marcotte","given":"N.","non-dropping-particle":"","parse-names":false,"suffix":""},{"dropping-particle":"","family":"Morille","given":"M.","non-dropping-particle":"","parse-names":false,"suffix":""},{"dropping-particle":"","family":"Dorandeu","given":"C.","non-dropping-particle":"","parse-names":false,"suffix":""},{"dropping-particle":"","family":"Devoisselle","given":"J.M.","non-dropping-particle":"","parse-names":false,"suffix":""},{"dropping-particle":"","family":"Bégu","given":"S.","non-dropping-particle":"","parse-names":false,"suffix":""}],"container-title":"International Journal of Pharmaceutics","id":"ITEM-3","issued":{"date-parts":[["2019"]]},"page":"118516","publisher":"Elsevier","title":"Polyoxazolines based mixed micelles as PEG free formulations for an effective quercetin antioxidant topical delivery","type":"article-journal","volume":"570"},"uris":["http://www.mendeley.com/documents/?uuid=87ee4a01-c49b-4158-bfed-550f0c681145"]},{"id":"ITEM-4","itemData":{"ISSN":"13190164","abstract":"In the present work attempts have been made to prepare the nanostructured lipid carrier (NLC) gel, by using minoxidil, which is preferably used in case of Alopecia, i.e. baldness pattern as a effective drug. The nine different formulations of Minoxidil-NLC (NLC1-NLC9) were prepared using solid and liquid lipids with Cholesterol and Soya lecithin in different concentrations by the melt dispersion ultrasonication method. Properties of NLC1-NLC9 such as the particle size and its distribution, the scanning electron microscopy (SEM), the drug entrapment efficiency (EE), and the drug release behavior were investigated. The nanoparticulate dispersion was suitably gelled and characterized with respect to drug content, pH, spreadability, rheology, and in vitro release. Safety of the NLC-based gel was assessed using primary skin irritation studies. The formulated NLC3 was spherical in shape, with average particle size of 280. nm, zeta potential of -42.40. mV and entrapment efficiency of 86.09%. Differential Scanning Calorimeter (DSC) measurements revealed that imperfect crystallization occurred in the inner core of the NLC particles. The drug release behavior from the NLC displayed a biphasic drug release pattern with burst release at the initial stage followed by sustained release. These results indicated that the NLC3 is a suitable carrier of minoxidil with improved drug loading capacity and controlled drug release properties. It has been observed that NLC gel produces the gel with good consistency, homogeneity, spreadability and rheological behavior. The developed NLC-based gel showed faster onset and elicited prolonged activity up to 16. h. The present study concluded that the NLC-based gel containing minoxidil dissolved in a mixture of solid lipid and liquid lipid in the nanoparticulate form helped us to attain the objective of faster onset yet prolonged action as evident from in vitro release. © 2012.","author":[{"dropping-particle":"","family":"Uprit","given":"Shubham","non-dropping-particle":"","parse-names":false,"suffix":""},{"dropping-particle":"","family":"Kumar Sahu","given":"Ram","non-dropping-particle":"","parse-names":false,"suffix":""},{"dropping-particle":"","family":"Roy","given":"Amit","non-dropping-particle":"","parse-names":false,"suffix":""},{"dropping-particle":"","family":"Pare","given":"Aniruddha","non-dropping-particle":"","parse-names":false,"suffix":""}],"container-title":"Saudi Pharmaceutical Journal","id":"ITEM-4","issue":"4","issued":{"date-parts":[["2013"]]},"page":"379-385","publisher":"King Saud University","title":"Preparation and characterization of minoxidil loaded nanostructured lipid carrier gel for effective treatment of alopecia","type":"article-journal","volume":"21"},"uris":["http://www.mendeley.com/documents/?uuid=e07a5261-18bd-4bf2-81e3-2853d5abc9d0"]}],"mendeley":{"formattedCitation":"[18–21]","plainTextFormattedCitation":"[18–21]","previouslyFormattedCitation":"[18–21]"},"properties":{"noteIndex":0},"schema":"https://github.com/citation-style-language/schema/raw/master/csl-citation.json"}</w:instrText>
      </w:r>
      <w:r w:rsidRPr="00F54F89">
        <w:fldChar w:fldCharType="separate"/>
      </w:r>
      <w:r w:rsidR="007D0946" w:rsidRPr="00F54F89">
        <w:rPr>
          <w:noProof/>
        </w:rPr>
        <w:t>[18–21]</w:t>
      </w:r>
      <w:r w:rsidRPr="00F54F89">
        <w:fldChar w:fldCharType="end"/>
      </w:r>
      <w:r w:rsidRPr="00F54F89">
        <w:t xml:space="preserve">. This will consequently hinder the permeability of the substances through biological membranes. Thus, the development of suitable delivery </w:t>
      </w:r>
      <w:r w:rsidRPr="00F54F89">
        <w:lastRenderedPageBreak/>
        <w:t>system</w:t>
      </w:r>
      <w:r w:rsidR="002231AD" w:rsidRPr="00F54F89">
        <w:t>s</w:t>
      </w:r>
      <w:r w:rsidRPr="00F54F89">
        <w:t xml:space="preserve"> to help increase the permeability of these natural substances is </w:t>
      </w:r>
      <w:r w:rsidR="002231AD" w:rsidRPr="00F54F89">
        <w:t>necessary to</w:t>
      </w:r>
      <w:r w:rsidRPr="00F54F89">
        <w:t xml:space="preserve"> achiev</w:t>
      </w:r>
      <w:r w:rsidR="002231AD" w:rsidRPr="00F54F89">
        <w:t>e</w:t>
      </w:r>
      <w:r w:rsidRPr="00F54F89">
        <w:t xml:space="preserve"> optimum therapeutic efficacy. </w:t>
      </w:r>
    </w:p>
    <w:p w14:paraId="4A6A4A1D" w14:textId="62A503ED" w:rsidR="000C6856" w:rsidRPr="00F54F89" w:rsidRDefault="000C6856" w:rsidP="000C6856">
      <w:pPr>
        <w:spacing w:line="360" w:lineRule="auto"/>
        <w:jc w:val="both"/>
        <w:rPr>
          <w:strike/>
        </w:rPr>
      </w:pPr>
      <w:r w:rsidRPr="00F54F89">
        <w:t>Phytosome</w:t>
      </w:r>
      <w:r w:rsidR="0033615A" w:rsidRPr="00F54F89">
        <w:t>s</w:t>
      </w:r>
      <w:r w:rsidRPr="00F54F89">
        <w:t xml:space="preserve"> </w:t>
      </w:r>
      <w:r w:rsidR="0033615A" w:rsidRPr="00F54F89">
        <w:t>are</w:t>
      </w:r>
      <w:r w:rsidRPr="00F54F89">
        <w:t xml:space="preserve"> </w:t>
      </w:r>
      <w:r w:rsidR="0033615A" w:rsidRPr="00F54F89">
        <w:t>a</w:t>
      </w:r>
      <w:r w:rsidRPr="00F54F89">
        <w:t xml:space="preserve"> type of </w:t>
      </w:r>
      <w:r w:rsidR="00567707" w:rsidRPr="00F54F89">
        <w:t>vesicular nanocarrier</w:t>
      </w:r>
      <w:r w:rsidRPr="00F54F89">
        <w:t xml:space="preserve"> delivery system</w:t>
      </w:r>
      <w:r w:rsidR="0033615A" w:rsidRPr="00F54F89">
        <w:t xml:space="preserve"> </w:t>
      </w:r>
      <w:r w:rsidRPr="00F54F89">
        <w:t>having similar structure to liposome</w:t>
      </w:r>
      <w:r w:rsidR="00CE3FB2" w:rsidRPr="00F54F89">
        <w:t>s</w:t>
      </w:r>
      <w:r w:rsidRPr="00F54F89">
        <w:t xml:space="preserve">, where the encapsulated phytoconstituents form a molecular level complexation </w:t>
      </w:r>
      <w:r w:rsidRPr="00F54F89">
        <w:rPr>
          <w:i/>
        </w:rPr>
        <w:t>via</w:t>
      </w:r>
      <w:r w:rsidRPr="00F54F89">
        <w:t xml:space="preserve"> hydrogen bond</w:t>
      </w:r>
      <w:r w:rsidR="00CE3FB2" w:rsidRPr="00F54F89">
        <w:t>s</w:t>
      </w:r>
      <w:r w:rsidRPr="00F54F89">
        <w:t xml:space="preserve"> with the phospholipids </w:t>
      </w:r>
      <w:r w:rsidRPr="00F54F89">
        <w:fldChar w:fldCharType="begin" w:fldLock="1"/>
      </w:r>
      <w:r w:rsidR="007D0946" w:rsidRPr="00F54F89">
        <w:instrText>ADDIN CSL_CITATION {"citationItems":[{"id":"ITEM-1","itemData":{"ISSN":"18733476","abstract":"Rutin, a strong antioxidant, has been implicated in the prevention of liver inflammation. However, low solubility and permeability through the gut wall limit development of rutin as a therapeutic agent for oral administration. Phytosomes are described as lipid nanocarriers with a complexation between the phospholipid headgroups and entrapped phytochemicals. The aim of this research was to compare the structure of rutin liposomes to rutin phytosomes. FT-IR, DSC and NMR were employed to investigate the presence of any molecular interactions between the formulation components. The FT-IR spectra showed that a new –OH bond had formed in the rutin phytosomes, suggesting the formation of a molecular complex. 31P NMR experiments revealed that the DPPC molecule is altered when formulated as liposomes but that these changes were greater for samples from the phytosome formulation. DSC data revealed that when rutin was added to DPPC there was a significant shift in the transition temperature of DPPC. Further, the shift was greater in the THF solvent used to produce phytosomes compared to CHCl3 used to produce liposomes. 1H NMR spectra of the phytosome samples indicated three additional peaks that were greater than in the liposome formulation. ROESY NMR spectra provided evidence supporting the interaction between rutin and DPPC in both liposomes and phytosomes. The apparent differences in molecular interaction between liposomes and phytosomes did not however impact rutin release in biorelevant media or during in vitro small intestinal lipolysis.","author":[{"dropping-particle":"","family":"Vu","given":"Hanh T.H.","non-dropping-particle":"","parse-names":false,"suffix":""},{"dropping-particle":"","family":"Hook","given":"Sarah M.","non-dropping-particle":"","parse-names":false,"suffix":""},{"dropping-particle":"","family":"Siqueira","given":"Scheyla D.","non-dropping-particle":"","parse-names":false,"suffix":""},{"dropping-particle":"","family":"Müllertz","given":"Anette","non-dropping-particle":"","parse-names":false,"suffix":""},{"dropping-particle":"","family":"Rades","given":"Thomas","non-dropping-particle":"","parse-names":false,"suffix":""},{"dropping-particle":"","family":"McDowell","given":"Arlene","non-dropping-particle":"","parse-names":false,"suffix":""}],"container-title":"International Journal of Pharmaceutics","id":"ITEM-1","issue":"1","issued":{"date-parts":[["2018"]]},"page":"82-91","title":"Are phytosomes a superior nanodelivery system for the antioxidant rutin?","type":"article-journal","volume":"548"},"uris":["http://www.mendeley.com/documents/?uuid=6bde2d43-4392-477d-8d6c-bdc1addd5b6d"]}],"mendeley":{"formattedCitation":"[22]","plainTextFormattedCitation":"[22]","previouslyFormattedCitation":"[22]"},"properties":{"noteIndex":0},"schema":"https://github.com/citation-style-language/schema/raw/master/csl-citation.json"}</w:instrText>
      </w:r>
      <w:r w:rsidRPr="00F54F89">
        <w:fldChar w:fldCharType="separate"/>
      </w:r>
      <w:r w:rsidR="007D0946" w:rsidRPr="00F54F89">
        <w:rPr>
          <w:noProof/>
        </w:rPr>
        <w:t>[22]</w:t>
      </w:r>
      <w:r w:rsidRPr="00F54F89">
        <w:fldChar w:fldCharType="end"/>
      </w:r>
      <w:r w:rsidRPr="00F54F89">
        <w:t xml:space="preserve">. Phytosomes are prepared </w:t>
      </w:r>
      <w:r w:rsidR="008A7570" w:rsidRPr="00F54F89">
        <w:t>using various types of solvent. Generally</w:t>
      </w:r>
      <w:r w:rsidRPr="00F54F89">
        <w:t>, polar aprotic solvent</w:t>
      </w:r>
      <w:r w:rsidR="0033615A" w:rsidRPr="00F54F89">
        <w:t>s</w:t>
      </w:r>
      <w:r w:rsidRPr="00F54F89">
        <w:t xml:space="preserve"> </w:t>
      </w:r>
      <w:r w:rsidR="0033615A" w:rsidRPr="00F54F89">
        <w:t>are</w:t>
      </w:r>
      <w:r w:rsidRPr="00F54F89">
        <w:t xml:space="preserve"> </w:t>
      </w:r>
      <w:r w:rsidR="00CE3FB2" w:rsidRPr="00F54F89">
        <w:t xml:space="preserve">typically </w:t>
      </w:r>
      <w:r w:rsidRPr="00F54F89">
        <w:t>u</w:t>
      </w:r>
      <w:r w:rsidR="0033615A" w:rsidRPr="00F54F89">
        <w:t>sed</w:t>
      </w:r>
      <w:r w:rsidRPr="00F54F89">
        <w:t xml:space="preserve"> in phytosome preparation to provide a suitable environment supporting  hydrogen bond formation </w:t>
      </w:r>
      <w:r w:rsidRPr="00F54F89">
        <w:fldChar w:fldCharType="begin" w:fldLock="1"/>
      </w:r>
      <w:r w:rsidR="007D0946" w:rsidRPr="00F54F89">
        <w:instrText>ADDIN CSL_CITATION {"citationItems":[{"id":"ITEM-1","itemData":{"ISSN":"18733476","abstract":"Rutin, a strong antioxidant, has been implicated in the prevention of liver inflammation. However, low solubility and permeability through the gut wall limit development of rutin as a therapeutic agent for oral administration. Phytosomes are described as lipid nanocarriers with a complexation between the phospholipid headgroups and entrapped phytochemicals. The aim of this research was to compare the structure of rutin liposomes to rutin phytosomes. FT-IR, DSC and NMR were employed to investigate the presence of any molecular interactions between the formulation components. The FT-IR spectra showed that a new –OH bond had formed in the rutin phytosomes, suggesting the formation of a molecular complex. 31P NMR experiments revealed that the DPPC molecule is altered when formulated as liposomes but that these changes were greater for samples from the phytosome formulation. DSC data revealed that when rutin was added to DPPC there was a significant shift in the transition temperature of DPPC. Further, the shift was greater in the THF solvent used to produce phytosomes compared to CHCl3 used to produce liposomes. 1H NMR spectra of the phytosome samples indicated three additional peaks that were greater than in the liposome formulation. ROESY NMR spectra provided evidence supporting the interaction between rutin and DPPC in both liposomes and phytosomes. The apparent differences in molecular interaction between liposomes and phytosomes did not however impact rutin release in biorelevant media or during in vitro small intestinal lipolysis.","author":[{"dropping-particle":"","family":"Vu","given":"Hanh T.H.","non-dropping-particle":"","parse-names":false,"suffix":""},{"dropping-particle":"","family":"Hook","given":"Sarah M.","non-dropping-particle":"","parse-names":false,"suffix":""},{"dropping-particle":"","family":"Siqueira","given":"Scheyla D.","non-dropping-particle":"","parse-names":false,"suffix":""},{"dropping-particle":"","family":"Müllertz","given":"Anette","non-dropping-particle":"","parse-names":false,"suffix":""},{"dropping-particle":"","family":"Rades","given":"Thomas","non-dropping-particle":"","parse-names":false,"suffix":""},{"dropping-particle":"","family":"McDowell","given":"Arlene","non-dropping-particle":"","parse-names":false,"suffix":""}],"container-title":"International Journal of Pharmaceutics","id":"ITEM-1","issue":"1","issued":{"date-parts":[["2018"]]},"page":"82-91","title":"Are phytosomes a superior nanodelivery system for the antioxidant rutin?","type":"article-journal","volume":"548"},"uris":["http://www.mendeley.com/documents/?uuid=6bde2d43-4392-477d-8d6c-bdc1addd5b6d"]},{"id":"ITEM-2","itemData":{"ISSN":"0928-0987","author":[{"dropping-particle":"","family":"Telange","given":"Darshan R.","non-dropping-particle":"","parse-names":false,"suffix":""},{"dropping-particle":"","family":"A","given":"","non-dropping-particle":"","parse-names":false,"suffix":""},{"dropping-particle":"","family":"ArunT.Patil","given":"","non-dropping-particle":"","parse-names":false,"suffix":""},{"dropping-particle":"","family":"A","given":"","non-dropping-particle":"","parse-names":false,"suffix":""},{"dropping-particle":"","family":"AnilM.Pethe","given":"","non-dropping-particle":"","parse-names":false,"suffix":""},{"dropping-particle":"","family":"B","given":"","non-dropping-particle":"","parse-names":false,"suffix":""},{"dropping-particle":"","family":"Fegade","given":"Harshal","non-dropping-particle":"","parse-names":false,"suffix":""},{"dropping-particle":"","family":"A","given":"","non-dropping-particle":"","parse-names":false,"suffix":""},{"dropping-particle":"","family":"Anand","given":"Sridhar","non-dropping-particle":"","parse-names":false,"suffix":""},{"dropping-particle":"","family":"C","given":"","non-dropping-particle":"","parse-names":false,"suffix":""}],"container-title":"European Journal of Pharmaceutical Sciences","id":"ITEM-2","issued":{"date-parts":[["2017"]]},"page":"36-49","title":"Formulation and characterization of an apigenin-phospholipid phytosome (APLC) for improved solubility, in vivo bioavailability, and antioxidant potential","type":"article-journal","volume":"108"},"uris":["http://www.mendeley.com/documents/?uuid=96a460b1-8a16-41c2-be3b-383301766178"]},{"id":"ITEM-3","itemData":{"ISSN":"22313354","abstract":"The soil ecosystem has an enormous amount of microorganisms, and some of these microorganisms can potentially be useful to us. Bacillus and Actinomycetes are the most abundant microorganisms present in soil and both are known to produce antibiotics and inhibit the growth of other microorganisms. However, there are other potential microorganisms which may have such beneficial properties and are unknown to us. In this study, various microorganisms in the soil were screened to isolate an antibiotic producing microorganism. Soil was collected from VIT lake and serially diluted followed by crowded plate technique to screen for antibiotic producing colonies. The colony which was suspected to produce antibiotics was selected and sub-cultured by streaking. Antibiotic-sensitivity test was performed on Mueller-Hinton Agar and the inhibitory effect of the isolated microorganism towards the growth of bacteria was observed. The growth curve of the isolated microorganism was found out. Characterization was done by performing various biochemical tests and staining methods. Antibiotic production media was prepared, and the antibiotic production of the microorganism was plotted against time. From the antibiotic production curve, it was found that the 6 th day showed the maximum antibiotic productivity. © 2014 Prithwijit Sarkar et al.","author":[{"dropping-particle":"","family":"Das","given":"Malay K","non-dropping-particle":"","parse-names":false,"suffix":""},{"dropping-particle":"","family":"Kalita","given":"Bhupen","non-dropping-particle":"","parse-names":false,"suffix":""}],"container-title":"Journal of Applied Pharmaceutical Science","id":"ITEM-3","issue":"10","issued":{"date-parts":[["2014"]]},"page":"51-57","title":"Design and Evaluation of Phyto-Phospholipid Complexes (Phytosomes) of Rutin for Transdermal Application","type":"article-journal","volume":"4"},"uris":["http://www.mendeley.com/documents/?uuid=46f10f76-8ae6-44fd-a0c6-faf2bcb17b11"]}],"mendeley":{"formattedCitation":"[22–24]","plainTextFormattedCitation":"[22–24]","previouslyFormattedCitation":"[22–24]"},"properties":{"noteIndex":0},"schema":"https://github.com/citation-style-language/schema/raw/master/csl-citation.json"}</w:instrText>
      </w:r>
      <w:r w:rsidRPr="00F54F89">
        <w:fldChar w:fldCharType="separate"/>
      </w:r>
      <w:r w:rsidR="007D0946" w:rsidRPr="00F54F89">
        <w:rPr>
          <w:noProof/>
        </w:rPr>
        <w:t>[22–24]</w:t>
      </w:r>
      <w:r w:rsidRPr="00F54F89">
        <w:fldChar w:fldCharType="end"/>
      </w:r>
      <w:r w:rsidRPr="00F54F89">
        <w:t xml:space="preserve">. </w:t>
      </w:r>
      <w:r w:rsidR="008A7570" w:rsidRPr="00F54F89">
        <w:t xml:space="preserve">However, these solvents have been replaced by the utilization of protonic solvent, such as ethanol and methanol </w:t>
      </w:r>
      <w:r w:rsidR="00D10A6E" w:rsidRPr="00F54F89">
        <w:fldChar w:fldCharType="begin" w:fldLock="1"/>
      </w:r>
      <w:r w:rsidR="007D0946" w:rsidRPr="00F54F89">
        <w:instrText>ADDIN CSL_CITATION {"citationItems":[{"id":"ITEM-1","itemData":{"ISSN":"2221285X","abstract":"Although active constituents extracted from plants show robust in vitro pharmacological effects, low in vivo absorption greatly limits the widespread application of these compounds. A strategy of using phyto-phospholipid complexes represents a promising approach to increase the oral bioavailability of active constituents, which is consist of ‘‘label-friendly” phospholipids and active constituents. Hydrogen bond interactions between active constituents and phospholipids enable phospholipid complexes as an integral part. This review provides an update on four important issues related to phyto-phospholipid complexes: active constituents, phospholipids, solvents, and stoichiometric ratios. We also discuss recent progress in research on the preparation, characterization, structural verification, and increased bioavailability of phyto-phospholipid complexes.","author":[{"dropping-particle":"","family":"Lu","given":"Mei","non-dropping-particle":"","parse-names":false,"suffix":""},{"dropping-particle":"","family":"Qiu","given":"Qiujun","non-dropping-particle":"","parse-names":false,"suffix":""},{"dropping-particle":"","family":"Luo","given":"Xiang","non-dropping-particle":"","parse-names":false,"suffix":""},{"dropping-particle":"","family":"Liu","given":"Xinrong","non-dropping-particle":"","parse-names":false,"suffix":""},{"dropping-particle":"","family":"Sun","given":"Jing","non-dropping-particle":"","parse-names":false,"suffix":""},{"dropping-particle":"","family":"Wang","given":"Cunyang","non-dropping-particle":"","parse-names":false,"suffix":""},{"dropping-particle":"","family":"Lin","given":"Xiangyun","non-dropping-particle":"","parse-names":false,"suffix":""},{"dropping-particle":"","family":"Deng","given":"Yihui","non-dropping-particle":"","parse-names":false,"suffix":""},{"dropping-particle":"","family":"Song","given":"Yanzhi","non-dropping-particle":"","parse-names":false,"suffix":""}],"container-title":"Asian Journal of Pharmaceutical Sciences","id":"ITEM-1","issue":"3","issued":{"date-parts":[["2019"]]},"page":"265-274","publisher":"Elsevier B.V.","title":"Phyto-phospholipid complexes (phytosomes): A novel strategy to improve the bioavailability of active constituents","type":"article-journal","volume":"14"},"uris":["http://www.mendeley.com/documents/?uuid=bedbf608-f931-4a01-8219-5e2a2fbeb75b"]},{"id":"ITEM-2","itemData":{"ISBN":"9177948564","ISSN":"18722113","author":[{"dropping-particle":"","family":"Shakeri","given":"Abolfazl","non-dropping-particle":"","parse-names":false,"suffix":""},{"dropping-particle":"","family":"Sahebkar","given":"Amirhossein","non-dropping-particle":"","parse-names":false,"suffix":""}],"container-title":"Recent Patents on Drug Delivery &amp; Formulation","id":"ITEM-2","issue":"1","issued":{"date-parts":[["2016"]]},"page":"7-10","title":"Opinion Paper: Phytosome: A Fatty Solution for Efficient Formulation of Phytopharmaceuticals","type":"article-journal","volume":"10"},"uris":["http://www.mendeley.com/documents/?uuid=b0c9ea45-a580-41ff-9465-b0111b9bb55a"]},{"id":"ITEM-3","itemData":{"ISSN":"01683659","abstract":"The phyto-phospholipid complexation technique has emerged as one of the leading methods of improving bioavailability of phytopharmaceuticals having poor competency of solubilizing and crossing the biological membranes. Several plant actives in spite having potent in vitro pharmacological activities have failed to demonstrate similar in vivo response. Such plant actives have been made more effective systemically by incorporating them with dietary phospholipids forming new cellular structures which are amphipathic in nature. In the last few years phospholipids have been extensively explored for improved bioavailability and efficacy of plant drugs. Further, it is also much relevant to mention that phospholipids show unique compatibility with biological membranes and have inherent hepatoprotective activity. Different methods have been adopted to formulate phospholipid complexes of plant extractives utilizing varying solvent systems, molar ratios of drug/phospholipids and different drying techniques. Some methods of formulating such drug-phospholipid complexes have been patented as well. However, the stability of phyto-phospholipid complexes is still a matter of concern which needs attention. But still a number of products exploiting this technique are under clinical trials and some of them are now in market. The current review highlights key findings of recent years with our own viewpoints which can give the new directions to this strategy and also includes advancements in the technical aspects of phyto-phospholipid formulations which have been done in the recent past with future challenges. © 2013 Elsevier B.V. All rights reserved.","author":[{"dropping-particle":"","family":"Saraf","given":"Shailendra","non-dropping-particle":"","parse-names":false,"suffix":""},{"dropping-particle":"","family":"Khan","given":"Junaid","non-dropping-particle":"","parse-names":false,"suffix":""},{"dropping-particle":"","family":"Alexander","given":"Amit","non-dropping-particle":"","parse-names":false,"suffix":""},{"dropping-particle":"","family":"Ajazuddin","given":"","non-dropping-particle":"","parse-names":false,"suffix":""},{"dropping-particle":"","family":"Saraf","given":"Swarnlata","non-dropping-particle":"","parse-names":false,"suffix":""}],"container-title":"Journal of Controlled Release","id":"ITEM-3","issue":"1","issued":{"date-parts":[["2013"]]},"page":"50-60","publisher":"Elsevier B.V.","title":"Recent advances and future prospects of phyto-phospholipid complexation technique for improving pharmacokinetic profile of plant actives","type":"article-journal","volume":"168"},"uris":["http://www.mendeley.com/documents/?uuid=08e242d9-63b0-4098-9775-9c6f52cf646d"]}],"mendeley":{"formattedCitation":"[25–27]","plainTextFormattedCitation":"[25–27]","previouslyFormattedCitation":"[25–27]"},"properties":{"noteIndex":0},"schema":"https://github.com/citation-style-language/schema/raw/master/csl-citation.json"}</w:instrText>
      </w:r>
      <w:r w:rsidR="00D10A6E" w:rsidRPr="00F54F89">
        <w:fldChar w:fldCharType="separate"/>
      </w:r>
      <w:r w:rsidR="007D0946" w:rsidRPr="00F54F89">
        <w:rPr>
          <w:noProof/>
        </w:rPr>
        <w:t>[25–27]</w:t>
      </w:r>
      <w:r w:rsidR="00D10A6E" w:rsidRPr="00F54F89">
        <w:fldChar w:fldCharType="end"/>
      </w:r>
      <w:r w:rsidR="008A7570" w:rsidRPr="00F54F89">
        <w:t xml:space="preserve">. Indeed, the formation of hydrogen bonding has also been reported in methanol </w:t>
      </w:r>
      <w:r w:rsidR="00D71130" w:rsidRPr="00F54F89">
        <w:fldChar w:fldCharType="begin" w:fldLock="1"/>
      </w:r>
      <w:r w:rsidR="007D0946" w:rsidRPr="00F54F89">
        <w:instrText>ADDIN CSL_CITATION {"citationItems":[{"id":"ITEM-1","itemData":{"ISSN":"13861425","abstract":"The excited state hydrogen bonding dynamics of BBVN in hydrogen donating methanol solvent was explored at the TD-BMK/cc-pVDZ level of theory with accounting for the bulk environment effects at the polarizable continuum model (PCM). The heteroatoms of the BBVN laser dye form hydrogen bonds with four methanol molecules. In the formed BBVN-(MeOH)4 complex, the A-type hydrogen bond (N…HO), of an average strength of 25 kJ mol− 1, is twofold stronger than the B-type (O…HO) one. Upon photon absorption, the total HB binding energy increases from 78.5 kJ mol− 1 in the ground state to 82.6 kJ mol− 1 in the first singlet (S1) excited state. In consequence of the hydrogen bonding interaction, the absorption band maximum of the BBVN-(MeOH)4 complex, which was anticipated at 398 nm (exp. 397), is redshifted by 5 nm relative to that of the free dye in methanol. The spectral shift of the stretching vibrational mode for the hydrogen bonded hydroxyl groups (with a maximum shift of 285 cm− 1) from that of the free methanol indicated the elevated strengthening of hydrogen bonds in the excited state. The vibrational modes associated with hydrogen bonding provide effective accepting modes for the dissipation of the excitation energy, thus, decreasing the fluorescence quantum yield of BBVN in alcohols as compared to that in the polar aprotic solvents. Since there is no sign of photochemistry or phosphorescence, it seems reasonable in view of the outcomes of this study to assign the major decay process of the excited singlet (S1) of BBVN in alcohols to vibronically induced internal conversion (IC) facilitated by hydrogen bonding.","author":[{"dropping-particle":"","family":"Hammam","given":"Essam","non-dropping-particle":"","parse-names":false,"suffix":""},{"dropping-particle":"","family":"Basahi","given":"Jalal","non-dropping-particle":"","parse-names":false,"suffix":""},{"dropping-particle":"","family":"Ismail","given":"Iqbal","non-dropping-particle":"","parse-names":false,"suffix":""},{"dropping-particle":"","family":"Hassan","given":"Ibrahim","non-dropping-particle":"","parse-names":false,"suffix":""},{"dropping-particle":"","family":"Almeelbi","given":"Talal","non-dropping-particle":"","parse-names":false,"suffix":""}],"container-title":"Spectrochimica Acta - Part A: Molecular and Biomolecular Spectroscopy","id":"ITEM-1","issued":{"date-parts":[["2017"]]},"page":"681-686","publisher":"Elsevier B.V.","title":"The role of hydrogen bonding in the fluorescence quenching of 2,6-bis((E)-2-(benzoxazol-2-yl)vinyl)naphthalene (BBVN) in methanol","type":"article-journal","volume":"173"},"uris":["http://www.mendeley.com/documents/?uuid=5b3f9e13-d78b-483b-aca6-f53060cb4d29"]},{"id":"ITEM-2","itemData":{"ISSN":"13861425","abstract":"In the present work, the time-dependent density functional theory (TD-DFT) method was adopted to investigate the excited state hydrogen-bond dynamics of 2-aminopyridine monomer (2AP) and its derivatives in hydrogen donating methanol solvent. The calculated steady-state absorption and fluorescence spectra agree well with the experimental results. Theoretical results state that the bond lengths of both O-H and N-H bands are lengthened, while the intermolecular hydrogen bond lengths are shortened in the excited state. Further, the intermolecular hydrogen bonds are proved to be strengthened according to the calculated binding energy. As a reasonable explanation, the hydrogen bonds binding energy increases with multiple hydrogen-bonding interactions in the electronically excited state. In addition, the hydrogen bonding dynamics in the excited state were visualized by the spectral shifts of vibrational modes. The calculated infrared spectra of both O-H and N-H stretching vibrational regions revealed that the O-H and N-H stretching bands red-shift. © 2014 Elsevier B.V. All rights reserved.","author":[{"dropping-particle":"","family":"Zhao","given":"Jinfeng","non-dropping-particle":"","parse-names":false,"suffix":""},{"dropping-particle":"","family":"Song","given":"Peng","non-dropping-particle":"","parse-names":false,"suffix":""},{"dropping-particle":"","family":"Cui","given":"Yanling","non-dropping-particle":"","parse-names":false,"suffix":""},{"dropping-particle":"","family":"Liu","given":"Xuemei","non-dropping-particle":"","parse-names":false,"suffix":""},{"dropping-particle":"","family":"Sun","given":"Shaowu","non-dropping-particle":"","parse-names":false,"suffix":""},{"dropping-particle":"","family":"Hou","given":"Siyao","non-dropping-particle":"","parse-names":false,"suffix":""},{"dropping-particle":"","family":"Ma","given":"Fengcai","non-dropping-particle":"","parse-names":false,"suffix":""}],"container-title":"Spectrochimica Acta - Part A: Molecular and Biomolecular Spectroscopy","id":"ITEM-2","issued":{"date-parts":[["2014"]]},"page":"282-287","publisher":"Elsevier B.V.","title":"Effects of hydrogen bond on 2-aminopyridine and its derivatives complexes in methanol solvent","type":"article-journal","volume":"131"},"uris":["http://www.mendeley.com/documents/?uuid=80711de2-212f-4aea-85c9-2dcd97962324"]}],"mendeley":{"formattedCitation":"[28,29]","plainTextFormattedCitation":"[28,29]","previouslyFormattedCitation":"[28,29]"},"properties":{"noteIndex":0},"schema":"https://github.com/citation-style-language/schema/raw/master/csl-citation.json"}</w:instrText>
      </w:r>
      <w:r w:rsidR="00D71130" w:rsidRPr="00F54F89">
        <w:fldChar w:fldCharType="separate"/>
      </w:r>
      <w:r w:rsidR="007D0946" w:rsidRPr="00F54F89">
        <w:rPr>
          <w:noProof/>
        </w:rPr>
        <w:t>[28,29]</w:t>
      </w:r>
      <w:r w:rsidR="00D71130" w:rsidRPr="00F54F89">
        <w:fldChar w:fldCharType="end"/>
      </w:r>
      <w:r w:rsidR="008A7570" w:rsidRPr="00F54F89">
        <w:t>.</w:t>
      </w:r>
      <w:r w:rsidRPr="00F54F89">
        <w:t xml:space="preserve"> The formation of hydrogen bonds between the entrapped compounds and the phospholipid offers several benefits, namely high entrapment efficiency, better stability profile and increased permeability through biological membranes, therefore resulting in enhanced bioavailability and greater efficacy </w:t>
      </w:r>
      <w:r w:rsidRPr="00F54F89">
        <w:fldChar w:fldCharType="begin" w:fldLock="1"/>
      </w:r>
      <w:r w:rsidR="007D0946" w:rsidRPr="00F54F89">
        <w:instrText>ADDIN CSL_CITATION {"citationItems":[{"id":"ITEM-1","itemData":{"ISSN":"0928-0987","author":[{"dropping-particle":"","family":"Telange","given":"Darshan R.","non-dropping-particle":"","parse-names":false,"suffix":""},{"dropping-particle":"","family":"A","given":"","non-dropping-particle":"","parse-names":false,"suffix":""},{"dropping-particle":"","family":"ArunT.Patil","given":"","non-dropping-particle":"","parse-names":false,"suffix":""},{"dropping-particle":"","family":"A","given":"","non-dropping-particle":"","parse-names":false,"suffix":""},{"dropping-particle":"","family":"AnilM.Pethe","given":"","non-dropping-particle":"","parse-names":false,"suffix":""},{"dropping-particle":"","family":"B","given":"","non-dropping-particle":"","parse-names":false,"suffix":""},{"dropping-particle":"","family":"Fegade","given":"Harshal","non-dropping-particle":"","parse-names":false,"suffix":""},{"dropping-particle":"","family":"A","given":"","non-dropping-particle":"","parse-names":false,"suffix":""},{"dropping-particle":"","family":"Anand","given":"Sridhar","non-dropping-particle":"","parse-names":false,"suffix":""},{"dropping-particle":"","family":"C","given":"","non-dropping-particle":"","parse-names":false,"suffix":""}],"container-title":"European Journal of Pharmaceutical Sciences","id":"ITEM-1","issued":{"date-parts":[["2017"]]},"page":"36-49","title":"Formulation and characterization of an apigenin-phospholipid phytosome (APLC) for improved solubility, in vivo bioavailability, and antioxidant potential","type":"article-journal","volume":"108"},"uris":["http://www.mendeley.com/documents/?uuid=96a460b1-8a16-41c2-be3b-383301766178"]},{"id":"ITEM-2","itemData":{"ISSN":"18733476","abstract":"Rutin, a strong antioxidant, has been implicated in the prevention of liver inflammation. However, low solubility and permeability through the gut wall limit development of rutin as a therapeutic agent for oral administration. Phytosomes are described as lipid nanocarriers with a complexation between the phospholipid headgroups and entrapped phytochemicals. The aim of this research was to compare the structure of rutin liposomes to rutin phytosomes. FT-IR, DSC and NMR were employed to investigate the presence of any molecular interactions between the formulation components. The FT-IR spectra showed that a new –OH bond had formed in the rutin phytosomes, suggesting the formation of a molecular complex. 31P NMR experiments revealed that the DPPC molecule is altered when formulated as liposomes but that these changes were greater for samples from the phytosome formulation. DSC data revealed that when rutin was added to DPPC there was a significant shift in the transition temperature of DPPC. Further, the shift was greater in the THF solvent used to produce phytosomes compared to CHCl3 used to produce liposomes. 1H NMR spectra of the phytosome samples indicated three additional peaks that were greater than in the liposome formulation. ROESY NMR spectra provided evidence supporting the interaction between rutin and DPPC in both liposomes and phytosomes. The apparent differences in molecular interaction between liposomes and phytosomes did not however impact rutin release in biorelevant media or during in vitro small intestinal lipolysis.","author":[{"dropping-particle":"","family":"Vu","given":"Hanh T.H.","non-dropping-particle":"","parse-names":false,"suffix":""},{"dropping-particle":"","family":"Hook","given":"Sarah M.","non-dropping-particle":"","parse-names":false,"suffix":""},{"dropping-particle":"","family":"Siqueira","given":"Scheyla D.","non-dropping-particle":"","parse-names":false,"suffix":""},{"dropping-particle":"","family":"Müllertz","given":"Anette","non-dropping-particle":"","parse-names":false,"suffix":""},{"dropping-particle":"","family":"Rades","given":"Thomas","non-dropping-particle":"","parse-names":false,"suffix":""},{"dropping-particle":"","family":"McDowell","given":"Arlene","non-dropping-particle":"","parse-names":false,"suffix":""}],"container-title":"International Journal of Pharmaceutics","id":"ITEM-2","issue":"1","issued":{"date-parts":[["2018"]]},"page":"82-91","title":"Are phytosomes a superior nanodelivery system for the antioxidant rutin?","type":"article-journal","volume":"548"},"uris":["http://www.mendeley.com/documents/?uuid=6bde2d43-4392-477d-8d6c-bdc1addd5b6d"]},{"id":"ITEM-3","itemData":{"ISSN":"11769114","abstract":"Diosmin (DSN) is an outstanding phlebotonic flavonoid with a tolerable potential for the treatment of colon and hepatocellular carcinoma. Being highly insoluble, DSN bioavailability suffers from high inter-subject variation due to variable degrees of permeation. This work endeavored to develop novel DSN loaded phytosomes in order to improve drug dissolution and intestinal permeability. Three preparation methods (solvent evaporation, salting out, and lyophilization) were compared. Nanocarrier optimization encompassed different soybean phospholipid (SPC) types, different solvents, and different DSN:SPC molar ratios (1:1, 1:2, and 1:4). In vitro appraisal encompassed differential scanning calorimetry, infrared spectroscopy, particle size, zeta potential, polydispersity index, transmission electron microscopy, drug content, and in vitro stability. Comparative dissolution studies were performed under sink versus non-sink conditions. Ex vivo intestinal permeation studies were performed on rats utilizing noneverted sac technique and high-performance liquid chromatography analysis. The results revealed lyophilization as the optimum preparation technique using SPC and solvent mixture (Dimethyl sulphoxide:t-butylalchol) in a 1:2 ratio. Complex formation was contended by differential scanning calorimetry and infrared data. Optimal lyophilized phytosomal nanocarriers (LPNs) exhibited the lowest particle size (316 nm), adequate zeta-potential (-27 mV), and good in vitro stability. Well formed, discrete vesicles were revealed by transmission electron microscopy, drug content, and in vitro stability. Comparative dissolution studies were performed. LPNs demonstrated significant enhancement in DSN dissolution compared to crude drug, physical mixture, and generic and brand DSN products. Permeation studies revealed 80% DSN permeated from LPNs via oxygenated rat intestine compared to non-detectable amounts from suspension. In this study, LPNs (99% drug loading) could be successfully tailored for DSN with improved dissolution and permeation characteristics, which is promising for lowering the influence of exogenous factors and increasing drug delivery. © 2013 Freag et al, publisher and licensee Dove Medical Press Ltd.","author":[{"dropping-particle":"","family":"Freag","given":"May S.","non-dropping-particle":"","parse-names":false,"suffix":""},{"dropping-particle":"","family":"Elnaggar","given":"Yosra S R","non-dropping-particle":"","parse-names":false,"suffix":""},{"dropping-particle":"","family":"Abdallah","given":"Ossama Y.","non-dropping-particle":"","parse-names":false,"suffix":""}],"container-title":"International Journal of Nanomedicine","id":"ITEM-3","issued":{"date-parts":[["2013"]]},"page":"2385-2397","title":"Lyophilized phytosomal nanocarriers as platforms for enhanced diosmin delivery: Optimization and ex vivo permeation","type":"article-journal","volume":"8"},"uris":["http://www.mendeley.com/documents/?uuid=6705e9ea-f8bf-43e7-a58f-b13a5367d036"]},{"id":"ITEM-4","itemData":{"ISSN":"18790720","abstract":"Respiratory infection is a viral spreading disease and a common issue, particularly in kids. The treatments are available but have so many limitations because the drawback of this disease is more morbidity and mortality in the severely immune compromised. Even, the phyto-constituent antibacterial drug Gingerol was selected to treat respiratory infection but it exhibits low bioavailability profile, less aqueous-solubility issue and most important is rapidly eliminated from the body. To overcome these problems, novel drug delivery (nanoparticle) based phytosome complexed with chitosan approach was implemented. In this research work, the phytosome (GP) was prepared by blending of gingerol with soya lecithin in organic solvent using anti-solvent precipitation technique and it was further loaded in the aqueous solution of chitosan to formulate the phytosome complexed with chitosan (GLPC). To optimize the formulations of gingerol, it was characterized for percentage yield, percentage entrapment efficiency, drug loading and particle size, physical compatibility studies etc. which demonstrated the confirmation of complex of GLPC with soya lecithin and chitosan. The % entrapment efficiency and % drug loading of GLPC was found (86.02 ± 0.18%, 08.26 ± 0.72%) and of GP (84.36 ± 0.42%, 08.05 ± 0.03%), respectively. The average particle size and zeta potential of GLPC and GP were 254.01 ± 0.05 nm (−13.11 mV), and 431.21 ± 0.90 nm (−17.53 mV), respectively which confirm the inhibition of particle aggregation by using chitosan in complex. The in vitro release rate of GP (86.03 ± 0.06%) was slower than GLPC (88.93 ± 0.33%) in pH 7.4 phosphate buffer up to 24 h by diffusion process (Korsmeyer Peppas model). The optimized GLPC and GP were shown irregular particle shapes &amp; spherical and oval structures with smooth surface by SEM analysis. Furthermore, GLPC has shown the potent in vitro antioxidant activity, susceptible antibacterial activity and effective anti-inflammatory activity as compared to GP against stress, microbial infection and inflammation which were causable reason for the respiratory infections. GLPC has improved the significant bioavailability and also correlated the hematological values on rabbit blood against the incubation of microorganisms. Thus, the prepared nanoparticle based approach to deliver the gingerol, has the combined effect of chitosan and phytosome which shown better sustained-release profile and also prolonging the oral absorption rate of gi…","author":[{"dropping-particle":"","family":"Singh","given":"Rudra Pratap","non-dropping-particle":"","parse-names":false,"suffix":""},{"dropping-particle":"V.","family":"Gangadharappa","given":"H.","non-dropping-particle":"","parse-names":false,"suffix":""},{"dropping-particle":"","family":"Mruthunjaya","given":"K.","non-dropping-particle":"","parse-names":false,"suffix":""}],"container-title":"European Journal of Pharmaceutical Sciences","id":"ITEM-4","issued":{"date-parts":[["2018"]]},"page":"214-229","publisher":"Elsevier","title":"Phytosome complexed with chitosan for gingerol delivery in the treatment of respiratory infection: In vitro and in vivo evaluation","type":"article-journal","volume":"122"},"uris":["http://www.mendeley.com/documents/?uuid=bc0babf6-f1aa-46bb-93c9-b51faa844ea1"]}],"mendeley":{"formattedCitation":"[22,23,30,31]","plainTextFormattedCitation":"[22,23,30,31]","previouslyFormattedCitation":"[22,23,30,31]"},"properties":{"noteIndex":0},"schema":"https://github.com/citation-style-language/schema/raw/master/csl-citation.json"}</w:instrText>
      </w:r>
      <w:r w:rsidRPr="00F54F89">
        <w:fldChar w:fldCharType="separate"/>
      </w:r>
      <w:r w:rsidR="007D0946" w:rsidRPr="00F54F89">
        <w:rPr>
          <w:noProof/>
        </w:rPr>
        <w:t>[22,23,30,31]</w:t>
      </w:r>
      <w:r w:rsidRPr="00F54F89">
        <w:fldChar w:fldCharType="end"/>
      </w:r>
      <w:r w:rsidRPr="00F54F89">
        <w:t>.</w:t>
      </w:r>
      <w:r w:rsidR="00A12486" w:rsidRPr="00F54F89">
        <w:t xml:space="preserve"> </w:t>
      </w:r>
      <w:r w:rsidR="00D751AB" w:rsidRPr="00F54F89">
        <w:t xml:space="preserve">Several studies have shown the successful formulation of some phytoconstituents into phytosome, for instance apigenin </w:t>
      </w:r>
      <w:r w:rsidR="00D751AB" w:rsidRPr="00F54F89">
        <w:fldChar w:fldCharType="begin" w:fldLock="1"/>
      </w:r>
      <w:r w:rsidR="007D0946" w:rsidRPr="00F54F89">
        <w:instrText>ADDIN CSL_CITATION {"citationItems":[{"id":"ITEM-1","itemData":{"ISSN":"0928-0987","author":[{"dropping-particle":"","family":"Telange","given":"Darshan R.","non-dropping-particle":"","parse-names":false,"suffix":""},{"dropping-particle":"","family":"A","given":"","non-dropping-particle":"","parse-names":false,"suffix":""},{"dropping-particle":"","family":"ArunT.Patil","given":"","non-dropping-particle":"","parse-names":false,"suffix":""},{"dropping-particle":"","family":"A","given":"","non-dropping-particle":"","parse-names":false,"suffix":""},{"dropping-particle":"","family":"AnilM.Pethe","given":"","non-dropping-particle":"","parse-names":false,"suffix":""},{"dropping-particle":"","family":"B","given":"","non-dropping-particle":"","parse-names":false,"suffix":""},{"dropping-particle":"","family":"Fegade","given":"Harshal","non-dropping-particle":"","parse-names":false,"suffix":""},{"dropping-particle":"","family":"A","given":"","non-dropping-particle":"","parse-names":false,"suffix":""},{"dropping-particle":"","family":"Anand","given":"Sridhar","non-dropping-particle":"","parse-names":false,"suffix":""},{"dropping-particle":"","family":"C","given":"","non-dropping-particle":"","parse-names":false,"suffix":""}],"container-title":"European Journal of Pharmaceutical Sciences","id":"ITEM-1","issued":{"date-parts":[["2017"]]},"page":"36-49","title":"Formulation and characterization of an apigenin-phospholipid phytosome (APLC) for improved solubility, in vivo bioavailability, and antioxidant potential","type":"article-journal","volume":"108"},"uris":["http://www.mendeley.com/documents/?uuid=96a460b1-8a16-41c2-be3b-383301766178"]}],"mendeley":{"formattedCitation":"[23]","plainTextFormattedCitation":"[23]","previouslyFormattedCitation":"[23]"},"properties":{"noteIndex":0},"schema":"https://github.com/citation-style-language/schema/raw/master/csl-citation.json"}</w:instrText>
      </w:r>
      <w:r w:rsidR="00D751AB" w:rsidRPr="00F54F89">
        <w:fldChar w:fldCharType="separate"/>
      </w:r>
      <w:r w:rsidR="007D0946" w:rsidRPr="00F54F89">
        <w:rPr>
          <w:noProof/>
        </w:rPr>
        <w:t>[23]</w:t>
      </w:r>
      <w:r w:rsidR="00D751AB" w:rsidRPr="00F54F89">
        <w:fldChar w:fldCharType="end"/>
      </w:r>
      <w:r w:rsidR="00D751AB" w:rsidRPr="00F54F89">
        <w:t xml:space="preserve">, </w:t>
      </w:r>
      <w:r w:rsidR="00D751AB" w:rsidRPr="00F54F89">
        <w:rPr>
          <w:i/>
        </w:rPr>
        <w:t>Centella asiatica</w:t>
      </w:r>
      <w:r w:rsidR="00D751AB" w:rsidRPr="00F54F89">
        <w:t xml:space="preserve"> extract </w:t>
      </w:r>
      <w:r w:rsidR="00D751AB" w:rsidRPr="00F54F89">
        <w:fldChar w:fldCharType="begin" w:fldLock="1"/>
      </w:r>
      <w:r w:rsidR="007D0946" w:rsidRPr="00F54F89">
        <w:instrText>ADDIN CSL_CITATION {"citationItems":[{"id":"ITEM-1","itemData":{"ISSN":"1618095X","abstract":"Background: Centella asiatica phytosome (CA phytosome) has potent antioxidant and anti-inflammatory properties. However, its anti-dermatitic effect has not yet been reported. Purpose: We investigated the effects of CA phytosome on inflammatory reponses by macrophages in an atopic dermatitis (AD) mouse model. Study design: The effects of CA phytosome on atopic dermatitis were examined by using phthalic anhydride (PA)-induced AD mouse model and RAW 264.7 murine macrophages. Methods: An AD-like lesion was induced by a topical application of 5% phthalic anhydride (PA) to the dorsal skin or ear of HR-1 mice. After AD induction, 100 µl (20 µl/cm2) of 0.2% and 0.4% CA phytosome was spread on the dorsal skin and ear of the mice three times a week for four weeks. We evaluated histopathological changes and changes in protein expression by Western blotting for iNOS and COX-2; NF-κB activity was determined by EMSA. We also measured TNF-α IL-1β and IgE concentration in the blood of AD mice by ELISA. Results: Histological analysis showed that CA phytosome inhibited infiltration of inflammatory cells. CA phytosome treatment inhibited the expression of iNOS and COX-2, activity of NF-κB, and release of TNF-α IL-1β and IgE. In addition, CA phytosome (5, 10, and 20 µg/ml) potently inhibited LPS (1 µg/ml)-induced NO production as well as iNOS and COX-2 expression in RAW 264.7 macrophage. Furthermore, CA phytosome inhibited LPS-induced DNA binding activities of NF-κB, and this was associated with the discontinuation of IκBα degradation and subsequent decreases in the translocation of p65 and p50 into the nucleus. Conclusion: From our data, CA phytosome application, which operates via NF-κB signaling inhibition, seems to be a promising AD treatment. Herein, we investigated the effects of Centella asiatica phytosome (CA phytosome) on inflammatory responses by macrophages in an atopic dermatitis (AD) mouse model. An AD-like lesion was induced by the topical application of 5% phthalic anhydride (PA) to the dorsal skin or ear of HR-1 mice. After AD induction, 100 µl (20 µl/cm2) of 0.2% and 0.4% CA phytosome was spread on the dorsal skin and ear of the mice three times a week for four weeks. We evaluated dermatitis severity, histopathological changes, and changes in protein expression by Western blotting for iNOS and COX-2; NF-κB activity was determined by gel electromobility shift assay (EMSA). We also measured TNF-α IL-1β and IgE concentration in the blood of AD mice by enzyme-…","author":[{"dropping-particle":"","family":"Ju Ho","given":"Park","non-dropping-particle":"","parse-names":false,"suffix":""},{"dropping-particle":"","family":"Jun Sung","given":"Jang","non-dropping-particle":"","parse-names":false,"suffix":""},{"dropping-particle":"","family":"Ki Cheon","given":"Kim","non-dropping-particle":"","parse-names":false,"suffix":""},{"dropping-particle":"","family":"Jin Tae","given":"Hong","non-dropping-particle":"","parse-names":false,"suffix":""}],"container-title":"Phytomedicine","id":"ITEM-1","issued":{"date-parts":[["2018"]]},"page":"110-119","publisher":"Elsevier","title":"Anti-inflammatory effect of Centella asiatica phytosome in a mouse model of phthalic anhydride-induced atopic dermatitis","type":"article-journal","volume":"43"},"uris":["http://www.mendeley.com/documents/?uuid=d316dc2b-5ba5-4d2c-9830-fad99d369491"]}],"mendeley":{"formattedCitation":"[32]","plainTextFormattedCitation":"[32]","previouslyFormattedCitation":"[32]"},"properties":{"noteIndex":0},"schema":"https://github.com/citation-style-language/schema/raw/master/csl-citation.json"}</w:instrText>
      </w:r>
      <w:r w:rsidR="00D751AB" w:rsidRPr="00F54F89">
        <w:fldChar w:fldCharType="separate"/>
      </w:r>
      <w:r w:rsidR="007D0946" w:rsidRPr="00F54F89">
        <w:rPr>
          <w:noProof/>
        </w:rPr>
        <w:t>[32]</w:t>
      </w:r>
      <w:r w:rsidR="00D751AB" w:rsidRPr="00F54F89">
        <w:fldChar w:fldCharType="end"/>
      </w:r>
      <w:r w:rsidR="00D751AB" w:rsidRPr="00F54F89">
        <w:t xml:space="preserve">, </w:t>
      </w:r>
      <w:r w:rsidR="00D751AB" w:rsidRPr="00F54F89">
        <w:rPr>
          <w:i/>
        </w:rPr>
        <w:t>Vitis vinifera L.</w:t>
      </w:r>
      <w:r w:rsidR="00D751AB" w:rsidRPr="00F54F89">
        <w:t xml:space="preserve"> seed extract </w:t>
      </w:r>
      <w:r w:rsidR="00D751AB" w:rsidRPr="00F54F89">
        <w:fldChar w:fldCharType="begin" w:fldLock="1"/>
      </w:r>
      <w:r w:rsidR="007D0946" w:rsidRPr="00F54F89">
        <w:instrText>ADDIN CSL_CITATION {"citationItems":[{"id":"ITEM-1","itemData":{"ISSN":"09751505","author":[{"dropping-particle":"","family":"Surini","given":"Silvia","non-dropping-particle":"","parse-names":false,"suffix":""},{"dropping-particle":"","family":"Mubarak","given":"Helmy","non-dropping-particle":"","parse-names":false,"suffix":""},{"dropping-particle":"","family":"Ramadon","given":"Delly","non-dropping-particle":"","parse-names":false,"suffix":""}],"container-title":"Journal of Young Pharmacists","id":"ITEM-1","issue":"2","issued":{"date-parts":[["2018"]]},"page":"s51-s55","title":"Cosmetic serum containing grape (Vitis vinifera L.) seed extract phytosome: Formulation and in vitro penetration study","type":"article-journal","volume":"10"},"uris":["http://www.mendeley.com/documents/?uuid=b1f10b1c-8667-464c-b709-521cdc93d00e"]}],"mendeley":{"formattedCitation":"[33]","plainTextFormattedCitation":"[33]","previouslyFormattedCitation":"[33]"},"properties":{"noteIndex":0},"schema":"https://github.com/citation-style-language/schema/raw/master/csl-citation.json"}</w:instrText>
      </w:r>
      <w:r w:rsidR="00D751AB" w:rsidRPr="00F54F89">
        <w:fldChar w:fldCharType="separate"/>
      </w:r>
      <w:r w:rsidR="007D0946" w:rsidRPr="00F54F89">
        <w:rPr>
          <w:noProof/>
        </w:rPr>
        <w:t>[33]</w:t>
      </w:r>
      <w:r w:rsidR="00D751AB" w:rsidRPr="00F54F89">
        <w:fldChar w:fldCharType="end"/>
      </w:r>
      <w:r w:rsidR="00D751AB" w:rsidRPr="00F54F89">
        <w:t xml:space="preserve"> showing that the formulation of these natural products into phytosome</w:t>
      </w:r>
      <w:r w:rsidR="00A32AAA" w:rsidRPr="00F54F89">
        <w:t>s</w:t>
      </w:r>
      <w:r w:rsidR="00D751AB" w:rsidRPr="00F54F89">
        <w:t xml:space="preserve"> exhibited greater dissolution, stability, bioavailability profiles and dermal retention profiles. Taking a lead from these previous promising studies, the</w:t>
      </w:r>
      <w:r w:rsidRPr="00F54F89">
        <w:t xml:space="preserve"> formulation of propolis extract (PE) loaded into phytosome delivery system could provide a promising system to enhance the stability and release profiles of the bioactive compounds from propolis into biological fluid. </w:t>
      </w:r>
    </w:p>
    <w:p w14:paraId="03370F18" w14:textId="4BA51477" w:rsidR="009D2CE4" w:rsidRPr="00F54F89" w:rsidRDefault="000C6856" w:rsidP="009D2CE4">
      <w:pPr>
        <w:spacing w:line="360" w:lineRule="auto"/>
        <w:jc w:val="both"/>
        <w:rPr>
          <w:lang w:eastAsia="en-GB"/>
        </w:rPr>
      </w:pPr>
      <w:r w:rsidRPr="00F54F89">
        <w:rPr>
          <w:lang w:eastAsia="en-GB"/>
        </w:rPr>
        <w:t>I</w:t>
      </w:r>
      <w:r w:rsidR="0068331E" w:rsidRPr="00F54F89">
        <w:rPr>
          <w:lang w:eastAsia="en-GB"/>
        </w:rPr>
        <w:t xml:space="preserve">n the present study, we outline </w:t>
      </w:r>
      <w:r w:rsidRPr="00F54F89">
        <w:rPr>
          <w:lang w:eastAsia="en-GB"/>
        </w:rPr>
        <w:t xml:space="preserve">the </w:t>
      </w:r>
      <w:r w:rsidR="0068331E" w:rsidRPr="00F54F89">
        <w:rPr>
          <w:lang w:eastAsia="en-GB"/>
        </w:rPr>
        <w:t>innovative</w:t>
      </w:r>
      <w:r w:rsidRPr="00F54F89">
        <w:rPr>
          <w:lang w:eastAsia="en-GB"/>
        </w:rPr>
        <w:t xml:space="preserve"> formulation of PE-loaded phytosome</w:t>
      </w:r>
      <w:r w:rsidR="0033615A" w:rsidRPr="00F54F89">
        <w:rPr>
          <w:lang w:eastAsia="en-GB"/>
        </w:rPr>
        <w:t>s</w:t>
      </w:r>
      <w:r w:rsidRPr="00F54F89">
        <w:rPr>
          <w:lang w:eastAsia="en-GB"/>
        </w:rPr>
        <w:t xml:space="preserve"> (PEP) using phosphatidylcholine. Initially, in order to achieve the maximum phenolic and flavonoid content, the extraction solvent selection was </w:t>
      </w:r>
      <w:r w:rsidR="0078151A" w:rsidRPr="00F54F89">
        <w:rPr>
          <w:lang w:eastAsia="en-GB"/>
        </w:rPr>
        <w:t>optimised</w:t>
      </w:r>
      <w:r w:rsidRPr="00F54F89">
        <w:rPr>
          <w:lang w:eastAsia="en-GB"/>
        </w:rPr>
        <w:t>, the total phenolic content (TPC)</w:t>
      </w:r>
      <w:r w:rsidR="0033615A" w:rsidRPr="00F54F89">
        <w:rPr>
          <w:lang w:eastAsia="en-GB"/>
        </w:rPr>
        <w:t xml:space="preserve"> and</w:t>
      </w:r>
      <w:r w:rsidRPr="00F54F89">
        <w:rPr>
          <w:lang w:eastAsia="en-GB"/>
        </w:rPr>
        <w:t xml:space="preserve"> total flavonoid content (TFC)</w:t>
      </w:r>
      <w:r w:rsidR="0033615A" w:rsidRPr="00F54F89">
        <w:rPr>
          <w:lang w:eastAsia="en-GB"/>
        </w:rPr>
        <w:t xml:space="preserve"> determined,</w:t>
      </w:r>
      <w:r w:rsidR="00236BD1" w:rsidRPr="00F54F89">
        <w:rPr>
          <w:lang w:eastAsia="en-GB"/>
        </w:rPr>
        <w:t xml:space="preserve"> </w:t>
      </w:r>
      <w:r w:rsidRPr="00F54F89">
        <w:rPr>
          <w:lang w:eastAsia="en-GB"/>
        </w:rPr>
        <w:t xml:space="preserve">antioxidant activity </w:t>
      </w:r>
      <w:r w:rsidR="00236BD1" w:rsidRPr="00F54F89">
        <w:rPr>
          <w:lang w:eastAsia="en-GB"/>
        </w:rPr>
        <w:t xml:space="preserve">and sun protective factor (SPF) value </w:t>
      </w:r>
      <w:r w:rsidRPr="00F54F89">
        <w:rPr>
          <w:lang w:eastAsia="en-GB"/>
        </w:rPr>
        <w:t xml:space="preserve">were investigated. Following this, we formulated, </w:t>
      </w:r>
      <w:r w:rsidR="0078151A" w:rsidRPr="00F54F89">
        <w:rPr>
          <w:lang w:eastAsia="en-GB"/>
        </w:rPr>
        <w:t>optimised</w:t>
      </w:r>
      <w:r w:rsidRPr="00F54F89">
        <w:rPr>
          <w:lang w:eastAsia="en-GB"/>
        </w:rPr>
        <w:t xml:space="preserve"> and characteri</w:t>
      </w:r>
      <w:r w:rsidR="0078151A" w:rsidRPr="00F54F89">
        <w:rPr>
          <w:lang w:eastAsia="en-GB"/>
        </w:rPr>
        <w:t>s</w:t>
      </w:r>
      <w:r w:rsidRPr="00F54F89">
        <w:rPr>
          <w:lang w:eastAsia="en-GB"/>
        </w:rPr>
        <w:t xml:space="preserve">ed the PEP, </w:t>
      </w:r>
      <w:r w:rsidR="0033615A" w:rsidRPr="00F54F89">
        <w:rPr>
          <w:lang w:eastAsia="en-GB"/>
        </w:rPr>
        <w:t>and</w:t>
      </w:r>
      <w:r w:rsidRPr="00F54F89">
        <w:rPr>
          <w:lang w:eastAsia="en-GB"/>
        </w:rPr>
        <w:t xml:space="preserve"> carried out solubility studies of the PEP. Finally, taking into </w:t>
      </w:r>
      <w:r w:rsidR="0033615A" w:rsidRPr="00F54F89">
        <w:rPr>
          <w:lang w:eastAsia="en-GB"/>
        </w:rPr>
        <w:t>consideration</w:t>
      </w:r>
      <w:r w:rsidRPr="00F54F89">
        <w:rPr>
          <w:lang w:eastAsia="en-GB"/>
        </w:rPr>
        <w:t xml:space="preserve"> that antioxidants can be beneficial for human health in many aspects, </w:t>
      </w:r>
      <w:r w:rsidR="0068331E" w:rsidRPr="00F54F89">
        <w:rPr>
          <w:lang w:eastAsia="en-GB"/>
        </w:rPr>
        <w:t xml:space="preserve">for the first time, </w:t>
      </w:r>
      <w:r w:rsidRPr="00F54F89">
        <w:rPr>
          <w:lang w:eastAsia="en-GB"/>
        </w:rPr>
        <w:t>we studied the</w:t>
      </w:r>
      <w:r w:rsidR="009D2CE4" w:rsidRPr="00F54F89">
        <w:rPr>
          <w:lang w:eastAsia="en-GB"/>
        </w:rPr>
        <w:t xml:space="preserve"> release profiles</w:t>
      </w:r>
      <w:r w:rsidRPr="00F54F89">
        <w:rPr>
          <w:lang w:eastAsia="en-GB"/>
        </w:rPr>
        <w:t xml:space="preserve"> PEP in two different </w:t>
      </w:r>
      <w:r w:rsidR="009D2CE4" w:rsidRPr="00F54F89">
        <w:rPr>
          <w:lang w:eastAsia="en-GB"/>
        </w:rPr>
        <w:t>methods</w:t>
      </w:r>
      <w:r w:rsidRPr="00F54F89">
        <w:rPr>
          <w:lang w:eastAsia="en-GB"/>
        </w:rPr>
        <w:t xml:space="preserve">, namely </w:t>
      </w:r>
      <w:r w:rsidR="009D2CE4" w:rsidRPr="00F54F89">
        <w:rPr>
          <w:lang w:eastAsia="en-GB"/>
        </w:rPr>
        <w:t>dissolution study in biorelevant media, as well as skin permeation and retention studies in rat’s skin</w:t>
      </w:r>
      <w:r w:rsidRPr="00F54F89">
        <w:rPr>
          <w:lang w:eastAsia="en-GB"/>
        </w:rPr>
        <w:t xml:space="preserve">. </w:t>
      </w:r>
      <w:r w:rsidR="009D2CE4" w:rsidRPr="00F54F89">
        <w:rPr>
          <w:lang w:eastAsia="en-GB"/>
        </w:rPr>
        <w:t>The biorelevant media was used to represent the condition of gastrointestinal tract, while rat’s skin was used to evaluate the dermal delivery of this approach.</w:t>
      </w:r>
    </w:p>
    <w:p w14:paraId="5CE324AA" w14:textId="77777777" w:rsidR="007D0946" w:rsidRPr="00F54F89" w:rsidRDefault="007D0946" w:rsidP="009D2CE4">
      <w:pPr>
        <w:spacing w:line="360" w:lineRule="auto"/>
        <w:jc w:val="both"/>
        <w:rPr>
          <w:b/>
        </w:rPr>
      </w:pPr>
    </w:p>
    <w:p w14:paraId="2A38690C" w14:textId="77777777" w:rsidR="007D0946" w:rsidRPr="00F54F89" w:rsidRDefault="007D0946" w:rsidP="009D2CE4">
      <w:pPr>
        <w:spacing w:line="360" w:lineRule="auto"/>
        <w:jc w:val="both"/>
        <w:rPr>
          <w:b/>
        </w:rPr>
      </w:pPr>
    </w:p>
    <w:p w14:paraId="30689EE4" w14:textId="77777777" w:rsidR="007D0946" w:rsidRPr="00F54F89" w:rsidRDefault="007D0946" w:rsidP="009D2CE4">
      <w:pPr>
        <w:spacing w:line="360" w:lineRule="auto"/>
        <w:jc w:val="both"/>
        <w:rPr>
          <w:b/>
        </w:rPr>
      </w:pPr>
    </w:p>
    <w:p w14:paraId="5FD06080" w14:textId="5C07C049" w:rsidR="000C6856" w:rsidRPr="00F54F89" w:rsidRDefault="004B2E12" w:rsidP="009D2CE4">
      <w:pPr>
        <w:spacing w:line="360" w:lineRule="auto"/>
        <w:jc w:val="both"/>
        <w:rPr>
          <w:b/>
        </w:rPr>
      </w:pPr>
      <w:r w:rsidRPr="00F54F89">
        <w:rPr>
          <w:b/>
        </w:rPr>
        <w:lastRenderedPageBreak/>
        <w:t xml:space="preserve">2. </w:t>
      </w:r>
      <w:r w:rsidR="000C6856" w:rsidRPr="00F54F89">
        <w:rPr>
          <w:b/>
        </w:rPr>
        <w:t>Materials and Methods</w:t>
      </w:r>
    </w:p>
    <w:p w14:paraId="58130988" w14:textId="77777777" w:rsidR="000C6856" w:rsidRPr="00F54F89" w:rsidRDefault="004B2E12" w:rsidP="000C6856">
      <w:pPr>
        <w:spacing w:line="360" w:lineRule="auto"/>
        <w:jc w:val="both"/>
        <w:rPr>
          <w:b/>
        </w:rPr>
      </w:pPr>
      <w:r w:rsidRPr="00F54F89">
        <w:rPr>
          <w:b/>
        </w:rPr>
        <w:t xml:space="preserve">2.1. </w:t>
      </w:r>
      <w:r w:rsidR="000C6856" w:rsidRPr="00F54F89">
        <w:rPr>
          <w:b/>
        </w:rPr>
        <w:t>Materials</w:t>
      </w:r>
    </w:p>
    <w:p w14:paraId="6D6189FC" w14:textId="0C48D73B" w:rsidR="000C6856" w:rsidRPr="00F54F89" w:rsidRDefault="000C6856" w:rsidP="000C6856">
      <w:pPr>
        <w:spacing w:line="360" w:lineRule="auto"/>
        <w:jc w:val="both"/>
      </w:pPr>
      <w:r w:rsidRPr="00F54F89">
        <w:t xml:space="preserve">Propolis from </w:t>
      </w:r>
      <w:r w:rsidRPr="00F54F89">
        <w:rPr>
          <w:i/>
        </w:rPr>
        <w:t xml:space="preserve">Apis mellifera </w:t>
      </w:r>
      <w:r w:rsidRPr="00F54F89">
        <w:t xml:space="preserve">was obtained from Forestry Faculty, Hasanuddin University, Indonesia. </w:t>
      </w:r>
      <w:r w:rsidRPr="00F54F89">
        <w:rPr>
          <w:rStyle w:val="Emphasis"/>
          <w:bCs/>
          <w:i w:val="0"/>
          <w:iCs w:val="0"/>
          <w:shd w:val="clear" w:color="auto" w:fill="FFFFFF"/>
        </w:rPr>
        <w:t>Ethanol was purchased from Merck</w:t>
      </w:r>
      <w:r w:rsidRPr="00F54F89">
        <w:rPr>
          <w:shd w:val="clear" w:color="auto" w:fill="FFFFFF"/>
        </w:rPr>
        <w:t xml:space="preserve">, Darmstadt, Germany. </w:t>
      </w:r>
      <w:r w:rsidRPr="00F54F89">
        <w:t xml:space="preserve">2, 2-diphenyl-1-picrylhydrazyl (DPPH), acetonitrile for HPLC, caffeic acid, kaempferol, </w:t>
      </w:r>
      <w:r w:rsidRPr="00F54F89">
        <w:rPr>
          <w:shd w:val="clear" w:color="auto" w:fill="FFFFFF"/>
        </w:rPr>
        <w:t xml:space="preserve">L-α-Phosphatidylcholine (PC) from egg yolk and quercetin </w:t>
      </w:r>
      <w:r w:rsidRPr="00F54F89">
        <w:t xml:space="preserve">were purchased from Sigma–Aldrich Pte Ltd, Singapore, Singapore. All other reagents </w:t>
      </w:r>
      <w:r w:rsidR="00CE3FB2" w:rsidRPr="00F54F89">
        <w:t xml:space="preserve">used </w:t>
      </w:r>
      <w:r w:rsidRPr="00F54F89">
        <w:t xml:space="preserve">were analytical </w:t>
      </w:r>
      <w:r w:rsidR="00CE3FB2" w:rsidRPr="00F54F89">
        <w:t>grade.</w:t>
      </w:r>
    </w:p>
    <w:p w14:paraId="0FB224E8" w14:textId="77777777" w:rsidR="007D0946" w:rsidRPr="00F54F89" w:rsidRDefault="007D0946" w:rsidP="000C6856">
      <w:pPr>
        <w:spacing w:line="360" w:lineRule="auto"/>
        <w:jc w:val="both"/>
        <w:rPr>
          <w:b/>
        </w:rPr>
      </w:pPr>
    </w:p>
    <w:p w14:paraId="51F771BF" w14:textId="61EE57FB" w:rsidR="000C6856" w:rsidRPr="00F54F89" w:rsidRDefault="004B2E12" w:rsidP="000C6856">
      <w:pPr>
        <w:spacing w:line="360" w:lineRule="auto"/>
        <w:jc w:val="both"/>
        <w:rPr>
          <w:b/>
        </w:rPr>
      </w:pPr>
      <w:r w:rsidRPr="00F54F89">
        <w:rPr>
          <w:b/>
        </w:rPr>
        <w:t xml:space="preserve">2.2. </w:t>
      </w:r>
      <w:r w:rsidR="000C6856" w:rsidRPr="00F54F89">
        <w:rPr>
          <w:b/>
        </w:rPr>
        <w:t>Methods</w:t>
      </w:r>
    </w:p>
    <w:p w14:paraId="1CD38721" w14:textId="7BAC7352" w:rsidR="000C6856" w:rsidRPr="00F54F89" w:rsidRDefault="004B2E12" w:rsidP="000C6856">
      <w:pPr>
        <w:spacing w:line="360" w:lineRule="auto"/>
        <w:jc w:val="both"/>
        <w:rPr>
          <w:i/>
        </w:rPr>
      </w:pPr>
      <w:r w:rsidRPr="00F54F89">
        <w:rPr>
          <w:i/>
        </w:rPr>
        <w:t xml:space="preserve">2.2.1. </w:t>
      </w:r>
      <w:r w:rsidR="000C6856" w:rsidRPr="00F54F89">
        <w:rPr>
          <w:i/>
        </w:rPr>
        <w:t>Optimi</w:t>
      </w:r>
      <w:r w:rsidR="00CE3FB2" w:rsidRPr="00F54F89">
        <w:rPr>
          <w:i/>
        </w:rPr>
        <w:t>s</w:t>
      </w:r>
      <w:r w:rsidR="000C6856" w:rsidRPr="00F54F89">
        <w:rPr>
          <w:i/>
        </w:rPr>
        <w:t xml:space="preserve">ation of propolis extraction method </w:t>
      </w:r>
    </w:p>
    <w:p w14:paraId="79F3AF30" w14:textId="27A7B556" w:rsidR="000C6856" w:rsidRPr="00F54F89" w:rsidRDefault="000C6856" w:rsidP="000C6856">
      <w:pPr>
        <w:spacing w:line="360" w:lineRule="auto"/>
        <w:jc w:val="both"/>
      </w:pPr>
      <w:r w:rsidRPr="00F54F89">
        <w:t xml:space="preserve">Raw propolis (500 g) was extracted using 1 L of </w:t>
      </w:r>
      <w:r w:rsidR="0033615A" w:rsidRPr="00F54F89">
        <w:t>ethanol in</w:t>
      </w:r>
      <w:r w:rsidRPr="00F54F89">
        <w:t xml:space="preserve"> water </w:t>
      </w:r>
      <w:r w:rsidR="0033615A" w:rsidRPr="00F54F89">
        <w:t>at</w:t>
      </w:r>
      <w:r w:rsidRPr="00F54F89">
        <w:t xml:space="preserve"> varied concentration (25%, 50%, 75% and 100% v/v in water). The extraction process was carried out for 24 h in </w:t>
      </w:r>
      <w:r w:rsidR="0033615A" w:rsidRPr="00F54F89">
        <w:t xml:space="preserve">an </w:t>
      </w:r>
      <w:r w:rsidRPr="00F54F89">
        <w:t xml:space="preserve">ultrasonic bath </w:t>
      </w:r>
      <w:r w:rsidR="00E0623B" w:rsidRPr="00F54F89">
        <w:rPr>
          <w:color w:val="000000"/>
          <w:shd w:val="clear" w:color="auto" w:fill="FFFFFF"/>
        </w:rPr>
        <w:t xml:space="preserve">(Bandelin Sonorex Digitec, Germany) </w:t>
      </w:r>
      <w:r w:rsidRPr="00F54F89">
        <w:t xml:space="preserve">at room temperature. Afterwards, the mixtures were filtered and </w:t>
      </w:r>
      <w:r w:rsidR="00137FB9" w:rsidRPr="00F54F89">
        <w:t>then</w:t>
      </w:r>
      <w:r w:rsidRPr="00F54F89">
        <w:t xml:space="preserve"> kept at 4 °C for 24 h. In </w:t>
      </w:r>
      <w:r w:rsidR="0033615A" w:rsidRPr="00F54F89">
        <w:t xml:space="preserve">an </w:t>
      </w:r>
      <w:r w:rsidRPr="00F54F89">
        <w:t>attempt to remove the wax, the mixtures were filtered again. The propolis extract (PE) obtained from 100% v/v ethanol (E100) was dried directly using a rotary evaporator</w:t>
      </w:r>
      <w:r w:rsidR="00E0623B" w:rsidRPr="00F54F89">
        <w:t xml:space="preserve"> (Büchi Rotavapor R-114, Büchi, Switzerland)</w:t>
      </w:r>
      <w:r w:rsidRPr="00F54F89">
        <w:t xml:space="preserve">, obtaining </w:t>
      </w:r>
      <w:r w:rsidR="00B22A6C" w:rsidRPr="00F54F89">
        <w:t>PE</w:t>
      </w:r>
      <w:r w:rsidRPr="00F54F89">
        <w:t xml:space="preserve">. </w:t>
      </w:r>
      <w:r w:rsidR="00B22A6C" w:rsidRPr="00F54F89">
        <w:t>This PE, obt</w:t>
      </w:r>
      <w:r w:rsidRPr="00F54F89">
        <w:t>ained from 25% (E25), 50% (E50) and 75% ethanol (E75) was then subjected to a freeze dry</w:t>
      </w:r>
      <w:r w:rsidR="00B22A6C" w:rsidRPr="00F54F89">
        <w:t>ing</w:t>
      </w:r>
      <w:r w:rsidRPr="00F54F89">
        <w:t xml:space="preserve"> (Movel Scientific Instrument Co., Zhejiang, China) to obtain dry extract. For water extract (WE), the dry extract was obtained by subj</w:t>
      </w:r>
      <w:r w:rsidR="00137FB9" w:rsidRPr="00F54F89">
        <w:t>ecting the extract directly to</w:t>
      </w:r>
      <w:r w:rsidRPr="00F54F89">
        <w:t xml:space="preserve"> freeze dr</w:t>
      </w:r>
      <w:r w:rsidR="00B22A6C" w:rsidRPr="00F54F89">
        <w:t>ying</w:t>
      </w:r>
      <w:r w:rsidRPr="00F54F89">
        <w:t>.</w:t>
      </w:r>
    </w:p>
    <w:p w14:paraId="17975673" w14:textId="77777777" w:rsidR="007D0946" w:rsidRPr="00F54F89" w:rsidRDefault="007D0946" w:rsidP="000C6856">
      <w:pPr>
        <w:spacing w:line="360" w:lineRule="auto"/>
        <w:jc w:val="both"/>
        <w:rPr>
          <w:i/>
        </w:rPr>
      </w:pPr>
    </w:p>
    <w:p w14:paraId="1494B91B" w14:textId="2E8AA2E1" w:rsidR="000C6856" w:rsidRPr="00F54F89" w:rsidRDefault="004B2E12" w:rsidP="000C6856">
      <w:pPr>
        <w:spacing w:line="360" w:lineRule="auto"/>
        <w:jc w:val="both"/>
        <w:rPr>
          <w:i/>
        </w:rPr>
      </w:pPr>
      <w:r w:rsidRPr="00F54F89">
        <w:rPr>
          <w:i/>
        </w:rPr>
        <w:t xml:space="preserve">2.2.2. </w:t>
      </w:r>
      <w:r w:rsidR="000C6856" w:rsidRPr="00F54F89">
        <w:rPr>
          <w:i/>
        </w:rPr>
        <w:t>Extraction Yields of Propolis</w:t>
      </w:r>
    </w:p>
    <w:p w14:paraId="288DED3E" w14:textId="77777777" w:rsidR="000C6856" w:rsidRPr="00F54F89" w:rsidRDefault="000C6856" w:rsidP="000C6856">
      <w:pPr>
        <w:spacing w:line="360" w:lineRule="auto"/>
        <w:jc w:val="both"/>
      </w:pPr>
      <w:r w:rsidRPr="00F54F89">
        <w:t>The extraction yield was calculated based on the mass of dried PE obtained by using the following equation:</w:t>
      </w:r>
    </w:p>
    <w:p w14:paraId="67D33259" w14:textId="5243FF59" w:rsidR="000C6856" w:rsidRPr="00F54F89" w:rsidRDefault="000C6856" w:rsidP="00E0623B">
      <w:pPr>
        <w:tabs>
          <w:tab w:val="left" w:pos="7371"/>
        </w:tabs>
        <w:spacing w:line="360" w:lineRule="auto"/>
        <w:jc w:val="both"/>
        <w:rPr>
          <w:rFonts w:eastAsiaTheme="minorEastAsia"/>
        </w:rPr>
      </w:pPr>
      <w:r w:rsidRPr="00F54F89">
        <w:t xml:space="preserve">Extraction yield (%) = </w:t>
      </w:r>
      <m:oMath>
        <m:f>
          <m:fPr>
            <m:ctrlPr>
              <w:rPr>
                <w:rFonts w:ascii="Cambria Math" w:hAnsi="Cambria Math"/>
                <w:i/>
              </w:rPr>
            </m:ctrlPr>
          </m:fPr>
          <m:num>
            <m:r>
              <w:rPr>
                <w:rFonts w:ascii="Cambria Math" w:hAnsi="Cambria Math"/>
              </w:rPr>
              <m:t>W dried extract</m:t>
            </m:r>
          </m:num>
          <m:den>
            <m:r>
              <w:rPr>
                <w:rFonts w:ascii="Cambria Math" w:hAnsi="Cambria Math"/>
              </w:rPr>
              <m:t>W propolis</m:t>
            </m:r>
          </m:den>
        </m:f>
      </m:oMath>
      <w:r w:rsidRPr="00F54F89">
        <w:rPr>
          <w:rFonts w:eastAsiaTheme="minorEastAsia"/>
        </w:rPr>
        <w:t xml:space="preserve"> x 100%</w:t>
      </w:r>
      <w:r w:rsidR="00E0623B" w:rsidRPr="00F54F89">
        <w:rPr>
          <w:rFonts w:eastAsiaTheme="minorEastAsia"/>
        </w:rPr>
        <w:tab/>
        <w:t>Equation (1)</w:t>
      </w:r>
    </w:p>
    <w:p w14:paraId="15F195F8" w14:textId="77777777" w:rsidR="000C6856" w:rsidRPr="00F54F89" w:rsidRDefault="000C6856" w:rsidP="000C6856">
      <w:pPr>
        <w:spacing w:line="360" w:lineRule="auto"/>
        <w:jc w:val="both"/>
      </w:pPr>
      <w:r w:rsidRPr="00F54F89">
        <w:rPr>
          <w:rFonts w:eastAsiaTheme="minorEastAsia"/>
        </w:rPr>
        <w:t xml:space="preserve">Where, </w:t>
      </w:r>
      <w:r w:rsidRPr="00F54F89">
        <w:rPr>
          <w:rFonts w:eastAsiaTheme="minorEastAsia"/>
          <w:i/>
          <w:iCs/>
        </w:rPr>
        <w:t>W dried extract</w:t>
      </w:r>
      <w:r w:rsidRPr="00F54F89">
        <w:rPr>
          <w:rFonts w:eastAsiaTheme="minorEastAsia"/>
        </w:rPr>
        <w:t xml:space="preserve"> represents the weight of the dried PE and </w:t>
      </w:r>
      <w:r w:rsidRPr="00F54F89">
        <w:rPr>
          <w:rFonts w:eastAsiaTheme="minorEastAsia"/>
          <w:i/>
          <w:iCs/>
        </w:rPr>
        <w:t>W propolis</w:t>
      </w:r>
      <w:r w:rsidRPr="00F54F89">
        <w:rPr>
          <w:rFonts w:eastAsiaTheme="minorEastAsia"/>
        </w:rPr>
        <w:t xml:space="preserve"> represents the initial weight of propolis.</w:t>
      </w:r>
    </w:p>
    <w:p w14:paraId="294DC218" w14:textId="77777777" w:rsidR="007D0946" w:rsidRPr="00F54F89" w:rsidRDefault="007D0946" w:rsidP="000C6856">
      <w:pPr>
        <w:spacing w:line="360" w:lineRule="auto"/>
        <w:jc w:val="both"/>
        <w:rPr>
          <w:i/>
        </w:rPr>
      </w:pPr>
    </w:p>
    <w:p w14:paraId="253E2762" w14:textId="6BF4CC47" w:rsidR="000C6856" w:rsidRPr="00F54F89" w:rsidRDefault="004B2E12" w:rsidP="000C6856">
      <w:pPr>
        <w:spacing w:line="360" w:lineRule="auto"/>
        <w:jc w:val="both"/>
        <w:rPr>
          <w:i/>
        </w:rPr>
      </w:pPr>
      <w:r w:rsidRPr="00F54F89">
        <w:rPr>
          <w:i/>
        </w:rPr>
        <w:t xml:space="preserve">2.2.3. </w:t>
      </w:r>
      <w:r w:rsidR="000C6856" w:rsidRPr="00F54F89">
        <w:rPr>
          <w:i/>
        </w:rPr>
        <w:t xml:space="preserve">Total </w:t>
      </w:r>
      <w:r w:rsidRPr="00F54F89">
        <w:rPr>
          <w:i/>
        </w:rPr>
        <w:t>p</w:t>
      </w:r>
      <w:r w:rsidR="000C6856" w:rsidRPr="00F54F89">
        <w:rPr>
          <w:i/>
        </w:rPr>
        <w:t xml:space="preserve">henolic and </w:t>
      </w:r>
      <w:r w:rsidRPr="00F54F89">
        <w:rPr>
          <w:i/>
        </w:rPr>
        <w:t>f</w:t>
      </w:r>
      <w:r w:rsidR="000C6856" w:rsidRPr="00F54F89">
        <w:rPr>
          <w:i/>
        </w:rPr>
        <w:t xml:space="preserve">lavonoid </w:t>
      </w:r>
      <w:r w:rsidRPr="00F54F89">
        <w:rPr>
          <w:i/>
        </w:rPr>
        <w:t>c</w:t>
      </w:r>
      <w:r w:rsidR="000C6856" w:rsidRPr="00F54F89">
        <w:rPr>
          <w:i/>
        </w:rPr>
        <w:t>ontents</w:t>
      </w:r>
    </w:p>
    <w:p w14:paraId="5C79A4DB" w14:textId="1E0C2574" w:rsidR="000C6856" w:rsidRPr="00F54F89" w:rsidRDefault="000C6856" w:rsidP="000C6856">
      <w:pPr>
        <w:spacing w:line="360" w:lineRule="auto"/>
        <w:jc w:val="both"/>
      </w:pPr>
      <w:r w:rsidRPr="00F54F89">
        <w:t xml:space="preserve">Determination of </w:t>
      </w:r>
      <w:r w:rsidR="00B22A6C" w:rsidRPr="00F54F89">
        <w:t xml:space="preserve">the </w:t>
      </w:r>
      <w:r w:rsidRPr="00F54F89">
        <w:t>total phenolic content (TPC) of PE was carried out using</w:t>
      </w:r>
      <w:r w:rsidR="00B22A6C" w:rsidRPr="00F54F89">
        <w:t xml:space="preserve"> the</w:t>
      </w:r>
      <w:r w:rsidRPr="00F54F89">
        <w:t xml:space="preserve"> Folin-Ciocalteu method </w:t>
      </w:r>
      <w:r w:rsidRPr="00F54F89">
        <w:fldChar w:fldCharType="begin" w:fldLock="1"/>
      </w:r>
      <w:r w:rsidR="007D0946" w:rsidRPr="00F54F89">
        <w:instrText>ADDIN CSL_CITATION {"citationItems":[{"id":"ITEM-1","itemData":{"ISSN":"00236438","abstract":"The aim of the study was to investigate the effect of adding (in two different doses 15% and 30%) pseudocereal (buckwheat, amaranth and quinoa) flour on the antioxidant properties and sensory value of breads. Buckwheat flour had the highest phenolic content (7.25±0.23mg/gdw). The content of total flavonoids in flours was about 2-4 fold higher when compared to breads. The addition of buckwheat flour to wheat bread, particularly in higher dose, was more effective in enhancing antioxidant activity, as evaluated by means of FRAP and DPPH, which increased by 2.36 fold, and 3.64 fold respectively, in comparison with other pseudocereal flours (amaranth, quinoa), which caused, in higher doses, the changes of above parameters within the ranges 1.20-1.79 fold, and 0.60-1.71 fold. Analysis of sensory results of breads showed that addition of buckwheat flour to the dough might improve subjective properties of bread and increase acceptable quality attributes such as taste, colour or odour. All these observations suggest that addition of buckwheat flour into bread can improve antioxidant as well as sensory properties of bread. Bread fortified with pseudocereal flours, and especially with buckwheat flour, may be placed on the market as a functional food. © 2011 Elsevier Ltd.","author":[{"dropping-particle":"","family":"Chlopicka","given":"Joanna","non-dropping-particle":"","parse-names":false,"suffix":""},{"dropping-particle":"","family":"Pasko","given":"Pawel","non-dropping-particle":"","parse-names":false,"suffix":""},{"dropping-particle":"","family":"Gorinstein","given":"Shela","non-dropping-particle":"","parse-names":false,"suffix":""},{"dropping-particle":"","family":"Jedryas","given":"Aneta","non-dropping-particle":"","parse-names":false,"suffix":""},{"dropping-particle":"","family":"Zagrodzki","given":"Pawel","non-dropping-particle":"","parse-names":false,"suffix":""}],"container-title":"LWT - Food Science and Technology","id":"ITEM-1","issue":"2","issued":{"date-parts":[["2012"]]},"page":"548-555","publisher":"Elsevier Ltd","title":"Total phenolic and total flavonoid content, antioxidant activity and sensory evaluation of pseudocereal breads","type":"article-journal","volume":"46"},"uris":["http://www.mendeley.com/documents/?uuid=82432327-5404-4bd2-b999-853675f213ba"]},{"id":"ITEM-2","itemData":{"ISSN":"08891575","abstract":"Guava fruit extracts were analyzed for antioxidant activity measured in methanol extract (AOAM), antioxidant activity measured in dichloromethane extract (AOAD), ascorbic acid, total phenolics, and total carotenoids contents. The ABTS, DPPH, and FRAP assays were used for determining both AOAM and AOAD, whereas the ORAC was used for determining only AOAM. Averaged AOAM [μM Trolox equivalent (TE)/g fresh mass (FM)] were 31.1, 25.2, 26.1, and 21.3 as determined by the ABTS, DPPH, FRAP, and ORAC assays, respectively. Averaged AOAD (μM TE/g FM) were 0.44, 0.27, and 0.16 as determined by the ABTS, DPPH, and FRAP assays, respectively. AOAM determined by all assays were well correlated with ascorbic acid (0.61≤r≤0.92) and total phenolics (0.81≤r≤0.97) and also among themselves (0.68≤r≤0.97) but had negative correlation with total carotenoids (-0.67≤r≤-0.81). © 2006 Elsevier Inc. All rights reserved.","author":[{"dropping-particle":"","family":"Thaipong","given":"Kriengsak","non-dropping-particle":"","parse-names":false,"suffix":""},{"dropping-particle":"","family":"Boonprakob","given":"Unaroj","non-dropping-particle":"","parse-names":false,"suffix":""},{"dropping-particle":"","family":"Crosby","given":"Kevin","non-dropping-particle":"","parse-names":false,"suffix":""},{"dropping-particle":"","family":"Cisneros-Zevallos","given":"Luis","non-dropping-particle":"","parse-names":false,"suffix":""},{"dropping-particle":"","family":"Hawkins Byrne","given":"David","non-dropping-particle":"","parse-names":false,"suffix":""}],"container-title":"Journal of Food Composition and Analysis","id":"ITEM-2","issued":{"date-parts":[["2006"]]},"page":"669-675","title":"Comparison of ABTS, DPPH, FRAP, and ORAC assays for estimating antioxidant activity from guava fruit extracts","type":"article-journal","volume":"19"},"uris":["http://www.mendeley.com/documents/?uuid=cdb8d124-e513-41d8-9bf6-7190ab975659"]}],"mendeley":{"formattedCitation":"[34,35]","plainTextFormattedCitation":"[34,35]","previouslyFormattedCitation":"[34,35]"},"properties":{"noteIndex":0},"schema":"https://github.com/citation-style-language/schema/raw/master/csl-citation.json"}</w:instrText>
      </w:r>
      <w:r w:rsidRPr="00F54F89">
        <w:fldChar w:fldCharType="separate"/>
      </w:r>
      <w:r w:rsidR="007D0946" w:rsidRPr="00F54F89">
        <w:rPr>
          <w:noProof/>
        </w:rPr>
        <w:t>[34,35]</w:t>
      </w:r>
      <w:r w:rsidRPr="00F54F89">
        <w:fldChar w:fldCharType="end"/>
      </w:r>
      <w:r w:rsidRPr="00F54F89">
        <w:t xml:space="preserve">. Initially, the dried PE was dissolved in methanol, </w:t>
      </w:r>
      <w:r w:rsidR="002C1167" w:rsidRPr="00F54F89">
        <w:t>resulting in</w:t>
      </w:r>
      <w:r w:rsidRPr="00F54F89">
        <w:t xml:space="preserve"> a concentration of 1 mg/mL. Following this, 250 µL of the solution was mixed with 5 mL of distilled water and 0.5 mL of 1 N Folin-Ciocalteu reagent. This mixture was incubated at room </w:t>
      </w:r>
      <w:r w:rsidRPr="00F54F89">
        <w:lastRenderedPageBreak/>
        <w:t xml:space="preserve">temperature for 5 min. After that, 0.5 mL of 5% w/v sodium carbonate solution was added. The volume was made up to 10 mL with methanol. The mixture was again incubated in dark for 30 min at room temperature, and then </w:t>
      </w:r>
      <w:r w:rsidR="0078151A" w:rsidRPr="00F54F89">
        <w:t>homogenised</w:t>
      </w:r>
      <w:r w:rsidRPr="00F54F89">
        <w:t>. Absorbance of the mixture was measured at a wavelength of 760 nm using a spectrophotometer (Model UV-2500, Shimadzu Co., Ltd., Tokyo, Japan). TPC of PE was calculated from gallic acid standard curve. Results were expressed as milligram</w:t>
      </w:r>
      <w:r w:rsidR="00137FB9" w:rsidRPr="00F54F89">
        <w:t>s</w:t>
      </w:r>
      <w:r w:rsidRPr="00F54F89">
        <w:t xml:space="preserve"> of gallic acid equivalent per gram of propolis (mg GAE/g).</w:t>
      </w:r>
    </w:p>
    <w:p w14:paraId="41B63F9F" w14:textId="58310E99" w:rsidR="000C6856" w:rsidRPr="00F54F89" w:rsidRDefault="000C6856" w:rsidP="000C6856">
      <w:pPr>
        <w:spacing w:line="360" w:lineRule="auto"/>
        <w:jc w:val="both"/>
        <w:rPr>
          <w:b/>
        </w:rPr>
      </w:pPr>
      <w:r w:rsidRPr="00F54F89">
        <w:t xml:space="preserve">Determination of </w:t>
      </w:r>
      <w:r w:rsidR="00B22A6C" w:rsidRPr="00F54F89">
        <w:t xml:space="preserve">the </w:t>
      </w:r>
      <w:r w:rsidRPr="00F54F89">
        <w:t>total flavonoids content (TFC) wa</w:t>
      </w:r>
      <w:r w:rsidR="00137FB9" w:rsidRPr="00F54F89">
        <w:t xml:space="preserve">s carried out </w:t>
      </w:r>
      <w:r w:rsidR="002C1167" w:rsidRPr="00F54F89">
        <w:t>with colorimetry</w:t>
      </w:r>
      <w:r w:rsidRPr="00F54F89">
        <w:t xml:space="preserve"> using AlCl</w:t>
      </w:r>
      <w:r w:rsidRPr="00F54F89">
        <w:rPr>
          <w:vertAlign w:val="subscript"/>
        </w:rPr>
        <w:t xml:space="preserve">3 </w:t>
      </w:r>
      <w:r w:rsidRPr="00F54F89">
        <w:rPr>
          <w:vertAlign w:val="subscript"/>
        </w:rPr>
        <w:fldChar w:fldCharType="begin" w:fldLock="1"/>
      </w:r>
      <w:r w:rsidR="007D0946" w:rsidRPr="00F54F89">
        <w:rPr>
          <w:vertAlign w:val="subscript"/>
        </w:rPr>
        <w:instrText>ADDIN CSL_CITATION {"citationItems":[{"id":"ITEM-1","itemData":{"ISSN":"03088146","abstract":"Several honey samples (27) from Burkina Faso were analyzed to determine their total phenolic, flavonoid and proline contents as well as their radical scavenging activity. These samples consisted of 18 multifloral, 2 honeydew and 7 unifloral honeys, derived in the latter cases from flowers of Combretaceae, Vitellaria, Acacia and Lannea plant species. The total phenolic contents varied considerably with the highest values obtained for honeydew honey. Similarly, much variation was seen in total flavonoid and proline content, with Vitellaria honey having the highest proline content. Vitellaria honey was also found to have the highest antioxidant activity and content. The correlation between radical scavenging activity and proline content was higher than that for total phenolic compounds. This suggests that the amino acid content of honey should be considered more frequently when determining its antioxidant activity. © 2004 Elsevier Ltd. All rights reserved.","author":[{"dropping-particle":"","family":"Meda","given":"Aline","non-dropping-particle":"","parse-names":false,"suffix":""},{"dropping-particle":"","family":"Lamien","given":"Charles Euloge","non-dropping-particle":"","parse-names":false,"suffix":""},{"dropping-particle":"","family":"Romito","given":"Marco","non-dropping-particle":"","parse-names":false,"suffix":""},{"dropping-particle":"","family":"Millogo","given":"Jeanne","non-dropping-particle":"","parse-names":false,"suffix":""},{"dropping-particle":"","family":"Nacoulma","given":"Odile Germaine","non-dropping-particle":"","parse-names":false,"suffix":""}],"container-title":"Food Chemistry","id":"ITEM-1","issue":"3","issued":{"date-parts":[["2005"]]},"page":"571-577","title":"Determination of the total phenolic, flavonoid and proline contents in Burkina Fasan honey, as well as their radical scavenging activity","type":"article-journal","volume":"91"},"uris":["http://www.mendeley.com/documents/?uuid=809cb775-d26a-43b4-ab45-52251cbef08e"]},{"id":"ITEM-2","itemData":{"ISSN":"10219498","abstract":"Limnophila aromatica is commonly used as a spice and a medicinal herb in Southeast Asia. In this study, water and various concentrations (50%, 75%, and 100%) of methanol, ethanol, and acetone in water were used as solvent in the extraction of L. aromatica. The antioxidant activity, total phenolic content, and total flavonoid content of the freeze-dried L. aromatica extracts were investigated using various in vitro assays. The extract obtained by 100% ethanol showed the highest total antioxidant activity, reducing power and DPPH (2,2-diphenyl-1-picrylhydrazyl) radical scavenging activity. The same extract also exhibited the highest phenolic content (40.5 mg gallic acid equivalent/g of defatted L. aromatica) and the highest flavonoid content (31.11 mg quercetin equivalent/g of defatted L. aromatica). The highest extraction yield was obtained by using 50% aqueous acetone. These results indicate that L. aromatica can be used in dietary applications with a potential to reduce oxidative stress. © 2013, Food and Drug Administration, Taiwan.","author":[{"dropping-particle":"","family":"Do","given":"Quy Diem","non-dropping-particle":"","parse-names":false,"suffix":""},{"dropping-particle":"","family":"Angkawijaya","given":"Artik Elisa","non-dropping-particle":"","parse-names":false,"suffix":""},{"dropping-particle":"","family":"Tran-Nguyen","given":"Phuong Lan","non-dropping-particle":"","parse-names":false,"suffix":""},{"dropping-particle":"","family":"Huynh","given":"Lien Huong","non-dropping-particle":"","parse-names":false,"suffix":""},{"dropping-particle":"","family":"Soetaredjo","given":"Felycia Edi","non-dropping-particle":"","parse-names":false,"suffix":""},{"dropping-particle":"","family":"Ismadji","given":"Suryadi","non-dropping-particle":"","parse-names":false,"suffix":""},{"dropping-particle":"","family":"Ju","given":"Yi Hsu","non-dropping-particle":"","parse-names":false,"suffix":""}],"container-title":"Journal of Food and Drug Analysis","id":"ITEM-2","issue":"3","issued":{"date-parts":[["2014"]]},"page":"296-302","publisher":"Elsevier Ltd","title":"Effect of extraction solvent on total phenol content, total flavonoid content, and antioxidant activity of Limnophila aromatica","type":"article-journal","volume":"22"},"uris":["http://www.mendeley.com/documents/?uuid=a0f88238-0fa0-4d93-a9d1-93e48191beeb"]}],"mendeley":{"formattedCitation":"[36,37]","plainTextFormattedCitation":"[36,37]","previouslyFormattedCitation":"[36,37]"},"properties":{"noteIndex":0},"schema":"https://github.com/citation-style-language/schema/raw/master/csl-citation.json"}</w:instrText>
      </w:r>
      <w:r w:rsidRPr="00F54F89">
        <w:rPr>
          <w:vertAlign w:val="subscript"/>
        </w:rPr>
        <w:fldChar w:fldCharType="separate"/>
      </w:r>
      <w:r w:rsidR="007D0946" w:rsidRPr="00F54F89">
        <w:rPr>
          <w:noProof/>
        </w:rPr>
        <w:t>[36,37]</w:t>
      </w:r>
      <w:r w:rsidRPr="00F54F89">
        <w:rPr>
          <w:vertAlign w:val="subscript"/>
        </w:rPr>
        <w:fldChar w:fldCharType="end"/>
      </w:r>
      <w:r w:rsidRPr="00F54F89">
        <w:t>. Firstly, the dried PE was again dissolved in methanol, producing a concentration of 1 mg/mL and 0.5 mL of this solution was mixed with 0.25 mL of 10% w/v AlCl</w:t>
      </w:r>
      <w:r w:rsidRPr="00F54F89">
        <w:rPr>
          <w:vertAlign w:val="subscript"/>
        </w:rPr>
        <w:t>3</w:t>
      </w:r>
      <w:r w:rsidRPr="00F54F89">
        <w:t xml:space="preserve">, 0.25 mL of potassium acetate. Samples were </w:t>
      </w:r>
      <w:r w:rsidR="0078151A" w:rsidRPr="00F54F89">
        <w:t>homogenised</w:t>
      </w:r>
      <w:r w:rsidRPr="00F54F89">
        <w:t xml:space="preserve"> and left in the dark for 30 min. Finally, the absor</w:t>
      </w:r>
      <w:r w:rsidR="00137FB9" w:rsidRPr="00F54F89">
        <w:t>bance was measured at</w:t>
      </w:r>
      <w:r w:rsidRPr="00F54F89">
        <w:t xml:space="preserve"> 415 nm</w:t>
      </w:r>
      <w:r w:rsidR="00137FB9" w:rsidRPr="00F54F89">
        <w:t xml:space="preserve"> using a spectrophotometer (Model UV-2500, Shimadzu Co., Ltd., Tokyo, Japan)</w:t>
      </w:r>
      <w:r w:rsidRPr="00F54F89">
        <w:t>. TFC was calculated from the calibration curve of quercetin. Results were expressed as milligram</w:t>
      </w:r>
      <w:r w:rsidR="00137FB9" w:rsidRPr="00F54F89">
        <w:t>s</w:t>
      </w:r>
      <w:r w:rsidRPr="00F54F89">
        <w:t xml:space="preserve"> of quercetin equivalent per gram of propolis (mg Qu/g).</w:t>
      </w:r>
    </w:p>
    <w:p w14:paraId="7DDAC5A4" w14:textId="77777777" w:rsidR="007D0946" w:rsidRPr="00F54F89" w:rsidRDefault="007D0946" w:rsidP="000C6856">
      <w:pPr>
        <w:spacing w:line="360" w:lineRule="auto"/>
        <w:jc w:val="both"/>
        <w:rPr>
          <w:i/>
        </w:rPr>
      </w:pPr>
    </w:p>
    <w:p w14:paraId="07B39D58" w14:textId="295A0767" w:rsidR="000C6856" w:rsidRPr="00F54F89" w:rsidRDefault="004B2E12" w:rsidP="000C6856">
      <w:pPr>
        <w:spacing w:line="360" w:lineRule="auto"/>
        <w:jc w:val="both"/>
        <w:rPr>
          <w:i/>
        </w:rPr>
      </w:pPr>
      <w:r w:rsidRPr="00F54F89">
        <w:rPr>
          <w:i/>
        </w:rPr>
        <w:t xml:space="preserve">2.2.4. </w:t>
      </w:r>
      <w:r w:rsidR="000C6856" w:rsidRPr="00F54F89">
        <w:rPr>
          <w:i/>
        </w:rPr>
        <w:t xml:space="preserve">Antioxidant activity assay using DPPH scavenging capacity </w:t>
      </w:r>
    </w:p>
    <w:p w14:paraId="10A7DFA3" w14:textId="406A9461" w:rsidR="000C6856" w:rsidRPr="00F54F89" w:rsidRDefault="000C6856" w:rsidP="000C6856">
      <w:pPr>
        <w:spacing w:line="360" w:lineRule="auto"/>
        <w:jc w:val="both"/>
      </w:pPr>
      <w:r w:rsidRPr="00F54F89">
        <w:t>2,2-diphenyl-1-picrylhydrozyl</w:t>
      </w:r>
      <w:r w:rsidR="00B22A6C" w:rsidRPr="00F54F89">
        <w:t xml:space="preserve"> (DPPH)</w:t>
      </w:r>
      <w:r w:rsidRPr="00F54F89">
        <w:t xml:space="preserve"> radical was </w:t>
      </w:r>
      <w:r w:rsidR="00B22A6C" w:rsidRPr="00F54F89">
        <w:t>used</w:t>
      </w:r>
      <w:r w:rsidRPr="00F54F89">
        <w:t xml:space="preserve"> to determine the antioxidant activity based on the free radical scavenging activities of the of PE </w:t>
      </w:r>
      <w:r w:rsidRPr="00F54F89">
        <w:fldChar w:fldCharType="begin" w:fldLock="1"/>
      </w:r>
      <w:r w:rsidR="007D0946" w:rsidRPr="00F54F89">
        <w:instrText>ADDIN CSL_CITATION {"citationItems":[{"id":"ITEM-1","itemData":{"ISSN":"03088146","abstract":"Effects of microwave and conventional cooking methods were studied on total phenolics and antioxidant activity of pepper, squash, green beans, peas, leek, broccoli and spinach. Total phenolics content of fresh vegetables ranged from 183.2 to 1344.7 mg/100 g (as gallic acid equivalent) on dry weight basis. Total antioxidant activity ranged from 12.2% to 78.2%. With the exception of spinach, cooking affected total phenolics content significantly (p &lt; 0.05). The effect of various cooking methods on total phenolics was significant (p &lt; 0.05) only for pepper, peas and broccoli. After cooking, total antioxidant activity increased or remained unchanged depending on the type of vegetable but not type of cooking. © 2005 Elsevier Ltd. All rights reserved.","author":[{"dropping-particle":"","family":"Turkmen","given":"Nihal","non-dropping-particle":"","parse-names":false,"suffix":""},{"dropping-particle":"","family":"Sari","given":"Ferda","non-dropping-particle":"","parse-names":false,"suffix":""},{"dropping-particle":"","family":"Velioglu","given":"Y. Sedat","non-dropping-particle":"","parse-names":false,"suffix":""}],"container-title":"Food Chemistry","id":"ITEM-1","issue":"4","issued":{"date-parts":[["2005"]]},"page":"713-718","title":"The effect of cooking methods on total phenolics and antioxidant activity of selected green vegetables","type":"article-journal","volume":"93"},"uris":["http://www.mendeley.com/documents/?uuid=103115d7-6c6d-4cf6-ba71-4dab31b69e13"]},{"id":"ITEM-2","itemData":{"ISSN":"03088146","abstract":"Several honey samples (27) from Burkina Faso were analyzed to determine their total phenolic, flavonoid and proline contents as well as their radical scavenging activity. These samples consisted of 18 multifloral, 2 honeydew and 7 unifloral honeys, derived in the latter cases from flowers of Combretaceae, Vitellaria, Acacia and Lannea plant species. The total phenolic contents varied considerably with the highest values obtained for honeydew honey. Similarly, much variation was seen in total flavonoid and proline content, with Vitellaria honey having the highest proline content. Vitellaria honey was also found to have the highest antioxidant activity and content. The correlation between radical scavenging activity and proline content was higher than that for total phenolic compounds. This suggests that the amino acid content of honey should be considered more frequently when determining its antioxidant activity. © 2004 Elsevier Ltd. All rights reserved.","author":[{"dropping-particle":"","family":"Meda","given":"Aline","non-dropping-particle":"","parse-names":false,"suffix":""},{"dropping-particle":"","family":"Lamien","given":"Charles Euloge","non-dropping-particle":"","parse-names":false,"suffix":""},{"dropping-particle":"","family":"Romito","given":"Marco","non-dropping-particle":"","parse-names":false,"suffix":""},{"dropping-particle":"","family":"Millogo","given":"Jeanne","non-dropping-particle":"","parse-names":false,"suffix":""},{"dropping-particle":"","family":"Nacoulma","given":"Odile Germaine","non-dropping-particle":"","parse-names":false,"suffix":""}],"container-title":"Food Chemistry","id":"ITEM-2","issue":"3","issued":{"date-parts":[["2005"]]},"page":"571-577","title":"Determination of the total phenolic, flavonoid and proline contents in Burkina Fasan honey, as well as their radical scavenging activity","type":"article-journal","volume":"91"},"uris":["http://www.mendeley.com/documents/?uuid=809cb775-d26a-43b4-ab45-52251cbef08e"]}],"mendeley":{"formattedCitation":"[36,38]","plainTextFormattedCitation":"[36,38]","previouslyFormattedCitation":"[36,38]"},"properties":{"noteIndex":0},"schema":"https://github.com/citation-style-language/schema/raw/master/csl-citation.json"}</w:instrText>
      </w:r>
      <w:r w:rsidRPr="00F54F89">
        <w:fldChar w:fldCharType="separate"/>
      </w:r>
      <w:r w:rsidR="007D0946" w:rsidRPr="00F54F89">
        <w:rPr>
          <w:noProof/>
        </w:rPr>
        <w:t>[36,38]</w:t>
      </w:r>
      <w:r w:rsidRPr="00F54F89">
        <w:fldChar w:fldCharType="end"/>
      </w:r>
      <w:r w:rsidRPr="00F54F89">
        <w:t>. In brief, 2.5 mL of DPPH solution in methanol (25 µg/mL) was mixed with 0.25 mL of various concentrations of PE solution in methanol (0.1–1.0 mg/mL) and 2.25 mL of methanol. Afterwards, the samples were incubated in the dark for 20 min at room temperature. Absorbance of the solution was then determined at 517 nm (Model UV-2500, Shimadzu Co., Ltd., Tokyo, Japan). As a control, the absorbance of the DPPH radicals without extract was also measured, and corresponding extraction solvents were used as blank. The absorbance of the samples was compared with those of the blank control. The determination was carried out in three replicates and averaged. Antioxidant activity was calculated as follows:</w:t>
      </w:r>
    </w:p>
    <w:p w14:paraId="5D42A114" w14:textId="12376E57" w:rsidR="00B22A6C" w:rsidRPr="00F54F89" w:rsidRDefault="000C6856" w:rsidP="00E0623B">
      <w:pPr>
        <w:tabs>
          <w:tab w:val="left" w:pos="7371"/>
        </w:tabs>
        <w:spacing w:line="360" w:lineRule="auto"/>
        <w:jc w:val="both"/>
        <w:rPr>
          <w:rFonts w:eastAsiaTheme="minorEastAsia"/>
        </w:rPr>
      </w:pPr>
      <w:r w:rsidRPr="00F54F89">
        <w:t xml:space="preserve">% Inhibition = </w:t>
      </w:r>
      <m:oMath>
        <m:f>
          <m:fPr>
            <m:ctrlPr>
              <w:rPr>
                <w:rFonts w:ascii="Cambria Math" w:hAnsi="Cambria Math"/>
                <w:i/>
              </w:rPr>
            </m:ctrlPr>
          </m:fPr>
          <m:num>
            <m:r>
              <w:rPr>
                <w:rFonts w:ascii="Cambria Math" w:hAnsi="Cambria Math"/>
              </w:rPr>
              <m:t>Abs control-Abs extract</m:t>
            </m:r>
          </m:num>
          <m:den>
            <m:r>
              <w:rPr>
                <w:rFonts w:ascii="Cambria Math" w:hAnsi="Cambria Math"/>
              </w:rPr>
              <m:t>Abs extract</m:t>
            </m:r>
          </m:den>
        </m:f>
      </m:oMath>
      <w:r w:rsidRPr="00F54F89">
        <w:rPr>
          <w:rFonts w:eastAsiaTheme="minorEastAsia"/>
        </w:rPr>
        <w:t xml:space="preserve"> x 100%</w:t>
      </w:r>
      <w:r w:rsidR="00E0623B" w:rsidRPr="00F54F89">
        <w:rPr>
          <w:rFonts w:eastAsiaTheme="minorEastAsia"/>
        </w:rPr>
        <w:tab/>
      </w:r>
      <w:r w:rsidR="00B22A6C" w:rsidRPr="00F54F89">
        <w:rPr>
          <w:rFonts w:eastAsiaTheme="minorEastAsia"/>
        </w:rPr>
        <w:t>Equation (2)</w:t>
      </w:r>
    </w:p>
    <w:p w14:paraId="602A5727" w14:textId="6AD4AC9A" w:rsidR="000C6856" w:rsidRPr="00F54F89" w:rsidRDefault="000C6856" w:rsidP="000C6856">
      <w:pPr>
        <w:spacing w:line="360" w:lineRule="auto"/>
        <w:jc w:val="both"/>
      </w:pPr>
      <w:r w:rsidRPr="00F54F89">
        <w:t xml:space="preserve">Where </w:t>
      </w:r>
      <w:r w:rsidRPr="00F54F89">
        <w:rPr>
          <w:i/>
        </w:rPr>
        <w:t>Abs control</w:t>
      </w:r>
      <w:r w:rsidRPr="00F54F89">
        <w:t xml:space="preserve"> represents absorbance of the control sample and </w:t>
      </w:r>
      <w:r w:rsidRPr="00F54F89">
        <w:rPr>
          <w:i/>
        </w:rPr>
        <w:t>Abs extract</w:t>
      </w:r>
      <w:r w:rsidRPr="00F54F89">
        <w:t xml:space="preserve"> represents absorbance of the extract. Result</w:t>
      </w:r>
      <w:r w:rsidR="00B22A6C" w:rsidRPr="00F54F89">
        <w:t>s</w:t>
      </w:r>
      <w:r w:rsidRPr="00F54F89">
        <w:t xml:space="preserve"> w</w:t>
      </w:r>
      <w:r w:rsidR="00B22A6C" w:rsidRPr="00F54F89">
        <w:t>ere</w:t>
      </w:r>
      <w:r w:rsidRPr="00F54F89">
        <w:t xml:space="preserve"> expressed as inhibition percentage. The concentration required to achieve a 50% inhibition of DPPH free radical (IC</w:t>
      </w:r>
      <w:r w:rsidRPr="00F54F89">
        <w:rPr>
          <w:vertAlign w:val="subscript"/>
        </w:rPr>
        <w:t>50</w:t>
      </w:r>
      <w:r w:rsidRPr="00F54F89">
        <w:t xml:space="preserve">) was calculated </w:t>
      </w:r>
      <w:r w:rsidR="00B22A6C" w:rsidRPr="00F54F89">
        <w:t>using</w:t>
      </w:r>
      <w:r w:rsidRPr="00F54F89">
        <w:t xml:space="preserve"> linear regression</w:t>
      </w:r>
      <w:r w:rsidR="00B22A6C" w:rsidRPr="00F54F89">
        <w:t xml:space="preserve"> analysis</w:t>
      </w:r>
      <w:r w:rsidR="006F6C04" w:rsidRPr="00F54F89">
        <w:t xml:space="preserve"> in GraphPad Prism® version 6 (GraphPad Software, San Diego, California, USA)</w:t>
      </w:r>
      <w:r w:rsidRPr="00F54F89">
        <w:t>.</w:t>
      </w:r>
    </w:p>
    <w:p w14:paraId="271EFEF0" w14:textId="77777777" w:rsidR="007D0946" w:rsidRPr="00F54F89" w:rsidRDefault="007D0946" w:rsidP="000C6856">
      <w:pPr>
        <w:spacing w:line="360" w:lineRule="auto"/>
        <w:jc w:val="both"/>
        <w:rPr>
          <w:i/>
        </w:rPr>
      </w:pPr>
    </w:p>
    <w:p w14:paraId="66C68C44" w14:textId="77777777" w:rsidR="007D0946" w:rsidRPr="00F54F89" w:rsidRDefault="007D0946" w:rsidP="000C6856">
      <w:pPr>
        <w:spacing w:line="360" w:lineRule="auto"/>
        <w:jc w:val="both"/>
        <w:rPr>
          <w:i/>
        </w:rPr>
      </w:pPr>
    </w:p>
    <w:p w14:paraId="535E59AB" w14:textId="418A03F4" w:rsidR="000C6856" w:rsidRPr="00F54F89" w:rsidRDefault="004B2E12" w:rsidP="000C6856">
      <w:pPr>
        <w:spacing w:line="360" w:lineRule="auto"/>
        <w:jc w:val="both"/>
        <w:rPr>
          <w:i/>
        </w:rPr>
      </w:pPr>
      <w:r w:rsidRPr="00F54F89">
        <w:rPr>
          <w:i/>
        </w:rPr>
        <w:lastRenderedPageBreak/>
        <w:t xml:space="preserve">2.2.5. </w:t>
      </w:r>
      <w:r w:rsidR="000C6856" w:rsidRPr="00F54F89">
        <w:rPr>
          <w:i/>
        </w:rPr>
        <w:t>Antioxidant activity using lipid peroxidation method</w:t>
      </w:r>
    </w:p>
    <w:p w14:paraId="65A2E18A" w14:textId="0010EE3D" w:rsidR="000C6856" w:rsidRPr="00F54F89" w:rsidRDefault="000C6856" w:rsidP="00AE3818">
      <w:pPr>
        <w:spacing w:line="360" w:lineRule="auto"/>
        <w:jc w:val="both"/>
      </w:pPr>
      <w:r w:rsidRPr="00F54F89">
        <w:t xml:space="preserve">Thiocyanate was </w:t>
      </w:r>
      <w:r w:rsidR="00B22A6C" w:rsidRPr="00F54F89">
        <w:t>used</w:t>
      </w:r>
      <w:r w:rsidRPr="00F54F89">
        <w:t xml:space="preserve"> to determine the antioxidant activity of the PE. Briefly, linoleic acid emulsion was prepared by mixing 0.25 g of linoleic acid, 0.25 g of Tween-80 and 50 ml of 20 mM phosphate</w:t>
      </w:r>
      <w:r w:rsidR="00137FB9" w:rsidRPr="00F54F89">
        <w:t xml:space="preserve"> buffer pH 7.0 using a</w:t>
      </w:r>
      <w:r w:rsidR="00B404B8" w:rsidRPr="00F54F89">
        <w:t xml:space="preserve">n Ultra-Turrax® homogeniser </w:t>
      </w:r>
      <w:r w:rsidRPr="00F54F89">
        <w:t>(IKA, model T25, impeller 10 G, Germany). Different sample concentrations of PE were prepared in methanol. Afterwards, 0.5 mL of PE solution was mixed with 2.5 mL of linoleic acid emulsion and was incubated for 6 h at 37˚C. Aliquots (0.1 mL) were taken and were mixed with 5 mL of 75% ethanol, 0.1 mL of 30% w</w:t>
      </w:r>
      <w:r w:rsidRPr="00F54F89">
        <w:rPr>
          <w:color w:val="000000" w:themeColor="text1"/>
        </w:rPr>
        <w:t xml:space="preserve">/v ammonium thiocyanate and 0.1 mL of 20 mM of ferrous chloride in 100 mM HCl. </w:t>
      </w:r>
      <w:r w:rsidR="00AE3818" w:rsidRPr="00F54F89">
        <w:rPr>
          <w:color w:val="000000" w:themeColor="text1"/>
        </w:rPr>
        <w:t xml:space="preserve">min. The absorbance of the linoleic acid </w:t>
      </w:r>
      <w:r w:rsidR="001D3277" w:rsidRPr="00F54F89">
        <w:rPr>
          <w:color w:val="000000" w:themeColor="text1"/>
        </w:rPr>
        <w:t>emulsion without PE and PEP</w:t>
      </w:r>
      <w:r w:rsidR="00AE3818" w:rsidRPr="00F54F89">
        <w:rPr>
          <w:color w:val="000000" w:themeColor="text1"/>
        </w:rPr>
        <w:t xml:space="preserve"> was used as </w:t>
      </w:r>
      <w:r w:rsidR="00B404B8" w:rsidRPr="00F54F89">
        <w:rPr>
          <w:color w:val="000000" w:themeColor="text1"/>
        </w:rPr>
        <w:t>the</w:t>
      </w:r>
      <w:r w:rsidR="00AE3818" w:rsidRPr="00F54F89">
        <w:rPr>
          <w:color w:val="000000" w:themeColor="text1"/>
        </w:rPr>
        <w:t xml:space="preserve"> control </w:t>
      </w:r>
      <w:r w:rsidR="00B404B8" w:rsidRPr="00F54F89">
        <w:rPr>
          <w:color w:val="000000" w:themeColor="text1"/>
        </w:rPr>
        <w:t>for</w:t>
      </w:r>
      <w:r w:rsidR="00AE3818" w:rsidRPr="00F54F89">
        <w:rPr>
          <w:color w:val="000000" w:themeColor="text1"/>
        </w:rPr>
        <w:t xml:space="preserve"> peroxidation. </w:t>
      </w:r>
      <w:r w:rsidRPr="00F54F89">
        <w:rPr>
          <w:color w:val="000000" w:themeColor="text1"/>
        </w:rPr>
        <w:t xml:space="preserve">This mixture was incubated for 5 min at room temperature and the absorbance was determined </w:t>
      </w:r>
      <w:r w:rsidRPr="00F54F89">
        <w:t>at 500 nm. The percentage of lipid peroxidation inhibition was finally calculated using the following equation:</w:t>
      </w:r>
    </w:p>
    <w:p w14:paraId="61353EE8" w14:textId="501DB627" w:rsidR="00B22A6C" w:rsidRPr="00F54F89" w:rsidRDefault="000C6856" w:rsidP="00E0623B">
      <w:pPr>
        <w:tabs>
          <w:tab w:val="left" w:pos="7513"/>
        </w:tabs>
        <w:spacing w:line="360" w:lineRule="auto"/>
        <w:jc w:val="both"/>
        <w:rPr>
          <w:rFonts w:eastAsiaTheme="minorEastAsia"/>
        </w:rPr>
      </w:pPr>
      <w:r w:rsidRPr="00F54F89">
        <w:t xml:space="preserve">Inhibition = </w:t>
      </w:r>
      <m:oMath>
        <m:r>
          <w:rPr>
            <w:rFonts w:ascii="Cambria Math" w:hAnsi="Cambria Math"/>
          </w:rPr>
          <m:t>100-[</m:t>
        </m:r>
        <m:d>
          <m:dPr>
            <m:ctrlPr>
              <w:rPr>
                <w:rFonts w:ascii="Cambria Math" w:hAnsi="Cambria Math"/>
                <w:i/>
              </w:rPr>
            </m:ctrlPr>
          </m:dPr>
          <m:e>
            <m:f>
              <m:fPr>
                <m:ctrlPr>
                  <w:rPr>
                    <w:rFonts w:ascii="Cambria Math" w:hAnsi="Cambria Math"/>
                    <w:i/>
                  </w:rPr>
                </m:ctrlPr>
              </m:fPr>
              <m:num>
                <m:r>
                  <w:rPr>
                    <w:rFonts w:ascii="Cambria Math" w:hAnsi="Cambria Math"/>
                  </w:rPr>
                  <m:t>Abs extract</m:t>
                </m:r>
              </m:num>
              <m:den>
                <m:r>
                  <w:rPr>
                    <w:rFonts w:ascii="Cambria Math" w:hAnsi="Cambria Math"/>
                  </w:rPr>
                  <m:t>Abs control</m:t>
                </m:r>
              </m:den>
            </m:f>
          </m:e>
        </m:d>
        <m:r>
          <w:rPr>
            <w:rFonts w:ascii="Cambria Math" w:hAnsi="Cambria Math"/>
          </w:rPr>
          <m:t>x100]</m:t>
        </m:r>
      </m:oMath>
      <w:r w:rsidR="00E0623B" w:rsidRPr="00F54F89">
        <w:rPr>
          <w:rFonts w:eastAsiaTheme="minorEastAsia"/>
        </w:rPr>
        <w:tab/>
      </w:r>
      <w:r w:rsidR="00B22A6C" w:rsidRPr="00F54F89">
        <w:rPr>
          <w:rFonts w:eastAsiaTheme="minorEastAsia"/>
        </w:rPr>
        <w:t>Equation (3)</w:t>
      </w:r>
    </w:p>
    <w:p w14:paraId="52BB28B1" w14:textId="3940653A" w:rsidR="000C6856" w:rsidRPr="00F54F89" w:rsidRDefault="000C6856" w:rsidP="000C6856">
      <w:pPr>
        <w:spacing w:line="360" w:lineRule="auto"/>
        <w:jc w:val="both"/>
      </w:pPr>
      <w:r w:rsidRPr="00F54F89">
        <w:t xml:space="preserve">Where </w:t>
      </w:r>
      <w:r w:rsidRPr="00F54F89">
        <w:rPr>
          <w:i/>
        </w:rPr>
        <w:t>Abs control</w:t>
      </w:r>
      <w:r w:rsidRPr="00F54F89">
        <w:t xml:space="preserve"> denotes absorbance of the control sample and </w:t>
      </w:r>
      <w:r w:rsidRPr="00F54F89">
        <w:rPr>
          <w:i/>
        </w:rPr>
        <w:t>Abs extract</w:t>
      </w:r>
      <w:r w:rsidRPr="00F54F89">
        <w:t xml:space="preserve"> denotes absorbance of the extract. Result</w:t>
      </w:r>
      <w:r w:rsidR="00137FB9" w:rsidRPr="00F54F89">
        <w:t>s were</w:t>
      </w:r>
      <w:r w:rsidRPr="00F54F89">
        <w:t xml:space="preserve"> presented as percentage of inhibition. The concentration required to achieve a 50% inhibition lipid peroxidation (IC</w:t>
      </w:r>
      <w:r w:rsidRPr="00F54F89">
        <w:rPr>
          <w:vertAlign w:val="subscript"/>
        </w:rPr>
        <w:t>50</w:t>
      </w:r>
      <w:r w:rsidRPr="00F54F89">
        <w:t xml:space="preserve">) was calculated </w:t>
      </w:r>
      <w:r w:rsidR="00B22A6C" w:rsidRPr="00F54F89">
        <w:t>using</w:t>
      </w:r>
      <w:r w:rsidRPr="00F54F89">
        <w:t xml:space="preserve"> linear regression</w:t>
      </w:r>
      <w:r w:rsidR="00B22A6C" w:rsidRPr="00F54F89">
        <w:t xml:space="preserve"> analysis</w:t>
      </w:r>
      <w:r w:rsidRPr="00F54F89">
        <w:t>.</w:t>
      </w:r>
    </w:p>
    <w:p w14:paraId="4E3381B1" w14:textId="77777777" w:rsidR="007D0946" w:rsidRPr="00F54F89" w:rsidRDefault="007D0946" w:rsidP="000C6856">
      <w:pPr>
        <w:spacing w:line="360" w:lineRule="auto"/>
        <w:jc w:val="both"/>
        <w:rPr>
          <w:i/>
        </w:rPr>
      </w:pPr>
    </w:p>
    <w:p w14:paraId="2AC944BA" w14:textId="66DD2DD0" w:rsidR="000C6856" w:rsidRPr="00F54F89" w:rsidRDefault="004B2E12" w:rsidP="000C6856">
      <w:pPr>
        <w:spacing w:line="360" w:lineRule="auto"/>
        <w:jc w:val="both"/>
        <w:rPr>
          <w:i/>
        </w:rPr>
      </w:pPr>
      <w:r w:rsidRPr="00F54F89">
        <w:rPr>
          <w:i/>
        </w:rPr>
        <w:t xml:space="preserve">2.2.6. </w:t>
      </w:r>
      <w:r w:rsidR="000C6856" w:rsidRPr="00F54F89">
        <w:rPr>
          <w:i/>
        </w:rPr>
        <w:t>HPLC assay</w:t>
      </w:r>
      <w:r w:rsidR="00314308" w:rsidRPr="00F54F89">
        <w:rPr>
          <w:i/>
        </w:rPr>
        <w:t xml:space="preserve"> of bioactive compound</w:t>
      </w:r>
      <w:r w:rsidR="00B22A6C" w:rsidRPr="00F54F89">
        <w:rPr>
          <w:i/>
        </w:rPr>
        <w:t>s</w:t>
      </w:r>
      <w:r w:rsidR="00314308" w:rsidRPr="00F54F89">
        <w:rPr>
          <w:i/>
        </w:rPr>
        <w:t xml:space="preserve"> in PE</w:t>
      </w:r>
    </w:p>
    <w:p w14:paraId="2BCEC9AD" w14:textId="0F9B8FB1" w:rsidR="00236BD1" w:rsidRPr="00F54F89" w:rsidRDefault="000C6856" w:rsidP="000C6856">
      <w:pPr>
        <w:spacing w:line="360" w:lineRule="auto"/>
        <w:jc w:val="both"/>
        <w:rPr>
          <w:color w:val="000000" w:themeColor="text1"/>
          <w:shd w:val="clear" w:color="auto" w:fill="FFFFFF"/>
        </w:rPr>
      </w:pPr>
      <w:r w:rsidRPr="00F54F89">
        <w:t xml:space="preserve">The HPLC analysis of PE was carried out </w:t>
      </w:r>
      <w:r w:rsidR="00F46100" w:rsidRPr="00F54F89">
        <w:t>using</w:t>
      </w:r>
      <w:r w:rsidRPr="00F54F89">
        <w:t xml:space="preserve"> reverse phase (Shimadzu Prominence</w:t>
      </w:r>
      <w:r w:rsidR="00ED4C25" w:rsidRPr="00F54F89">
        <w:t xml:space="preserve">, </w:t>
      </w:r>
      <w:r w:rsidR="00ED4C25" w:rsidRPr="00F54F89">
        <w:rPr>
          <w:rStyle w:val="Emphasis"/>
          <w:bCs/>
          <w:i w:val="0"/>
          <w:iCs w:val="0"/>
          <w:shd w:val="clear" w:color="auto" w:fill="FFFFFF"/>
        </w:rPr>
        <w:t>Shimadzu</w:t>
      </w:r>
      <w:r w:rsidR="00ED4C25" w:rsidRPr="00F54F89">
        <w:rPr>
          <w:shd w:val="clear" w:color="auto" w:fill="FFFFFF"/>
        </w:rPr>
        <w:t>, Kyoto, Japan</w:t>
      </w:r>
      <w:r w:rsidRPr="00F54F89">
        <w:t xml:space="preserve">) system with LC-20AT quaternary gradient pump and Shimadzu LC solution software (ver. 1.21 SP1). The separation was performed using a reversed-phase column Gemini C18 (150 × 4.6 mm, 5 </w:t>
      </w:r>
      <w:r w:rsidR="001D3277" w:rsidRPr="00F54F89">
        <w:sym w:font="Symbol" w:char="F06D"/>
      </w:r>
      <w:r w:rsidRPr="00F54F89">
        <w:t>m) (Phenomenex, Inc., CA, USA). A combination of 0.5% v/v acetic acid in water (A) and acetonitrile (B) was used as the mobile phase and a gradient condition over 30 min was applied to separate the compounds, as summari</w:t>
      </w:r>
      <w:r w:rsidR="0078151A" w:rsidRPr="00F54F89">
        <w:t>s</w:t>
      </w:r>
      <w:r w:rsidRPr="00F54F89">
        <w:t xml:space="preserve">ed in Table 1. The injection volume was 25 μL and the analyses were carried </w:t>
      </w:r>
      <w:r w:rsidR="00F90113" w:rsidRPr="00F54F89">
        <w:t xml:space="preserve">out </w:t>
      </w:r>
      <w:r w:rsidRPr="00F54F89">
        <w:t xml:space="preserve">at 40˚C with UV detection at 290 nm. As </w:t>
      </w:r>
      <w:r w:rsidR="00137FB9" w:rsidRPr="00F54F89">
        <w:t>analy</w:t>
      </w:r>
      <w:r w:rsidR="00F90113" w:rsidRPr="00F54F89">
        <w:t>t</w:t>
      </w:r>
      <w:r w:rsidR="00137FB9" w:rsidRPr="00F54F89">
        <w:t>es</w:t>
      </w:r>
      <w:r w:rsidR="00F90113" w:rsidRPr="00F54F89">
        <w:t xml:space="preserve"> of </w:t>
      </w:r>
      <w:r w:rsidRPr="00F54F89">
        <w:t>interest</w:t>
      </w:r>
      <w:r w:rsidR="00F90113" w:rsidRPr="00F54F89">
        <w:t>,</w:t>
      </w:r>
      <w:r w:rsidRPr="00F54F89">
        <w:t xml:space="preserve"> concentrations of caffeic acid (CA), quercetin (QU) and kaempferol (KP) were </w:t>
      </w:r>
      <w:r w:rsidR="00F90113" w:rsidRPr="00F54F89">
        <w:t>measured</w:t>
      </w:r>
      <w:r w:rsidRPr="00F54F89">
        <w:t xml:space="preserve"> in PE.</w:t>
      </w:r>
      <w:r w:rsidR="001D3277" w:rsidRPr="00F54F89">
        <w:t xml:space="preserve"> </w:t>
      </w:r>
      <w:r w:rsidR="001D3277" w:rsidRPr="00F54F89">
        <w:rPr>
          <w:color w:val="000000" w:themeColor="text1"/>
          <w:shd w:val="clear" w:color="auto" w:fill="FFFFFF"/>
        </w:rPr>
        <w:t>The analytical methods were validated as per the International Committee of Harmonization (ICH) 2005</w:t>
      </w:r>
      <w:r w:rsidR="007B0CCB" w:rsidRPr="00F54F89">
        <w:rPr>
          <w:color w:val="000000" w:themeColor="text1"/>
          <w:shd w:val="clear" w:color="auto" w:fill="FFFFFF"/>
        </w:rPr>
        <w:t xml:space="preserve"> </w:t>
      </w:r>
      <w:r w:rsidR="00D71130" w:rsidRPr="00F54F89">
        <w:rPr>
          <w:color w:val="000000" w:themeColor="text1"/>
          <w:shd w:val="clear" w:color="auto" w:fill="FFFFFF"/>
        </w:rPr>
        <w:fldChar w:fldCharType="begin" w:fldLock="1"/>
      </w:r>
      <w:r w:rsidR="007D0946" w:rsidRPr="00F54F89">
        <w:rPr>
          <w:color w:val="000000" w:themeColor="text1"/>
          <w:shd w:val="clear" w:color="auto" w:fill="FFFFFF"/>
        </w:rPr>
        <w:instrText>ADDIN CSL_CITATION {"citationItems":[{"id":"ITEM-1","itemData":{"ISSN":"07317085","author":[{"dropping-particle":"","family":"Permana","given":"Andi Dian","non-dropping-particle":"","parse-names":false,"suffix":""},{"dropping-particle":"","family":"Tekko","given":"Ismaiel A.","non-dropping-particle":"","parse-names":false,"suffix":""},{"dropping-particle":"","family":"McCarthy","given":"Helen O.","non-dropping-particle":"","parse-names":false,"suffix":""},{"dropping-particle":"","family":"Donnelly","given":"Ryan F.","non-dropping-particle":"","parse-names":false,"suffix":""}],"container-title":"Journal of Pharmaceutical and Biomedical Analysis","id":"ITEM-1","issued":{"date-parts":[["2019"]]},"page":"243-253","publisher":"Elsevier B.V.","title":"New HPLC–MS method for rapid and simultaneous quantification of doxycycline, diethylcarbamazine and albendazole metabolites in rat plasma and organs after concomitant oral administration","type":"article-journal","volume":"170"},"uris":["http://www.mendeley.com/documents/?uuid=987e55d3-2a32-4d07-8643-e9f1bba1bd6b"]}],"mendeley":{"formattedCitation":"[39]","plainTextFormattedCitation":"[39]","previouslyFormattedCitation":"[39]"},"properties":{"noteIndex":0},"schema":"https://github.com/citation-style-language/schema/raw/master/csl-citation.json"}</w:instrText>
      </w:r>
      <w:r w:rsidR="00D71130" w:rsidRPr="00F54F89">
        <w:rPr>
          <w:color w:val="000000" w:themeColor="text1"/>
          <w:shd w:val="clear" w:color="auto" w:fill="FFFFFF"/>
        </w:rPr>
        <w:fldChar w:fldCharType="separate"/>
      </w:r>
      <w:r w:rsidR="007D0946" w:rsidRPr="00F54F89">
        <w:rPr>
          <w:noProof/>
          <w:color w:val="000000" w:themeColor="text1"/>
          <w:shd w:val="clear" w:color="auto" w:fill="FFFFFF"/>
        </w:rPr>
        <w:t>[39]</w:t>
      </w:r>
      <w:r w:rsidR="00D71130" w:rsidRPr="00F54F89">
        <w:rPr>
          <w:color w:val="000000" w:themeColor="text1"/>
          <w:shd w:val="clear" w:color="auto" w:fill="FFFFFF"/>
        </w:rPr>
        <w:fldChar w:fldCharType="end"/>
      </w:r>
      <w:r w:rsidR="001D3277" w:rsidRPr="00F54F89">
        <w:rPr>
          <w:color w:val="000000" w:themeColor="text1"/>
          <w:shd w:val="clear" w:color="auto" w:fill="FFFFFF"/>
        </w:rPr>
        <w:t xml:space="preserve"> and the validation results are shown in Table</w:t>
      </w:r>
      <w:r w:rsidR="00766D10" w:rsidRPr="00F54F89">
        <w:rPr>
          <w:color w:val="000000" w:themeColor="text1"/>
          <w:shd w:val="clear" w:color="auto" w:fill="FFFFFF"/>
        </w:rPr>
        <w:t>s</w:t>
      </w:r>
      <w:r w:rsidR="001D3277" w:rsidRPr="00F54F89">
        <w:rPr>
          <w:color w:val="000000" w:themeColor="text1"/>
          <w:shd w:val="clear" w:color="auto" w:fill="FFFFFF"/>
        </w:rPr>
        <w:t xml:space="preserve"> S1</w:t>
      </w:r>
      <w:r w:rsidR="00E40AA4" w:rsidRPr="00F54F89">
        <w:rPr>
          <w:color w:val="000000" w:themeColor="text1"/>
          <w:shd w:val="clear" w:color="auto" w:fill="FFFFFF"/>
        </w:rPr>
        <w:t xml:space="preserve"> and S2</w:t>
      </w:r>
      <w:r w:rsidR="001D3277" w:rsidRPr="00F54F89">
        <w:rPr>
          <w:color w:val="000000" w:themeColor="text1"/>
          <w:shd w:val="clear" w:color="auto" w:fill="FFFFFF"/>
        </w:rPr>
        <w:t>.</w:t>
      </w:r>
    </w:p>
    <w:p w14:paraId="5DE4244F" w14:textId="155D5893" w:rsidR="007D0946" w:rsidRPr="00F54F89" w:rsidRDefault="007D0946" w:rsidP="000C6856">
      <w:pPr>
        <w:spacing w:line="360" w:lineRule="auto"/>
        <w:jc w:val="both"/>
        <w:rPr>
          <w:color w:val="000000" w:themeColor="text1"/>
          <w:shd w:val="clear" w:color="auto" w:fill="FFFFFF"/>
        </w:rPr>
      </w:pPr>
    </w:p>
    <w:p w14:paraId="391BBDAB" w14:textId="00019DC1" w:rsidR="007D0946" w:rsidRPr="00F54F89" w:rsidRDefault="007D0946" w:rsidP="000C6856">
      <w:pPr>
        <w:spacing w:line="360" w:lineRule="auto"/>
        <w:jc w:val="both"/>
        <w:rPr>
          <w:color w:val="000000" w:themeColor="text1"/>
          <w:shd w:val="clear" w:color="auto" w:fill="FFFFFF"/>
        </w:rPr>
      </w:pPr>
    </w:p>
    <w:p w14:paraId="590DB2C7" w14:textId="77777777" w:rsidR="007D0946" w:rsidRPr="00F54F89" w:rsidRDefault="007D0946" w:rsidP="000C6856">
      <w:pPr>
        <w:spacing w:line="360" w:lineRule="auto"/>
        <w:jc w:val="both"/>
      </w:pPr>
    </w:p>
    <w:p w14:paraId="6C1FEEC7" w14:textId="77777777" w:rsidR="000C6856" w:rsidRPr="00F54F89" w:rsidRDefault="000C6856" w:rsidP="00D751AB">
      <w:pPr>
        <w:pStyle w:val="VDTableTitle"/>
        <w:spacing w:before="240" w:line="240" w:lineRule="auto"/>
        <w:jc w:val="center"/>
        <w:rPr>
          <w:rFonts w:ascii="Times New Roman" w:hAnsi="Times New Roman"/>
          <w:sz w:val="20"/>
          <w:lang w:val="en-GB"/>
        </w:rPr>
      </w:pPr>
      <w:r w:rsidRPr="00F54F89">
        <w:rPr>
          <w:rStyle w:val="label"/>
          <w:rFonts w:ascii="Times New Roman" w:hAnsi="Times New Roman"/>
          <w:b/>
          <w:sz w:val="20"/>
          <w:lang w:val="en-GB"/>
        </w:rPr>
        <w:lastRenderedPageBreak/>
        <w:t>Table 1</w:t>
      </w:r>
      <w:r w:rsidRPr="00F54F89">
        <w:rPr>
          <w:rFonts w:ascii="Times New Roman" w:hAnsi="Times New Roman"/>
          <w:b/>
          <w:sz w:val="20"/>
          <w:lang w:val="en-GB"/>
        </w:rPr>
        <w:t>.</w:t>
      </w:r>
      <w:r w:rsidRPr="00F54F89">
        <w:rPr>
          <w:rFonts w:ascii="Times New Roman" w:hAnsi="Times New Roman"/>
          <w:sz w:val="20"/>
          <w:lang w:val="en-GB"/>
        </w:rPr>
        <w:t> Gradient conditions for HPLC mobile phase.</w:t>
      </w:r>
    </w:p>
    <w:tbl>
      <w:tblPr>
        <w:tblW w:w="4520" w:type="dxa"/>
        <w:jc w:val="center"/>
        <w:tblLook w:val="04A0" w:firstRow="1" w:lastRow="0" w:firstColumn="1" w:lastColumn="0" w:noHBand="0" w:noVBand="1"/>
      </w:tblPr>
      <w:tblGrid>
        <w:gridCol w:w="960"/>
        <w:gridCol w:w="960"/>
        <w:gridCol w:w="960"/>
        <w:gridCol w:w="1640"/>
      </w:tblGrid>
      <w:tr w:rsidR="000C6856" w:rsidRPr="00F54F89" w14:paraId="777217C5" w14:textId="77777777" w:rsidTr="00AB2710">
        <w:trPr>
          <w:trHeight w:val="300"/>
          <w:jc w:val="center"/>
        </w:trPr>
        <w:tc>
          <w:tcPr>
            <w:tcW w:w="960" w:type="dxa"/>
            <w:tcBorders>
              <w:top w:val="single" w:sz="4" w:space="0" w:color="auto"/>
              <w:left w:val="nil"/>
              <w:bottom w:val="single" w:sz="4" w:space="0" w:color="auto"/>
              <w:right w:val="nil"/>
            </w:tcBorders>
            <w:shd w:val="clear" w:color="auto" w:fill="auto"/>
            <w:noWrap/>
            <w:vAlign w:val="center"/>
            <w:hideMark/>
          </w:tcPr>
          <w:p w14:paraId="2018291A" w14:textId="77777777" w:rsidR="000C6856" w:rsidRPr="00F54F89" w:rsidRDefault="000C6856" w:rsidP="00AB2710">
            <w:pPr>
              <w:jc w:val="center"/>
              <w:rPr>
                <w:b/>
                <w:bCs/>
                <w:sz w:val="20"/>
                <w:szCs w:val="20"/>
                <w:lang w:eastAsia="en-GB"/>
              </w:rPr>
            </w:pPr>
            <w:r w:rsidRPr="00F54F89">
              <w:rPr>
                <w:b/>
                <w:bCs/>
                <w:sz w:val="20"/>
                <w:szCs w:val="20"/>
                <w:lang w:eastAsia="en-GB"/>
              </w:rPr>
              <w:t>Time</w:t>
            </w:r>
          </w:p>
        </w:tc>
        <w:tc>
          <w:tcPr>
            <w:tcW w:w="960" w:type="dxa"/>
            <w:tcBorders>
              <w:top w:val="single" w:sz="4" w:space="0" w:color="auto"/>
              <w:left w:val="nil"/>
              <w:bottom w:val="single" w:sz="4" w:space="0" w:color="auto"/>
              <w:right w:val="nil"/>
            </w:tcBorders>
            <w:shd w:val="clear" w:color="auto" w:fill="auto"/>
            <w:noWrap/>
            <w:vAlign w:val="center"/>
            <w:hideMark/>
          </w:tcPr>
          <w:p w14:paraId="59ED97FF" w14:textId="4B9C947B" w:rsidR="000C6856" w:rsidRPr="00F54F89" w:rsidRDefault="00D8255A" w:rsidP="00AB2710">
            <w:pPr>
              <w:jc w:val="center"/>
              <w:rPr>
                <w:b/>
                <w:bCs/>
                <w:sz w:val="20"/>
                <w:szCs w:val="20"/>
                <w:lang w:eastAsia="en-GB"/>
              </w:rPr>
            </w:pPr>
            <w:r w:rsidRPr="00F54F89">
              <w:rPr>
                <w:b/>
                <w:bCs/>
                <w:sz w:val="20"/>
                <w:szCs w:val="20"/>
                <w:lang w:eastAsia="en-GB"/>
              </w:rPr>
              <w:t>A</w:t>
            </w:r>
            <w:r w:rsidR="000C6856" w:rsidRPr="00F54F89">
              <w:rPr>
                <w:b/>
                <w:bCs/>
                <w:sz w:val="20"/>
                <w:szCs w:val="20"/>
                <w:lang w:eastAsia="en-GB"/>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0AECEB68" w14:textId="6BC4DFBF" w:rsidR="000C6856" w:rsidRPr="00F54F89" w:rsidRDefault="00D8255A" w:rsidP="00AB2710">
            <w:pPr>
              <w:rPr>
                <w:b/>
                <w:bCs/>
                <w:sz w:val="20"/>
                <w:szCs w:val="20"/>
                <w:lang w:eastAsia="en-GB"/>
              </w:rPr>
            </w:pPr>
            <w:r w:rsidRPr="00F54F89">
              <w:rPr>
                <w:b/>
                <w:bCs/>
                <w:sz w:val="20"/>
                <w:szCs w:val="20"/>
                <w:lang w:eastAsia="en-GB"/>
              </w:rPr>
              <w:t xml:space="preserve">B </w:t>
            </w:r>
            <w:r w:rsidR="000C6856" w:rsidRPr="00F54F89">
              <w:rPr>
                <w:b/>
                <w:bCs/>
                <w:sz w:val="20"/>
                <w:szCs w:val="20"/>
                <w:lang w:eastAsia="en-GB"/>
              </w:rPr>
              <w:t>(%)</w:t>
            </w:r>
          </w:p>
        </w:tc>
        <w:tc>
          <w:tcPr>
            <w:tcW w:w="1640" w:type="dxa"/>
            <w:tcBorders>
              <w:top w:val="single" w:sz="4" w:space="0" w:color="auto"/>
              <w:left w:val="nil"/>
              <w:bottom w:val="single" w:sz="4" w:space="0" w:color="auto"/>
              <w:right w:val="nil"/>
            </w:tcBorders>
            <w:shd w:val="clear" w:color="auto" w:fill="auto"/>
            <w:noWrap/>
            <w:vAlign w:val="center"/>
            <w:hideMark/>
          </w:tcPr>
          <w:p w14:paraId="3E0F991F" w14:textId="77777777" w:rsidR="000C6856" w:rsidRPr="00F54F89" w:rsidRDefault="000C6856" w:rsidP="00AB2710">
            <w:pPr>
              <w:jc w:val="center"/>
              <w:rPr>
                <w:b/>
                <w:bCs/>
                <w:sz w:val="20"/>
                <w:szCs w:val="20"/>
                <w:lang w:eastAsia="en-GB"/>
              </w:rPr>
            </w:pPr>
            <w:r w:rsidRPr="00F54F89">
              <w:rPr>
                <w:b/>
                <w:bCs/>
                <w:sz w:val="20"/>
                <w:szCs w:val="20"/>
                <w:lang w:eastAsia="en-GB"/>
              </w:rPr>
              <w:t>Flow (ml/min.)</w:t>
            </w:r>
          </w:p>
        </w:tc>
      </w:tr>
      <w:tr w:rsidR="000C6856" w:rsidRPr="00F54F89" w14:paraId="49901174" w14:textId="77777777" w:rsidTr="00AB2710">
        <w:trPr>
          <w:trHeight w:val="300"/>
          <w:jc w:val="center"/>
        </w:trPr>
        <w:tc>
          <w:tcPr>
            <w:tcW w:w="960" w:type="dxa"/>
            <w:tcBorders>
              <w:top w:val="nil"/>
              <w:left w:val="nil"/>
              <w:bottom w:val="nil"/>
              <w:right w:val="nil"/>
            </w:tcBorders>
            <w:shd w:val="clear" w:color="auto" w:fill="auto"/>
            <w:noWrap/>
            <w:vAlign w:val="center"/>
            <w:hideMark/>
          </w:tcPr>
          <w:p w14:paraId="6F06D4C7" w14:textId="77777777" w:rsidR="000C6856" w:rsidRPr="00F54F89" w:rsidRDefault="000C6856" w:rsidP="00AB2710">
            <w:pPr>
              <w:jc w:val="center"/>
              <w:rPr>
                <w:sz w:val="20"/>
                <w:szCs w:val="20"/>
                <w:lang w:eastAsia="en-GB"/>
              </w:rPr>
            </w:pPr>
            <w:r w:rsidRPr="00F54F89">
              <w:rPr>
                <w:sz w:val="20"/>
                <w:szCs w:val="20"/>
                <w:lang w:eastAsia="en-GB"/>
              </w:rPr>
              <w:t>0</w:t>
            </w:r>
          </w:p>
        </w:tc>
        <w:tc>
          <w:tcPr>
            <w:tcW w:w="960" w:type="dxa"/>
            <w:tcBorders>
              <w:top w:val="nil"/>
              <w:left w:val="nil"/>
              <w:bottom w:val="nil"/>
              <w:right w:val="nil"/>
            </w:tcBorders>
            <w:shd w:val="clear" w:color="auto" w:fill="auto"/>
            <w:noWrap/>
            <w:vAlign w:val="center"/>
            <w:hideMark/>
          </w:tcPr>
          <w:p w14:paraId="741DCC01" w14:textId="77777777" w:rsidR="000C6856" w:rsidRPr="00F54F89" w:rsidRDefault="000C6856" w:rsidP="00AB2710">
            <w:pPr>
              <w:jc w:val="center"/>
              <w:rPr>
                <w:sz w:val="20"/>
                <w:szCs w:val="20"/>
                <w:lang w:eastAsia="en-GB"/>
              </w:rPr>
            </w:pPr>
            <w:r w:rsidRPr="00F54F89">
              <w:rPr>
                <w:sz w:val="20"/>
                <w:szCs w:val="20"/>
                <w:lang w:eastAsia="en-GB"/>
              </w:rPr>
              <w:t>90</w:t>
            </w:r>
          </w:p>
        </w:tc>
        <w:tc>
          <w:tcPr>
            <w:tcW w:w="960" w:type="dxa"/>
            <w:tcBorders>
              <w:top w:val="nil"/>
              <w:left w:val="nil"/>
              <w:bottom w:val="nil"/>
              <w:right w:val="nil"/>
            </w:tcBorders>
            <w:shd w:val="clear" w:color="auto" w:fill="auto"/>
            <w:noWrap/>
            <w:vAlign w:val="center"/>
            <w:hideMark/>
          </w:tcPr>
          <w:p w14:paraId="362829FD" w14:textId="77777777" w:rsidR="000C6856" w:rsidRPr="00F54F89" w:rsidRDefault="000C6856" w:rsidP="00AB2710">
            <w:pPr>
              <w:rPr>
                <w:sz w:val="20"/>
                <w:szCs w:val="20"/>
                <w:lang w:eastAsia="en-GB"/>
              </w:rPr>
            </w:pPr>
            <w:r w:rsidRPr="00F54F89">
              <w:rPr>
                <w:sz w:val="20"/>
                <w:szCs w:val="20"/>
                <w:lang w:eastAsia="en-GB"/>
              </w:rPr>
              <w:t>10</w:t>
            </w:r>
          </w:p>
        </w:tc>
        <w:tc>
          <w:tcPr>
            <w:tcW w:w="1640" w:type="dxa"/>
            <w:tcBorders>
              <w:top w:val="nil"/>
              <w:left w:val="nil"/>
              <w:bottom w:val="nil"/>
              <w:right w:val="nil"/>
            </w:tcBorders>
            <w:shd w:val="clear" w:color="auto" w:fill="auto"/>
            <w:noWrap/>
            <w:vAlign w:val="center"/>
            <w:hideMark/>
          </w:tcPr>
          <w:p w14:paraId="3DDFB0D8" w14:textId="77777777" w:rsidR="000C6856" w:rsidRPr="00F54F89" w:rsidRDefault="000C6856" w:rsidP="00AB2710">
            <w:pPr>
              <w:jc w:val="center"/>
              <w:rPr>
                <w:sz w:val="20"/>
                <w:szCs w:val="20"/>
                <w:lang w:eastAsia="en-GB"/>
              </w:rPr>
            </w:pPr>
            <w:r w:rsidRPr="00F54F89">
              <w:rPr>
                <w:sz w:val="20"/>
                <w:szCs w:val="20"/>
                <w:lang w:eastAsia="en-GB"/>
              </w:rPr>
              <w:t>0.5</w:t>
            </w:r>
          </w:p>
        </w:tc>
      </w:tr>
      <w:tr w:rsidR="000C6856" w:rsidRPr="00F54F89" w14:paraId="084793AE" w14:textId="77777777" w:rsidTr="00AB2710">
        <w:trPr>
          <w:trHeight w:val="300"/>
          <w:jc w:val="center"/>
        </w:trPr>
        <w:tc>
          <w:tcPr>
            <w:tcW w:w="960" w:type="dxa"/>
            <w:tcBorders>
              <w:top w:val="nil"/>
              <w:left w:val="nil"/>
              <w:bottom w:val="nil"/>
              <w:right w:val="nil"/>
            </w:tcBorders>
            <w:shd w:val="clear" w:color="auto" w:fill="auto"/>
            <w:noWrap/>
            <w:vAlign w:val="center"/>
            <w:hideMark/>
          </w:tcPr>
          <w:p w14:paraId="36FA77D1" w14:textId="77777777" w:rsidR="000C6856" w:rsidRPr="00F54F89" w:rsidRDefault="000C6856" w:rsidP="00AB2710">
            <w:pPr>
              <w:jc w:val="center"/>
              <w:rPr>
                <w:sz w:val="20"/>
                <w:szCs w:val="20"/>
                <w:lang w:eastAsia="en-GB"/>
              </w:rPr>
            </w:pPr>
            <w:r w:rsidRPr="00F54F89">
              <w:rPr>
                <w:sz w:val="20"/>
                <w:szCs w:val="20"/>
                <w:lang w:eastAsia="en-GB"/>
              </w:rPr>
              <w:t>5</w:t>
            </w:r>
          </w:p>
        </w:tc>
        <w:tc>
          <w:tcPr>
            <w:tcW w:w="960" w:type="dxa"/>
            <w:tcBorders>
              <w:top w:val="nil"/>
              <w:left w:val="nil"/>
              <w:bottom w:val="nil"/>
              <w:right w:val="nil"/>
            </w:tcBorders>
            <w:shd w:val="clear" w:color="auto" w:fill="auto"/>
            <w:noWrap/>
            <w:vAlign w:val="center"/>
            <w:hideMark/>
          </w:tcPr>
          <w:p w14:paraId="41D35D40" w14:textId="77777777" w:rsidR="000C6856" w:rsidRPr="00F54F89" w:rsidRDefault="000C6856" w:rsidP="00AB2710">
            <w:pPr>
              <w:jc w:val="center"/>
              <w:rPr>
                <w:sz w:val="20"/>
                <w:szCs w:val="20"/>
                <w:lang w:eastAsia="en-GB"/>
              </w:rPr>
            </w:pPr>
            <w:r w:rsidRPr="00F54F89">
              <w:rPr>
                <w:sz w:val="20"/>
                <w:szCs w:val="20"/>
                <w:lang w:eastAsia="en-GB"/>
              </w:rPr>
              <w:t>65</w:t>
            </w:r>
          </w:p>
        </w:tc>
        <w:tc>
          <w:tcPr>
            <w:tcW w:w="960" w:type="dxa"/>
            <w:tcBorders>
              <w:top w:val="nil"/>
              <w:left w:val="nil"/>
              <w:bottom w:val="nil"/>
              <w:right w:val="nil"/>
            </w:tcBorders>
            <w:shd w:val="clear" w:color="auto" w:fill="auto"/>
            <w:noWrap/>
            <w:vAlign w:val="center"/>
            <w:hideMark/>
          </w:tcPr>
          <w:p w14:paraId="64AD2F4C" w14:textId="77777777" w:rsidR="000C6856" w:rsidRPr="00F54F89" w:rsidRDefault="000C6856" w:rsidP="00AB2710">
            <w:pPr>
              <w:rPr>
                <w:sz w:val="20"/>
                <w:szCs w:val="20"/>
                <w:lang w:eastAsia="en-GB"/>
              </w:rPr>
            </w:pPr>
            <w:r w:rsidRPr="00F54F89">
              <w:rPr>
                <w:sz w:val="20"/>
                <w:szCs w:val="20"/>
                <w:lang w:eastAsia="en-GB"/>
              </w:rPr>
              <w:t>35</w:t>
            </w:r>
          </w:p>
        </w:tc>
        <w:tc>
          <w:tcPr>
            <w:tcW w:w="1640" w:type="dxa"/>
            <w:tcBorders>
              <w:top w:val="nil"/>
              <w:left w:val="nil"/>
              <w:bottom w:val="nil"/>
              <w:right w:val="nil"/>
            </w:tcBorders>
            <w:shd w:val="clear" w:color="auto" w:fill="auto"/>
            <w:noWrap/>
            <w:vAlign w:val="center"/>
            <w:hideMark/>
          </w:tcPr>
          <w:p w14:paraId="62FC68A6" w14:textId="77777777" w:rsidR="000C6856" w:rsidRPr="00F54F89" w:rsidRDefault="000C6856" w:rsidP="00AB2710">
            <w:pPr>
              <w:jc w:val="center"/>
              <w:rPr>
                <w:sz w:val="20"/>
                <w:szCs w:val="20"/>
                <w:lang w:eastAsia="en-GB"/>
              </w:rPr>
            </w:pPr>
            <w:r w:rsidRPr="00F54F89">
              <w:rPr>
                <w:sz w:val="20"/>
                <w:szCs w:val="20"/>
                <w:lang w:eastAsia="en-GB"/>
              </w:rPr>
              <w:t>0.6</w:t>
            </w:r>
          </w:p>
        </w:tc>
      </w:tr>
      <w:tr w:rsidR="000C6856" w:rsidRPr="00F54F89" w14:paraId="12C1C55E" w14:textId="77777777" w:rsidTr="00AB2710">
        <w:trPr>
          <w:trHeight w:val="300"/>
          <w:jc w:val="center"/>
        </w:trPr>
        <w:tc>
          <w:tcPr>
            <w:tcW w:w="960" w:type="dxa"/>
            <w:tcBorders>
              <w:top w:val="nil"/>
              <w:left w:val="nil"/>
              <w:bottom w:val="nil"/>
              <w:right w:val="nil"/>
            </w:tcBorders>
            <w:shd w:val="clear" w:color="auto" w:fill="auto"/>
            <w:noWrap/>
            <w:vAlign w:val="center"/>
            <w:hideMark/>
          </w:tcPr>
          <w:p w14:paraId="3CF938DA" w14:textId="77777777" w:rsidR="000C6856" w:rsidRPr="00F54F89" w:rsidRDefault="000C6856" w:rsidP="00AB2710">
            <w:pPr>
              <w:jc w:val="center"/>
              <w:rPr>
                <w:sz w:val="20"/>
                <w:szCs w:val="20"/>
                <w:lang w:eastAsia="en-GB"/>
              </w:rPr>
            </w:pPr>
            <w:r w:rsidRPr="00F54F89">
              <w:rPr>
                <w:sz w:val="20"/>
                <w:szCs w:val="20"/>
                <w:lang w:eastAsia="en-GB"/>
              </w:rPr>
              <w:t>10</w:t>
            </w:r>
          </w:p>
        </w:tc>
        <w:tc>
          <w:tcPr>
            <w:tcW w:w="960" w:type="dxa"/>
            <w:tcBorders>
              <w:top w:val="nil"/>
              <w:left w:val="nil"/>
              <w:bottom w:val="nil"/>
              <w:right w:val="nil"/>
            </w:tcBorders>
            <w:shd w:val="clear" w:color="auto" w:fill="auto"/>
            <w:noWrap/>
            <w:vAlign w:val="center"/>
            <w:hideMark/>
          </w:tcPr>
          <w:p w14:paraId="4006D757" w14:textId="77777777" w:rsidR="000C6856" w:rsidRPr="00F54F89" w:rsidRDefault="000C6856" w:rsidP="00AB2710">
            <w:pPr>
              <w:jc w:val="center"/>
              <w:rPr>
                <w:sz w:val="20"/>
                <w:szCs w:val="20"/>
                <w:lang w:eastAsia="en-GB"/>
              </w:rPr>
            </w:pPr>
            <w:r w:rsidRPr="00F54F89">
              <w:rPr>
                <w:sz w:val="20"/>
                <w:szCs w:val="20"/>
                <w:lang w:eastAsia="en-GB"/>
              </w:rPr>
              <w:t>40</w:t>
            </w:r>
          </w:p>
        </w:tc>
        <w:tc>
          <w:tcPr>
            <w:tcW w:w="960" w:type="dxa"/>
            <w:tcBorders>
              <w:top w:val="nil"/>
              <w:left w:val="nil"/>
              <w:bottom w:val="nil"/>
              <w:right w:val="nil"/>
            </w:tcBorders>
            <w:shd w:val="clear" w:color="auto" w:fill="auto"/>
            <w:noWrap/>
            <w:vAlign w:val="center"/>
            <w:hideMark/>
          </w:tcPr>
          <w:p w14:paraId="617FFDC5" w14:textId="77777777" w:rsidR="000C6856" w:rsidRPr="00F54F89" w:rsidRDefault="000C6856" w:rsidP="00AB2710">
            <w:pPr>
              <w:rPr>
                <w:sz w:val="20"/>
                <w:szCs w:val="20"/>
                <w:lang w:eastAsia="en-GB"/>
              </w:rPr>
            </w:pPr>
            <w:r w:rsidRPr="00F54F89">
              <w:rPr>
                <w:sz w:val="20"/>
                <w:szCs w:val="20"/>
                <w:lang w:eastAsia="en-GB"/>
              </w:rPr>
              <w:t>60</w:t>
            </w:r>
          </w:p>
        </w:tc>
        <w:tc>
          <w:tcPr>
            <w:tcW w:w="1640" w:type="dxa"/>
            <w:tcBorders>
              <w:top w:val="nil"/>
              <w:left w:val="nil"/>
              <w:bottom w:val="nil"/>
              <w:right w:val="nil"/>
            </w:tcBorders>
            <w:shd w:val="clear" w:color="auto" w:fill="auto"/>
            <w:noWrap/>
            <w:vAlign w:val="center"/>
            <w:hideMark/>
          </w:tcPr>
          <w:p w14:paraId="06374E41" w14:textId="77777777" w:rsidR="000C6856" w:rsidRPr="00F54F89" w:rsidRDefault="000C6856" w:rsidP="00AB2710">
            <w:pPr>
              <w:jc w:val="center"/>
              <w:rPr>
                <w:sz w:val="20"/>
                <w:szCs w:val="20"/>
                <w:lang w:eastAsia="en-GB"/>
              </w:rPr>
            </w:pPr>
            <w:r w:rsidRPr="00F54F89">
              <w:rPr>
                <w:sz w:val="20"/>
                <w:szCs w:val="20"/>
                <w:lang w:eastAsia="en-GB"/>
              </w:rPr>
              <w:t>0.5</w:t>
            </w:r>
          </w:p>
        </w:tc>
      </w:tr>
      <w:tr w:rsidR="000C6856" w:rsidRPr="00F54F89" w14:paraId="30682673" w14:textId="77777777" w:rsidTr="00AB2710">
        <w:trPr>
          <w:trHeight w:val="300"/>
          <w:jc w:val="center"/>
        </w:trPr>
        <w:tc>
          <w:tcPr>
            <w:tcW w:w="960" w:type="dxa"/>
            <w:tcBorders>
              <w:top w:val="nil"/>
              <w:left w:val="nil"/>
              <w:bottom w:val="nil"/>
              <w:right w:val="nil"/>
            </w:tcBorders>
            <w:shd w:val="clear" w:color="auto" w:fill="auto"/>
            <w:noWrap/>
            <w:vAlign w:val="center"/>
          </w:tcPr>
          <w:p w14:paraId="2EBD7201" w14:textId="77777777" w:rsidR="000C6856" w:rsidRPr="00F54F89" w:rsidRDefault="000C6856" w:rsidP="00AB2710">
            <w:pPr>
              <w:jc w:val="center"/>
              <w:rPr>
                <w:sz w:val="20"/>
                <w:szCs w:val="20"/>
                <w:lang w:eastAsia="en-GB"/>
              </w:rPr>
            </w:pPr>
            <w:r w:rsidRPr="00F54F89">
              <w:rPr>
                <w:sz w:val="20"/>
                <w:szCs w:val="20"/>
                <w:lang w:eastAsia="en-GB"/>
              </w:rPr>
              <w:t>15</w:t>
            </w:r>
          </w:p>
        </w:tc>
        <w:tc>
          <w:tcPr>
            <w:tcW w:w="960" w:type="dxa"/>
            <w:tcBorders>
              <w:top w:val="nil"/>
              <w:left w:val="nil"/>
              <w:bottom w:val="nil"/>
              <w:right w:val="nil"/>
            </w:tcBorders>
            <w:shd w:val="clear" w:color="auto" w:fill="auto"/>
            <w:noWrap/>
            <w:vAlign w:val="center"/>
          </w:tcPr>
          <w:p w14:paraId="34CB5573" w14:textId="77777777" w:rsidR="000C6856" w:rsidRPr="00F54F89" w:rsidRDefault="000C6856" w:rsidP="00AB2710">
            <w:pPr>
              <w:jc w:val="center"/>
              <w:rPr>
                <w:sz w:val="20"/>
                <w:szCs w:val="20"/>
                <w:lang w:eastAsia="en-GB"/>
              </w:rPr>
            </w:pPr>
            <w:r w:rsidRPr="00F54F89">
              <w:rPr>
                <w:sz w:val="20"/>
                <w:szCs w:val="20"/>
                <w:lang w:eastAsia="en-GB"/>
              </w:rPr>
              <w:t>20</w:t>
            </w:r>
          </w:p>
        </w:tc>
        <w:tc>
          <w:tcPr>
            <w:tcW w:w="960" w:type="dxa"/>
            <w:tcBorders>
              <w:top w:val="nil"/>
              <w:left w:val="nil"/>
              <w:bottom w:val="nil"/>
              <w:right w:val="nil"/>
            </w:tcBorders>
            <w:shd w:val="clear" w:color="auto" w:fill="auto"/>
            <w:noWrap/>
            <w:vAlign w:val="center"/>
          </w:tcPr>
          <w:p w14:paraId="7799E262" w14:textId="77777777" w:rsidR="000C6856" w:rsidRPr="00F54F89" w:rsidRDefault="000C6856" w:rsidP="00AB2710">
            <w:pPr>
              <w:rPr>
                <w:sz w:val="20"/>
                <w:szCs w:val="20"/>
                <w:lang w:eastAsia="en-GB"/>
              </w:rPr>
            </w:pPr>
            <w:r w:rsidRPr="00F54F89">
              <w:rPr>
                <w:sz w:val="20"/>
                <w:szCs w:val="20"/>
                <w:lang w:eastAsia="en-GB"/>
              </w:rPr>
              <w:t>80</w:t>
            </w:r>
          </w:p>
        </w:tc>
        <w:tc>
          <w:tcPr>
            <w:tcW w:w="1640" w:type="dxa"/>
            <w:tcBorders>
              <w:top w:val="nil"/>
              <w:left w:val="nil"/>
              <w:bottom w:val="nil"/>
              <w:right w:val="nil"/>
            </w:tcBorders>
            <w:shd w:val="clear" w:color="auto" w:fill="auto"/>
            <w:noWrap/>
            <w:vAlign w:val="center"/>
          </w:tcPr>
          <w:p w14:paraId="658EBFFC" w14:textId="77777777" w:rsidR="000C6856" w:rsidRPr="00F54F89" w:rsidRDefault="000C6856" w:rsidP="00AB2710">
            <w:pPr>
              <w:jc w:val="center"/>
              <w:rPr>
                <w:sz w:val="20"/>
                <w:szCs w:val="20"/>
                <w:lang w:eastAsia="en-GB"/>
              </w:rPr>
            </w:pPr>
            <w:r w:rsidRPr="00F54F89">
              <w:rPr>
                <w:sz w:val="20"/>
                <w:szCs w:val="20"/>
                <w:lang w:eastAsia="en-GB"/>
              </w:rPr>
              <w:t>0.5</w:t>
            </w:r>
          </w:p>
        </w:tc>
      </w:tr>
      <w:tr w:rsidR="000C6856" w:rsidRPr="00F54F89" w14:paraId="1F23C922" w14:textId="77777777" w:rsidTr="001D3277">
        <w:trPr>
          <w:trHeight w:val="300"/>
          <w:jc w:val="center"/>
        </w:trPr>
        <w:tc>
          <w:tcPr>
            <w:tcW w:w="960" w:type="dxa"/>
            <w:tcBorders>
              <w:top w:val="nil"/>
              <w:left w:val="nil"/>
              <w:bottom w:val="nil"/>
              <w:right w:val="nil"/>
            </w:tcBorders>
            <w:shd w:val="clear" w:color="auto" w:fill="auto"/>
            <w:noWrap/>
            <w:vAlign w:val="center"/>
          </w:tcPr>
          <w:p w14:paraId="2697E5F1" w14:textId="77777777" w:rsidR="000C6856" w:rsidRPr="00F54F89" w:rsidRDefault="000C6856" w:rsidP="00AB2710">
            <w:pPr>
              <w:jc w:val="center"/>
              <w:rPr>
                <w:sz w:val="20"/>
                <w:szCs w:val="20"/>
                <w:lang w:eastAsia="en-GB"/>
              </w:rPr>
            </w:pPr>
            <w:r w:rsidRPr="00F54F89">
              <w:rPr>
                <w:sz w:val="20"/>
                <w:szCs w:val="20"/>
                <w:lang w:eastAsia="en-GB"/>
              </w:rPr>
              <w:t>20</w:t>
            </w:r>
          </w:p>
        </w:tc>
        <w:tc>
          <w:tcPr>
            <w:tcW w:w="960" w:type="dxa"/>
            <w:tcBorders>
              <w:top w:val="nil"/>
              <w:left w:val="nil"/>
              <w:bottom w:val="nil"/>
              <w:right w:val="nil"/>
            </w:tcBorders>
            <w:shd w:val="clear" w:color="auto" w:fill="auto"/>
            <w:noWrap/>
            <w:vAlign w:val="center"/>
          </w:tcPr>
          <w:p w14:paraId="2C5D1210" w14:textId="77777777" w:rsidR="000C6856" w:rsidRPr="00F54F89" w:rsidRDefault="000C6856" w:rsidP="00AB2710">
            <w:pPr>
              <w:jc w:val="center"/>
              <w:rPr>
                <w:sz w:val="20"/>
                <w:szCs w:val="20"/>
                <w:lang w:eastAsia="en-GB"/>
              </w:rPr>
            </w:pPr>
            <w:r w:rsidRPr="00F54F89">
              <w:rPr>
                <w:sz w:val="20"/>
                <w:szCs w:val="20"/>
                <w:lang w:eastAsia="en-GB"/>
              </w:rPr>
              <w:t>80</w:t>
            </w:r>
          </w:p>
        </w:tc>
        <w:tc>
          <w:tcPr>
            <w:tcW w:w="960" w:type="dxa"/>
            <w:tcBorders>
              <w:top w:val="nil"/>
              <w:left w:val="nil"/>
              <w:bottom w:val="nil"/>
              <w:right w:val="nil"/>
            </w:tcBorders>
            <w:shd w:val="clear" w:color="auto" w:fill="auto"/>
            <w:noWrap/>
            <w:vAlign w:val="center"/>
          </w:tcPr>
          <w:p w14:paraId="098ABC8B" w14:textId="77777777" w:rsidR="000C6856" w:rsidRPr="00F54F89" w:rsidRDefault="000C6856" w:rsidP="00AB2710">
            <w:pPr>
              <w:rPr>
                <w:sz w:val="20"/>
                <w:szCs w:val="20"/>
                <w:lang w:eastAsia="en-GB"/>
              </w:rPr>
            </w:pPr>
            <w:r w:rsidRPr="00F54F89">
              <w:rPr>
                <w:sz w:val="20"/>
                <w:szCs w:val="20"/>
                <w:lang w:eastAsia="en-GB"/>
              </w:rPr>
              <w:t>20</w:t>
            </w:r>
          </w:p>
        </w:tc>
        <w:tc>
          <w:tcPr>
            <w:tcW w:w="1640" w:type="dxa"/>
            <w:tcBorders>
              <w:top w:val="nil"/>
              <w:left w:val="nil"/>
              <w:bottom w:val="nil"/>
              <w:right w:val="nil"/>
            </w:tcBorders>
            <w:shd w:val="clear" w:color="auto" w:fill="auto"/>
            <w:noWrap/>
            <w:vAlign w:val="center"/>
          </w:tcPr>
          <w:p w14:paraId="2A6FD3F9" w14:textId="77777777" w:rsidR="000C6856" w:rsidRPr="00F54F89" w:rsidRDefault="000C6856" w:rsidP="00AB2710">
            <w:pPr>
              <w:jc w:val="center"/>
              <w:rPr>
                <w:sz w:val="20"/>
                <w:szCs w:val="20"/>
                <w:lang w:eastAsia="en-GB"/>
              </w:rPr>
            </w:pPr>
            <w:r w:rsidRPr="00F54F89">
              <w:rPr>
                <w:sz w:val="20"/>
                <w:szCs w:val="20"/>
                <w:lang w:eastAsia="en-GB"/>
              </w:rPr>
              <w:t>0.5</w:t>
            </w:r>
          </w:p>
        </w:tc>
      </w:tr>
      <w:tr w:rsidR="001D3277" w:rsidRPr="00F54F89" w14:paraId="131C254B" w14:textId="77777777" w:rsidTr="00AB2710">
        <w:trPr>
          <w:trHeight w:val="300"/>
          <w:jc w:val="center"/>
        </w:trPr>
        <w:tc>
          <w:tcPr>
            <w:tcW w:w="960" w:type="dxa"/>
            <w:tcBorders>
              <w:top w:val="nil"/>
              <w:left w:val="nil"/>
              <w:bottom w:val="single" w:sz="4" w:space="0" w:color="auto"/>
              <w:right w:val="nil"/>
            </w:tcBorders>
            <w:shd w:val="clear" w:color="auto" w:fill="auto"/>
            <w:noWrap/>
            <w:vAlign w:val="center"/>
          </w:tcPr>
          <w:p w14:paraId="601A996D" w14:textId="6D9E7E3F" w:rsidR="001D3277" w:rsidRPr="00F54F89" w:rsidRDefault="001D3277" w:rsidP="00AB2710">
            <w:pPr>
              <w:jc w:val="center"/>
              <w:rPr>
                <w:sz w:val="20"/>
                <w:szCs w:val="20"/>
                <w:lang w:eastAsia="en-GB"/>
              </w:rPr>
            </w:pPr>
            <w:r w:rsidRPr="00F54F89">
              <w:rPr>
                <w:sz w:val="20"/>
                <w:szCs w:val="20"/>
                <w:lang w:eastAsia="en-GB"/>
              </w:rPr>
              <w:t>30</w:t>
            </w:r>
          </w:p>
        </w:tc>
        <w:tc>
          <w:tcPr>
            <w:tcW w:w="960" w:type="dxa"/>
            <w:tcBorders>
              <w:top w:val="nil"/>
              <w:left w:val="nil"/>
              <w:bottom w:val="single" w:sz="4" w:space="0" w:color="auto"/>
              <w:right w:val="nil"/>
            </w:tcBorders>
            <w:shd w:val="clear" w:color="auto" w:fill="auto"/>
            <w:noWrap/>
            <w:vAlign w:val="center"/>
          </w:tcPr>
          <w:p w14:paraId="777CD777" w14:textId="5AE1FCCB" w:rsidR="001D3277" w:rsidRPr="00F54F89" w:rsidRDefault="001D3277" w:rsidP="00AB2710">
            <w:pPr>
              <w:jc w:val="center"/>
              <w:rPr>
                <w:sz w:val="20"/>
                <w:szCs w:val="20"/>
                <w:lang w:eastAsia="en-GB"/>
              </w:rPr>
            </w:pPr>
            <w:r w:rsidRPr="00F54F89">
              <w:rPr>
                <w:sz w:val="20"/>
                <w:szCs w:val="20"/>
                <w:lang w:eastAsia="en-GB"/>
              </w:rPr>
              <w:t>90</w:t>
            </w:r>
          </w:p>
        </w:tc>
        <w:tc>
          <w:tcPr>
            <w:tcW w:w="960" w:type="dxa"/>
            <w:tcBorders>
              <w:top w:val="nil"/>
              <w:left w:val="nil"/>
              <w:bottom w:val="single" w:sz="4" w:space="0" w:color="auto"/>
              <w:right w:val="nil"/>
            </w:tcBorders>
            <w:shd w:val="clear" w:color="auto" w:fill="auto"/>
            <w:noWrap/>
            <w:vAlign w:val="center"/>
          </w:tcPr>
          <w:p w14:paraId="0B62ED84" w14:textId="1C4F3C45" w:rsidR="001D3277" w:rsidRPr="00F54F89" w:rsidRDefault="001D3277" w:rsidP="00AB2710">
            <w:pPr>
              <w:rPr>
                <w:sz w:val="20"/>
                <w:szCs w:val="20"/>
                <w:lang w:eastAsia="en-GB"/>
              </w:rPr>
            </w:pPr>
            <w:r w:rsidRPr="00F54F89">
              <w:rPr>
                <w:sz w:val="20"/>
                <w:szCs w:val="20"/>
                <w:lang w:eastAsia="en-GB"/>
              </w:rPr>
              <w:t>10</w:t>
            </w:r>
          </w:p>
        </w:tc>
        <w:tc>
          <w:tcPr>
            <w:tcW w:w="1640" w:type="dxa"/>
            <w:tcBorders>
              <w:top w:val="nil"/>
              <w:left w:val="nil"/>
              <w:bottom w:val="single" w:sz="4" w:space="0" w:color="auto"/>
              <w:right w:val="nil"/>
            </w:tcBorders>
            <w:shd w:val="clear" w:color="auto" w:fill="auto"/>
            <w:noWrap/>
            <w:vAlign w:val="center"/>
          </w:tcPr>
          <w:p w14:paraId="6D3E890A" w14:textId="0699934F" w:rsidR="001D3277" w:rsidRPr="00F54F89" w:rsidRDefault="001D3277" w:rsidP="00AB2710">
            <w:pPr>
              <w:jc w:val="center"/>
              <w:rPr>
                <w:sz w:val="20"/>
                <w:szCs w:val="20"/>
                <w:lang w:eastAsia="en-GB"/>
              </w:rPr>
            </w:pPr>
            <w:r w:rsidRPr="00F54F89">
              <w:rPr>
                <w:sz w:val="20"/>
                <w:szCs w:val="20"/>
                <w:lang w:eastAsia="en-GB"/>
              </w:rPr>
              <w:t>0.5</w:t>
            </w:r>
          </w:p>
        </w:tc>
      </w:tr>
    </w:tbl>
    <w:p w14:paraId="7DCD59FE" w14:textId="77777777" w:rsidR="007D0946" w:rsidRPr="00F54F89" w:rsidRDefault="007D0946" w:rsidP="000C6856">
      <w:pPr>
        <w:spacing w:line="360" w:lineRule="auto"/>
        <w:jc w:val="both"/>
        <w:rPr>
          <w:i/>
        </w:rPr>
      </w:pPr>
    </w:p>
    <w:p w14:paraId="6A31E776" w14:textId="43B47A87" w:rsidR="000C6856" w:rsidRPr="00F54F89" w:rsidRDefault="004B2E12" w:rsidP="000C6856">
      <w:pPr>
        <w:spacing w:line="360" w:lineRule="auto"/>
        <w:jc w:val="both"/>
        <w:rPr>
          <w:i/>
        </w:rPr>
      </w:pPr>
      <w:r w:rsidRPr="00F54F89">
        <w:rPr>
          <w:i/>
        </w:rPr>
        <w:t xml:space="preserve">2.2.7. </w:t>
      </w:r>
      <w:r w:rsidR="000C6856" w:rsidRPr="00F54F89">
        <w:rPr>
          <w:i/>
        </w:rPr>
        <w:t>Phytosome formulation</w:t>
      </w:r>
    </w:p>
    <w:p w14:paraId="17898BFC" w14:textId="3808FC66" w:rsidR="000C6856" w:rsidRPr="00F54F89" w:rsidRDefault="000C6856" w:rsidP="000C6856">
      <w:pPr>
        <w:spacing w:line="360" w:lineRule="auto"/>
        <w:jc w:val="both"/>
      </w:pPr>
      <w:r w:rsidRPr="00F54F89">
        <w:t>Propolis extract-loaded phytosome (PEP) was prepared using the thin-film hydration technique and solvent evaporation</w:t>
      </w:r>
      <w:r w:rsidR="00137FB9" w:rsidRPr="00F54F89">
        <w:t>,</w:t>
      </w:r>
      <w:r w:rsidRPr="00F54F89">
        <w:t xml:space="preserve"> as described previously</w:t>
      </w:r>
      <w:r w:rsidR="00137FB9" w:rsidRPr="00F54F89">
        <w:t>,</w:t>
      </w:r>
      <w:r w:rsidRPr="00F54F89">
        <w:t xml:space="preserve"> with slight modifications </w:t>
      </w:r>
      <w:r w:rsidRPr="00F54F89">
        <w:fldChar w:fldCharType="begin" w:fldLock="1"/>
      </w:r>
      <w:r w:rsidR="007D0946" w:rsidRPr="00F54F89">
        <w:instrText>ADDIN CSL_CITATION {"citationItems":[{"id":"ITEM-1","itemData":{"ISSN":"11769114","abstract":"Diosmin (DSN) is an outstanding phlebotonic flavonoid with a tolerable potential for the treatment of colon and hepatocellular carcinoma. Being highly insoluble, DSN bioavailability suffers from high inter-subject variation due to variable degrees of permeation. This work endeavored to develop novel DSN loaded phytosomes in order to improve drug dissolution and intestinal permeability. Three preparation methods (solvent evaporation, salting out, and lyophilization) were compared. Nanocarrier optimization encompassed different soybean phospholipid (SPC) types, different solvents, and different DSN:SPC molar ratios (1:1, 1:2, and 1:4). In vitro appraisal encompassed differential scanning calorimetry, infrared spectroscopy, particle size, zeta potential, polydispersity index, transmission electron microscopy, drug content, and in vitro stability. Comparative dissolution studies were performed under sink versus non-sink conditions. Ex vivo intestinal permeation studies were performed on rats utilizing noneverted sac technique and high-performance liquid chromatography analysis. The results revealed lyophilization as the optimum preparation technique using SPC and solvent mixture (Dimethyl sulphoxide:t-butylalchol) in a 1:2 ratio. Complex formation was contended by differential scanning calorimetry and infrared data. Optimal lyophilized phytosomal nanocarriers (LPNs) exhibited the lowest particle size (316 nm), adequate zeta-potential (-27 mV), and good in vitro stability. Well formed, discrete vesicles were revealed by transmission electron microscopy, drug content, and in vitro stability. Comparative dissolution studies were performed. LPNs demonstrated significant enhancement in DSN dissolution compared to crude drug, physical mixture, and generic and brand DSN products. Permeation studies revealed 80% DSN permeated from LPNs via oxygenated rat intestine compared to non-detectable amounts from suspension. In this study, LPNs (99% drug loading) could be successfully tailored for DSN with improved dissolution and permeation characteristics, which is promising for lowering the influence of exogenous factors and increasing drug delivery. © 2013 Freag et al, publisher and licensee Dove Medical Press Ltd.","author":[{"dropping-particle":"","family":"Freag","given":"May S.","non-dropping-particle":"","parse-names":false,"suffix":""},{"dropping-particle":"","family":"Elnaggar","given":"Yosra S R","non-dropping-particle":"","parse-names":false,"suffix":""},{"dropping-particle":"","family":"Abdallah","given":"Ossama Y.","non-dropping-particle":"","parse-names":false,"suffix":""}],"container-title":"International Journal of Nanomedicine","id":"ITEM-1","issued":{"date-parts":[["2013"]]},"page":"2385-2397","title":"Lyophilized phytosomal nanocarriers as platforms for enhanced diosmin delivery: Optimization and ex vivo permeation","type":"article-journal","volume":"8"},"uris":["http://www.mendeley.com/documents/?uuid=6705e9ea-f8bf-43e7-a58f-b13a5367d036"]},{"id":"ITEM-2","itemData":{"ISSN":"0928-0987","author":[{"dropping-particle":"","family":"Telange","given":"Darshan R.","non-dropping-particle":"","parse-names":false,"suffix":""},{"dropping-particle":"","family":"A","given":"","non-dropping-particle":"","parse-names":false,"suffix":""},{"dropping-particle":"","family":"ArunT.Patil","given":"","non-dropping-particle":"","parse-names":false,"suffix":""},{"dropping-particle":"","family":"A","given":"","non-dropping-particle":"","parse-names":false,"suffix":""},{"dropping-particle":"","family":"AnilM.Pethe","given":"","non-dropping-particle":"","parse-names":false,"suffix":""},{"dropping-particle":"","family":"B","given":"","non-dropping-particle":"","parse-names":false,"suffix":""},{"dropping-particle":"","family":"Fegade","given":"Harshal","non-dropping-particle":"","parse-names":false,"suffix":""},{"dropping-particle":"","family":"A","given":"","non-dropping-particle":"","parse-names":false,"suffix":""},{"dropping-particle":"","family":"Anand","given":"Sridhar","non-dropping-particle":"","parse-names":false,"suffix":""},{"dropping-particle":"","family":"C","given":"","non-dropping-particle":"","parse-names":false,"suffix":""}],"container-title":"European Journal of Pharmaceutical Sciences","id":"ITEM-2","issued":{"date-parts":[["2017"]]},"page":"36-49","title":"Formulation and characterization of an apigenin-phospholipid phytosome (APLC) for improved solubility, in vivo bioavailability, and antioxidant potential","type":"article-journal","volume":"108"},"uris":["http://www.mendeley.com/documents/?uuid=96a460b1-8a16-41c2-be3b-383301766178"]}],"mendeley":{"formattedCitation":"[23,30]","plainTextFormattedCitation":"[23,30]","previouslyFormattedCitation":"[23,30]"},"properties":{"noteIndex":0},"schema":"https://github.com/citation-style-language/schema/raw/master/csl-citation.json"}</w:instrText>
      </w:r>
      <w:r w:rsidRPr="00F54F89">
        <w:fldChar w:fldCharType="separate"/>
      </w:r>
      <w:r w:rsidR="007D0946" w:rsidRPr="00F54F89">
        <w:rPr>
          <w:noProof/>
        </w:rPr>
        <w:t>[23,30]</w:t>
      </w:r>
      <w:r w:rsidRPr="00F54F89">
        <w:fldChar w:fldCharType="end"/>
      </w:r>
      <w:r w:rsidRPr="00F54F89">
        <w:t>. The composition</w:t>
      </w:r>
      <w:r w:rsidR="00137FB9" w:rsidRPr="00F54F89">
        <w:t>s</w:t>
      </w:r>
      <w:r w:rsidRPr="00F54F89">
        <w:t xml:space="preserve"> of each formulation investigated are summari</w:t>
      </w:r>
      <w:r w:rsidR="0078151A" w:rsidRPr="00F54F89">
        <w:t>s</w:t>
      </w:r>
      <w:r w:rsidRPr="00F54F89">
        <w:t xml:space="preserve">ed in Table 2. </w:t>
      </w:r>
      <w:r w:rsidR="001D3277" w:rsidRPr="00F54F89">
        <w:t xml:space="preserve">Cholesterol (0.5 g) was used in the same amount in all formulations. </w:t>
      </w:r>
      <w:r w:rsidRPr="00F54F89">
        <w:t xml:space="preserve">Briefly, PE, PC and cholesterol were dissolved in methanol for 60 min at 200 rpm. The solution was placed in a round bottom flask and was subjected to a vacuum rotary evaporator for 60 min at 55°C and 50 rpm to remove the organic solvent. For the oral </w:t>
      </w:r>
      <w:r w:rsidR="00F90113" w:rsidRPr="00F54F89">
        <w:t>formulation</w:t>
      </w:r>
      <w:r w:rsidR="00B404B8" w:rsidRPr="00F54F89">
        <w:t>s</w:t>
      </w:r>
      <w:r w:rsidRPr="00F54F89">
        <w:t xml:space="preserve">, the resultant thin layer in the bottom flask was hydrated with 10 mL of distilled water, obtaining </w:t>
      </w:r>
      <w:r w:rsidR="00F90113" w:rsidRPr="00F54F89">
        <w:t xml:space="preserve">a </w:t>
      </w:r>
      <w:r w:rsidRPr="00F54F89">
        <w:t>PEP dispersion. Different particle size reduction methods were carried out, namely homogeni</w:t>
      </w:r>
      <w:r w:rsidR="00CE3FB2" w:rsidRPr="00F54F89">
        <w:t>sation</w:t>
      </w:r>
      <w:r w:rsidRPr="00F54F89">
        <w:t xml:space="preserve"> at 10,000 rpm for 10 min, homogeni</w:t>
      </w:r>
      <w:r w:rsidR="00CE3FB2" w:rsidRPr="00F54F89">
        <w:t>sation</w:t>
      </w:r>
      <w:r w:rsidRPr="00F54F89">
        <w:t xml:space="preserve"> at 10,000 rpm for 20 min, bath sonication 30 min and bath sonication for 60 min. For </w:t>
      </w:r>
      <w:r w:rsidR="00F90113" w:rsidRPr="00F54F89">
        <w:t xml:space="preserve">the </w:t>
      </w:r>
      <w:r w:rsidRPr="00F54F89">
        <w:t>oral delivery phytosome</w:t>
      </w:r>
      <w:r w:rsidR="00F90113" w:rsidRPr="00F54F89">
        <w:t xml:space="preserve"> formulation</w:t>
      </w:r>
      <w:r w:rsidR="00B404B8" w:rsidRPr="00F54F89">
        <w:t>s</w:t>
      </w:r>
      <w:r w:rsidR="00F90113" w:rsidRPr="00F54F89">
        <w:t>,</w:t>
      </w:r>
      <w:r w:rsidRPr="00F54F89">
        <w:t xml:space="preserve"> maltodextrin </w:t>
      </w:r>
      <w:r w:rsidR="00F90113" w:rsidRPr="00F54F89">
        <w:t xml:space="preserve">(5% w/v) </w:t>
      </w:r>
      <w:r w:rsidRPr="00F54F89">
        <w:t xml:space="preserve">was added to the dispersions prior to </w:t>
      </w:r>
      <w:r w:rsidR="00137FB9" w:rsidRPr="00F54F89">
        <w:t>lyophilisation</w:t>
      </w:r>
      <w:r w:rsidRPr="00F54F89">
        <w:t xml:space="preserve"> to obtain dry phytosome</w:t>
      </w:r>
      <w:r w:rsidR="00F90113" w:rsidRPr="00F54F89">
        <w:t xml:space="preserve"> components</w:t>
      </w:r>
      <w:r w:rsidRPr="00F54F89">
        <w:t xml:space="preserve">. </w:t>
      </w:r>
    </w:p>
    <w:p w14:paraId="2FFA45EB" w14:textId="77777777" w:rsidR="00236BD1" w:rsidRPr="00F54F89" w:rsidRDefault="00236BD1" w:rsidP="000C6856">
      <w:pPr>
        <w:spacing w:line="360" w:lineRule="auto"/>
        <w:jc w:val="both"/>
        <w:rPr>
          <w:i/>
        </w:rPr>
      </w:pPr>
    </w:p>
    <w:p w14:paraId="42470011" w14:textId="598A76BE" w:rsidR="000C6856" w:rsidRPr="00F54F89" w:rsidRDefault="004B2E12" w:rsidP="000C6856">
      <w:pPr>
        <w:spacing w:line="360" w:lineRule="auto"/>
        <w:jc w:val="both"/>
        <w:rPr>
          <w:i/>
        </w:rPr>
      </w:pPr>
      <w:r w:rsidRPr="00F54F89">
        <w:rPr>
          <w:i/>
        </w:rPr>
        <w:t xml:space="preserve">2.2.8. </w:t>
      </w:r>
      <w:r w:rsidR="000C6856" w:rsidRPr="00F54F89">
        <w:rPr>
          <w:i/>
        </w:rPr>
        <w:t>Phytosome characteri</w:t>
      </w:r>
      <w:r w:rsidR="00CE3FB2" w:rsidRPr="00F54F89">
        <w:rPr>
          <w:i/>
        </w:rPr>
        <w:t>sation</w:t>
      </w:r>
    </w:p>
    <w:p w14:paraId="38DA61EF" w14:textId="77777777" w:rsidR="000C6856" w:rsidRPr="00F54F89" w:rsidRDefault="000C6856" w:rsidP="000C6856">
      <w:pPr>
        <w:spacing w:line="360" w:lineRule="auto"/>
        <w:jc w:val="both"/>
        <w:rPr>
          <w:i/>
        </w:rPr>
      </w:pPr>
      <w:r w:rsidRPr="00F54F89">
        <w:rPr>
          <w:i/>
        </w:rPr>
        <w:t>a. Particle size, PDI and zeta potential</w:t>
      </w:r>
    </w:p>
    <w:p w14:paraId="2CEBD036" w14:textId="00EC3C98" w:rsidR="000C6856" w:rsidRPr="00F54F89" w:rsidRDefault="000C6856" w:rsidP="000C6856">
      <w:pPr>
        <w:spacing w:line="360" w:lineRule="auto"/>
        <w:jc w:val="both"/>
      </w:pPr>
      <w:r w:rsidRPr="00F54F89">
        <w:t>The determination of particl</w:t>
      </w:r>
      <w:r w:rsidR="00D8255A" w:rsidRPr="00F54F89">
        <w:t>e size, PDI and zeta potential</w:t>
      </w:r>
      <w:r w:rsidRPr="00F54F89">
        <w:t xml:space="preserve"> of the PEP vesicles were carried out using </w:t>
      </w:r>
      <w:r w:rsidR="00137FB9" w:rsidRPr="00F54F89">
        <w:t xml:space="preserve">a </w:t>
      </w:r>
      <w:r w:rsidRPr="00F54F89">
        <w:t>Zetasizer (Malvern Zeta Sizer, Malvern Instruments, Malvern, UK), at 25˚C</w:t>
      </w:r>
      <w:r w:rsidR="00567707" w:rsidRPr="00F54F89">
        <w:t xml:space="preserve"> and </w:t>
      </w:r>
      <w:r w:rsidR="00567707" w:rsidRPr="00F54F89">
        <w:rPr>
          <w:lang w:val="en-US"/>
        </w:rPr>
        <w:t>a scattering angle of 90°.</w:t>
      </w:r>
      <w:r w:rsidRPr="00F54F89">
        <w:t xml:space="preserve"> The PEP was diluted with distilled water prior to analysis. </w:t>
      </w:r>
    </w:p>
    <w:p w14:paraId="6D9F7EE8" w14:textId="77777777" w:rsidR="000C6856" w:rsidRPr="00F54F89" w:rsidRDefault="000C6856" w:rsidP="000C6856">
      <w:pPr>
        <w:spacing w:line="360" w:lineRule="auto"/>
        <w:jc w:val="both"/>
        <w:rPr>
          <w:i/>
        </w:rPr>
      </w:pPr>
      <w:r w:rsidRPr="00F54F89">
        <w:rPr>
          <w:i/>
        </w:rPr>
        <w:t>b. Encapsulation efficiency</w:t>
      </w:r>
    </w:p>
    <w:p w14:paraId="1AD47B93" w14:textId="1426C41D" w:rsidR="000C6856" w:rsidRPr="00F54F89" w:rsidRDefault="000C6856" w:rsidP="000C6856">
      <w:pPr>
        <w:spacing w:line="360" w:lineRule="auto"/>
        <w:jc w:val="both"/>
      </w:pPr>
      <w:r w:rsidRPr="00F54F89">
        <w:t>The determination of encapsulation efficiency (EE) of compound</w:t>
      </w:r>
      <w:r w:rsidR="00137FB9" w:rsidRPr="00F54F89">
        <w:t>s of interest</w:t>
      </w:r>
      <w:r w:rsidRPr="00F54F89">
        <w:t xml:space="preserve"> (CA, QU and KP) was carried out by indirect technique. Briefly, the PEP dispersion was centrifuged for 60 min at 4˚C at 1</w:t>
      </w:r>
      <w:r w:rsidR="0054546C" w:rsidRPr="00F54F89">
        <w:t>4</w:t>
      </w:r>
      <w:r w:rsidRPr="00F54F89">
        <w:t>,</w:t>
      </w:r>
      <w:r w:rsidR="0054546C" w:rsidRPr="00F54F89">
        <w:t>8</w:t>
      </w:r>
      <w:r w:rsidRPr="00F54F89">
        <w:t xml:space="preserve">00 </w:t>
      </w:r>
      <w:r w:rsidR="0054546C" w:rsidRPr="00F54F89">
        <w:t>x g</w:t>
      </w:r>
      <w:r w:rsidRPr="00F54F89">
        <w:t>. The concentration of un</w:t>
      </w:r>
      <w:r w:rsidR="00F90113" w:rsidRPr="00F54F89">
        <w:t>-</w:t>
      </w:r>
      <w:r w:rsidRPr="00F54F89">
        <w:t xml:space="preserve">encapsulated compounds </w:t>
      </w:r>
      <w:r w:rsidR="00F90113" w:rsidRPr="00F54F89">
        <w:t xml:space="preserve">present </w:t>
      </w:r>
      <w:r w:rsidRPr="00F54F89">
        <w:t>in</w:t>
      </w:r>
      <w:r w:rsidR="00F90113" w:rsidRPr="00F54F89">
        <w:t xml:space="preserve"> the</w:t>
      </w:r>
      <w:r w:rsidRPr="00F54F89">
        <w:t xml:space="preserve"> supernatant were quantified using </w:t>
      </w:r>
      <w:r w:rsidR="00F90113" w:rsidRPr="00F54F89">
        <w:t xml:space="preserve">the </w:t>
      </w:r>
      <w:r w:rsidRPr="00F54F89">
        <w:t>HPLC method described previously. Finally, the EE of the compounds was calculated using the following equation:</w:t>
      </w:r>
    </w:p>
    <w:p w14:paraId="125C5628" w14:textId="36568C86" w:rsidR="00F90113" w:rsidRPr="00F54F89" w:rsidRDefault="000C6856" w:rsidP="00E0623B">
      <w:pPr>
        <w:pStyle w:val="TAMainText"/>
        <w:tabs>
          <w:tab w:val="left" w:pos="7513"/>
        </w:tabs>
        <w:spacing w:after="360" w:line="360" w:lineRule="auto"/>
        <w:ind w:firstLine="0"/>
        <w:contextualSpacing/>
        <w:rPr>
          <w:rFonts w:ascii="Times New Roman" w:hAnsi="Times New Roman"/>
          <w:szCs w:val="24"/>
          <w:lang w:val="en-GB"/>
        </w:rPr>
      </w:pPr>
      <w:r w:rsidRPr="00F54F89">
        <w:rPr>
          <w:rFonts w:ascii="Times New Roman" w:hAnsi="Times New Roman"/>
          <w:szCs w:val="24"/>
          <w:lang w:val="en-GB"/>
        </w:rPr>
        <w:t xml:space="preserve">EE (%) = </w:t>
      </w:r>
      <m:oMath>
        <m:f>
          <m:fPr>
            <m:ctrlPr>
              <w:rPr>
                <w:rFonts w:ascii="Cambria Math" w:hAnsi="Cambria Math"/>
                <w:i/>
                <w:szCs w:val="24"/>
                <w:lang w:val="en-GB"/>
              </w:rPr>
            </m:ctrlPr>
          </m:fPr>
          <m:num>
            <m:r>
              <w:rPr>
                <w:rFonts w:ascii="Cambria Math" w:hAnsi="Cambria Math"/>
                <w:szCs w:val="24"/>
                <w:lang w:val="en-GB"/>
              </w:rPr>
              <m:t>a- b</m:t>
            </m:r>
          </m:num>
          <m:den>
            <m:r>
              <w:rPr>
                <w:rFonts w:ascii="Cambria Math" w:hAnsi="Cambria Math"/>
                <w:szCs w:val="24"/>
                <w:lang w:val="en-GB"/>
              </w:rPr>
              <m:t>a</m:t>
            </m:r>
          </m:den>
        </m:f>
        <m:r>
          <w:rPr>
            <w:rFonts w:ascii="Cambria Math" w:hAnsi="Cambria Math"/>
            <w:szCs w:val="24"/>
            <w:lang w:val="en-GB"/>
          </w:rPr>
          <m:t xml:space="preserve"> x 100 %</m:t>
        </m:r>
      </m:oMath>
      <w:r w:rsidR="00E0623B" w:rsidRPr="00F54F89">
        <w:rPr>
          <w:rFonts w:ascii="Times New Roman" w:hAnsi="Times New Roman"/>
          <w:szCs w:val="24"/>
          <w:lang w:val="en-GB"/>
        </w:rPr>
        <w:tab/>
      </w:r>
      <w:r w:rsidR="00F90113" w:rsidRPr="00F54F89">
        <w:rPr>
          <w:rFonts w:ascii="Times New Roman" w:hAnsi="Times New Roman"/>
          <w:szCs w:val="24"/>
          <w:lang w:val="en-GB"/>
        </w:rPr>
        <w:t>Equation (4)</w:t>
      </w:r>
    </w:p>
    <w:p w14:paraId="721B8290" w14:textId="77777777" w:rsidR="007D0946" w:rsidRPr="00F54F89" w:rsidRDefault="000C6856" w:rsidP="007D0946">
      <w:pPr>
        <w:pStyle w:val="TAMainText"/>
        <w:spacing w:after="360" w:line="360" w:lineRule="auto"/>
        <w:ind w:firstLine="0"/>
        <w:contextualSpacing/>
        <w:rPr>
          <w:rFonts w:ascii="Times New Roman" w:hAnsi="Times New Roman"/>
          <w:szCs w:val="24"/>
          <w:lang w:val="en-GB"/>
        </w:rPr>
      </w:pPr>
      <w:r w:rsidRPr="00F54F89">
        <w:rPr>
          <w:rFonts w:ascii="Times New Roman" w:hAnsi="Times New Roman"/>
          <w:szCs w:val="24"/>
          <w:lang w:val="en-GB"/>
        </w:rPr>
        <w:lastRenderedPageBreak/>
        <w:t xml:space="preserve">Where </w:t>
      </w:r>
      <w:r w:rsidRPr="00F54F89">
        <w:rPr>
          <w:rFonts w:ascii="Times New Roman" w:hAnsi="Times New Roman"/>
          <w:i/>
          <w:szCs w:val="24"/>
          <w:lang w:val="en-GB"/>
        </w:rPr>
        <w:t>a</w:t>
      </w:r>
      <w:r w:rsidRPr="00F54F89">
        <w:rPr>
          <w:rFonts w:ascii="Times New Roman" w:hAnsi="Times New Roman"/>
          <w:szCs w:val="24"/>
          <w:lang w:val="en-GB"/>
        </w:rPr>
        <w:t xml:space="preserve"> is the amount of compound added to the formulations and </w:t>
      </w:r>
      <w:r w:rsidRPr="00F54F89">
        <w:rPr>
          <w:rFonts w:ascii="Times New Roman" w:hAnsi="Times New Roman"/>
          <w:i/>
          <w:szCs w:val="24"/>
          <w:lang w:val="en-GB"/>
        </w:rPr>
        <w:t>b</w:t>
      </w:r>
      <w:r w:rsidRPr="00F54F89">
        <w:rPr>
          <w:rFonts w:ascii="Times New Roman" w:hAnsi="Times New Roman"/>
          <w:szCs w:val="24"/>
          <w:lang w:val="en-GB"/>
        </w:rPr>
        <w:t xml:space="preserve"> is the amount of un</w:t>
      </w:r>
      <w:r w:rsidR="00F90113" w:rsidRPr="00F54F89">
        <w:rPr>
          <w:rFonts w:ascii="Times New Roman" w:hAnsi="Times New Roman"/>
          <w:szCs w:val="24"/>
          <w:lang w:val="en-GB"/>
        </w:rPr>
        <w:t>-</w:t>
      </w:r>
      <w:r w:rsidRPr="00F54F89">
        <w:rPr>
          <w:rFonts w:ascii="Times New Roman" w:hAnsi="Times New Roman"/>
          <w:szCs w:val="24"/>
          <w:lang w:val="en-GB"/>
        </w:rPr>
        <w:t>encapsulated drug.</w:t>
      </w:r>
    </w:p>
    <w:p w14:paraId="0B5FE316" w14:textId="77777777" w:rsidR="007D0946" w:rsidRPr="00F54F89" w:rsidRDefault="000C6856" w:rsidP="007D0946">
      <w:pPr>
        <w:pStyle w:val="TAMainText"/>
        <w:spacing w:after="360" w:line="360" w:lineRule="auto"/>
        <w:ind w:firstLine="0"/>
        <w:contextualSpacing/>
        <w:rPr>
          <w:rFonts w:ascii="Times New Roman" w:hAnsi="Times New Roman"/>
          <w:i/>
        </w:rPr>
      </w:pPr>
      <w:r w:rsidRPr="00F54F89">
        <w:rPr>
          <w:rFonts w:ascii="Times New Roman" w:hAnsi="Times New Roman"/>
          <w:i/>
        </w:rPr>
        <w:t>c. Scanning electron microscope</w:t>
      </w:r>
    </w:p>
    <w:p w14:paraId="36212762" w14:textId="77777777" w:rsidR="007D0946" w:rsidRPr="00F54F89" w:rsidRDefault="000C6856" w:rsidP="007D0946">
      <w:pPr>
        <w:pStyle w:val="TAMainText"/>
        <w:spacing w:after="360" w:line="360" w:lineRule="auto"/>
        <w:ind w:firstLine="0"/>
        <w:contextualSpacing/>
        <w:rPr>
          <w:rFonts w:ascii="Times New Roman" w:hAnsi="Times New Roman"/>
        </w:rPr>
      </w:pPr>
      <w:r w:rsidRPr="00F54F89">
        <w:rPr>
          <w:rFonts w:ascii="Times New Roman" w:hAnsi="Times New Roman"/>
        </w:rPr>
        <w:t>The morphologies of PEPs were observed using a scanning electron microscope</w:t>
      </w:r>
      <w:r w:rsidRPr="00F54F89">
        <w:rPr>
          <w:rFonts w:ascii="Times New Roman" w:eastAsiaTheme="minorEastAsia" w:hAnsi="Times New Roman"/>
        </w:rPr>
        <w:t xml:space="preserve"> (</w:t>
      </w:r>
      <w:r w:rsidRPr="00F54F89">
        <w:rPr>
          <w:rFonts w:ascii="Times New Roman" w:hAnsi="Times New Roman"/>
        </w:rPr>
        <w:t>SEM) (JEM-1400Plus; JEOL, Tokyo, Japan).</w:t>
      </w:r>
    </w:p>
    <w:p w14:paraId="29CEB4F7" w14:textId="77777777" w:rsidR="007D0946" w:rsidRPr="00F54F89" w:rsidRDefault="000C6856" w:rsidP="007D0946">
      <w:pPr>
        <w:pStyle w:val="TAMainText"/>
        <w:spacing w:after="360" w:line="360" w:lineRule="auto"/>
        <w:ind w:firstLine="0"/>
        <w:contextualSpacing/>
        <w:rPr>
          <w:rFonts w:ascii="Times New Roman" w:hAnsi="Times New Roman"/>
          <w:i/>
        </w:rPr>
      </w:pPr>
      <w:r w:rsidRPr="00F54F89">
        <w:rPr>
          <w:rFonts w:ascii="Times New Roman" w:hAnsi="Times New Roman"/>
          <w:i/>
        </w:rPr>
        <w:t>d. FTIR study</w:t>
      </w:r>
    </w:p>
    <w:p w14:paraId="04579042" w14:textId="77777777" w:rsidR="007D0946" w:rsidRPr="00F54F89" w:rsidRDefault="000C6856" w:rsidP="007D0946">
      <w:pPr>
        <w:pStyle w:val="TAMainText"/>
        <w:spacing w:after="360" w:line="360" w:lineRule="auto"/>
        <w:ind w:firstLine="0"/>
        <w:contextualSpacing/>
        <w:rPr>
          <w:rFonts w:ascii="Times New Roman" w:hAnsi="Times New Roman"/>
        </w:rPr>
      </w:pPr>
      <w:r w:rsidRPr="00F54F89">
        <w:rPr>
          <w:rFonts w:ascii="Times New Roman" w:hAnsi="Times New Roman"/>
        </w:rPr>
        <w:t>The investigation of potential interaction</w:t>
      </w:r>
      <w:r w:rsidR="00F90113" w:rsidRPr="00F54F89">
        <w:rPr>
          <w:rFonts w:ascii="Times New Roman" w:hAnsi="Times New Roman"/>
        </w:rPr>
        <w:t>s</w:t>
      </w:r>
      <w:r w:rsidRPr="00F54F89">
        <w:rPr>
          <w:rFonts w:ascii="Times New Roman" w:hAnsi="Times New Roman"/>
        </w:rPr>
        <w:t xml:space="preserve"> between the compounds in PE and PC in PEP formulation was carried out using </w:t>
      </w:r>
      <w:r w:rsidR="00137FB9" w:rsidRPr="00F54F89">
        <w:rPr>
          <w:rFonts w:ascii="Times New Roman" w:hAnsi="Times New Roman"/>
        </w:rPr>
        <w:t xml:space="preserve">an </w:t>
      </w:r>
      <w:r w:rsidRPr="00F54F89">
        <w:rPr>
          <w:rFonts w:ascii="Times New Roman" w:hAnsi="Times New Roman"/>
        </w:rPr>
        <w:t xml:space="preserve">FTIR spectrophotometer (Shimadzu® FTIR-8400). Briefly, </w:t>
      </w:r>
      <w:r w:rsidR="00F90113" w:rsidRPr="00F54F89">
        <w:rPr>
          <w:rFonts w:ascii="Times New Roman" w:hAnsi="Times New Roman"/>
        </w:rPr>
        <w:t>PE</w:t>
      </w:r>
      <w:r w:rsidRPr="00F54F89">
        <w:rPr>
          <w:rFonts w:ascii="Times New Roman" w:hAnsi="Times New Roman"/>
        </w:rPr>
        <w:t xml:space="preserve">, PC, and PEP were placed into </w:t>
      </w:r>
      <w:r w:rsidR="00137FB9" w:rsidRPr="00F54F89">
        <w:rPr>
          <w:rFonts w:ascii="Times New Roman" w:hAnsi="Times New Roman"/>
        </w:rPr>
        <w:t xml:space="preserve">the </w:t>
      </w:r>
      <w:r w:rsidRPr="00F54F89">
        <w:rPr>
          <w:rFonts w:ascii="Times New Roman" w:hAnsi="Times New Roman"/>
        </w:rPr>
        <w:t>FTIR spectrophotometer and scanned over the 4000–600 cm</w:t>
      </w:r>
      <w:r w:rsidRPr="00F54F89">
        <w:rPr>
          <w:rFonts w:ascii="Times New Roman" w:hAnsi="Times New Roman"/>
          <w:vertAlign w:val="superscript"/>
        </w:rPr>
        <w:t>−1</w:t>
      </w:r>
      <w:r w:rsidRPr="00F54F89">
        <w:rPr>
          <w:rFonts w:ascii="Times New Roman" w:hAnsi="Times New Roman"/>
        </w:rPr>
        <w:t xml:space="preserve"> wavenumber region. </w:t>
      </w:r>
    </w:p>
    <w:p w14:paraId="4F6046D9" w14:textId="77777777" w:rsidR="007D0946" w:rsidRPr="00F54F89" w:rsidRDefault="000C6856" w:rsidP="007D0946">
      <w:pPr>
        <w:pStyle w:val="TAMainText"/>
        <w:spacing w:after="360" w:line="360" w:lineRule="auto"/>
        <w:ind w:firstLine="0"/>
        <w:contextualSpacing/>
        <w:rPr>
          <w:rFonts w:ascii="Times New Roman" w:hAnsi="Times New Roman"/>
          <w:i/>
        </w:rPr>
      </w:pPr>
      <w:r w:rsidRPr="00F54F89">
        <w:rPr>
          <w:rFonts w:ascii="Times New Roman" w:hAnsi="Times New Roman"/>
          <w:i/>
        </w:rPr>
        <w:t xml:space="preserve">e. Solubility analysis </w:t>
      </w:r>
    </w:p>
    <w:p w14:paraId="5B73DAA4" w14:textId="4748CFFF" w:rsidR="000C6856" w:rsidRPr="00F54F89" w:rsidRDefault="000C6856" w:rsidP="007D0946">
      <w:pPr>
        <w:pStyle w:val="TAMainText"/>
        <w:spacing w:after="360" w:line="360" w:lineRule="auto"/>
        <w:ind w:firstLine="0"/>
        <w:contextualSpacing/>
        <w:rPr>
          <w:rFonts w:ascii="Times New Roman" w:hAnsi="Times New Roman"/>
          <w:szCs w:val="24"/>
          <w:lang w:val="en-GB"/>
        </w:rPr>
      </w:pPr>
      <w:r w:rsidRPr="00F54F89">
        <w:rPr>
          <w:rFonts w:ascii="Times New Roman" w:hAnsi="Times New Roman"/>
        </w:rPr>
        <w:t xml:space="preserve">The solubilities of </w:t>
      </w:r>
      <w:r w:rsidR="00F90113" w:rsidRPr="00F54F89">
        <w:rPr>
          <w:rFonts w:ascii="Times New Roman" w:hAnsi="Times New Roman"/>
        </w:rPr>
        <w:t>CA, QU, and KP</w:t>
      </w:r>
      <w:r w:rsidRPr="00F54F89">
        <w:rPr>
          <w:rFonts w:ascii="Times New Roman" w:hAnsi="Times New Roman"/>
        </w:rPr>
        <w:t xml:space="preserve"> in PE after PEP preparation compared to crude extract were determined using a</w:t>
      </w:r>
      <w:r w:rsidR="00F90113" w:rsidRPr="00F54F89">
        <w:rPr>
          <w:rFonts w:ascii="Times New Roman" w:hAnsi="Times New Roman"/>
        </w:rPr>
        <w:t xml:space="preserve"> previously described</w:t>
      </w:r>
      <w:r w:rsidRPr="00F54F89">
        <w:rPr>
          <w:rFonts w:ascii="Times New Roman" w:hAnsi="Times New Roman"/>
        </w:rPr>
        <w:t xml:space="preserve"> method </w:t>
      </w:r>
      <w:r w:rsidRPr="00F54F89">
        <w:rPr>
          <w:rFonts w:ascii="Times New Roman" w:hAnsi="Times New Roman"/>
        </w:rPr>
        <w:fldChar w:fldCharType="begin" w:fldLock="1"/>
      </w:r>
      <w:r w:rsidR="007D0946" w:rsidRPr="00F54F89">
        <w:rPr>
          <w:rFonts w:ascii="Times New Roman" w:hAnsi="Times New Roman"/>
        </w:rPr>
        <w:instrText>ADDIN CSL_CITATION {"citationItems":[{"id":"ITEM-1","itemData":{"ISSN":"0928-0987","author":[{"dropping-particle":"","family":"Telange","given":"Darshan R.","non-dropping-particle":"","parse-names":false,"suffix":""},{"dropping-particle":"","family":"A","given":"","non-dropping-particle":"","parse-names":false,"suffix":""},{"dropping-particle":"","family":"ArunT.Patil","given":"","non-dropping-particle":"","parse-names":false,"suffix":""},{"dropping-particle":"","family":"A","given":"","non-dropping-particle":"","parse-names":false,"suffix":""},{"dropping-particle":"","family":"AnilM.Pethe","given":"","non-dropping-particle":"","parse-names":false,"suffix":""},{"dropping-particle":"","family":"B","given":"","non-dropping-particle":"","parse-names":false,"suffix":""},{"dropping-particle":"","family":"Fegade","given":"Harshal","non-dropping-particle":"","parse-names":false,"suffix":""},{"dropping-particle":"","family":"A","given":"","non-dropping-particle":"","parse-names":false,"suffix":""},{"dropping-particle":"","family":"Anand","given":"Sridhar","non-dropping-particle":"","parse-names":false,"suffix":""},{"dropping-particle":"","family":"C","given":"","non-dropping-particle":"","parse-names":false,"suffix":""}],"container-title":"European Journal of Pharmaceutical Sciences","id":"ITEM-1","issued":{"date-parts":[["2017"]]},"page":"36-49","title":"Formulation and characterization of an apigenin-phospholipid phytosome (APLC) for improved solubility, in vivo bioavailability, and antioxidant potential","type":"article-journal","volume":"108"},"uris":["http://www.mendeley.com/documents/?uuid=96a460b1-8a16-41c2-be3b-383301766178"]}],"mendeley":{"formattedCitation":"[23]","plainTextFormattedCitation":"[23]","previouslyFormattedCitation":"[23]"},"properties":{"noteIndex":0},"schema":"https://github.com/citation-style-language/schema/raw/master/csl-citation.json"}</w:instrText>
      </w:r>
      <w:r w:rsidRPr="00F54F89">
        <w:rPr>
          <w:rFonts w:ascii="Times New Roman" w:hAnsi="Times New Roman"/>
        </w:rPr>
        <w:fldChar w:fldCharType="separate"/>
      </w:r>
      <w:r w:rsidR="007D0946" w:rsidRPr="00F54F89">
        <w:rPr>
          <w:rFonts w:ascii="Times New Roman" w:hAnsi="Times New Roman"/>
          <w:noProof/>
        </w:rPr>
        <w:t>[23]</w:t>
      </w:r>
      <w:r w:rsidRPr="00F54F89">
        <w:rPr>
          <w:rFonts w:ascii="Times New Roman" w:hAnsi="Times New Roman"/>
        </w:rPr>
        <w:fldChar w:fldCharType="end"/>
      </w:r>
      <w:r w:rsidRPr="00F54F89">
        <w:rPr>
          <w:rFonts w:ascii="Times New Roman" w:hAnsi="Times New Roman"/>
        </w:rPr>
        <w:t xml:space="preserve">. In brief, PE and PEP </w:t>
      </w:r>
      <w:r w:rsidR="00F90113" w:rsidRPr="00F54F89">
        <w:rPr>
          <w:rFonts w:ascii="Times New Roman" w:hAnsi="Times New Roman"/>
        </w:rPr>
        <w:t>in</w:t>
      </w:r>
      <w:r w:rsidRPr="00F54F89">
        <w:rPr>
          <w:rFonts w:ascii="Times New Roman" w:hAnsi="Times New Roman"/>
        </w:rPr>
        <w:t xml:space="preserve"> excess were added into 15 mL of distilled water or n-</w:t>
      </w:r>
      <w:r w:rsidR="00137FB9" w:rsidRPr="00F54F89">
        <w:rPr>
          <w:rFonts w:ascii="Times New Roman" w:hAnsi="Times New Roman"/>
        </w:rPr>
        <w:t>o</w:t>
      </w:r>
      <w:r w:rsidRPr="00F54F89">
        <w:rPr>
          <w:rFonts w:ascii="Times New Roman" w:hAnsi="Times New Roman"/>
        </w:rPr>
        <w:t xml:space="preserve">ctanol in sealed glass vials at ambient temperature. The mixture was then stirred for 1 h at 500 rpm, and centrifuged at </w:t>
      </w:r>
      <w:r w:rsidR="0054546C" w:rsidRPr="00F54F89">
        <w:rPr>
          <w:rFonts w:ascii="Times New Roman" w:hAnsi="Times New Roman"/>
        </w:rPr>
        <w:t>2.8</w:t>
      </w:r>
      <w:r w:rsidRPr="00F54F89">
        <w:rPr>
          <w:rFonts w:ascii="Times New Roman" w:hAnsi="Times New Roman"/>
        </w:rPr>
        <w:t xml:space="preserve">00 </w:t>
      </w:r>
      <w:r w:rsidR="0054546C" w:rsidRPr="00F54F89">
        <w:rPr>
          <w:rFonts w:ascii="Times New Roman" w:hAnsi="Times New Roman"/>
        </w:rPr>
        <w:t>x g</w:t>
      </w:r>
      <w:r w:rsidRPr="00F54F89">
        <w:rPr>
          <w:rFonts w:ascii="Times New Roman" w:hAnsi="Times New Roman"/>
        </w:rPr>
        <w:t xml:space="preserve"> for 15 min. The supernatant was collected and subjected to HPLC for analysis after suitable dilution.</w:t>
      </w:r>
    </w:p>
    <w:p w14:paraId="0697A09F" w14:textId="39A98ABA" w:rsidR="000C6856" w:rsidRPr="00F54F89" w:rsidRDefault="004B2E12" w:rsidP="000C6856">
      <w:pPr>
        <w:spacing w:line="360" w:lineRule="auto"/>
        <w:jc w:val="both"/>
        <w:rPr>
          <w:i/>
        </w:rPr>
      </w:pPr>
      <w:r w:rsidRPr="00F54F89">
        <w:rPr>
          <w:i/>
        </w:rPr>
        <w:t xml:space="preserve">2.2.9. </w:t>
      </w:r>
      <w:r w:rsidR="00DF6C95" w:rsidRPr="00F54F89">
        <w:rPr>
          <w:i/>
        </w:rPr>
        <w:t>In vitro</w:t>
      </w:r>
      <w:r w:rsidR="000C6856" w:rsidRPr="00F54F89">
        <w:rPr>
          <w:i/>
        </w:rPr>
        <w:t xml:space="preserve"> dissolution study for oral delivery</w:t>
      </w:r>
    </w:p>
    <w:p w14:paraId="01F99B7A" w14:textId="39A01F30" w:rsidR="000C6856" w:rsidRPr="00F54F89" w:rsidRDefault="000C6856" w:rsidP="00D41701">
      <w:pPr>
        <w:spacing w:line="360" w:lineRule="auto"/>
        <w:jc w:val="both"/>
      </w:pPr>
      <w:r w:rsidRPr="00F54F89">
        <w:rPr>
          <w:lang w:val="en-GB"/>
        </w:rPr>
        <w:t xml:space="preserve">The </w:t>
      </w:r>
      <w:r w:rsidR="00DF6C95" w:rsidRPr="00F54F89">
        <w:rPr>
          <w:i/>
          <w:lang w:val="en-GB"/>
        </w:rPr>
        <w:t>in vitro</w:t>
      </w:r>
      <w:r w:rsidRPr="00F54F89">
        <w:rPr>
          <w:i/>
          <w:lang w:val="en-GB"/>
        </w:rPr>
        <w:t xml:space="preserve"> </w:t>
      </w:r>
      <w:r w:rsidRPr="00F54F89">
        <w:rPr>
          <w:lang w:val="en-GB"/>
        </w:rPr>
        <w:t xml:space="preserve">dissolution studies of PE and PEP were performed using USP dissolution apparatus II in 900 mL different release media, </w:t>
      </w:r>
      <w:r w:rsidRPr="00F54F89">
        <w:rPr>
          <w:color w:val="000000" w:themeColor="text1"/>
          <w:lang w:val="en-GB"/>
        </w:rPr>
        <w:t xml:space="preserve">namely fasted simulated small intestinal fluids (FaSSIF), fed state simulated small intestinal fluids (FeSSIF), and fasted state simulated gastric fluids (FaSSGF).  FaSSIF (pH 6.5) was prepared from 0.42 g of NaOH, </w:t>
      </w:r>
      <w:r w:rsidR="00D41701" w:rsidRPr="00F54F89">
        <w:rPr>
          <w:color w:val="000000" w:themeColor="text1"/>
          <w:lang w:val="en-GB"/>
        </w:rPr>
        <w:t xml:space="preserve">3.0 mM of </w:t>
      </w:r>
      <w:r w:rsidR="00EA64E3" w:rsidRPr="00F54F89">
        <w:rPr>
          <w:color w:val="000000" w:themeColor="text1"/>
        </w:rPr>
        <w:t>s</w:t>
      </w:r>
      <w:r w:rsidR="00D41701" w:rsidRPr="00F54F89">
        <w:rPr>
          <w:color w:val="000000" w:themeColor="text1"/>
        </w:rPr>
        <w:t xml:space="preserve">odium taurocholate, 0,75 mM of PC, </w:t>
      </w:r>
      <w:r w:rsidRPr="00F54F89">
        <w:rPr>
          <w:color w:val="000000" w:themeColor="text1"/>
          <w:lang w:val="en-GB"/>
        </w:rPr>
        <w:t>4.47 g of Na</w:t>
      </w:r>
      <w:r w:rsidRPr="00F54F89">
        <w:rPr>
          <w:color w:val="000000" w:themeColor="text1"/>
          <w:vertAlign w:val="subscript"/>
          <w:lang w:val="en-GB"/>
        </w:rPr>
        <w:t>2</w:t>
      </w:r>
      <w:r w:rsidRPr="00F54F89">
        <w:rPr>
          <w:color w:val="000000" w:themeColor="text1"/>
          <w:lang w:val="en-GB"/>
        </w:rPr>
        <w:t>HPO</w:t>
      </w:r>
      <w:r w:rsidRPr="00F54F89">
        <w:rPr>
          <w:color w:val="000000" w:themeColor="text1"/>
          <w:vertAlign w:val="subscript"/>
          <w:lang w:val="en-GB"/>
        </w:rPr>
        <w:t>4</w:t>
      </w:r>
      <w:r w:rsidRPr="00F54F89">
        <w:rPr>
          <w:color w:val="000000" w:themeColor="text1"/>
          <w:lang w:val="en-GB"/>
        </w:rPr>
        <w:t xml:space="preserve"> and 6.169 g of NaCl in 1 L of water.  FeSSIF (pH 5.0) was prepared from 4.04 g NaOH, </w:t>
      </w:r>
      <w:r w:rsidR="00EA64E3" w:rsidRPr="00F54F89">
        <w:rPr>
          <w:color w:val="000000" w:themeColor="text1"/>
          <w:lang w:val="en-GB"/>
        </w:rPr>
        <w:t>15</w:t>
      </w:r>
      <w:r w:rsidR="00D41701" w:rsidRPr="00F54F89">
        <w:rPr>
          <w:color w:val="000000" w:themeColor="text1"/>
          <w:lang w:val="en-GB"/>
        </w:rPr>
        <w:t xml:space="preserve"> mM of </w:t>
      </w:r>
      <w:r w:rsidR="00EA64E3" w:rsidRPr="00F54F89">
        <w:rPr>
          <w:color w:val="000000" w:themeColor="text1"/>
        </w:rPr>
        <w:t>s</w:t>
      </w:r>
      <w:r w:rsidR="00D41701" w:rsidRPr="00F54F89">
        <w:rPr>
          <w:color w:val="000000" w:themeColor="text1"/>
        </w:rPr>
        <w:t xml:space="preserve">odium taurocholate, </w:t>
      </w:r>
      <w:r w:rsidR="00EA64E3" w:rsidRPr="00F54F89">
        <w:rPr>
          <w:color w:val="000000" w:themeColor="text1"/>
        </w:rPr>
        <w:t>3</w:t>
      </w:r>
      <w:r w:rsidR="00D41701" w:rsidRPr="00F54F89">
        <w:rPr>
          <w:color w:val="000000" w:themeColor="text1"/>
        </w:rPr>
        <w:t xml:space="preserve">,75 mM of PC, </w:t>
      </w:r>
      <w:r w:rsidRPr="00F54F89">
        <w:rPr>
          <w:color w:val="000000" w:themeColor="text1"/>
          <w:lang w:val="en-GB"/>
        </w:rPr>
        <w:t xml:space="preserve">8.65 g of acetic acid and 11.87 g of NaCl in 1 L of water. FaSSGF (pH 1.5) was prepared </w:t>
      </w:r>
      <w:r w:rsidRPr="00F54F89">
        <w:rPr>
          <w:lang w:val="en-GB"/>
        </w:rPr>
        <w:t xml:space="preserve">from 1.999 g of NaCl and was adjusted to pH 1.5 with HCl 1 M. The dissolution was performed at 37˚C and 100 rpm. </w:t>
      </w:r>
      <w:r w:rsidR="001A2E62" w:rsidRPr="00F54F89">
        <w:rPr>
          <w:lang w:val="en-GB"/>
        </w:rPr>
        <w:t xml:space="preserve">PE (100 mg) </w:t>
      </w:r>
      <w:r w:rsidRPr="00F54F89">
        <w:rPr>
          <w:lang w:val="en-GB"/>
        </w:rPr>
        <w:t>and</w:t>
      </w:r>
      <w:r w:rsidR="001A2E62" w:rsidRPr="00F54F89">
        <w:rPr>
          <w:lang w:val="en-GB"/>
        </w:rPr>
        <w:t xml:space="preserve"> an</w:t>
      </w:r>
      <w:r w:rsidRPr="00F54F89">
        <w:rPr>
          <w:lang w:val="en-GB"/>
        </w:rPr>
        <w:t xml:space="preserve"> accurate amount of sample corresponding to 100 mg of </w:t>
      </w:r>
      <w:r w:rsidR="001A2E62" w:rsidRPr="00F54F89">
        <w:rPr>
          <w:lang w:val="en-GB"/>
        </w:rPr>
        <w:t>PE</w:t>
      </w:r>
      <w:r w:rsidRPr="00F54F89">
        <w:rPr>
          <w:lang w:val="en-GB"/>
        </w:rPr>
        <w:t xml:space="preserve"> were added into the dissolution media</w:t>
      </w:r>
      <w:r w:rsidR="001A2E62" w:rsidRPr="00F54F89">
        <w:rPr>
          <w:lang w:val="en-GB"/>
        </w:rPr>
        <w:t xml:space="preserve"> with</w:t>
      </w:r>
      <w:r w:rsidRPr="00F54F89">
        <w:rPr>
          <w:lang w:val="en-GB"/>
        </w:rPr>
        <w:t xml:space="preserve"> 5 mL sample</w:t>
      </w:r>
      <w:r w:rsidR="001A2E62" w:rsidRPr="00F54F89">
        <w:rPr>
          <w:lang w:val="en-GB"/>
        </w:rPr>
        <w:t>s</w:t>
      </w:r>
      <w:r w:rsidRPr="00F54F89">
        <w:rPr>
          <w:lang w:val="en-GB"/>
        </w:rPr>
        <w:t xml:space="preserve"> taken at predetermined time intervals and replaced with an equal volume of fresh release medium. To determine the amount of drug released from PEP, the samples were then </w:t>
      </w:r>
      <w:r w:rsidR="0078151A" w:rsidRPr="00F54F89">
        <w:rPr>
          <w:lang w:val="en-GB"/>
        </w:rPr>
        <w:t>analysed</w:t>
      </w:r>
      <w:r w:rsidRPr="00F54F89">
        <w:rPr>
          <w:lang w:val="en-GB"/>
        </w:rPr>
        <w:t xml:space="preserve"> using HPLC after appropriate dilutions.</w:t>
      </w:r>
    </w:p>
    <w:p w14:paraId="0D521AF7" w14:textId="77777777" w:rsidR="007D0946" w:rsidRPr="00F54F89" w:rsidRDefault="007D0946" w:rsidP="000C6856">
      <w:pPr>
        <w:spacing w:after="240" w:line="360" w:lineRule="auto"/>
        <w:jc w:val="both"/>
        <w:rPr>
          <w:i/>
        </w:rPr>
      </w:pPr>
    </w:p>
    <w:p w14:paraId="09A4F3F1" w14:textId="379940A7" w:rsidR="000C6856" w:rsidRPr="00F54F89" w:rsidRDefault="004B2E12" w:rsidP="000C6856">
      <w:pPr>
        <w:spacing w:after="240" w:line="360" w:lineRule="auto"/>
        <w:jc w:val="both"/>
        <w:rPr>
          <w:i/>
        </w:rPr>
      </w:pPr>
      <w:r w:rsidRPr="00F54F89">
        <w:rPr>
          <w:i/>
        </w:rPr>
        <w:lastRenderedPageBreak/>
        <w:t xml:space="preserve">2.2.10. </w:t>
      </w:r>
      <w:r w:rsidR="000C6856" w:rsidRPr="00F54F89">
        <w:rPr>
          <w:i/>
        </w:rPr>
        <w:t>Drug release kinetic using mathematical modelling</w:t>
      </w:r>
    </w:p>
    <w:p w14:paraId="182F0EF7" w14:textId="313A4670" w:rsidR="000C6856" w:rsidRPr="00F54F89" w:rsidRDefault="000C6856" w:rsidP="000C6856">
      <w:pPr>
        <w:spacing w:after="240" w:line="360" w:lineRule="auto"/>
        <w:jc w:val="both"/>
      </w:pPr>
      <w:r w:rsidRPr="00F54F89">
        <w:t xml:space="preserve">Different mathematic models were applied to the </w:t>
      </w:r>
      <w:r w:rsidR="007861BE" w:rsidRPr="00F54F89">
        <w:t xml:space="preserve">percentage of </w:t>
      </w:r>
      <w:r w:rsidRPr="00F54F89">
        <w:t xml:space="preserve">drug released as follows </w:t>
      </w:r>
      <w:r w:rsidRPr="00F54F89">
        <w:fldChar w:fldCharType="begin" w:fldLock="1"/>
      </w:r>
      <w:r w:rsidR="007D0946" w:rsidRPr="00F54F89">
        <w:instrText>ADDIN CSL_CITATION {"citationItems":[{"id":"ITEM-1","itemData":{"ISSN":"1999-4923","abstract":"Conventional oral administration of antifilariasis drugs results in nonspecific targeting of the drugs and the intradermal delivery of nanoparticles with sizes of &lt;100 nm could be used to improve lymphatic uptake. This study investigated the combination of nanosuspension and dissolving microneedles (MN-NS) as an alternative intradermal delivery approach for the delivery of antifilariasis drugs, namely doxycycline, albendazole, and ivermectin. NS were fabricated and optimized using a bottom-up technique. The NS were then incorporated into the MN arrays. The optimized NS were &lt;100 nm in diameter. Furthermore, MN-NS had suitable mechanical strength and insertion capabilities. The dermatokinetic study revealed that the delivery of drugs into the dermis of excised neonatal porcine skin by MNs was significantly higher than that from a needle-free patch, with 29.29 ± 4.65%, 31.54 ± 5.35%, and 34.54 ± 4.98% of doxycycline, albendazole sulfoxide, and ivermectin retained in the dermis after 24 h. The results presented here serve as proof of concept for the significant enhancement of drug retention times in the dermis, following their formulation into NS and delivery via MN. Leading on from these studies, future work must investigate in vivo lymphatic pharmacokinetic profiling of drugs formulated into NS, in a suitable animal model.","author":[{"dropping-particle":"","family":"Permana","given":"Andi Dian","non-dropping-particle":"","parse-names":false,"suffix":""},{"dropping-particle":"","family":"McCrudden","given":"Maelíosa T.C.","non-dropping-particle":"","parse-names":false,"suffix":""},{"dropping-particle":"","family":"Donnelly","given":"Ryan F.","non-dropping-particle":"","parse-names":false,"suffix":""}],"container-title":"Pharmaceutics","id":"ITEM-1","issue":"7","issued":{"date-parts":[["2019"]]},"page":"346","title":"Enhanced intradermal delivery of nanosuspensions of antifilariasis drugs using dissolving microneedles: A proof of concept study","type":"article-journal","volume":"11"},"uris":["http://www.mendeley.com/documents/?uuid=02ed50f8-72dc-4ca3-8e6d-041381540d78"]},{"id":"ITEM-2","itemData":{"ISBN":"0928-0987 (Print)\\n0928-0987 (Linking)","ISSN":"03262383","PMID":"11297896","abstract":"Generic drugs offer a cost-effective alternative to brand-name products. However, the main concern with modified-release formulations is the substitution of one product for another. Accordingly, the first objective of this study was to assess the interchangeability of the available diltiazem extended-release (ER) products on the basis of their in vitro dissolution characteristics using USP Apparatus 2 and 3. The second objective was to compare dissolution profiles in simulated fasted and fed states and determine whether there is a change in the mechanism of drug release. Dissolution profiles characterized using Apparatus 2 or 3 under fasted conditions were similar. However, Apparatus 3 testing provided a more discriminating and comprehensive evaluation of the drug release performance of ER products. Testing using Apparatus 3 in the fed state highlighted some difference in dissolution profiles, suggesting a food effect on drug release. This implies that, depending on the targeted concentration, a patient should be instructed whether to take the medication in fasted or fed state. The study therefore shows the necessity of testing the products in both fasted and fed states to determine their similarity and therapeutic interchangeability. Apparatus 3 testing was also more accurate in determining the release mechanism than the Apparatus 2 method. No change in the mechanism of drug release between fasted and fed state was observed.","author":[{"dropping-particle":"","family":"Costa","given":"Paulo","non-dropping-particle":"","parse-names":false,"suffix":""},{"dropping-particle":"","family":"Lobo","given":"Jose Manuel Sousa","non-dropping-particle":"","parse-names":false,"suffix":""}],"container-title":"European Journal of Pharmaceutical Sciences","id":"ITEM-2","issue":"1","issued":{"date-parts":[["2001"]]},"page":"123-133","title":"Modeling and comparison of dissolution profiles","type":"article-journal","volume":"13"},"uris":["http://www.mendeley.com/documents/?uuid=a2581472-69ba-4e09-981b-00eefa4170c7"]},{"id":"ITEM-3","itemData":{"ISBN":"0001-6837 (Print) 0001-6837 (Linking)","ISSN":"1100-9233","PMID":"20524422","abstract":"This study explores the determinants of distribution, abundance and\\nregeneration of six Pinus species (P. halepensis, P. nigra, P. pinaster,\\nP. pinea, P. sylvestris and P. uncinata) that occur naturally in\\nCatalonia, northeastern Spain. The aim of this study was to generate\\naccurate predictions of the distribution of each species using simple\\nand readily available environmental variables. We used recursive\\npartitioning and GIS analyses to relate the data base of 10600 field\\nplots from the Forestry Inventory of Catalonia with abiotic and biotic\\ncharacteristics of each plot. We present general patterns of\\ndistribution, dominance and regeneration for the six species and then\\nfocus on P. halepensis, the most abundant pine species in the western\\nMediterranean Basin. For all six species, the models correctly\\nclassified more than 80% of the distribution using abiotic factors,\\nmainly altitude and rainfall variability. Biotic factors such as the\\nbasal area of other pine species were necessary to accurately predict\\npatterns of pine species dominance. Biotic factors, especially the basal\\narea of evergreen species (mainly Quercus ilex), were of overriding\\nimportance when predicting patterns of seedling occurrence. Potentially\\nimportant factors such as land use and fire history were of little\\nsignificance for predicting distribution at the scale of our study. Our\\nmodels failed to predict accurately which species (and in which numbers)\\nco-occur with P. halepensis. Factors not included in this study, such as\\nstand age, disturbance (cutting, clearing) and other human-induced\\nfactors, are probably the main determinants of co-existence patterns.","author":[{"dropping-particle":"","family":"Dash","given":"Suvakanta","non-dropping-particle":"","parse-names":false,"suffix":""},{"dropping-particle":"","family":"Murthy","given":"Padala Narashima","non-dropping-particle":"","parse-names":false,"suffix":""},{"dropping-particle":"","family":"Nath","given":"Lilakanta","non-dropping-particle":"","parse-names":false,"suffix":""},{"dropping-particle":"","family":"Chowdhury","given":"Prasanta","non-dropping-particle":"","parse-names":false,"suffix":""}],"container-title":"Acta Poloniae Pharmaceutica - Drug Research","id":"ITEM-3","issue":"3","issued":{"date-parts":[["2010"]]},"page":"217-223","title":"Kinetic modelling on drug release from controlled drug delivery systems","type":"article-journal","volume":"67"},"uris":["http://www.mendeley.com/documents/?uuid=14d0af5f-1ec6-4120-a79b-e64671da84f4"]}],"mendeley":{"formattedCitation":"[40–42]","plainTextFormattedCitation":"[40–42]","previouslyFormattedCitation":"[40–42]"},"properties":{"noteIndex":0},"schema":"https://github.com/citation-style-language/schema/raw/master/csl-citation.json"}</w:instrText>
      </w:r>
      <w:r w:rsidRPr="00F54F89">
        <w:fldChar w:fldCharType="separate"/>
      </w:r>
      <w:r w:rsidR="007D0946" w:rsidRPr="00F54F89">
        <w:rPr>
          <w:noProof/>
        </w:rPr>
        <w:t>[40–42]</w:t>
      </w:r>
      <w:r w:rsidRPr="00F54F89">
        <w:fldChar w:fldCharType="end"/>
      </w:r>
      <w:r w:rsidRPr="00F54F89">
        <w:t>:</w:t>
      </w:r>
    </w:p>
    <w:p w14:paraId="605DC5DD" w14:textId="35D5D034" w:rsidR="000C6856" w:rsidRPr="00F54F89" w:rsidRDefault="000C6856">
      <w:pPr>
        <w:tabs>
          <w:tab w:val="left" w:pos="7655"/>
        </w:tabs>
        <w:spacing w:after="240" w:line="360" w:lineRule="auto"/>
        <w:jc w:val="both"/>
        <w:rPr>
          <w:b/>
        </w:rPr>
      </w:pPr>
      <w:r w:rsidRPr="00F54F89">
        <w:t xml:space="preserve">Zero order: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t</m:t>
        </m:r>
      </m:oMath>
      <w:r w:rsidRPr="00F54F89">
        <w:rPr>
          <w:rFonts w:eastAsiaTheme="minorEastAsia"/>
        </w:rPr>
        <w:tab/>
      </w:r>
      <w:r w:rsidR="001A2E62" w:rsidRPr="00F54F89">
        <w:rPr>
          <w:rFonts w:eastAsiaTheme="minorEastAsia"/>
        </w:rPr>
        <w:t>Equation (5)</w:t>
      </w:r>
    </w:p>
    <w:p w14:paraId="087C889A" w14:textId="66A11AA7" w:rsidR="000C6856" w:rsidRPr="00F54F89" w:rsidRDefault="000C6856" w:rsidP="000C6856">
      <w:pPr>
        <w:tabs>
          <w:tab w:val="left" w:pos="7655"/>
        </w:tabs>
        <w:spacing w:after="240" w:line="360" w:lineRule="auto"/>
        <w:jc w:val="both"/>
      </w:pPr>
      <w:r w:rsidRPr="00F54F89">
        <w:t xml:space="preserve">First order: </w:t>
      </w:r>
      <m:oMath>
        <m:r>
          <w:rPr>
            <w:rFonts w:ascii="Cambria Math" w:hAnsi="Cambria Math"/>
          </w:rPr>
          <m:t>ln</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=ln</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oMath>
      <w:r w:rsidRPr="00F54F89">
        <w:rPr>
          <w:rFonts w:eastAsiaTheme="minorEastAsia"/>
        </w:rPr>
        <w:t>t</w:t>
      </w:r>
      <w:r w:rsidRPr="00F54F89">
        <w:rPr>
          <w:rFonts w:eastAsiaTheme="minorEastAsia"/>
        </w:rPr>
        <w:tab/>
      </w:r>
      <w:r w:rsidR="001A2E62" w:rsidRPr="00F54F89">
        <w:rPr>
          <w:rFonts w:eastAsiaTheme="minorEastAsia"/>
        </w:rPr>
        <w:t>Equation (6)</w:t>
      </w:r>
    </w:p>
    <w:p w14:paraId="2C914334" w14:textId="4D88689C" w:rsidR="000C6856" w:rsidRPr="00F54F89" w:rsidRDefault="000C6856" w:rsidP="000C6856">
      <w:pPr>
        <w:tabs>
          <w:tab w:val="left" w:pos="7655"/>
        </w:tabs>
        <w:spacing w:after="240" w:line="360" w:lineRule="auto"/>
        <w:jc w:val="both"/>
        <w:rPr>
          <w:b/>
        </w:rPr>
      </w:pPr>
      <w:r w:rsidRPr="00F54F89">
        <w:t xml:space="preserve">Higuchi: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H</m:t>
            </m:r>
          </m:sub>
        </m:sSub>
        <m:rad>
          <m:radPr>
            <m:degHide m:val="1"/>
            <m:ctrlPr>
              <w:rPr>
                <w:rFonts w:ascii="Cambria Math" w:hAnsi="Cambria Math"/>
                <w:i/>
              </w:rPr>
            </m:ctrlPr>
          </m:radPr>
          <m:deg/>
          <m:e>
            <m:r>
              <w:rPr>
                <w:rFonts w:ascii="Cambria Math" w:hAnsi="Cambria Math"/>
              </w:rPr>
              <m:t>t</m:t>
            </m:r>
          </m:e>
        </m:rad>
      </m:oMath>
      <w:r w:rsidRPr="00F54F89">
        <w:rPr>
          <w:rFonts w:eastAsiaTheme="minorEastAsia"/>
        </w:rPr>
        <w:tab/>
      </w:r>
      <w:r w:rsidR="001A2E62" w:rsidRPr="00F54F89">
        <w:rPr>
          <w:rFonts w:eastAsiaTheme="minorEastAsia"/>
        </w:rPr>
        <w:t>Equation (7)</w:t>
      </w:r>
    </w:p>
    <w:p w14:paraId="5BCBF1C3" w14:textId="06E954B2" w:rsidR="000C6856" w:rsidRPr="00F54F89" w:rsidRDefault="000C6856" w:rsidP="000C6856">
      <w:pPr>
        <w:tabs>
          <w:tab w:val="left" w:pos="7655"/>
        </w:tabs>
        <w:spacing w:after="240" w:line="360" w:lineRule="auto"/>
        <w:jc w:val="both"/>
        <w:rPr>
          <w:b/>
        </w:rPr>
      </w:pPr>
      <w:r w:rsidRPr="00F54F89">
        <w:t>Korsmeyer-Peppas</w:t>
      </w:r>
      <w:r w:rsidR="001A2E62" w:rsidRPr="00F54F89">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oMath>
      <w:r w:rsidRPr="00F54F89">
        <w:rPr>
          <w:rFonts w:eastAsiaTheme="minorEastAsia"/>
        </w:rPr>
        <w:tab/>
      </w:r>
      <w:r w:rsidR="001A2E62" w:rsidRPr="00F54F89">
        <w:rPr>
          <w:rFonts w:eastAsiaTheme="minorEastAsia"/>
        </w:rPr>
        <w:t>Equation (8)</w:t>
      </w:r>
    </w:p>
    <w:p w14:paraId="3A06B7CE" w14:textId="4062D3F5" w:rsidR="000C6856" w:rsidRPr="00F54F89" w:rsidRDefault="000C6856" w:rsidP="000C6856">
      <w:pPr>
        <w:tabs>
          <w:tab w:val="left" w:pos="7655"/>
        </w:tabs>
        <w:spacing w:after="240" w:line="360" w:lineRule="auto"/>
        <w:jc w:val="both"/>
        <w:rPr>
          <w:rFonts w:eastAsiaTheme="minorEastAsia"/>
          <w:b/>
        </w:rPr>
      </w:pPr>
      <w:r w:rsidRPr="00F54F89">
        <w:t xml:space="preserve">Hixson-Crowell: </w:t>
      </w:r>
      <m:oMath>
        <m:sSubSup>
          <m:sSubSupPr>
            <m:ctrlPr>
              <w:rPr>
                <w:rFonts w:ascii="Cambria Math" w:hAnsi="Cambria Math"/>
                <w:i/>
              </w:rPr>
            </m:ctrlPr>
          </m:sSubSupPr>
          <m:e>
            <m:r>
              <w:rPr>
                <w:rFonts w:ascii="Cambria Math" w:hAnsi="Cambria Math"/>
              </w:rPr>
              <m:t>Q</m:t>
            </m:r>
          </m:e>
          <m:sub>
            <m:r>
              <w:rPr>
                <w:rFonts w:ascii="Cambria Math" w:hAnsi="Cambria Math"/>
              </w:rPr>
              <m:t>0</m:t>
            </m:r>
          </m:sub>
          <m:sup>
            <m:r>
              <w:rPr>
                <w:rFonts w:ascii="Cambria Math" w:hAnsi="Cambria Math"/>
              </w:rPr>
              <m:t>1/3</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f>
              <m:fPr>
                <m:ctrlPr>
                  <w:rPr>
                    <w:rFonts w:ascii="Cambria Math" w:hAnsi="Cambria Math"/>
                    <w:i/>
                  </w:rPr>
                </m:ctrlPr>
              </m:fPr>
              <m:num>
                <m:r>
                  <w:rPr>
                    <w:rFonts w:ascii="Cambria Math" w:hAnsi="Cambria Math"/>
                  </w:rPr>
                  <m:t>1</m:t>
                </m:r>
              </m:num>
              <m:den>
                <m:r>
                  <w:rPr>
                    <w:rFonts w:ascii="Cambria Math" w:hAnsi="Cambria Math"/>
                  </w:rPr>
                  <m:t>3</m:t>
                </m:r>
              </m:den>
            </m:f>
          </m:sup>
        </m:sSub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t</m:t>
        </m:r>
      </m:oMath>
      <w:r w:rsidRPr="00F54F89">
        <w:rPr>
          <w:rFonts w:eastAsiaTheme="minorEastAsia"/>
        </w:rPr>
        <w:tab/>
      </w:r>
      <w:r w:rsidR="001A2E62" w:rsidRPr="00F54F89">
        <w:rPr>
          <w:rFonts w:eastAsiaTheme="minorEastAsia"/>
        </w:rPr>
        <w:t>Equation (9)</w:t>
      </w:r>
    </w:p>
    <w:p w14:paraId="2EC63E3E" w14:textId="175F47FD" w:rsidR="000C6856" w:rsidRPr="00F54F89" w:rsidRDefault="000C6856" w:rsidP="000C6856">
      <w:pPr>
        <w:spacing w:after="240" w:line="360" w:lineRule="auto"/>
        <w:jc w:val="both"/>
      </w:pPr>
      <w:r w:rsidRPr="00F54F89">
        <w:t xml:space="preserve">Where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Pr="00F54F89">
        <w:t xml:space="preserve"> (%) is the pe</w:t>
      </w:r>
      <w:r w:rsidR="00137FB9" w:rsidRPr="00F54F89">
        <w:t>rcentage of drug released at</w:t>
      </w:r>
      <w:r w:rsidRPr="00F54F89">
        <w:t xml:space="preserve"> time t,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Pr="00F54F89">
        <w:t xml:space="preserve"> is the initial value of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oMath>
      <w:r w:rsidRPr="00F54F89">
        <w:rPr>
          <w:rFonts w:eastAsiaTheme="minorEastAsia"/>
        </w:rPr>
        <w:t xml:space="preserve"> </w:t>
      </w:r>
      <w:r w:rsidRPr="00F54F89">
        <w:t xml:space="preserve">t is the time, n is the diffusion release exponent,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F54F89">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F54F89">
        <w:t xml:space="preserve">,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Pr="00F54F89">
        <w:t xml:space="preserv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F54F89">
        <w:t xml:space="preserve"> and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F54F89">
        <w:t xml:space="preserve"> are the release coefficients corresponding to relevant kinetic models. DDSolver was utili</w:t>
      </w:r>
      <w:r w:rsidR="0004304C" w:rsidRPr="00F54F89">
        <w:t>s</w:t>
      </w:r>
      <w:r w:rsidRPr="00F54F89">
        <w:t xml:space="preserve">ed to calculate the model parameters </w:t>
      </w:r>
      <w:r w:rsidRPr="00F54F89">
        <w:fldChar w:fldCharType="begin" w:fldLock="1"/>
      </w:r>
      <w:r w:rsidR="007D0946" w:rsidRPr="00F54F89">
        <w:instrText>ADDIN CSL_CITATION {"citationItems":[{"id":"ITEM-1","itemData":{"ISBN":"1224801091","abstract":"In recent years, several mathematical models have been developed for analysis of drug dissolution data, and many different mathematical approaches have been proposed to assess the similarity between two drug dissolution profiles. However, until now, no computer program has been reported for simplifying the calculations involved in the modeling and comparison of dissolution profiles. The purposes of this article are: (1) to describe the development of a software program, called DDSolver, for facilitating the assessment of similarity between drug dissolution data; (2) to establish a model library for fitting dissolution data using a nonlinear optimization method; and (3) to provide a brief review of available approaches for comparing drug dissolution profiles. DDSolver is a freely available program which is capable of performing most existing techniques for comparing drug release data, including exploratory data analysis, univariate ANOVA, ratio test procedures, the difference factor f (1), the similarity factor f (2), the Rescigno indices, the 90% confidence interval (CI) of difference method, the multivariate statistical distance method, the model-dependent method, the bootstrap f (2) method, and Chow and Ki's time series method. Sample runs of the program demonstrated that the results were satisfactory, and DDSolver could be served as a useful tool for dissolution data analysis.","author":[{"dropping-particle":"","family":"Zhang","given":"Yong","non-dropping-particle":"","parse-names":false,"suffix":""},{"dropping-particle":"","family":"Huo","given":"Meirong","non-dropping-particle":"","parse-names":false,"suffix":""},{"dropping-particle":"","family":"Zhou","given":"Jianping","non-dropping-particle":"","parse-names":false,"suffix":""},{"dropping-particle":"","family":"Zou","given":"Aifeng","non-dropping-particle":"","parse-names":false,"suffix":""},{"dropping-particle":"","family":"Li","given":"Weize","non-dropping-particle":"","parse-names":false,"suffix":""},{"dropping-particle":"","family":"Yao","given":"Chengli","non-dropping-particle":"","parse-names":false,"suffix":""},{"dropping-particle":"","family":"Xie","given":"Shaofei","non-dropping-particle":"","parse-names":false,"suffix":""}],"container-title":"The AAPS Journal","id":"ITEM-1","issue":"3","issued":{"date-parts":[["2010"]]},"page":"263-271","title":"DDSolver: An add-in program for modeling and comparison of drug dissolution profiles","type":"article-journal","volume":"12"},"uris":["http://www.mendeley.com/documents/?uuid=ecd65b82-5cd5-4792-94c3-cc296db74178"]}],"mendeley":{"formattedCitation":"[43]","plainTextFormattedCitation":"[43]","previouslyFormattedCitation":"[43]"},"properties":{"noteIndex":0},"schema":"https://github.com/citation-style-language/schema/raw/master/csl-citation.json"}</w:instrText>
      </w:r>
      <w:r w:rsidRPr="00F54F89">
        <w:fldChar w:fldCharType="separate"/>
      </w:r>
      <w:r w:rsidR="007D0946" w:rsidRPr="00F54F89">
        <w:rPr>
          <w:noProof/>
        </w:rPr>
        <w:t>[43]</w:t>
      </w:r>
      <w:r w:rsidRPr="00F54F89">
        <w:fldChar w:fldCharType="end"/>
      </w:r>
      <w:r w:rsidRPr="00F54F89">
        <w:t xml:space="preserve">. </w:t>
      </w:r>
    </w:p>
    <w:p w14:paraId="07ECC2C2" w14:textId="77777777" w:rsidR="00236BD1" w:rsidRPr="00F54F89" w:rsidRDefault="00236BD1" w:rsidP="000C6856">
      <w:pPr>
        <w:spacing w:line="360" w:lineRule="auto"/>
        <w:jc w:val="both"/>
        <w:rPr>
          <w:i/>
        </w:rPr>
      </w:pPr>
    </w:p>
    <w:p w14:paraId="064E934A" w14:textId="67717D9C" w:rsidR="000C6856" w:rsidRPr="00F54F89" w:rsidRDefault="004B2E12" w:rsidP="000C6856">
      <w:pPr>
        <w:spacing w:line="360" w:lineRule="auto"/>
        <w:jc w:val="both"/>
        <w:rPr>
          <w:i/>
        </w:rPr>
      </w:pPr>
      <w:r w:rsidRPr="00F54F89">
        <w:rPr>
          <w:i/>
        </w:rPr>
        <w:t xml:space="preserve">2.2.11. </w:t>
      </w:r>
      <w:r w:rsidR="00DF6C95" w:rsidRPr="00F54F89">
        <w:rPr>
          <w:i/>
        </w:rPr>
        <w:t>In vitro</w:t>
      </w:r>
      <w:r w:rsidR="000C6856" w:rsidRPr="00F54F89">
        <w:rPr>
          <w:i/>
        </w:rPr>
        <w:t xml:space="preserve"> phytosomal stability in gastrointestinal environment </w:t>
      </w:r>
    </w:p>
    <w:p w14:paraId="0F752B4B" w14:textId="13AB02C7" w:rsidR="000C6856" w:rsidRPr="00F54F89" w:rsidRDefault="000C6856" w:rsidP="000C6856">
      <w:pPr>
        <w:spacing w:line="360" w:lineRule="auto"/>
        <w:jc w:val="both"/>
      </w:pPr>
      <w:r w:rsidRPr="00F54F89">
        <w:t xml:space="preserve">The selected PEP formulation was evaluated in terms of </w:t>
      </w:r>
      <w:r w:rsidR="00DF6C95" w:rsidRPr="00F54F89">
        <w:rPr>
          <w:i/>
        </w:rPr>
        <w:t>in vitro</w:t>
      </w:r>
      <w:r w:rsidRPr="00F54F89">
        <w:t xml:space="preserve"> stability in FaSSGF, FaSSIF and FeSSIF release media. The PEP formulation was added into 10 mL of FaSSGF, FaSSIF, FeSSIF and PBS pH 7.4 and the samples were incubated at 37˚C for 1 hours and 3 hours. The particle size, PDI and zeta potential of each samples were evaluated as described previously </w:t>
      </w:r>
      <w:r w:rsidR="007477F3" w:rsidRPr="00F54F89">
        <w:t>(Method 2.2.8.a)</w:t>
      </w:r>
      <w:r w:rsidRPr="00F54F89">
        <w:t xml:space="preserve">. </w:t>
      </w:r>
    </w:p>
    <w:p w14:paraId="096FECF5" w14:textId="77777777" w:rsidR="007D0946" w:rsidRPr="00F54F89" w:rsidRDefault="007D0946" w:rsidP="000C6856">
      <w:pPr>
        <w:spacing w:after="240" w:line="360" w:lineRule="auto"/>
        <w:jc w:val="both"/>
        <w:rPr>
          <w:i/>
        </w:rPr>
      </w:pPr>
    </w:p>
    <w:p w14:paraId="1D0A9292" w14:textId="3DFF626E" w:rsidR="000C6856" w:rsidRPr="00F54F89" w:rsidRDefault="004B2E12" w:rsidP="000C6856">
      <w:pPr>
        <w:spacing w:after="240" w:line="360" w:lineRule="auto"/>
        <w:jc w:val="both"/>
        <w:rPr>
          <w:i/>
        </w:rPr>
      </w:pPr>
      <w:r w:rsidRPr="00F54F89">
        <w:rPr>
          <w:i/>
        </w:rPr>
        <w:t xml:space="preserve">2.2.12. </w:t>
      </w:r>
      <w:r w:rsidR="000C6856" w:rsidRPr="00F54F89">
        <w:rPr>
          <w:i/>
        </w:rPr>
        <w:t>Preparation of phytosomal hydrogel for dermal delivery</w:t>
      </w:r>
    </w:p>
    <w:p w14:paraId="39A5B8F7" w14:textId="46F543D1" w:rsidR="000C6856" w:rsidRPr="00F54F89" w:rsidRDefault="000C6856" w:rsidP="000C6856">
      <w:pPr>
        <w:spacing w:after="240" w:line="360" w:lineRule="auto"/>
        <w:jc w:val="both"/>
      </w:pPr>
      <w:r w:rsidRPr="00F54F89">
        <w:t>Hydrogel</w:t>
      </w:r>
      <w:r w:rsidR="00F36484" w:rsidRPr="00F54F89">
        <w:t>s</w:t>
      </w:r>
      <w:r w:rsidRPr="00F54F89">
        <w:t xml:space="preserve"> </w:t>
      </w:r>
      <w:r w:rsidR="00F36484" w:rsidRPr="00F54F89">
        <w:t xml:space="preserve">were </w:t>
      </w:r>
      <w:r w:rsidRPr="00F54F89">
        <w:t>prepared by initially mixing Carbomer</w:t>
      </w:r>
      <w:r w:rsidR="00137FB9" w:rsidRPr="00F54F89">
        <w:t xml:space="preserve"> </w:t>
      </w:r>
      <w:r w:rsidRPr="00F54F89">
        <w:t xml:space="preserve">940 (1.5% w/w) and glycerol (10% w/w) in distilled water and </w:t>
      </w:r>
      <w:r w:rsidR="00F36484" w:rsidRPr="00F54F89">
        <w:t xml:space="preserve">storing </w:t>
      </w:r>
      <w:r w:rsidRPr="00F54F89">
        <w:t xml:space="preserve">overnight at ambient temperature. Afterwards, 0.5% w/w of triethanolamine was added into the mixture, resulting </w:t>
      </w:r>
      <w:r w:rsidR="00F36484" w:rsidRPr="00F54F89">
        <w:t xml:space="preserve">in </w:t>
      </w:r>
      <w:r w:rsidRPr="00F54F89">
        <w:t xml:space="preserve">a clear hydrogel. </w:t>
      </w:r>
      <w:r w:rsidR="008A7570" w:rsidRPr="00F54F89">
        <w:t xml:space="preserve">Following the evaporation of organic solvent in PEP preparation, 5 mL of distilled water was added to hydrate the pyhtosome. </w:t>
      </w:r>
      <w:r w:rsidRPr="00F54F89">
        <w:t xml:space="preserve">The </w:t>
      </w:r>
      <w:r w:rsidR="00766D10" w:rsidRPr="00F54F89">
        <w:t xml:space="preserve">hydrated </w:t>
      </w:r>
      <w:r w:rsidRPr="00F54F89">
        <w:t xml:space="preserve">PEP was incorporated into the hydrogel with a ratio </w:t>
      </w:r>
      <w:r w:rsidR="00793E74" w:rsidRPr="00F54F89">
        <w:t>1:9</w:t>
      </w:r>
      <w:r w:rsidRPr="00F54F89">
        <w:t xml:space="preserve"> (PEP:hydrogel). Hydrogel containing PE was prepared as a control.</w:t>
      </w:r>
    </w:p>
    <w:p w14:paraId="467979EB" w14:textId="2D92BB50" w:rsidR="000C6856" w:rsidRPr="00F54F89" w:rsidRDefault="004B2E12" w:rsidP="000C6856">
      <w:pPr>
        <w:spacing w:after="240" w:line="360" w:lineRule="auto"/>
        <w:jc w:val="both"/>
        <w:rPr>
          <w:i/>
        </w:rPr>
      </w:pPr>
      <w:r w:rsidRPr="00F54F89">
        <w:rPr>
          <w:i/>
        </w:rPr>
        <w:lastRenderedPageBreak/>
        <w:t xml:space="preserve">2.2.13. </w:t>
      </w:r>
      <w:r w:rsidR="000C6856" w:rsidRPr="00F54F89">
        <w:rPr>
          <w:i/>
        </w:rPr>
        <w:t>Characteri</w:t>
      </w:r>
      <w:r w:rsidR="00CE3FB2" w:rsidRPr="00F54F89">
        <w:rPr>
          <w:i/>
        </w:rPr>
        <w:t>sation</w:t>
      </w:r>
      <w:r w:rsidR="000C6856" w:rsidRPr="00F54F89">
        <w:rPr>
          <w:i/>
        </w:rPr>
        <w:t xml:space="preserve"> of phytosomal hydrogel</w:t>
      </w:r>
    </w:p>
    <w:p w14:paraId="3D470BC1" w14:textId="77777777" w:rsidR="000C6856" w:rsidRPr="00F54F89" w:rsidRDefault="004B2E12" w:rsidP="000C6856">
      <w:pPr>
        <w:spacing w:after="240" w:line="360" w:lineRule="auto"/>
        <w:jc w:val="both"/>
        <w:rPr>
          <w:i/>
        </w:rPr>
      </w:pPr>
      <w:r w:rsidRPr="00F54F89">
        <w:rPr>
          <w:i/>
        </w:rPr>
        <w:t xml:space="preserve">a. </w:t>
      </w:r>
      <w:r w:rsidR="000C6856" w:rsidRPr="00F54F89">
        <w:rPr>
          <w:i/>
        </w:rPr>
        <w:t>Drug uniformity content and pH</w:t>
      </w:r>
    </w:p>
    <w:p w14:paraId="699ACDB7" w14:textId="316276BB" w:rsidR="000C6856" w:rsidRPr="00F54F89" w:rsidRDefault="000C6856" w:rsidP="000C6856">
      <w:pPr>
        <w:spacing w:after="240" w:line="360" w:lineRule="auto"/>
        <w:jc w:val="both"/>
      </w:pPr>
      <w:r w:rsidRPr="00F54F89">
        <w:t xml:space="preserve">Drug uniformity was evaluated by collecting 0.5 g of PEP hydrogel from three </w:t>
      </w:r>
      <w:r w:rsidR="00F36484" w:rsidRPr="00F54F89">
        <w:t>independent sections</w:t>
      </w:r>
      <w:r w:rsidRPr="00F54F89">
        <w:t xml:space="preserve"> of</w:t>
      </w:r>
      <w:r w:rsidR="00F36484" w:rsidRPr="00F54F89">
        <w:t xml:space="preserve"> the</w:t>
      </w:r>
      <w:r w:rsidRPr="00F54F89">
        <w:t xml:space="preserve"> container. The hydrogel was mixed with 5 mL of methanol and vortexed for 1 h. The dispersion was centrifuged at </w:t>
      </w:r>
      <w:r w:rsidR="0054546C" w:rsidRPr="00F54F89">
        <w:t>4,800</w:t>
      </w:r>
      <w:r w:rsidRPr="00F54F89">
        <w:t xml:space="preserve"> </w:t>
      </w:r>
      <w:r w:rsidR="0054546C" w:rsidRPr="00F54F89">
        <w:t>x g</w:t>
      </w:r>
      <w:r w:rsidRPr="00F54F89">
        <w:t xml:space="preserve"> for 15 min. The supernatant was collected and </w:t>
      </w:r>
      <w:r w:rsidR="0078151A" w:rsidRPr="00F54F89">
        <w:t>analysed</w:t>
      </w:r>
      <w:r w:rsidR="00137FB9" w:rsidRPr="00F54F89">
        <w:t xml:space="preserve"> for</w:t>
      </w:r>
      <w:r w:rsidRPr="00F54F89">
        <w:t xml:space="preserve"> drug content using HPLC. pH of the hydrogel formulation was determined using pH meter. </w:t>
      </w:r>
    </w:p>
    <w:p w14:paraId="72D2E72E" w14:textId="77777777" w:rsidR="000C6856" w:rsidRPr="00F54F89" w:rsidRDefault="004B2E12" w:rsidP="000C6856">
      <w:pPr>
        <w:spacing w:after="240" w:line="360" w:lineRule="auto"/>
        <w:jc w:val="both"/>
        <w:rPr>
          <w:i/>
        </w:rPr>
      </w:pPr>
      <w:r w:rsidRPr="00F54F89">
        <w:rPr>
          <w:i/>
        </w:rPr>
        <w:t xml:space="preserve">b. </w:t>
      </w:r>
      <w:r w:rsidR="000C6856" w:rsidRPr="00F54F89">
        <w:rPr>
          <w:i/>
        </w:rPr>
        <w:t>Spreadability</w:t>
      </w:r>
    </w:p>
    <w:p w14:paraId="1FFBB9A9" w14:textId="0E064F2A" w:rsidR="000C6856" w:rsidRPr="00F54F89" w:rsidRDefault="000C6856" w:rsidP="000C6856">
      <w:pPr>
        <w:spacing w:after="240" w:line="360" w:lineRule="auto"/>
        <w:jc w:val="both"/>
      </w:pPr>
      <w:r w:rsidRPr="00F54F89">
        <w:t xml:space="preserve">A </w:t>
      </w:r>
      <w:r w:rsidR="00F36484" w:rsidRPr="00F54F89">
        <w:t xml:space="preserve">mass </w:t>
      </w:r>
      <w:r w:rsidRPr="00F54F89">
        <w:t xml:space="preserve">of </w:t>
      </w:r>
      <w:r w:rsidR="00F36484" w:rsidRPr="00F54F89">
        <w:t>hydrogel (5</w:t>
      </w:r>
      <w:r w:rsidRPr="00F54F89">
        <w:t>00 mg</w:t>
      </w:r>
      <w:r w:rsidR="00F36484" w:rsidRPr="00F54F89">
        <w:t>)</w:t>
      </w:r>
      <w:r w:rsidRPr="00F54F89">
        <w:t xml:space="preserve"> was placed on</w:t>
      </w:r>
      <w:r w:rsidR="00F36484" w:rsidRPr="00F54F89">
        <w:t xml:space="preserve"> a</w:t>
      </w:r>
      <w:r w:rsidRPr="00F54F89">
        <w:t xml:space="preserve"> glass plate and the diameter recorded. Another glass plate with a 500 g</w:t>
      </w:r>
      <w:r w:rsidR="00F36484" w:rsidRPr="00F54F89">
        <w:t xml:space="preserve"> mass</w:t>
      </w:r>
      <w:r w:rsidRPr="00F54F89">
        <w:t xml:space="preserve"> was placed on the top of the formulation. This was allowed</w:t>
      </w:r>
      <w:r w:rsidR="00F36484" w:rsidRPr="00F54F89">
        <w:t xml:space="preserve"> to stand</w:t>
      </w:r>
      <w:r w:rsidRPr="00F54F89">
        <w:t xml:space="preserve"> for 5 min and the diameter </w:t>
      </w:r>
      <w:r w:rsidR="00F36484" w:rsidRPr="00F54F89">
        <w:t xml:space="preserve">of hydrogel </w:t>
      </w:r>
      <w:r w:rsidRPr="00F54F89">
        <w:t>after spreading was recorded.</w:t>
      </w:r>
    </w:p>
    <w:p w14:paraId="170E5C3E" w14:textId="67B56C03" w:rsidR="000C6856" w:rsidRPr="00F54F89" w:rsidRDefault="004B2E12" w:rsidP="000C6856">
      <w:pPr>
        <w:spacing w:after="240" w:line="360" w:lineRule="auto"/>
        <w:jc w:val="both"/>
        <w:rPr>
          <w:i/>
        </w:rPr>
      </w:pPr>
      <w:r w:rsidRPr="00F54F89">
        <w:rPr>
          <w:i/>
        </w:rPr>
        <w:t xml:space="preserve">c. </w:t>
      </w:r>
      <w:r w:rsidR="00DF6C95" w:rsidRPr="00F54F89">
        <w:rPr>
          <w:i/>
        </w:rPr>
        <w:t>In vitro</w:t>
      </w:r>
      <w:r w:rsidR="000C6856" w:rsidRPr="00F54F89">
        <w:rPr>
          <w:i/>
        </w:rPr>
        <w:t xml:space="preserve"> skin occlusivity evaluation</w:t>
      </w:r>
    </w:p>
    <w:p w14:paraId="1CF573D1" w14:textId="5756D40C" w:rsidR="000C6856" w:rsidRPr="00F54F89" w:rsidRDefault="00DF6C95" w:rsidP="000C6856">
      <w:pPr>
        <w:spacing w:after="240" w:line="360" w:lineRule="auto"/>
        <w:jc w:val="both"/>
      </w:pPr>
      <w:r w:rsidRPr="00F54F89">
        <w:rPr>
          <w:i/>
        </w:rPr>
        <w:t>In vitro</w:t>
      </w:r>
      <w:r w:rsidR="000C6856" w:rsidRPr="00F54F89">
        <w:rPr>
          <w:i/>
        </w:rPr>
        <w:t xml:space="preserve"> </w:t>
      </w:r>
      <w:r w:rsidR="000C6856" w:rsidRPr="00F54F89">
        <w:t>skin occlusivity was carried out using a</w:t>
      </w:r>
      <w:r w:rsidR="00F36484" w:rsidRPr="00F54F89">
        <w:t xml:space="preserve"> previously described </w:t>
      </w:r>
      <w:r w:rsidR="000C6856" w:rsidRPr="00F54F89">
        <w:t xml:space="preserve">method </w:t>
      </w:r>
      <w:r w:rsidR="000C6856" w:rsidRPr="00F54F89">
        <w:fldChar w:fldCharType="begin" w:fldLock="1"/>
      </w:r>
      <w:r w:rsidR="007D0946" w:rsidRPr="00F54F89">
        <w:instrText>ADDIN CSL_CITATION {"citationItems":[{"id":"ITEM-1","itemData":{"ISSN":"17732247","abstract":"The study is designed to formulate, optimize and evaluate Azelaic acid loaded nano-structured lipid carrier (NLCs) with an aim to enhance its skin targeting, retention, and achieve sustained release with reduced drug related side effects. NLCs were formulated by melt emulsification and ultra-sonication technique and optimized employing 33 full factorial design taking lipid:drug ratio, surfactant concentration and sonication time as independent variables with particle size (PS) and entrapment efficiency (EE) as dependent variables. The optimized formulation (F23) exhibited spherical surfaced stable nano particles of 49.6 ± 1.24 nm size and 83.4 ± 2.14% EE. Formulation F23 was then incorporate to aloe-vera based carbopol gel and evaluated for its physiological properties, drug content, in-vitro release and skin distribution (fluorescent microscopy) analysis. The gel was found to be non-irritating, homogenous, with optimum moisture content, spreadability and occlusivity. In-vitro permeation studies showed NLC preparation to markedly enhance the dug's skin retention in comparison to drug suspended in gel and marketed preparation. The skin distribution studies employing rhodamine 6G further confirmed the permeation of NLCs to the deeper layers of skin. The experimental findings suggested that NLCs could serve as a promising carrier for site specific targeting with better skin retention abilities.","author":[{"dropping-particle":"","family":"Malik","given":"Deepinder Singh","non-dropping-particle":"","parse-names":false,"suffix":""},{"dropping-particle":"","family":"Kaur","given":"Gurpreet","non-dropping-particle":"","parse-names":false,"suffix":""}],"container-title":"Journal of Drug Delivery Science and Technology","id":"ITEM-1","issue":"April","issued":{"date-parts":[["2018"]]},"page":"123-136","publisher":"Elsevier","title":"Nanostructured gel for topical delivery of azelaic acid: Designing, characterization, and in-vitro evaluation","type":"article-journal","volume":"47"},"uris":["http://www.mendeley.com/documents/?uuid=87b3d75d-a5a2-4195-86a1-1c2707ff3e8f"]}],"mendeley":{"formattedCitation":"[44]","plainTextFormattedCitation":"[44]","previouslyFormattedCitation":"[44]"},"properties":{"noteIndex":0},"schema":"https://github.com/citation-style-language/schema/raw/master/csl-citation.json"}</w:instrText>
      </w:r>
      <w:r w:rsidR="000C6856" w:rsidRPr="00F54F89">
        <w:fldChar w:fldCharType="separate"/>
      </w:r>
      <w:r w:rsidR="007D0946" w:rsidRPr="00F54F89">
        <w:rPr>
          <w:noProof/>
        </w:rPr>
        <w:t>[44]</w:t>
      </w:r>
      <w:r w:rsidR="000C6856" w:rsidRPr="00F54F89">
        <w:fldChar w:fldCharType="end"/>
      </w:r>
      <w:r w:rsidR="000C6856" w:rsidRPr="00F54F89">
        <w:t xml:space="preserve">. A </w:t>
      </w:r>
      <w:r w:rsidR="00137FB9" w:rsidRPr="00F54F89">
        <w:t>mass</w:t>
      </w:r>
      <w:r w:rsidR="000C6856" w:rsidRPr="00F54F89">
        <w:t xml:space="preserve"> of 250 mg of formulation was applied to Whatman filter paper (cut off size 2.5 µm). The filter paper was used to cover a 100 mL beaker filled with 50 mL of distilled water. As control, a filter paper without formulation was used. The beakers were kept at 32°C and the weight of the system was determined at 0 h, 6 h, 24 h and 48 h. The </w:t>
      </w:r>
      <w:bookmarkStart w:id="0" w:name="OLE_LINK1"/>
      <w:r w:rsidR="000C6856" w:rsidRPr="00F54F89">
        <w:t>occulisivity</w:t>
      </w:r>
      <w:bookmarkEnd w:id="0"/>
      <w:r w:rsidR="000C6856" w:rsidRPr="00F54F89">
        <w:t xml:space="preserve"> (F</w:t>
      </w:r>
      <w:r w:rsidR="000C6856" w:rsidRPr="00F54F89">
        <w:rPr>
          <w:vertAlign w:val="subscript"/>
        </w:rPr>
        <w:t>0</w:t>
      </w:r>
      <w:r w:rsidR="000C6856" w:rsidRPr="00F54F89">
        <w:t>) was calculated using following equation:</w:t>
      </w:r>
    </w:p>
    <w:p w14:paraId="7107CA0C" w14:textId="6090279C" w:rsidR="00F36484" w:rsidRPr="00F54F89" w:rsidRDefault="000C6856" w:rsidP="00E0623B">
      <w:pPr>
        <w:tabs>
          <w:tab w:val="left" w:pos="7513"/>
        </w:tabs>
        <w:spacing w:after="240" w:line="360" w:lineRule="auto"/>
        <w:jc w:val="both"/>
        <w:rPr>
          <w:rFonts w:eastAsiaTheme="minorEastAsia"/>
        </w:rPr>
      </w:pPr>
      <w:r w:rsidRPr="00F54F89">
        <w:t>F</w:t>
      </w:r>
      <w:r w:rsidRPr="00F54F89">
        <w:rPr>
          <w:vertAlign w:val="subscript"/>
        </w:rPr>
        <w:t>0</w:t>
      </w:r>
      <w:r w:rsidRPr="00F54F89">
        <w:t xml:space="preserve"> = = </w:t>
      </w:r>
      <m:oMath>
        <m:f>
          <m:fPr>
            <m:ctrlPr>
              <w:rPr>
                <w:rFonts w:ascii="Cambria Math" w:hAnsi="Cambria Math"/>
                <w:i/>
              </w:rPr>
            </m:ctrlPr>
          </m:fPr>
          <m:num>
            <m:r>
              <w:rPr>
                <w:rFonts w:ascii="Cambria Math" w:hAnsi="Cambria Math"/>
              </w:rPr>
              <m:t>W0- W1</m:t>
            </m:r>
          </m:num>
          <m:den>
            <m:r>
              <w:rPr>
                <w:rFonts w:ascii="Cambria Math" w:hAnsi="Cambria Math"/>
              </w:rPr>
              <m:t>W0</m:t>
            </m:r>
          </m:den>
        </m:f>
        <m:r>
          <w:rPr>
            <w:rFonts w:ascii="Cambria Math" w:hAnsi="Cambria Math"/>
          </w:rPr>
          <m:t xml:space="preserve"> x 100</m:t>
        </m:r>
      </m:oMath>
      <w:r w:rsidR="00E0623B" w:rsidRPr="00F54F89">
        <w:rPr>
          <w:rFonts w:eastAsiaTheme="minorEastAsia"/>
        </w:rPr>
        <w:tab/>
      </w:r>
      <w:r w:rsidR="00F36484" w:rsidRPr="00F54F89">
        <w:rPr>
          <w:rFonts w:eastAsiaTheme="minorEastAsia"/>
        </w:rPr>
        <w:t>Equation (10)</w:t>
      </w:r>
    </w:p>
    <w:p w14:paraId="45CEF68D" w14:textId="77777777" w:rsidR="000C6856" w:rsidRPr="00F54F89" w:rsidRDefault="000C6856" w:rsidP="000C6856">
      <w:pPr>
        <w:spacing w:after="240" w:line="360" w:lineRule="auto"/>
        <w:jc w:val="both"/>
      </w:pPr>
      <w:r w:rsidRPr="00F54F89">
        <w:rPr>
          <w:rFonts w:eastAsiaTheme="minorEastAsia"/>
        </w:rPr>
        <w:t xml:space="preserve">Where, </w:t>
      </w:r>
      <w:r w:rsidRPr="00F54F89">
        <w:rPr>
          <w:rFonts w:eastAsiaTheme="minorEastAsia"/>
          <w:i/>
        </w:rPr>
        <w:t>W0</w:t>
      </w:r>
      <w:r w:rsidRPr="00F54F89">
        <w:rPr>
          <w:rFonts w:eastAsiaTheme="minorEastAsia"/>
        </w:rPr>
        <w:t xml:space="preserve"> is the water loss of the control and </w:t>
      </w:r>
      <w:r w:rsidRPr="00F54F89">
        <w:rPr>
          <w:rFonts w:eastAsiaTheme="minorEastAsia"/>
          <w:i/>
        </w:rPr>
        <w:t>W1</w:t>
      </w:r>
      <w:r w:rsidRPr="00F54F89">
        <w:rPr>
          <w:rFonts w:eastAsiaTheme="minorEastAsia"/>
        </w:rPr>
        <w:t xml:space="preserve"> is the water loss of the formulation group.</w:t>
      </w:r>
    </w:p>
    <w:p w14:paraId="2FD5582A" w14:textId="77777777" w:rsidR="000C6856" w:rsidRPr="00F54F89" w:rsidRDefault="004B2E12" w:rsidP="000C6856">
      <w:pPr>
        <w:spacing w:after="240" w:line="360" w:lineRule="auto"/>
        <w:jc w:val="both"/>
        <w:rPr>
          <w:i/>
        </w:rPr>
      </w:pPr>
      <w:r w:rsidRPr="00F54F89">
        <w:rPr>
          <w:i/>
        </w:rPr>
        <w:t xml:space="preserve">2.2.14. </w:t>
      </w:r>
      <w:r w:rsidR="000C6856" w:rsidRPr="00F54F89">
        <w:rPr>
          <w:i/>
        </w:rPr>
        <w:t>Ex-vivo skin permeation and retention studies</w:t>
      </w:r>
    </w:p>
    <w:p w14:paraId="26A40E0A" w14:textId="452B9BD1" w:rsidR="000C6856" w:rsidRPr="00F54F89" w:rsidRDefault="000C6856" w:rsidP="000C6856">
      <w:pPr>
        <w:pStyle w:val="TAMainText"/>
        <w:spacing w:after="360" w:line="360" w:lineRule="auto"/>
        <w:ind w:firstLine="0"/>
        <w:rPr>
          <w:rFonts w:ascii="Times New Roman" w:hAnsi="Times New Roman"/>
          <w:szCs w:val="24"/>
          <w:lang w:val="en-GB"/>
        </w:rPr>
      </w:pPr>
      <w:r w:rsidRPr="00F54F89">
        <w:rPr>
          <w:rFonts w:ascii="Times New Roman" w:hAnsi="Times New Roman"/>
          <w:i/>
          <w:szCs w:val="24"/>
          <w:lang w:val="en-GB"/>
        </w:rPr>
        <w:t xml:space="preserve">Ex-vivo </w:t>
      </w:r>
      <w:r w:rsidRPr="00F54F89">
        <w:rPr>
          <w:rFonts w:ascii="Times New Roman" w:hAnsi="Times New Roman"/>
          <w:szCs w:val="24"/>
          <w:lang w:val="en-GB"/>
        </w:rPr>
        <w:t>skin permeation stud</w:t>
      </w:r>
      <w:r w:rsidR="00F36484" w:rsidRPr="00F54F89">
        <w:rPr>
          <w:rFonts w:ascii="Times New Roman" w:hAnsi="Times New Roman"/>
          <w:szCs w:val="24"/>
          <w:lang w:val="en-GB"/>
        </w:rPr>
        <w:t>ies</w:t>
      </w:r>
      <w:r w:rsidRPr="00F54F89">
        <w:rPr>
          <w:rFonts w:ascii="Times New Roman" w:hAnsi="Times New Roman"/>
          <w:szCs w:val="24"/>
          <w:lang w:val="en-GB"/>
        </w:rPr>
        <w:t xml:space="preserve"> w</w:t>
      </w:r>
      <w:r w:rsidR="00F36484" w:rsidRPr="00F54F89">
        <w:rPr>
          <w:rFonts w:ascii="Times New Roman" w:hAnsi="Times New Roman"/>
          <w:szCs w:val="24"/>
          <w:lang w:val="en-GB"/>
        </w:rPr>
        <w:t>ere</w:t>
      </w:r>
      <w:r w:rsidRPr="00F54F89">
        <w:rPr>
          <w:rFonts w:ascii="Times New Roman" w:hAnsi="Times New Roman"/>
          <w:szCs w:val="24"/>
          <w:lang w:val="en-GB"/>
        </w:rPr>
        <w:t xml:space="preserve"> carried out on 25 mL Franz diffusion cell with diffusional area of 1 cm</w:t>
      </w:r>
      <w:r w:rsidRPr="00F54F89">
        <w:rPr>
          <w:rFonts w:ascii="Times New Roman" w:hAnsi="Times New Roman"/>
          <w:szCs w:val="24"/>
          <w:vertAlign w:val="superscript"/>
          <w:lang w:val="en-GB"/>
        </w:rPr>
        <w:t>2</w:t>
      </w:r>
      <w:r w:rsidRPr="00F54F89">
        <w:rPr>
          <w:rFonts w:ascii="Times New Roman" w:hAnsi="Times New Roman"/>
          <w:szCs w:val="24"/>
          <w:lang w:val="en-GB"/>
        </w:rPr>
        <w:t xml:space="preserve">. Abdominal skin of Male Sprague-Dawley rats </w:t>
      </w:r>
      <w:r w:rsidR="00D8255A" w:rsidRPr="00F54F89">
        <w:rPr>
          <w:rFonts w:ascii="Times New Roman" w:hAnsi="Times New Roman"/>
          <w:szCs w:val="24"/>
          <w:lang w:val="en-GB"/>
        </w:rPr>
        <w:t>was</w:t>
      </w:r>
      <w:r w:rsidRPr="00F54F89">
        <w:rPr>
          <w:rFonts w:ascii="Times New Roman" w:hAnsi="Times New Roman"/>
          <w:szCs w:val="24"/>
          <w:lang w:val="en-GB"/>
        </w:rPr>
        <w:t xml:space="preserve"> shaved </w:t>
      </w:r>
      <w:r w:rsidR="00F36484" w:rsidRPr="00F54F89">
        <w:rPr>
          <w:rFonts w:ascii="Times New Roman" w:hAnsi="Times New Roman"/>
          <w:szCs w:val="24"/>
          <w:lang w:val="en-GB"/>
        </w:rPr>
        <w:t>and</w:t>
      </w:r>
      <w:r w:rsidRPr="00F54F89">
        <w:rPr>
          <w:rFonts w:ascii="Times New Roman" w:hAnsi="Times New Roman"/>
          <w:szCs w:val="24"/>
          <w:lang w:val="en-GB"/>
        </w:rPr>
        <w:t xml:space="preserve"> equilibrated in PBS </w:t>
      </w:r>
      <w:r w:rsidR="00F36484" w:rsidRPr="00F54F89">
        <w:rPr>
          <w:rFonts w:ascii="Times New Roman" w:hAnsi="Times New Roman"/>
          <w:szCs w:val="24"/>
          <w:lang w:val="en-GB"/>
        </w:rPr>
        <w:t>(</w:t>
      </w:r>
      <w:r w:rsidRPr="00F54F89">
        <w:rPr>
          <w:rFonts w:ascii="Times New Roman" w:hAnsi="Times New Roman"/>
          <w:szCs w:val="24"/>
          <w:lang w:val="en-GB"/>
        </w:rPr>
        <w:t>pH 7.4</w:t>
      </w:r>
      <w:r w:rsidR="00F36484" w:rsidRPr="00F54F89">
        <w:rPr>
          <w:rFonts w:ascii="Times New Roman" w:hAnsi="Times New Roman"/>
          <w:szCs w:val="24"/>
          <w:lang w:val="en-GB"/>
        </w:rPr>
        <w:t>)</w:t>
      </w:r>
      <w:r w:rsidRPr="00F54F89">
        <w:rPr>
          <w:rFonts w:ascii="Times New Roman" w:hAnsi="Times New Roman"/>
          <w:szCs w:val="24"/>
          <w:lang w:val="en-GB"/>
        </w:rPr>
        <w:t xml:space="preserve"> containing 1% w/v Tween 80 as a medium prior to the experiment. </w:t>
      </w:r>
      <w:r w:rsidR="008A7570" w:rsidRPr="00F54F89">
        <w:rPr>
          <w:rFonts w:ascii="Times New Roman" w:hAnsi="Times New Roman"/>
          <w:szCs w:val="24"/>
          <w:lang w:val="en-GB"/>
        </w:rPr>
        <w:t xml:space="preserve">Tween 80 was added into medium to achieve the sink condition. </w:t>
      </w:r>
      <w:r w:rsidRPr="00F54F89">
        <w:rPr>
          <w:rFonts w:ascii="Times New Roman" w:hAnsi="Times New Roman"/>
          <w:szCs w:val="24"/>
          <w:lang w:val="en-GB"/>
        </w:rPr>
        <w:t>The receptor compartment was filled with the medium and the skin was mounted between the receptor and donor compartment. The assembly was kept at 37°C and stirred at 100 rpm. Aliquot</w:t>
      </w:r>
      <w:r w:rsidR="00F36484" w:rsidRPr="00F54F89">
        <w:rPr>
          <w:rFonts w:ascii="Times New Roman" w:hAnsi="Times New Roman"/>
          <w:szCs w:val="24"/>
          <w:lang w:val="en-GB"/>
        </w:rPr>
        <w:t>s</w:t>
      </w:r>
      <w:r w:rsidRPr="00F54F89">
        <w:rPr>
          <w:rFonts w:ascii="Times New Roman" w:hAnsi="Times New Roman"/>
          <w:szCs w:val="24"/>
          <w:lang w:val="en-GB"/>
        </w:rPr>
        <w:t xml:space="preserve"> of 0.5 g of each formulation w</w:t>
      </w:r>
      <w:r w:rsidR="00137FB9" w:rsidRPr="00F54F89">
        <w:rPr>
          <w:rFonts w:ascii="Times New Roman" w:hAnsi="Times New Roman"/>
          <w:szCs w:val="24"/>
          <w:lang w:val="en-GB"/>
        </w:rPr>
        <w:t>ere</w:t>
      </w:r>
      <w:r w:rsidRPr="00F54F89">
        <w:rPr>
          <w:rFonts w:ascii="Times New Roman" w:hAnsi="Times New Roman"/>
          <w:szCs w:val="24"/>
          <w:lang w:val="en-GB"/>
        </w:rPr>
        <w:t xml:space="preserve"> </w:t>
      </w:r>
      <w:r w:rsidRPr="00F54F89">
        <w:rPr>
          <w:rFonts w:ascii="Times New Roman" w:hAnsi="Times New Roman"/>
          <w:szCs w:val="24"/>
          <w:lang w:val="en-GB"/>
        </w:rPr>
        <w:lastRenderedPageBreak/>
        <w:t xml:space="preserve">applied to the donor compartment and 0.5 mL of receptor media was taken at predetermined time intervals and replaced with the same volume of fresh medium. The samples were then </w:t>
      </w:r>
      <w:r w:rsidR="0078151A" w:rsidRPr="00F54F89">
        <w:rPr>
          <w:rFonts w:ascii="Times New Roman" w:hAnsi="Times New Roman"/>
          <w:szCs w:val="24"/>
          <w:lang w:val="en-GB"/>
        </w:rPr>
        <w:t>analysed</w:t>
      </w:r>
      <w:r w:rsidRPr="00F54F89">
        <w:rPr>
          <w:rFonts w:ascii="Times New Roman" w:hAnsi="Times New Roman"/>
          <w:szCs w:val="24"/>
          <w:lang w:val="en-GB"/>
        </w:rPr>
        <w:t xml:space="preserve"> using HPLC to determine the amount of drug permeated from PEP.</w:t>
      </w:r>
    </w:p>
    <w:p w14:paraId="7EBB53BF" w14:textId="2B8529E8" w:rsidR="000C6856" w:rsidRPr="00F54F89" w:rsidRDefault="000C6856" w:rsidP="000C6856">
      <w:pPr>
        <w:spacing w:line="360" w:lineRule="auto"/>
        <w:jc w:val="both"/>
      </w:pPr>
      <w:r w:rsidRPr="00F54F89">
        <w:t xml:space="preserve">Skin drug retention was determined after 24 h following the skin permeation study. The skin was removed and washed three times with distilled water to remove any excess formulations. The skin was cut into small pieces and the drugs retained were extracted with methanol in bath sonicator for 6 h. The samples were centrifuged at </w:t>
      </w:r>
      <w:r w:rsidR="0054546C" w:rsidRPr="00F54F89">
        <w:t>2,800</w:t>
      </w:r>
      <w:r w:rsidRPr="00F54F89">
        <w:t xml:space="preserve"> </w:t>
      </w:r>
      <w:r w:rsidR="0054546C" w:rsidRPr="00F54F89">
        <w:t>x g</w:t>
      </w:r>
      <w:r w:rsidRPr="00F54F89">
        <w:t xml:space="preserve"> for 15 min. The supernatant was collected and was subjected to HPLC for analysis.</w:t>
      </w:r>
    </w:p>
    <w:p w14:paraId="5447C761" w14:textId="77777777" w:rsidR="007D0946" w:rsidRPr="00F54F89" w:rsidRDefault="007D0946" w:rsidP="000C6856">
      <w:pPr>
        <w:spacing w:line="360" w:lineRule="auto"/>
        <w:jc w:val="both"/>
        <w:rPr>
          <w:i/>
        </w:rPr>
      </w:pPr>
    </w:p>
    <w:p w14:paraId="7388B67A" w14:textId="706E588B" w:rsidR="000C6856" w:rsidRPr="00F54F89" w:rsidRDefault="004B2E12" w:rsidP="000C6856">
      <w:pPr>
        <w:spacing w:line="360" w:lineRule="auto"/>
        <w:jc w:val="both"/>
        <w:rPr>
          <w:i/>
        </w:rPr>
      </w:pPr>
      <w:r w:rsidRPr="00F54F89">
        <w:rPr>
          <w:i/>
        </w:rPr>
        <w:t xml:space="preserve">2.2.15. </w:t>
      </w:r>
      <w:r w:rsidR="000C6856" w:rsidRPr="00F54F89">
        <w:rPr>
          <w:i/>
        </w:rPr>
        <w:t xml:space="preserve">Antioxidant activity </w:t>
      </w:r>
      <w:r w:rsidR="00C9657D" w:rsidRPr="00F54F89">
        <w:rPr>
          <w:i/>
        </w:rPr>
        <w:t xml:space="preserve">and </w:t>
      </w:r>
      <w:r w:rsidR="00C9657D" w:rsidRPr="00F54F89">
        <w:rPr>
          <w:i/>
          <w:iCs/>
        </w:rPr>
        <w:t>sun protective factor (SPF)</w:t>
      </w:r>
      <w:r w:rsidR="00C9657D" w:rsidRPr="00F54F89">
        <w:t xml:space="preserve"> </w:t>
      </w:r>
      <w:r w:rsidR="000C6856" w:rsidRPr="00F54F89">
        <w:rPr>
          <w:i/>
        </w:rPr>
        <w:t xml:space="preserve">of </w:t>
      </w:r>
      <w:r w:rsidR="0078151A" w:rsidRPr="00F54F89">
        <w:rPr>
          <w:i/>
        </w:rPr>
        <w:t>optimised</w:t>
      </w:r>
      <w:r w:rsidR="000C6856" w:rsidRPr="00F54F89">
        <w:rPr>
          <w:i/>
        </w:rPr>
        <w:t xml:space="preserve"> formulation</w:t>
      </w:r>
    </w:p>
    <w:p w14:paraId="5ECD5C55" w14:textId="2CA754B3" w:rsidR="000C6856" w:rsidRPr="00F54F89" w:rsidRDefault="000C6856" w:rsidP="000C6856">
      <w:pPr>
        <w:spacing w:line="360" w:lineRule="auto"/>
        <w:jc w:val="both"/>
      </w:pPr>
      <w:r w:rsidRPr="00F54F89">
        <w:t xml:space="preserve">The selected formulations were dissolved in methanol </w:t>
      </w:r>
      <w:r w:rsidR="007D4460" w:rsidRPr="00F54F89">
        <w:t>using a</w:t>
      </w:r>
      <w:r w:rsidRPr="00F54F89">
        <w:t xml:space="preserve"> bath sonicator for 1 h. The antioxidant activity of selected PEP formulation was carried out using the method described previously for PE.</w:t>
      </w:r>
    </w:p>
    <w:p w14:paraId="1BC1A6AA" w14:textId="53C4A80E" w:rsidR="00C9657D" w:rsidRPr="00F54F89" w:rsidRDefault="00C9657D" w:rsidP="000C6856">
      <w:pPr>
        <w:spacing w:line="360" w:lineRule="auto"/>
        <w:jc w:val="both"/>
      </w:pPr>
      <w:r w:rsidRPr="00F54F89">
        <w:t xml:space="preserve">SPF values of hydrogels containing </w:t>
      </w:r>
      <w:r w:rsidR="001D54B8" w:rsidRPr="00F54F89">
        <w:t xml:space="preserve">PE </w:t>
      </w:r>
      <w:r w:rsidRPr="00F54F89">
        <w:t xml:space="preserve">and PEP were calculated using the method developed by Mansur et. </w:t>
      </w:r>
      <w:r w:rsidR="00BF6FF3" w:rsidRPr="00F54F89">
        <w:t>a</w:t>
      </w:r>
      <w:r w:rsidRPr="00F54F89">
        <w:t>l</w:t>
      </w:r>
      <w:r w:rsidR="00BF6FF3" w:rsidRPr="00F54F89">
        <w:t xml:space="preserve"> </w:t>
      </w:r>
      <w:r w:rsidR="00BF6FF3" w:rsidRPr="00F54F89">
        <w:fldChar w:fldCharType="begin" w:fldLock="1"/>
      </w:r>
      <w:r w:rsidR="007D0946" w:rsidRPr="00F54F89">
        <w:instrText>ADDIN CSL_CITATION {"citationItems":[{"id":"ITEM-1","itemData":{"ISSN":"0365-0596","abstract":"Título: Exostose subungueal: estudo clínico-patológico e análise de uma técnica cirúrgica / Subungual exostosis: a clinical and pathological study and a surgical technique analysis. Fonte: Säo Paulo; s.n; 2000. [96] p. ilus, tab. total, 12 eram portadores de exostose subungueal. No presente trabalho foram incluídos os 12 pacientes em um estudo prospectivo (grupo A) e acrescentados 51 casos oriundos de outros serviços nacionais de Dermatologia (grupo B) em um estudo transversal, totalizando 63 casos de exostose subungueal. A afecção foi analisada quanto ao sexo, idade, cor, e localização das lesões, além da possível existência de traumas anteriores. Neste trabalho foi descrita, detalhadamente, a técnica operatória utilizada nos 12 pacientes (grupo A), a qual foi avaliada quanto aos seus resultados estéticos, índices de recorrências e complicações, comparando-os aos de outros autores. Na descrição da cirurgia excisional da lesão, buscou-se enfatizar seus aspectos práticos, desde a forma de se utilizar o anestésico, até os cuidados indispensáveis para se evitar recidivas. O procedimento realizado buscou preservar ao máximo a lâmina ungueal, obtendo resultados funcionais e estéticos. As etapas cirúrgicas foram fotografadas e anexadas a este estudo, para visualização dos procedimentos descritos, bem como seus aspectos radiológicos e histopatológicos. Diagnósticos diferenciais foram destacados com a intenção de evitar erros, para que a exostose subungueal não fosse confundida com outras doenças ungueais. São apresentados os resultados da avaliação clínica e cirúrgica, em tabelas e fotografias, obtidas no pós-operatório dos casos acompanhados. Nenhuma recorrência foi detectada e os resultados estéticos das unhas tratadas foi excelente, num período médio de seguimento de 2 anos Descritores: Exostose Doenças da Unha Unhas/cirurgia","author":[{"dropping-particle":"","family":"Mansur","given":"Joäo de Souza","non-dropping-particle":"","parse-names":false,"suffix":""},{"dropping-particle":"","family":"Breder","given":"Mário Nei Rodrigues","non-dropping-particle":"","parse-names":false,"suffix":""},{"dropping-particle":"","family":"Mansur","given":"Maria Cristina d'Ascençäo","non-dropping-particle":"","parse-names":false,"suffix":""},{"dropping-particle":"","family":"Azulay","given":"Rubem David","non-dropping-particle":"","parse-names":false,"suffix":""}],"container-title":"An. bras. dermatol","id":"ITEM-1","issued":{"date-parts":[["1986"]]},"page":"121-124","title":"Correlaçäo entre a determinaçäo do fator de proteçäo solar em seres humanos e por espectrofotometria","type":"article-journal","volume":"61"},"uris":["http://www.mendeley.com/documents/?uuid=580171cc-3503-42e9-ab0a-e11463159af2"]}],"mendeley":{"formattedCitation":"[45]","plainTextFormattedCitation":"[45]","previouslyFormattedCitation":"[45]"},"properties":{"noteIndex":0},"schema":"https://github.com/citation-style-language/schema/raw/master/csl-citation.json"}</w:instrText>
      </w:r>
      <w:r w:rsidR="00BF6FF3" w:rsidRPr="00F54F89">
        <w:fldChar w:fldCharType="separate"/>
      </w:r>
      <w:r w:rsidR="007D0946" w:rsidRPr="00F54F89">
        <w:rPr>
          <w:noProof/>
        </w:rPr>
        <w:t>[45]</w:t>
      </w:r>
      <w:r w:rsidR="00BF6FF3" w:rsidRPr="00F54F89">
        <w:fldChar w:fldCharType="end"/>
      </w:r>
      <w:r w:rsidRPr="00F54F89">
        <w:t xml:space="preserve">. Briefly, the formulations corresponding to </w:t>
      </w:r>
      <w:r w:rsidR="001D54B8" w:rsidRPr="00F54F89">
        <w:t>PE</w:t>
      </w:r>
      <w:r w:rsidRPr="00F54F89">
        <w:t xml:space="preserve"> with the range concentration from 0.1 mg/mL to 1 mg/mL were prepared in methanol. The readings of measurement were carried out from 200 nm to 400 nm wavelength to evaluate the abso</w:t>
      </w:r>
      <w:r w:rsidR="008C0CBD" w:rsidRPr="00F54F89">
        <w:t>rption in the UVA (320-400 nm) and UVB (280-320 nm). The absorption of each solution was measured between 290 and 320 nm with intervals of 5 nm using a spectrophotometer (Model UV-2500, Shimadzu Co., Ltd., Tokyo, Japan). SPF values were calculated using the Equation (11):</w:t>
      </w:r>
    </w:p>
    <w:p w14:paraId="2A2E90D5" w14:textId="79A87597" w:rsidR="008C0CBD" w:rsidRPr="00F54F89" w:rsidRDefault="008C0CBD" w:rsidP="000C6856">
      <w:pPr>
        <w:spacing w:line="360" w:lineRule="auto"/>
        <w:jc w:val="both"/>
        <w:rPr>
          <w:rFonts w:eastAsiaTheme="minorEastAsia"/>
        </w:rPr>
      </w:pPr>
      <w:r w:rsidRPr="00F54F89">
        <w:t xml:space="preserve">SPF = </w:t>
      </w:r>
      <m:oMath>
        <m:r>
          <w:rPr>
            <w:rFonts w:ascii="Cambria Math" w:hAnsi="Cambria Math"/>
          </w:rPr>
          <m:t xml:space="preserve">CF x </m:t>
        </m:r>
        <m:r>
          <m:rPr>
            <m:sty m:val="p"/>
          </m:rPr>
          <w:rPr>
            <w:rFonts w:ascii="Cambria Math" w:hAnsi="Cambria Math"/>
          </w:rPr>
          <m:t>Σ</m:t>
        </m:r>
        <m:f>
          <m:fPr>
            <m:ctrlPr>
              <w:rPr>
                <w:rFonts w:ascii="Cambria Math" w:hAnsi="Cambria Math"/>
                <w:i/>
              </w:rPr>
            </m:ctrlPr>
          </m:fPr>
          <m:num>
            <m:r>
              <w:rPr>
                <w:rFonts w:ascii="Cambria Math" w:hAnsi="Cambria Math"/>
              </w:rPr>
              <m:t>320 nm</m:t>
            </m:r>
          </m:num>
          <m:den>
            <m:r>
              <w:rPr>
                <w:rFonts w:ascii="Cambria Math" w:hAnsi="Cambria Math"/>
              </w:rPr>
              <m:t>290 nm</m:t>
            </m:r>
          </m:den>
        </m:f>
        <m:r>
          <w:rPr>
            <w:rFonts w:ascii="Cambria Math" w:hAnsi="Cambria Math"/>
          </w:rPr>
          <m:t xml:space="preserve"> </m:t>
        </m:r>
        <m:sSub>
          <m:sSubPr>
            <m:ctrlPr>
              <w:rPr>
                <w:rFonts w:ascii="Cambria Math" w:hAnsi="Cambria Math"/>
                <w:i/>
              </w:rPr>
            </m:ctrlPr>
          </m:sSubPr>
          <m:e>
            <m:r>
              <w:rPr>
                <w:rFonts w:ascii="Cambria Math" w:hAnsi="Cambria Math"/>
              </w:rPr>
              <m:t>EE</m:t>
            </m:r>
          </m:e>
          <m:sub>
            <m:r>
              <w:rPr>
                <w:rFonts w:ascii="Cambria Math" w:hAnsi="Cambria Math"/>
              </w:rPr>
              <m:t>λ</m:t>
            </m:r>
          </m:sub>
        </m:sSub>
        <m:r>
          <w:rPr>
            <w:rFonts w:ascii="Cambria Math" w:hAnsi="Cambria Math"/>
          </w:rPr>
          <m:t xml:space="preserve"> x </m:t>
        </m:r>
        <m:sSub>
          <m:sSubPr>
            <m:ctrlPr>
              <w:rPr>
                <w:rFonts w:ascii="Cambria Math" w:hAnsi="Cambria Math"/>
                <w:i/>
              </w:rPr>
            </m:ctrlPr>
          </m:sSubPr>
          <m:e>
            <m:r>
              <w:rPr>
                <w:rFonts w:ascii="Cambria Math" w:hAnsi="Cambria Math"/>
              </w:rPr>
              <m:t>I</m:t>
            </m:r>
          </m:e>
          <m:sub>
            <m:r>
              <w:rPr>
                <w:rFonts w:ascii="Cambria Math" w:hAnsi="Cambria Math"/>
              </w:rPr>
              <m:t>λ</m:t>
            </m:r>
          </m:sub>
        </m:sSub>
        <m:r>
          <w:rPr>
            <w:rFonts w:ascii="Cambria Math" w:hAnsi="Cambria Math"/>
          </w:rPr>
          <m:t xml:space="preserve">x </m:t>
        </m:r>
        <m:sSub>
          <m:sSubPr>
            <m:ctrlPr>
              <w:rPr>
                <w:rFonts w:ascii="Cambria Math" w:hAnsi="Cambria Math"/>
                <w:i/>
              </w:rPr>
            </m:ctrlPr>
          </m:sSubPr>
          <m:e>
            <m:r>
              <w:rPr>
                <w:rFonts w:ascii="Cambria Math" w:hAnsi="Cambria Math"/>
              </w:rPr>
              <m:t>Abs</m:t>
            </m:r>
          </m:e>
          <m:sub>
            <m:r>
              <w:rPr>
                <w:rFonts w:ascii="Cambria Math" w:hAnsi="Cambria Math"/>
              </w:rPr>
              <m:t>λ</m:t>
            </m:r>
          </m:sub>
        </m:sSub>
      </m:oMath>
      <w:r w:rsidRPr="00F54F89">
        <w:rPr>
          <w:rFonts w:eastAsiaTheme="minorEastAsia"/>
        </w:rPr>
        <w:tab/>
      </w:r>
      <w:r w:rsidRPr="00F54F89">
        <w:rPr>
          <w:rFonts w:eastAsiaTheme="minorEastAsia"/>
        </w:rPr>
        <w:tab/>
      </w:r>
      <w:r w:rsidRPr="00F54F89">
        <w:rPr>
          <w:rFonts w:eastAsiaTheme="minorEastAsia"/>
        </w:rPr>
        <w:tab/>
      </w:r>
      <w:r w:rsidRPr="00F54F89">
        <w:rPr>
          <w:rFonts w:eastAsiaTheme="minorEastAsia"/>
        </w:rPr>
        <w:tab/>
      </w:r>
      <w:r w:rsidRPr="00F54F89">
        <w:rPr>
          <w:rFonts w:eastAsiaTheme="minorEastAsia"/>
        </w:rPr>
        <w:tab/>
      </w:r>
      <w:r w:rsidRPr="00F54F89">
        <w:rPr>
          <w:rFonts w:eastAsiaTheme="minorEastAsia"/>
        </w:rPr>
        <w:tab/>
        <w:t>Equation (11)</w:t>
      </w:r>
    </w:p>
    <w:p w14:paraId="69CB6F5D" w14:textId="4777A1E2" w:rsidR="008C0CBD" w:rsidRPr="00F54F89" w:rsidRDefault="008C0CBD" w:rsidP="000C6856">
      <w:pPr>
        <w:spacing w:line="360" w:lineRule="auto"/>
        <w:jc w:val="both"/>
        <w:rPr>
          <w:rFonts w:eastAsiaTheme="minorEastAsia"/>
        </w:rPr>
      </w:pPr>
      <w:r w:rsidRPr="00F54F89">
        <w:rPr>
          <w:rFonts w:eastAsiaTheme="minorEastAsia"/>
        </w:rPr>
        <w:t>Where, CF is 10 (constant), EE is er</w:t>
      </w:r>
      <w:r w:rsidR="007477F3" w:rsidRPr="00F54F89">
        <w:rPr>
          <w:rFonts w:eastAsiaTheme="minorEastAsia"/>
        </w:rPr>
        <w:t>y</w:t>
      </w:r>
      <w:r w:rsidRPr="00F54F89">
        <w:rPr>
          <w:rFonts w:eastAsiaTheme="minorEastAsia"/>
        </w:rPr>
        <w:t>t</w:t>
      </w:r>
      <w:r w:rsidR="007477F3" w:rsidRPr="00F54F89">
        <w:rPr>
          <w:rFonts w:eastAsiaTheme="minorEastAsia"/>
        </w:rPr>
        <w:t>h</w:t>
      </w:r>
      <w:r w:rsidRPr="00F54F89">
        <w:rPr>
          <w:rFonts w:eastAsiaTheme="minorEastAsia"/>
        </w:rPr>
        <w:t>e</w:t>
      </w:r>
      <w:r w:rsidR="007477F3" w:rsidRPr="00F54F89">
        <w:rPr>
          <w:rFonts w:eastAsiaTheme="minorEastAsia"/>
        </w:rPr>
        <w:t>m</w:t>
      </w:r>
      <w:r w:rsidRPr="00F54F89">
        <w:rPr>
          <w:rFonts w:eastAsiaTheme="minorEastAsia"/>
        </w:rPr>
        <w:t>ogenic effect, I is intensity of the sun and Abs is absorbance of the samples.</w:t>
      </w:r>
    </w:p>
    <w:p w14:paraId="075C0605" w14:textId="7D12C898" w:rsidR="000C6856" w:rsidRPr="00F54F89" w:rsidRDefault="008C0CBD" w:rsidP="000C6856">
      <w:pPr>
        <w:spacing w:line="360" w:lineRule="auto"/>
        <w:jc w:val="both"/>
        <w:rPr>
          <w:b/>
        </w:rPr>
      </w:pPr>
      <w:r w:rsidRPr="00F54F89">
        <w:rPr>
          <w:rFonts w:eastAsiaTheme="minorEastAsia"/>
        </w:rPr>
        <w:t xml:space="preserve"> </w:t>
      </w:r>
      <w:r w:rsidR="004B2E12" w:rsidRPr="00F54F89">
        <w:rPr>
          <w:i/>
        </w:rPr>
        <w:t xml:space="preserve">2.2.16. </w:t>
      </w:r>
      <w:r w:rsidR="000C6856" w:rsidRPr="00F54F89">
        <w:rPr>
          <w:i/>
        </w:rPr>
        <w:t>Statistical analysis</w:t>
      </w:r>
    </w:p>
    <w:p w14:paraId="705F98D3" w14:textId="342AA144" w:rsidR="000C6856" w:rsidRPr="00F54F89" w:rsidRDefault="000C6856" w:rsidP="000C6856">
      <w:pPr>
        <w:pStyle w:val="TAMainText"/>
        <w:spacing w:after="360" w:line="360" w:lineRule="auto"/>
        <w:ind w:firstLine="0"/>
        <w:rPr>
          <w:rFonts w:ascii="Times New Roman" w:hAnsi="Times New Roman"/>
          <w:szCs w:val="24"/>
          <w:lang w:val="en-GB"/>
        </w:rPr>
      </w:pPr>
      <w:r w:rsidRPr="00F54F89">
        <w:rPr>
          <w:rFonts w:ascii="Times New Roman" w:hAnsi="Times New Roman"/>
          <w:szCs w:val="24"/>
          <w:lang w:val="en-GB"/>
        </w:rPr>
        <w:t>All data were expressed as means ± standard deviation (SD) of the mean. The calculation of SD was conducted using Microsoft</w:t>
      </w:r>
      <w:r w:rsidRPr="00F54F89">
        <w:rPr>
          <w:rFonts w:ascii="Times New Roman" w:hAnsi="Times New Roman"/>
          <w:szCs w:val="24"/>
          <w:vertAlign w:val="superscript"/>
          <w:lang w:val="en-GB"/>
        </w:rPr>
        <w:t>®</w:t>
      </w:r>
      <w:r w:rsidRPr="00F54F89">
        <w:rPr>
          <w:rFonts w:ascii="Times New Roman" w:hAnsi="Times New Roman"/>
          <w:szCs w:val="24"/>
          <w:lang w:val="en-GB"/>
        </w:rPr>
        <w:t xml:space="preserve"> Excel</w:t>
      </w:r>
      <w:r w:rsidRPr="00F54F89">
        <w:rPr>
          <w:rFonts w:ascii="Times New Roman" w:hAnsi="Times New Roman"/>
          <w:szCs w:val="24"/>
          <w:vertAlign w:val="superscript"/>
          <w:lang w:val="en-GB"/>
        </w:rPr>
        <w:t>®</w:t>
      </w:r>
      <w:r w:rsidRPr="00F54F89">
        <w:rPr>
          <w:rFonts w:ascii="Times New Roman" w:hAnsi="Times New Roman"/>
          <w:szCs w:val="24"/>
          <w:lang w:val="en-GB"/>
        </w:rPr>
        <w:t xml:space="preserve"> 2016 (Microsoft Corporation, Redmond, USA). Statistical analysis was performed using GraphPad Prism® version 6 (GraphPad Software, San Diego, California, USA). Where appropriate, an unpaired t-test was carried out for comparison of two groups. The Kruskal-Wallis test with post-hoc Dunn's test was carried out for comparison of multiple groups. In all cases, </w:t>
      </w:r>
      <w:r w:rsidRPr="00F54F89">
        <w:rPr>
          <w:rFonts w:ascii="Times New Roman" w:hAnsi="Times New Roman"/>
          <w:i/>
          <w:szCs w:val="24"/>
          <w:lang w:val="en-GB"/>
        </w:rPr>
        <w:t xml:space="preserve">p &lt; </w:t>
      </w:r>
      <w:r w:rsidRPr="00F54F89">
        <w:rPr>
          <w:rFonts w:ascii="Times New Roman" w:hAnsi="Times New Roman"/>
          <w:szCs w:val="24"/>
          <w:lang w:val="en-GB"/>
        </w:rPr>
        <w:t>0.05 was represented as a significant difference.</w:t>
      </w:r>
    </w:p>
    <w:p w14:paraId="63897C27" w14:textId="77777777" w:rsidR="000C6856" w:rsidRPr="00F54F89" w:rsidRDefault="004B2E12" w:rsidP="00137FB9">
      <w:pPr>
        <w:spacing w:before="240"/>
        <w:rPr>
          <w:b/>
        </w:rPr>
      </w:pPr>
      <w:r w:rsidRPr="00F54F89">
        <w:rPr>
          <w:b/>
        </w:rPr>
        <w:lastRenderedPageBreak/>
        <w:t xml:space="preserve">3. </w:t>
      </w:r>
      <w:r w:rsidR="000C6856" w:rsidRPr="00F54F89">
        <w:rPr>
          <w:b/>
        </w:rPr>
        <w:t>Results and Discussion</w:t>
      </w:r>
    </w:p>
    <w:p w14:paraId="2C6CCD98" w14:textId="77777777" w:rsidR="000C6856" w:rsidRPr="00F54F89" w:rsidRDefault="004B2E12" w:rsidP="00137FB9">
      <w:pPr>
        <w:spacing w:before="240"/>
        <w:rPr>
          <w:i/>
        </w:rPr>
      </w:pPr>
      <w:r w:rsidRPr="00F54F89">
        <w:rPr>
          <w:i/>
        </w:rPr>
        <w:t xml:space="preserve">3.1. </w:t>
      </w:r>
      <w:r w:rsidR="000C6856" w:rsidRPr="00F54F89">
        <w:rPr>
          <w:i/>
        </w:rPr>
        <w:t>Extraction yield, TPC, and TFC of PE</w:t>
      </w:r>
    </w:p>
    <w:p w14:paraId="6518097F" w14:textId="0A97659E" w:rsidR="000C6856" w:rsidRPr="00F54F89" w:rsidRDefault="000C6856" w:rsidP="00137FB9">
      <w:pPr>
        <w:spacing w:before="240" w:line="360" w:lineRule="auto"/>
        <w:jc w:val="both"/>
      </w:pPr>
      <w:r w:rsidRPr="00F54F89">
        <w:t xml:space="preserve">Propolis has been reported to have excellent antioxidant activity due to its phenolic and flavonoid compounds </w:t>
      </w:r>
      <w:bookmarkStart w:id="1" w:name="_Hlk18080260"/>
      <w:r w:rsidRPr="00F54F89">
        <w:fldChar w:fldCharType="begin" w:fldLock="1"/>
      </w:r>
      <w:r w:rsidR="007D0946" w:rsidRPr="00F54F89">
        <w:instrText>ADDIN CSL_CITATION {"citationItems":[{"id":"ITEM-1","itemData":{"ISSN":"18737145","abstract":"Propolis is a resinous bee hive product that has many biological activities. In this study, a total of 11 raw propolis samples were collected from various geographical areas in Turkey. Phenolic compounds were extracted from all samples and analyses of total phenolics and flavonoids and total antioxidant capacities were performed. All the samples showed high total phenolic and flavonoid contents and antioxidant capacities. Moreover, the in vitro bioaccessibility of Turkish propolis samples were investigated according to simulated in vitro gastrointestinal digestion method. Bioaccessibility was increased through the gastric and intestinal phases. Furthermore, the composition of polyphenols (phenolic acids and flavonoids) in Turkish propolis extracts was investigated by LC-MS/MS method. A total of 32 phenolic compounds, including Caffeic acid phenylethyl ester (CAPE) which was observed in all samples, were identified in the samples. Higher CAPE contents were determined in the samples from the Marmara region which is in line with its higher antioxidant capacity values. As a conclusion, propolis samples collected from different geographical locations differ for their phenolic and flavonoid contents, individual phenolic profile and bioaccessibility.","author":[{"dropping-particle":"","family":"Ozdal","given":"Tugba","non-dropping-particle":"","parse-names":false,"suffix":""},{"dropping-particle":"","family":"Ceylan","given":"Fatma Duygu","non-dropping-particle":"","parse-names":false,"suffix":""},{"dropping-particle":"","family":"Eroglu","given":"Nazife","non-dropping-particle":"","parse-names":false,"suffix":""},{"dropping-particle":"","family":"Kaplan","given":"Muammer","non-dropping-particle":"","parse-names":false,"suffix":""},{"dropping-particle":"","family":"Olgun","given":"Elmas Oktem","non-dropping-particle":"","parse-names":false,"suffix":""},{"dropping-particle":"","family":"Capanoglu","given":"Esra","non-dropping-particle":"","parse-names":false,"suffix":""}],"container-title":"Food Research International","id":"ITEM-1","issued":{"date-parts":[["2019"]]},"page":"528-536","publisher":"Elsevier","title":"Investigation of antioxidant capacity, bioaccessibility and LC-MS/MS phenolic profile of Turkish propolis","type":"article-journal","volume":"122"},"uris":["http://www.mendeley.com/documents/?uuid=c14eaadb-e915-43b9-8f62-37b7f3d27c8e"]}],"mendeley":{"formattedCitation":"[15]","plainTextFormattedCitation":"[15]","previouslyFormattedCitation":"[15]"},"properties":{"noteIndex":0},"schema":"https://github.com/citation-style-language/schema/raw/master/csl-citation.json"}</w:instrText>
      </w:r>
      <w:r w:rsidRPr="00F54F89">
        <w:fldChar w:fldCharType="separate"/>
      </w:r>
      <w:r w:rsidR="007D0946" w:rsidRPr="00F54F89">
        <w:rPr>
          <w:noProof/>
        </w:rPr>
        <w:t>[15]</w:t>
      </w:r>
      <w:r w:rsidRPr="00F54F89">
        <w:fldChar w:fldCharType="end"/>
      </w:r>
      <w:bookmarkEnd w:id="1"/>
      <w:r w:rsidRPr="00F54F89">
        <w:t>. Phenolic and flavonoid compounds of p</w:t>
      </w:r>
      <w:r w:rsidR="00137FB9" w:rsidRPr="00F54F89">
        <w:t xml:space="preserve">ropolis can potentially act as </w:t>
      </w:r>
      <w:r w:rsidRPr="00F54F89">
        <w:t xml:space="preserve"> protective </w:t>
      </w:r>
      <w:r w:rsidR="00EC0585" w:rsidRPr="00F54F89">
        <w:t xml:space="preserve">agents </w:t>
      </w:r>
      <w:r w:rsidRPr="00F54F89">
        <w:t xml:space="preserve">to avoid oxidative damage caused by free radicals </w:t>
      </w:r>
      <w:r w:rsidRPr="00F54F89">
        <w:fldChar w:fldCharType="begin" w:fldLock="1"/>
      </w:r>
      <w:r w:rsidR="007D0946" w:rsidRPr="00F54F89">
        <w:instrText>ADDIN CSL_CITATION {"citationItems":[{"id":"ITEM-1","itemData":{"ISSN":"1618095X","abstract":"Background: The popularity of herbal medicines is rapidly increasing in many countries including the Western world where many individuals turn to natural products, because they promise a safe and natural remedy for a broad variety of health disorders or the prevention of disease development. Although therapy with a number of herbal products has demonstrated a promising potential and efficacy, insufficient information exists concerning their pharmacodynamics, pharmacokinetics and mode of action. Hypothesis/Purpose: Aim of this study was to examine the role of human detoxifying UDP-glucuronosyltransferases (UGTs) in the mechanism underlying the protective antioxidant effects reported for propolis, artichoke and silymarin. Methods: UGT1A induction was analyzed by reporter gene assays, siRNA mediated knockdown and enzyme activity assays. Antioxidant activity was measured using a hydrogen peroxide colorimetric assay. Results: We identified propolis, artichoke and silymarin as potent activators of UGT1A transcription and enzyme activity in KYSE70 cells mediated by aryl hydrocarbon receptor AhR and nuclear factor E2-related factor 2 (Nrf2) signaling. Propolis, artichoke and silymarin significantly decreased tertiary butylhydroquinone (tBHQ)-induced hydrogen peroxide levels. This protective effect was significantly reduced by siRNA mediated knockdown of UGT1A expression. Conclusion: In conclusion, this study provides a possible molecular mechanism for protective antioxidant effects associated with the herbal drugs propolis, artichoke and silymarin. The herbal drug-mediated transcriptional upregulation of human detoxifying UGT1A enzymes via activation of AhR and Nrf2 leads to reduced hydrogen peroxide and oxidative stress. Because of UGT1A activation, the intake of these drugs could affect the therapeutic efficacy of other drugs when these also undergo metabolism by glucuronidation.","author":[{"dropping-particle":"","family":"Kalthoff","given":"Sandra","non-dropping-particle":"","parse-names":false,"suffix":""},{"dropping-particle":"","family":"Strassburg","given":"Christian P.","non-dropping-particle":"","parse-names":false,"suffix":""}],"container-title":"Phytomedicine","id":"ITEM-1","issued":{"date-parts":[["2019"]]},"page":"35-39","title":"Contribution of human UDP-glucuronosyltransferases to the antioxidant effects of propolis, artichoke and silymarin","type":"article-journal","volume":"56"},"uris":["http://www.mendeley.com/documents/?uuid=84929665-9df3-4f56-94ec-90b9198214b8"]},{"id":"ITEM-2","itemData":{"ISSN":"0102695X","abstract":"The present study reports a promising antioxidant protection by a recently developed micellar propolis formulation, against oxidative stress in in vitro and in vivo models of toxicity. The formulation, based on poplar propolis encapsulated in poly(ethylene oxide)–β-poly(propylene oxide)–β-poly(ethylene oxide) triblock copolymer (PEO26–PPO40–PEO26) micelles is characterized by small size (Dh = 20 nm), enhances aqueous solubility and good colloidal stability. In vitro, propolis-loaded PEO26–PPO40–PEO26 micelles (20–100 μg/ml) significantly increased the cell viability of human hepatoma HepG2 cells, subjected to H2O2-induced cell injury (0.1 mM, 1 h). Antioxidant activity and protection of the micellar propolis were evaluated in a model of carbon tetrachloride-induced hepatotoxicity in rats (10% CCl4 solution, 1.25 ml/kg, p.o.) by measurement of non-enzyme (malondialdehyde and glutathione) and enzyme (catalase and superoxide dismutase) biomarkers of oxidative stress. Clinic observations, hematological, biochemical parameters and histological analysis were also performed. In vivo, micellar propolis (20 mg/kg b.w., p.o., 14 days) ameliorated CCl4-induced acute liver injury in rats. The oral administration of micellar propolis significantly prevented serum transaminase increases, as well as brought the levels of malondialdehyde, glutathione, and antioxidant enzymes catalase and superoxide dismutase toward the controls levels. Therefore, PEO26–PPO40–PEO26 micelles could be considered as a promising oral delivery system of propolis against oxidative stress injury in liver cells.","author":[{"dropping-particle":"","family":"Tzankova","given":"Virginia","non-dropping-particle":"","parse-names":false,"suffix":""},{"dropping-particle":"","family":"Aluani","given":"Denitsa","non-dropping-particle":"","parse-names":false,"suffix":""},{"dropping-particle":"","family":"Yordanov","given":"Yordan","non-dropping-particle":"","parse-names":false,"suffix":""},{"dropping-particle":"","family":"Kondeva-Burdina","given":"Magdalena","non-dropping-particle":"","parse-names":false,"suffix":""},{"dropping-particle":"","family":"Petrov","given":"Petar","non-dropping-particle":"","parse-names":false,"suffix":""},{"dropping-particle":"","family":"Bankova","given":"Vassya","non-dropping-particle":"","parse-names":false,"suffix":""},{"dropping-particle":"","family":"Simeonova","given":"Rumiana","non-dropping-particle":"","parse-names":false,"suffix":""},{"dropping-particle":"","family":"Vitcheva","given":"Vessela","non-dropping-particle":"","parse-names":false,"suffix":""},{"dropping-particle":"","family":"Odjakov","given":"Feodor","non-dropping-particle":"","parse-names":false,"suffix":""},{"dropping-particle":"","family":"Apostolov","given":"Alexander","non-dropping-particle":"","parse-names":false,"suffix":""},{"dropping-particle":"","family":"Tzankov","given":"Borislav","non-dropping-particle":"","parse-names":false,"suffix":""},{"dropping-particle":"","family":"Yoncheva","given":"Krassimira","non-dropping-particle":"","parse-names":false,"suffix":""}],"container-title":"Brazilian Journal of Pharmacognosy","id":"ITEM-2","issue":"3","issued":{"date-parts":[["2018"]]},"page":"364-372","publisher":"Sociedade Brasileira de Farmacognosia","title":"Micellar propolis nanoformulation of high antioxidant and hepatoprotective activity","type":"article-journal","volume":"29"},"uris":["http://www.mendeley.com/documents/?uuid=9ced1b66-788f-4041-9b83-dbabca1142a8"]}],"mendeley":{"formattedCitation":"[46,47]","plainTextFormattedCitation":"[46,47]","previouslyFormattedCitation":"[46,47]"},"properties":{"noteIndex":0},"schema":"https://github.com/citation-style-language/schema/raw/master/csl-citation.json"}</w:instrText>
      </w:r>
      <w:r w:rsidRPr="00F54F89">
        <w:fldChar w:fldCharType="separate"/>
      </w:r>
      <w:r w:rsidR="007D0946" w:rsidRPr="00F54F89">
        <w:rPr>
          <w:noProof/>
        </w:rPr>
        <w:t>[46,47]</w:t>
      </w:r>
      <w:r w:rsidRPr="00F54F89">
        <w:fldChar w:fldCharType="end"/>
      </w:r>
      <w:r w:rsidRPr="00F54F89">
        <w:t xml:space="preserve">. Accordingly, in </w:t>
      </w:r>
      <w:r w:rsidR="00EC0585" w:rsidRPr="00F54F89">
        <w:t>this</w:t>
      </w:r>
      <w:r w:rsidRPr="00F54F89">
        <w:t xml:space="preserve"> study, we initially investigated the effect of the extracting solvent on the extraction yield, TPC, TFC and antioxidant activity (expressed as IC</w:t>
      </w:r>
      <w:r w:rsidRPr="00F54F89">
        <w:rPr>
          <w:vertAlign w:val="subscript"/>
        </w:rPr>
        <w:t>50</w:t>
      </w:r>
      <w:r w:rsidRPr="00F54F89">
        <w:t>) of PE. Figure 1 presents the extraction yield, TPC, TFC and IC</w:t>
      </w:r>
      <w:r w:rsidRPr="00F54F89">
        <w:rPr>
          <w:vertAlign w:val="subscript"/>
        </w:rPr>
        <w:t>50</w:t>
      </w:r>
      <w:r w:rsidRPr="00F54F89">
        <w:t xml:space="preserve"> of DPPH inhibition by PE. The results revealed that the</w:t>
      </w:r>
      <w:r w:rsidR="007477F3" w:rsidRPr="00F54F89">
        <w:t xml:space="preserve"> higher the ethanol concentration, the higher the yield of PE.</w:t>
      </w:r>
      <w:r w:rsidRPr="00F54F89">
        <w:t xml:space="preserve"> WE showed the lowest extraction yield </w:t>
      </w:r>
      <w:r w:rsidR="00EC0585" w:rsidRPr="00F54F89">
        <w:t>at</w:t>
      </w:r>
      <w:r w:rsidRPr="00F54F89">
        <w:t xml:space="preserve"> 2.77 ± 0.04 % w/w, while E100 exhibited 49.12 ± 1.54 %</w:t>
      </w:r>
      <w:r w:rsidR="00331540" w:rsidRPr="00F54F89">
        <w:t xml:space="preserve"> w/w</w:t>
      </w:r>
      <w:r w:rsidRPr="00F54F89">
        <w:t xml:space="preserve"> extraction yield. In terms of TPC and TFC values, PE obtained from E75 showed the greatest TPC and TFC, which were 179.32 ± 9.32 mg/g PE (equal to gallic acid) and 277.21 ± 3.43 mg/g PE (equal to quercetin), respectively. In addition, these values were significantly higher (</w:t>
      </w:r>
      <w:r w:rsidRPr="00F54F89">
        <w:rPr>
          <w:i/>
        </w:rPr>
        <w:t xml:space="preserve">p </w:t>
      </w:r>
      <w:r w:rsidRPr="00F54F89">
        <w:t>&lt; 0.05) than the TPC and TFC obtained from E100, E50, E25 and WE. The results indicated that the combination of high ethanol</w:t>
      </w:r>
      <w:r w:rsidR="00EC0585" w:rsidRPr="00F54F89">
        <w:t xml:space="preserve">, </w:t>
      </w:r>
      <w:r w:rsidRPr="00F54F89">
        <w:t xml:space="preserve">low </w:t>
      </w:r>
      <w:r w:rsidR="00EC0585" w:rsidRPr="00F54F89">
        <w:t>w</w:t>
      </w:r>
      <w:r w:rsidRPr="00F54F89">
        <w:t xml:space="preserve">ater could extract </w:t>
      </w:r>
      <w:r w:rsidR="00EC0585" w:rsidRPr="00F54F89">
        <w:t xml:space="preserve">a </w:t>
      </w:r>
      <w:r w:rsidRPr="00F54F89">
        <w:t xml:space="preserve">rich variety of phenolic and flavonoid compounds. Propolis contains </w:t>
      </w:r>
      <w:r w:rsidR="00EC0585" w:rsidRPr="00F54F89">
        <w:t xml:space="preserve">a </w:t>
      </w:r>
      <w:r w:rsidRPr="00F54F89">
        <w:t>variety of phenolic and flavonoid compounds</w:t>
      </w:r>
      <w:r w:rsidR="00EC0585" w:rsidRPr="00F54F89">
        <w:t xml:space="preserve"> of varying polarity</w:t>
      </w:r>
      <w:r w:rsidRPr="00F54F89">
        <w:t xml:space="preserve"> </w:t>
      </w:r>
      <w:r w:rsidRPr="00F54F89">
        <w:fldChar w:fldCharType="begin" w:fldLock="1"/>
      </w:r>
      <w:r w:rsidR="007D0946" w:rsidRPr="00F54F89">
        <w:instrText>ADDIN CSL_CITATION {"citationItems":[{"id":"ITEM-1","itemData":{"ISSN":"18732682","abstract":"As a continuous effort to find new natural products with potential herbicide activity, flavonoids acacetin (1), chrysin (2) and 4′,7-dimethylnarangenin (3) were isolated from a propolis sample collected in the rural area of Mexico City and their effects on the photosynthesis light reactions and on the growth of Lolium perenne, Echinochloa crus-galli and Physalis ixocarpa seedlings were investigated. Acacetin (1) acted as an uncoupler by enhancing the electron transport under basal and phosphorylating conditions and the Mg2+-ATPase. Chrysin (2) at low concentrations behaved as an uncoupler and at concentrations up to 100 μM its behavior was as a Hill reaction inhibitor. Finally, 4′,7-dimethylnarangenin (3) in a concentration-dependent manner behaved as a Hill reaction inhibitor. Flavonoids 2 and 3 inhibited the uncoupled photosystem II reaction measured from water to 2,5-dichloro-1,4-benzoquinone (DCBQ), and they did not inhibit the uncoupled partial reactions measured from water to sodium silicomolybdate (SiMo) and from diphenylcarbazide (DPC) to diclorophenol indophenol (DCPIP). These results indicated that chrysin and 4′,7-dimethylnarangenin inhibited the acceptor side of PS II. The results were corroborated with fluorescence of chlorophyll a measurements. Flavonoids also showed activity on the growth of seedlings of Lolium perenne and Echinochloa crus-galli.","author":[{"dropping-particle":"","family":"King-Díaz","given":"Beatriz","non-dropping-particle":"","parse-names":false,"suffix":""},{"dropping-particle":"","family":"Granados-Pineda","given":"Jessica","non-dropping-particle":"","parse-names":false,"suffix":""},{"dropping-particle":"","family":"Bah","given":"Mustapha","non-dropping-particle":"","parse-names":false,"suffix":""},{"dropping-particle":"","family":"Rivero-Cruz","given":"J. Fausto","non-dropping-particle":"","parse-names":false,"suffix":""},{"dropping-particle":"","family":"Lotina-Hennsen","given":"Blas","non-dropping-particle":"","parse-names":false,"suffix":""}],"container-title":"Journal of Photochemistry and Photobiology B: Biology","id":"ITEM-1","issued":{"date-parts":[["2015"]]},"page":"213-220","publisher":"Elsevier B.V.","title":"Mexican propolis flavonoids affect photosynthesis and seedling growth","type":"article-journal","volume":"151"},"uris":["http://www.mendeley.com/documents/?uuid=07ce8af7-edbc-4c45-8621-c33e4d3360b3"]},{"id":"ITEM-2","itemData":{"ISSN":"17414288","abstract":"Propolis is a natural substance known to be beneficial for human health and used as a folk medicine in many parts of the world. In this study, phenolic profiles and antioxidant properties of Beijing propolis extracted by different ethanol/water solvents were analyzed. Our results reveal that phenolic compounds and antioxidant properties of propolis extracts were significantly dependent on the concentration of ethanol/water solvents. Totally, 29 phenolic compounds were identified: 12 phenolic acids, 13 flavonoids, and 4 phenolic acid esters. In particular, 75 wt.% ethanol/water solvent may be the best for the highest extraction yield and the strongest antioxidant properties. Caffeic acid, benzyl caffeate, phenethyl caffeate, 5-methoxy pinobanksin, pinobanksin, pinocembrin, pinobanksin-3-O-acetate, chrysin, and galangin were the characteristic compounds of Beijing propolis, and these compounds seem to verify that Beijing propolis may be poplar-type propolis. In addition, the presence of high level of pinobanksin-3-O-acetate in Chinese propolis may be a novel finding, representing one-third of all phenolics.","author":[{"dropping-particle":"","family":"Sun","given":"Chunli","non-dropping-particle":"","parse-names":false,"suffix":""},{"dropping-particle":"","family":"Wu","given":"Zhengshuang","non-dropping-particle":"","parse-names":false,"suffix":""},{"dropping-particle":"","family":"Wang","given":"Ziyan","non-dropping-particle":"","parse-names":false,"suffix":""},{"dropping-particle":"","family":"Zhang","given":"Hongcheng","non-dropping-particle":"","parse-names":false,"suffix":""}],"container-title":"Evidence-based Complementary and Alternative Medicine","id":"ITEM-2","issued":{"date-parts":[["2015"]]},"page":"1-9","title":"Effect of ethanol/water solvents on phenolic profiles and antioxidant properties of Beijing propolis extracts","type":"article-journal","volume":"2015"},"uris":["http://www.mendeley.com/documents/?uuid=0f380c85-74cb-424c-b8f4-5a9d8d5c1ac6"]}],"mendeley":{"formattedCitation":"[48,49]","plainTextFormattedCitation":"[48,49]","previouslyFormattedCitation":"[48,49]"},"properties":{"noteIndex":0},"schema":"https://github.com/citation-style-language/schema/raw/master/csl-citation.json"}</w:instrText>
      </w:r>
      <w:r w:rsidRPr="00F54F89">
        <w:fldChar w:fldCharType="separate"/>
      </w:r>
      <w:r w:rsidR="007D0946" w:rsidRPr="00F54F89">
        <w:rPr>
          <w:noProof/>
        </w:rPr>
        <w:t>[48,49]</w:t>
      </w:r>
      <w:r w:rsidRPr="00F54F89">
        <w:fldChar w:fldCharType="end"/>
      </w:r>
      <w:r w:rsidRPr="00F54F89">
        <w:t xml:space="preserve">. Therefore, the mixture of ethanol and water was able to extract numerous types of bioactive compounds.  </w:t>
      </w:r>
    </w:p>
    <w:p w14:paraId="66313FB3" w14:textId="77777777" w:rsidR="000C6856" w:rsidRPr="00F54F89" w:rsidRDefault="000C6856" w:rsidP="000C6856">
      <w:pPr>
        <w:rPr>
          <w:b/>
        </w:rPr>
      </w:pPr>
      <w:r w:rsidRPr="00F54F89">
        <w:rPr>
          <w:b/>
          <w:noProof/>
          <w:lang w:eastAsia="en-GB"/>
        </w:rPr>
        <w:lastRenderedPageBreak/>
        <w:drawing>
          <wp:inline distT="0" distB="0" distL="0" distR="0" wp14:anchorId="19BBBBD2" wp14:editId="52212BEC">
            <wp:extent cx="5731510" cy="42614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61485"/>
                    </a:xfrm>
                    <a:prstGeom prst="rect">
                      <a:avLst/>
                    </a:prstGeom>
                  </pic:spPr>
                </pic:pic>
              </a:graphicData>
            </a:graphic>
          </wp:inline>
        </w:drawing>
      </w:r>
    </w:p>
    <w:p w14:paraId="0A65ABD1" w14:textId="77777777" w:rsidR="000C6856" w:rsidRPr="00F54F89" w:rsidRDefault="000C6856" w:rsidP="000C6856">
      <w:pPr>
        <w:jc w:val="both"/>
        <w:rPr>
          <w:sz w:val="20"/>
        </w:rPr>
      </w:pPr>
      <w:r w:rsidRPr="00F54F89">
        <w:rPr>
          <w:b/>
          <w:sz w:val="20"/>
        </w:rPr>
        <w:t xml:space="preserve">Figure 1. </w:t>
      </w:r>
      <w:r w:rsidRPr="00F54F89">
        <w:rPr>
          <w:sz w:val="20"/>
        </w:rPr>
        <w:t>The extraction yield (</w:t>
      </w:r>
      <w:r w:rsidRPr="00F54F89">
        <w:rPr>
          <w:b/>
          <w:sz w:val="20"/>
        </w:rPr>
        <w:t>A</w:t>
      </w:r>
      <w:r w:rsidRPr="00F54F89">
        <w:rPr>
          <w:sz w:val="20"/>
        </w:rPr>
        <w:t>), total phenolic content (</w:t>
      </w:r>
      <w:r w:rsidRPr="00F54F89">
        <w:rPr>
          <w:b/>
          <w:sz w:val="20"/>
        </w:rPr>
        <w:t>B</w:t>
      </w:r>
      <w:r w:rsidRPr="00F54F89">
        <w:rPr>
          <w:sz w:val="20"/>
        </w:rPr>
        <w:t>), total flavonoid content (</w:t>
      </w:r>
      <w:r w:rsidRPr="00F54F89">
        <w:rPr>
          <w:b/>
          <w:sz w:val="20"/>
        </w:rPr>
        <w:t>C</w:t>
      </w:r>
      <w:r w:rsidRPr="00F54F89">
        <w:rPr>
          <w:sz w:val="20"/>
        </w:rPr>
        <w:t>), the relationship between log concentration and inhibitory percentage against DPPH (</w:t>
      </w:r>
      <w:r w:rsidRPr="00F54F89">
        <w:rPr>
          <w:b/>
          <w:sz w:val="20"/>
        </w:rPr>
        <w:t>D</w:t>
      </w:r>
      <w:r w:rsidRPr="00F54F89">
        <w:rPr>
          <w:sz w:val="20"/>
        </w:rPr>
        <w:t xml:space="preserve"> and </w:t>
      </w:r>
      <w:r w:rsidRPr="00F54F89">
        <w:rPr>
          <w:b/>
          <w:sz w:val="20"/>
        </w:rPr>
        <w:t>E</w:t>
      </w:r>
      <w:r w:rsidRPr="00F54F89">
        <w:rPr>
          <w:sz w:val="20"/>
        </w:rPr>
        <w:t>) and antioxidant activity (IC</w:t>
      </w:r>
      <w:r w:rsidRPr="00F54F89">
        <w:rPr>
          <w:sz w:val="20"/>
          <w:vertAlign w:val="subscript"/>
        </w:rPr>
        <w:t>50</w:t>
      </w:r>
      <w:r w:rsidRPr="00F54F89">
        <w:rPr>
          <w:sz w:val="20"/>
        </w:rPr>
        <w:t>) (</w:t>
      </w:r>
      <w:r w:rsidRPr="00F54F89">
        <w:rPr>
          <w:b/>
          <w:sz w:val="20"/>
        </w:rPr>
        <w:t>F</w:t>
      </w:r>
      <w:r w:rsidRPr="00F54F89">
        <w:rPr>
          <w:sz w:val="20"/>
        </w:rPr>
        <w:t>) of PE extracted from different solvents, the relationship between log concentration and inhibitory percentage against DPPH (</w:t>
      </w:r>
      <w:r w:rsidRPr="00F54F89">
        <w:rPr>
          <w:b/>
          <w:sz w:val="20"/>
        </w:rPr>
        <w:t>D</w:t>
      </w:r>
      <w:r w:rsidRPr="00F54F89">
        <w:rPr>
          <w:sz w:val="20"/>
        </w:rPr>
        <w:t xml:space="preserve"> and </w:t>
      </w:r>
      <w:r w:rsidRPr="00F54F89">
        <w:rPr>
          <w:b/>
          <w:sz w:val="20"/>
        </w:rPr>
        <w:t>E</w:t>
      </w:r>
      <w:r w:rsidRPr="00F54F89">
        <w:rPr>
          <w:sz w:val="20"/>
        </w:rPr>
        <w:t>) and antioxidant activity (IC</w:t>
      </w:r>
      <w:r w:rsidRPr="00F54F89">
        <w:rPr>
          <w:sz w:val="20"/>
          <w:vertAlign w:val="subscript"/>
        </w:rPr>
        <w:t>50</w:t>
      </w:r>
      <w:r w:rsidRPr="00F54F89">
        <w:rPr>
          <w:sz w:val="20"/>
        </w:rPr>
        <w:t>) (</w:t>
      </w:r>
      <w:r w:rsidRPr="00F54F89">
        <w:rPr>
          <w:b/>
          <w:sz w:val="20"/>
        </w:rPr>
        <w:t>F</w:t>
      </w:r>
      <w:r w:rsidRPr="00F54F89">
        <w:rPr>
          <w:sz w:val="20"/>
        </w:rPr>
        <w:t>) of PE extracted from different solvents (means ± SD, n = 3).</w:t>
      </w:r>
    </w:p>
    <w:p w14:paraId="54666DC9" w14:textId="77777777" w:rsidR="00DA3C48" w:rsidRPr="00F54F89" w:rsidRDefault="00DA3C48" w:rsidP="000C6856">
      <w:pPr>
        <w:spacing w:line="360" w:lineRule="auto"/>
        <w:jc w:val="both"/>
      </w:pPr>
    </w:p>
    <w:p w14:paraId="797D3914" w14:textId="2CBC71CC" w:rsidR="000C6856" w:rsidRPr="00F54F89" w:rsidRDefault="004B2E12" w:rsidP="000C6856">
      <w:pPr>
        <w:spacing w:line="360" w:lineRule="auto"/>
        <w:jc w:val="both"/>
        <w:rPr>
          <w:i/>
        </w:rPr>
      </w:pPr>
      <w:r w:rsidRPr="00F54F89">
        <w:rPr>
          <w:i/>
        </w:rPr>
        <w:t xml:space="preserve">3.2. </w:t>
      </w:r>
      <w:r w:rsidR="000C6856" w:rsidRPr="00F54F89">
        <w:rPr>
          <w:i/>
        </w:rPr>
        <w:t xml:space="preserve">Antioxidant activity assay using DPPH scavenging capacity </w:t>
      </w:r>
    </w:p>
    <w:p w14:paraId="5403B165" w14:textId="7EBFE08F" w:rsidR="000C6856" w:rsidRPr="00F54F89" w:rsidRDefault="000C6856" w:rsidP="000C6856">
      <w:pPr>
        <w:spacing w:line="360" w:lineRule="auto"/>
        <w:jc w:val="both"/>
      </w:pPr>
      <w:r w:rsidRPr="00F54F89">
        <w:t>Antioxidant activities of PE obtained from different solvents were also evaluated. The role of antioxidant is imperative in preventing numerous medical conditions cause</w:t>
      </w:r>
      <w:r w:rsidR="00EC0585" w:rsidRPr="00F54F89">
        <w:t>d</w:t>
      </w:r>
      <w:r w:rsidRPr="00F54F89">
        <w:t xml:space="preserve"> by oxidative stress </w:t>
      </w:r>
      <w:r w:rsidRPr="00F54F89">
        <w:fldChar w:fldCharType="begin" w:fldLock="1"/>
      </w:r>
      <w:r w:rsidR="00BF6FF3" w:rsidRPr="00F54F89">
        <w:instrText>ADDIN CSL_CITATION {"citationItems":[{"id":"ITEM-1","itemData":{"ISSN":"09737847","abstract":"In recent years, there has been a great deal of attention toward the field of free radical chemistry. Free radicals reactive oxygen species and reactive nitrogen species are generated by our body by various endogenous systems, exposure to different physiochemical conditions or pathological states. A balance between free radicals and antioxidants is necessary for proper physiological function. If free radicals overwhelm the body's ability to regulate them, a condition known as oxidative stress ensues. Free radicals thus adversely alter lipids, proteins, and DNA and trigger a number of human diseases. Hence application of external source of antioxidants can assist in coping this oxidative stress. Synthetic antioxidants such as butylated hydroxytoluene and butylated hydroxyanisole have recently been reported to be dangerous for human health. Thus, the search for effective, nontoxic natural compounds with antioxidative activity has been intensified in recent years. The present review provides a brief overview on oxidative stress mediated cellular damages and role of dietary antioxidants as functional foods in the management of human diseases.","author":[{"dropping-particle":"","family":"Lobo","given":"V.","non-dropping-particle":"","parse-names":false,"suffix":""},{"dropping-particle":"","family":"Patil","given":"A.","non-dropping-particle":"","parse-names":false,"suffix":""},{"dropping-particle":"","family":"Phatak","given":"A.","non-dropping-particle":"","parse-names":false,"suffix":""},{"dropping-particle":"","family":"Chandra","given":"N.","non-dropping-particle":"","parse-names":false,"suffix":""}],"container-title":"Pharmacognosy Reviews","id":"ITEM-1","issued":{"date-parts":[["2010"]]},"page":"118-126","title":"Free radicals, antioxidants and functional foods: Impact on human health","type":"article-journal","volume":"4"},"uris":["http://www.mendeley.com/documents/?uuid=3d64276a-690a-4647-bc60-63fca987ff29"]}],"mendeley":{"formattedCitation":"[1]","plainTextFormattedCitation":"[1]","previouslyFormattedCitation":"[1]"},"properties":{"noteIndex":0},"schema":"https://github.com/citation-style-language/schema/raw/master/csl-citation.json"}</w:instrText>
      </w:r>
      <w:r w:rsidRPr="00F54F89">
        <w:fldChar w:fldCharType="separate"/>
      </w:r>
      <w:r w:rsidR="00EA5ACF" w:rsidRPr="00F54F89">
        <w:rPr>
          <w:noProof/>
        </w:rPr>
        <w:t>[1]</w:t>
      </w:r>
      <w:r w:rsidRPr="00F54F89">
        <w:fldChar w:fldCharType="end"/>
      </w:r>
      <w:r w:rsidRPr="00F54F89">
        <w:t xml:space="preserve">.  In </w:t>
      </w:r>
      <w:r w:rsidR="00EC0585" w:rsidRPr="00F54F89">
        <w:t xml:space="preserve">this </w:t>
      </w:r>
      <w:r w:rsidRPr="00F54F89">
        <w:t>study, consistent with the TPC and TFC values of PE, E75 possessed the strongest antioxidant property against DPPD free radical compared to PE obtained from other solvents, indicated by the lowest IC</w:t>
      </w:r>
      <w:r w:rsidRPr="00F54F89">
        <w:rPr>
          <w:vertAlign w:val="subscript"/>
        </w:rPr>
        <w:t>50</w:t>
      </w:r>
      <w:r w:rsidRPr="00F54F89">
        <w:t xml:space="preserve"> value. This can be explained by the fact that two major phytochemical classes that can act as antioxidants are phenolic and flavonoid compounds </w:t>
      </w:r>
      <w:r w:rsidRPr="00F54F89">
        <w:fldChar w:fldCharType="begin" w:fldLock="1"/>
      </w:r>
      <w:r w:rsidR="007D0946" w:rsidRPr="00F54F89">
        <w:instrText>ADDIN CSL_CITATION {"citationItems":[{"id":"ITEM-1","itemData":{"ISSN":"18737145","abstract":"Propolis is a resinous bee hive product that has many biological activities. In this study, a total of 11 raw propolis samples were collected from various geographical areas in Turkey. Phenolic compounds were extracted from all samples and analyses of total phenolics and flavonoids and total antioxidant capacities were performed. All the samples showed high total phenolic and flavonoid contents and antioxidant capacities. Moreover, the in vitro bioaccessibility of Turkish propolis samples were investigated according to simulated in vitro gastrointestinal digestion method. Bioaccessibility was increased through the gastric and intestinal phases. Furthermore, the composition of polyphenols (phenolic acids and flavonoids) in Turkish propolis extracts was investigated by LC-MS/MS method. A total of 32 phenolic compounds, including Caffeic acid phenylethyl ester (CAPE) which was observed in all samples, were identified in the samples. Higher CAPE contents were determined in the samples from the Marmara region which is in line with its higher antioxidant capacity values. As a conclusion, propolis samples collected from different geographical locations differ for their phenolic and flavonoid contents, individual phenolic profile and bioaccessibility.","author":[{"dropping-particle":"","family":"Ozdal","given":"Tugba","non-dropping-particle":"","parse-names":false,"suffix":""},{"dropping-particle":"","family":"Ceylan","given":"Fatma Duygu","non-dropping-particle":"","parse-names":false,"suffix":""},{"dropping-particle":"","family":"Eroglu","given":"Nazife","non-dropping-particle":"","parse-names":false,"suffix":""},{"dropping-particle":"","family":"Kaplan","given":"Muammer","non-dropping-particle":"","parse-names":false,"suffix":""},{"dropping-particle":"","family":"Olgun","given":"Elmas Oktem","non-dropping-particle":"","parse-names":false,"suffix":""},{"dropping-particle":"","family":"Capanoglu","given":"Esra","non-dropping-particle":"","parse-names":false,"suffix":""}],"container-title":"Food Research International","id":"ITEM-1","issued":{"date-parts":[["2019"]]},"page":"528-536","publisher":"Elsevier","title":"Investigation of antioxidant capacity, bioaccessibility and LC-MS/MS phenolic profile of Turkish propolis","type":"article-journal","volume":"122"},"uris":["http://www.mendeley.com/documents/?uuid=c14eaadb-e915-43b9-8f62-37b7f3d27c8e"]}],"mendeley":{"formattedCitation":"[15]","plainTextFormattedCitation":"[15]","previouslyFormattedCitation":"[15]"},"properties":{"noteIndex":0},"schema":"https://github.com/citation-style-language/schema/raw/master/csl-citation.json"}</w:instrText>
      </w:r>
      <w:r w:rsidRPr="00F54F89">
        <w:fldChar w:fldCharType="separate"/>
      </w:r>
      <w:r w:rsidR="007D0946" w:rsidRPr="00F54F89">
        <w:rPr>
          <w:noProof/>
        </w:rPr>
        <w:t>[15]</w:t>
      </w:r>
      <w:r w:rsidRPr="00F54F89">
        <w:fldChar w:fldCharType="end"/>
      </w:r>
      <w:r w:rsidRPr="00F54F89">
        <w:t>. As shown in Figure 1, the IC</w:t>
      </w:r>
      <w:r w:rsidRPr="00F54F89">
        <w:rPr>
          <w:vertAlign w:val="subscript"/>
        </w:rPr>
        <w:t>50</w:t>
      </w:r>
      <w:r w:rsidRPr="00F54F89">
        <w:t xml:space="preserve"> of PE against DPPH were 74.48 ± 4.32 ug/mL, 43.29 ± 3.02 µg/mL, 72.34 ± 5.09 µg/mL, 863.44 ± 65.4 µg/mL and 1454 ± 100.4 µg/mL for E100, E75, E50, E25 and WE, respectively. </w:t>
      </w:r>
    </w:p>
    <w:p w14:paraId="40D75F38" w14:textId="77777777" w:rsidR="00236BD1" w:rsidRPr="00F54F89" w:rsidRDefault="00236BD1" w:rsidP="000C6856">
      <w:pPr>
        <w:spacing w:line="360" w:lineRule="auto"/>
        <w:jc w:val="both"/>
        <w:rPr>
          <w:i/>
        </w:rPr>
      </w:pPr>
    </w:p>
    <w:p w14:paraId="09153A9D" w14:textId="3CC83134" w:rsidR="00236BD1" w:rsidRPr="00F54F89" w:rsidRDefault="00236BD1" w:rsidP="000C6856">
      <w:pPr>
        <w:spacing w:line="360" w:lineRule="auto"/>
        <w:jc w:val="both"/>
        <w:rPr>
          <w:i/>
        </w:rPr>
      </w:pPr>
    </w:p>
    <w:p w14:paraId="67146A4F" w14:textId="0095E622" w:rsidR="000B499B" w:rsidRPr="00F54F89" w:rsidRDefault="000B499B" w:rsidP="000C6856">
      <w:pPr>
        <w:spacing w:line="360" w:lineRule="auto"/>
        <w:jc w:val="both"/>
        <w:rPr>
          <w:i/>
        </w:rPr>
      </w:pPr>
    </w:p>
    <w:p w14:paraId="11AA45C0" w14:textId="77777777" w:rsidR="000B499B" w:rsidRPr="00F54F89" w:rsidRDefault="000B499B" w:rsidP="000C6856">
      <w:pPr>
        <w:spacing w:line="360" w:lineRule="auto"/>
        <w:jc w:val="both"/>
        <w:rPr>
          <w:i/>
        </w:rPr>
      </w:pPr>
    </w:p>
    <w:p w14:paraId="13797D6A" w14:textId="23E45172" w:rsidR="000C6856" w:rsidRPr="00F54F89" w:rsidRDefault="004B2E12" w:rsidP="000C6856">
      <w:pPr>
        <w:spacing w:line="360" w:lineRule="auto"/>
        <w:jc w:val="both"/>
        <w:rPr>
          <w:i/>
        </w:rPr>
      </w:pPr>
      <w:r w:rsidRPr="00F54F89">
        <w:rPr>
          <w:i/>
        </w:rPr>
        <w:lastRenderedPageBreak/>
        <w:t xml:space="preserve">3.3. </w:t>
      </w:r>
      <w:r w:rsidR="000C6856" w:rsidRPr="00F54F89">
        <w:rPr>
          <w:i/>
        </w:rPr>
        <w:t>Antioxidant activity using lipid peroxidation method</w:t>
      </w:r>
    </w:p>
    <w:p w14:paraId="36CD0EF2" w14:textId="0BDC9BEB" w:rsidR="000C6856" w:rsidRPr="00F54F89" w:rsidRDefault="000C6856" w:rsidP="000C6856">
      <w:pPr>
        <w:spacing w:line="360" w:lineRule="auto"/>
        <w:jc w:val="both"/>
        <w:rPr>
          <w:b/>
        </w:rPr>
      </w:pPr>
      <w:r w:rsidRPr="00F54F89">
        <w:t>The IC</w:t>
      </w:r>
      <w:r w:rsidRPr="00F54F89">
        <w:rPr>
          <w:vertAlign w:val="subscript"/>
        </w:rPr>
        <w:t>50</w:t>
      </w:r>
      <w:r w:rsidRPr="00F54F89">
        <w:t xml:space="preserve"> of PE against lipid peroxidation were 132.34 ± 10.12 µg/mL, 65.32 ± 3.43 µg/mL, 130.08 ± 12.33 µg/mL, 1503 ± 103.4 µg/mL and 2903.4 ± 200.4 µg/mL for E100, E75, E50, E25 and WE, respectively. The lipid peroxidation assay is important to determine the protective capability of antioxidant compounds in preventing cellular membrane damage caused by peroxyl radicals. The ability of antioxidants to prevent lipid peroxidation is based on the fact that lipid</w:t>
      </w:r>
      <w:r w:rsidR="00EC0585" w:rsidRPr="00F54F89">
        <w:t>s</w:t>
      </w:r>
      <w:r w:rsidRPr="00F54F89">
        <w:t xml:space="preserve"> </w:t>
      </w:r>
      <w:r w:rsidR="00EC0585" w:rsidRPr="00F54F89">
        <w:t>are</w:t>
      </w:r>
      <w:r w:rsidRPr="00F54F89">
        <w:t xml:space="preserve"> the major biomolecule</w:t>
      </w:r>
      <w:r w:rsidR="00EC0585" w:rsidRPr="00F54F89">
        <w:t>s</w:t>
      </w:r>
      <w:r w:rsidRPr="00F54F89">
        <w:t xml:space="preserve"> that compose cellular membrane.   </w:t>
      </w:r>
    </w:p>
    <w:p w14:paraId="6387BDFB" w14:textId="77777777" w:rsidR="000B499B" w:rsidRPr="00F54F89" w:rsidRDefault="000B499B" w:rsidP="000C6856">
      <w:pPr>
        <w:spacing w:line="360" w:lineRule="auto"/>
        <w:jc w:val="both"/>
        <w:rPr>
          <w:i/>
        </w:rPr>
      </w:pPr>
    </w:p>
    <w:p w14:paraId="73C31FAB" w14:textId="299F68E4" w:rsidR="000C6856" w:rsidRPr="00F54F89" w:rsidRDefault="004B2E12" w:rsidP="000C6856">
      <w:pPr>
        <w:spacing w:line="360" w:lineRule="auto"/>
        <w:jc w:val="both"/>
        <w:rPr>
          <w:i/>
        </w:rPr>
      </w:pPr>
      <w:r w:rsidRPr="00F54F89">
        <w:rPr>
          <w:i/>
        </w:rPr>
        <w:t xml:space="preserve">3.4. </w:t>
      </w:r>
      <w:r w:rsidR="000C6856" w:rsidRPr="00F54F89">
        <w:rPr>
          <w:i/>
        </w:rPr>
        <w:t xml:space="preserve">HPLC </w:t>
      </w:r>
      <w:r w:rsidRPr="00F54F89">
        <w:rPr>
          <w:i/>
        </w:rPr>
        <w:t>assay</w:t>
      </w:r>
      <w:r w:rsidR="000C6856" w:rsidRPr="00F54F89">
        <w:rPr>
          <w:i/>
        </w:rPr>
        <w:t xml:space="preserve"> of bioactive compound in PE</w:t>
      </w:r>
    </w:p>
    <w:p w14:paraId="1FA2E772" w14:textId="6EDB86CF" w:rsidR="000C6856" w:rsidRPr="00F54F89" w:rsidRDefault="000C6856" w:rsidP="000C6856">
      <w:pPr>
        <w:spacing w:line="360" w:lineRule="auto"/>
        <w:jc w:val="both"/>
      </w:pPr>
      <w:r w:rsidRPr="00F54F89">
        <w:t>This study was designed to understand the efficacy of phytosomes as nanoparticulate delivery system</w:t>
      </w:r>
      <w:r w:rsidR="00105C8C" w:rsidRPr="00F54F89">
        <w:t>s</w:t>
      </w:r>
      <w:r w:rsidRPr="00F54F89">
        <w:t xml:space="preserve"> containing PE through oral and dermal routes. Therefore, several compounds in PE obtained from different extraction solvents were also </w:t>
      </w:r>
      <w:r w:rsidR="0078151A" w:rsidRPr="00F54F89">
        <w:t>analysed</w:t>
      </w:r>
      <w:r w:rsidRPr="00F54F89">
        <w:t xml:space="preserve">. In this study, CA, QU and KP were selected as </w:t>
      </w:r>
      <w:r w:rsidR="00137FB9" w:rsidRPr="00F54F89">
        <w:t xml:space="preserve">the </w:t>
      </w:r>
      <w:r w:rsidRPr="00F54F89">
        <w:t>compounds</w:t>
      </w:r>
      <w:r w:rsidR="00137FB9" w:rsidRPr="00F54F89">
        <w:t xml:space="preserve"> of most interest</w:t>
      </w:r>
      <w:r w:rsidRPr="00F54F89">
        <w:t>. Figure 2 represents the HPLC chromatogram of CA, QU and KP in PE obtained from E75 and the concentration of these compounds in PE obtained from different solvents. The amount</w:t>
      </w:r>
      <w:r w:rsidR="00DF6C95" w:rsidRPr="00F54F89">
        <w:t>s</w:t>
      </w:r>
      <w:r w:rsidRPr="00F54F89">
        <w:t xml:space="preserve"> of CA found in PE were 4.13 ± 0.02 mg/g, 4.15 ± 0.01 mg/g, 4.12 ± 0.03 mg/g, 2.87 ± 0.01 mg/g and 1.92 ± 0.01 mg/g for E100, E75, E50, E25 and WE, respectively. With respect to QU content, the amounts were found to be 0.73 ± 0.02 mg/g for E100, 0.72 ± 0.01 mg/g for E75 and 0.73 ± 0.03 mg/g for E50. However, due to</w:t>
      </w:r>
      <w:r w:rsidR="00105C8C" w:rsidRPr="00F54F89">
        <w:t xml:space="preserve"> the</w:t>
      </w:r>
      <w:r w:rsidRPr="00F54F89">
        <w:t xml:space="preserve"> non-polar </w:t>
      </w:r>
      <w:r w:rsidR="00105C8C" w:rsidRPr="00F54F89">
        <w:t xml:space="preserve">nature </w:t>
      </w:r>
      <w:r w:rsidRPr="00F54F89">
        <w:t>of QU, this compound was not found in E25 and WE. The concentration of KP found in PE were 2.66 ± 0.02 mg/g for E100, 2.62 ± 0.01 mg/g for E75, 2.63 ± 0.01 mg/g for E50, 0.48 ± 0.01 mg/g for E25 and 0.11 ± 0.01 mg/g for WE. The results revealed that the highest concentration of the three main compounds in PE were achieved using E75 as the extraction solvent. Bearing this in mind, combined with the results obtained in the TPC, TFC and antioxidant activity, PE extracted using E75 was finally selected for the further studies.</w:t>
      </w:r>
    </w:p>
    <w:p w14:paraId="4795D1DC" w14:textId="1CDA6142" w:rsidR="000C6856" w:rsidRPr="00F54F89" w:rsidRDefault="00237D85" w:rsidP="000C6856">
      <w:pPr>
        <w:spacing w:line="360" w:lineRule="auto"/>
        <w:jc w:val="center"/>
      </w:pPr>
      <w:r w:rsidRPr="00F54F89">
        <w:rPr>
          <w:noProof/>
          <w:lang w:eastAsia="en-GB"/>
        </w:rPr>
        <w:lastRenderedPageBreak/>
        <w:drawing>
          <wp:inline distT="0" distB="0" distL="0" distR="0" wp14:anchorId="00D1DAAD" wp14:editId="71B8FAE1">
            <wp:extent cx="5090724" cy="536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BAR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6228" cy="5368373"/>
                    </a:xfrm>
                    <a:prstGeom prst="rect">
                      <a:avLst/>
                    </a:prstGeom>
                  </pic:spPr>
                </pic:pic>
              </a:graphicData>
            </a:graphic>
          </wp:inline>
        </w:drawing>
      </w:r>
    </w:p>
    <w:p w14:paraId="59A0CFC5" w14:textId="4A7294A4" w:rsidR="000C6856" w:rsidRPr="00F54F89" w:rsidRDefault="000C6856" w:rsidP="000C6856">
      <w:pPr>
        <w:jc w:val="both"/>
        <w:rPr>
          <w:sz w:val="20"/>
          <w:szCs w:val="20"/>
        </w:rPr>
      </w:pPr>
      <w:r w:rsidRPr="00F54F89">
        <w:rPr>
          <w:b/>
          <w:sz w:val="20"/>
          <w:szCs w:val="20"/>
        </w:rPr>
        <w:t xml:space="preserve">Figure 2. </w:t>
      </w:r>
      <w:r w:rsidRPr="00F54F89">
        <w:rPr>
          <w:sz w:val="20"/>
          <w:szCs w:val="20"/>
        </w:rPr>
        <w:t xml:space="preserve">HPLC chromatograms of </w:t>
      </w:r>
      <w:r w:rsidR="00AA1B89" w:rsidRPr="00F54F89">
        <w:rPr>
          <w:sz w:val="20"/>
          <w:szCs w:val="20"/>
        </w:rPr>
        <w:t xml:space="preserve">chemical compounds in </w:t>
      </w:r>
      <w:r w:rsidR="00237D85" w:rsidRPr="00F54F89">
        <w:rPr>
          <w:sz w:val="20"/>
          <w:szCs w:val="20"/>
        </w:rPr>
        <w:t>E</w:t>
      </w:r>
      <w:r w:rsidRPr="00F54F89">
        <w:rPr>
          <w:sz w:val="20"/>
          <w:szCs w:val="20"/>
        </w:rPr>
        <w:t>75 at a wavelength of 280 nm (</w:t>
      </w:r>
      <w:r w:rsidRPr="00F54F89">
        <w:rPr>
          <w:b/>
          <w:sz w:val="20"/>
          <w:szCs w:val="20"/>
        </w:rPr>
        <w:t>A</w:t>
      </w:r>
      <w:r w:rsidRPr="00F54F89">
        <w:rPr>
          <w:sz w:val="20"/>
          <w:szCs w:val="20"/>
        </w:rPr>
        <w:t xml:space="preserve">), 1, 2 and 3 represents CA, QU, and KP, </w:t>
      </w:r>
      <w:r w:rsidR="00DF6C95" w:rsidRPr="00F54F89">
        <w:rPr>
          <w:sz w:val="20"/>
          <w:szCs w:val="20"/>
        </w:rPr>
        <w:t xml:space="preserve">respectively. The concentration </w:t>
      </w:r>
      <w:r w:rsidRPr="00F54F89">
        <w:rPr>
          <w:sz w:val="20"/>
          <w:szCs w:val="20"/>
        </w:rPr>
        <w:t>of CA, QU and KP calculated from PE extracted using different solvents (</w:t>
      </w:r>
      <w:r w:rsidRPr="00F54F89">
        <w:rPr>
          <w:b/>
          <w:sz w:val="20"/>
          <w:szCs w:val="20"/>
        </w:rPr>
        <w:t>B</w:t>
      </w:r>
      <w:r w:rsidRPr="00F54F89">
        <w:rPr>
          <w:sz w:val="20"/>
          <w:szCs w:val="20"/>
        </w:rPr>
        <w:t xml:space="preserve">) (means ± SD, </w:t>
      </w:r>
      <w:r w:rsidRPr="00F54F89">
        <w:rPr>
          <w:i/>
          <w:iCs/>
          <w:sz w:val="20"/>
          <w:szCs w:val="20"/>
        </w:rPr>
        <w:t xml:space="preserve">n </w:t>
      </w:r>
      <w:r w:rsidRPr="00F54F89">
        <w:rPr>
          <w:sz w:val="20"/>
          <w:szCs w:val="20"/>
        </w:rPr>
        <w:t>= 3).</w:t>
      </w:r>
    </w:p>
    <w:p w14:paraId="1650C88E" w14:textId="77777777" w:rsidR="00DF6C95" w:rsidRPr="00F54F89" w:rsidRDefault="00DF6C95" w:rsidP="000C6856">
      <w:pPr>
        <w:jc w:val="both"/>
        <w:rPr>
          <w:sz w:val="20"/>
          <w:szCs w:val="20"/>
        </w:rPr>
      </w:pPr>
    </w:p>
    <w:p w14:paraId="094F9329" w14:textId="77777777" w:rsidR="000C6856" w:rsidRPr="00F54F89" w:rsidRDefault="00314308" w:rsidP="000C6856">
      <w:pPr>
        <w:spacing w:line="360" w:lineRule="auto"/>
        <w:jc w:val="both"/>
        <w:rPr>
          <w:i/>
        </w:rPr>
      </w:pPr>
      <w:r w:rsidRPr="00F54F89">
        <w:rPr>
          <w:i/>
        </w:rPr>
        <w:t xml:space="preserve">3.5. </w:t>
      </w:r>
      <w:r w:rsidR="000C6856" w:rsidRPr="00F54F89">
        <w:rPr>
          <w:i/>
        </w:rPr>
        <w:t>Phytosome formulation</w:t>
      </w:r>
    </w:p>
    <w:p w14:paraId="4CCD3029" w14:textId="32E450DE" w:rsidR="000C6856" w:rsidRPr="00F54F89" w:rsidRDefault="000C6856" w:rsidP="000C6856">
      <w:pPr>
        <w:spacing w:line="360" w:lineRule="auto"/>
        <w:jc w:val="both"/>
      </w:pPr>
      <w:r w:rsidRPr="00F54F89">
        <w:t>Several parameters were attempted in the optimi</w:t>
      </w:r>
      <w:r w:rsidR="00CE3FB2" w:rsidRPr="00F54F89">
        <w:t>sation</w:t>
      </w:r>
      <w:r w:rsidRPr="00F54F89">
        <w:t xml:space="preserve"> of PEP formulation. Theoretically, phytosome</w:t>
      </w:r>
      <w:r w:rsidR="00105C8C" w:rsidRPr="00F54F89">
        <w:t>s</w:t>
      </w:r>
      <w:r w:rsidRPr="00F54F89">
        <w:t xml:space="preserve"> consist of </w:t>
      </w:r>
      <w:r w:rsidR="00105C8C" w:rsidRPr="00F54F89">
        <w:t>a</w:t>
      </w:r>
      <w:r w:rsidRPr="00F54F89">
        <w:t xml:space="preserve"> complex of phenolic and flavonoid with PC in 1:1, 1:2 or 1:3 molar ratios </w:t>
      </w:r>
      <w:r w:rsidRPr="00F54F89">
        <w:fldChar w:fldCharType="begin" w:fldLock="1"/>
      </w:r>
      <w:r w:rsidR="007D0946" w:rsidRPr="00F54F89">
        <w:instrText>ADDIN CSL_CITATION {"citationItems":[{"id":"ITEM-1","itemData":{"ISSN":"1618095X","abstract":"Background: Centella asiatica phytosome (CA phytosome) has potent antioxidant and anti-inflammatory properties. However, its anti-dermatitic effect has not yet been reported. Purpose: We investigated the effects of CA phytosome on inflammatory reponses by macrophages in an atopic dermatitis (AD) mouse model. Study design: The effects of CA phytosome on atopic dermatitis were examined by using phthalic anhydride (PA)-induced AD mouse model and RAW 264.7 murine macrophages. Methods: An AD-like lesion was induced by a topical application of 5% phthalic anhydride (PA) to the dorsal skin or ear of HR-1 mice. After AD induction, 100 µl (20 µl/cm2) of 0.2% and 0.4% CA phytosome was spread on the dorsal skin and ear of the mice three times a week for four weeks. We evaluated histopathological changes and changes in protein expression by Western blotting for iNOS and COX-2; NF-κB activity was determined by EMSA. We also measured TNF-α IL-1β and IgE concentration in the blood of AD mice by ELISA. Results: Histological analysis showed that CA phytosome inhibited infiltration of inflammatory cells. CA phytosome treatment inhibited the expression of iNOS and COX-2, activity of NF-κB, and release of TNF-α IL-1β and IgE. In addition, CA phytosome (5, 10, and 20 µg/ml) potently inhibited LPS (1 µg/ml)-induced NO production as well as iNOS and COX-2 expression in RAW 264.7 macrophage. Furthermore, CA phytosome inhibited LPS-induced DNA binding activities of NF-κB, and this was associated with the discontinuation of IκBα degradation and subsequent decreases in the translocation of p65 and p50 into the nucleus. Conclusion: From our data, CA phytosome application, which operates via NF-κB signaling inhibition, seems to be a promising AD treatment. Herein, we investigated the effects of Centella asiatica phytosome (CA phytosome) on inflammatory responses by macrophages in an atopic dermatitis (AD) mouse model. An AD-like lesion was induced by the topical application of 5% phthalic anhydride (PA) to the dorsal skin or ear of HR-1 mice. After AD induction, 100 µl (20 µl/cm2) of 0.2% and 0.4% CA phytosome was spread on the dorsal skin and ear of the mice three times a week for four weeks. We evaluated dermatitis severity, histopathological changes, and changes in protein expression by Western blotting for iNOS and COX-2; NF-κB activity was determined by gel electromobility shift assay (EMSA). We also measured TNF-α IL-1β and IgE concentration in the blood of AD mice by enzyme-…","author":[{"dropping-particle":"","family":"Ju Ho","given":"Park","non-dropping-particle":"","parse-names":false,"suffix":""},{"dropping-particle":"","family":"Jun Sung","given":"Jang","non-dropping-particle":"","parse-names":false,"suffix":""},{"dropping-particle":"","family":"Ki Cheon","given":"Kim","non-dropping-particle":"","parse-names":false,"suffix":""},{"dropping-particle":"","family":"Jin Tae","given":"Hong","non-dropping-particle":"","parse-names":false,"suffix":""}],"container-title":"Phytomedicine","id":"ITEM-1","issued":{"date-parts":[["2018"]]},"page":"110-119","publisher":"Elsevier","title":"Anti-inflammatory effect of Centella asiatica phytosome in a mouse model of phthalic anhydride-induced atopic dermatitis","type":"article-journal","volume":"43"},"uris":["http://www.mendeley.com/documents/?uuid=d316dc2b-5ba5-4d2c-9830-fad99d369491"]},{"id":"ITEM-2","itemData":{"ISSN":"18733476","abstract":"Sinigrin is a class of glucosinolates found naturally in plants of the Brassicaceae family. Lately, studies have shown that sinigrin possesses anticancer, antibacterial and anti-inflammatory activities. Since its efficacy has not been explored on wound healing, we examined the effect of sinigrin on HaCaT cells. We also aimed at formulating sinigrin into phytosome to form a sinigrin-phytosome complex and study the wound healing and cytotoxic activities on A-375 and HaCaT cells. Sinigrin was efficiently formulated into the phytosome with an average particle size of 153 ± 39 nm, zeta potential of 10.09 ± 0.98 mV and complex efficiency of 69.5 ± 5%. The formation of the sinigrin-phytosome complex was confirmed by DSC and FTIR analysis. The sinigrin-phytosome complex significantly exhibited wound healing effects when compared to sinigrin alone. After 42 h, the phytosome complex completely healed the wound, whereas sinigrin alone showed only 71% wound closure. The sinigrin-phytosome complex displayed minimal toxicity towards HaCaT cells and at higher concentrations, it showed potent activity towards A-375. The results indicated that sinigrin-phytosome complex augmented the therapeutic potential of sinigrin towards the wound healing activity and this approach should be explored further for cancerous wound treatment.","author":[{"dropping-particle":"","family":"Mazumder","given":"Anisha","non-dropping-particle":"","parse-names":false,"suffix":""},{"dropping-particle":"","family":"Dwivedi","given":"Anupma","non-dropping-particle":"","parse-names":false,"suffix":""},{"dropping-particle":"","family":"Preez","given":"Jan L.","non-dropping-particle":"Du","parse-names":false,"suffix":""},{"dropping-particle":"","family":"Plessis","given":"Jeanetta","non-dropping-particle":"Du","parse-names":false,"suffix":""}],"container-title":"International Journal of Pharmaceutics","id":"ITEM-2","issued":{"date-parts":[["2016"]]},"page":"283-293","publisher":"Elsevier B.V.","title":"In vitro wound healing and cytotoxic effects of sinigrin-phytosome complex","type":"article-journal","volume":"498"},"uris":["http://www.mendeley.com/documents/?uuid=6d290f00-d719-4aba-bbe9-605f428cd358"]},{"id":"ITEM-3","itemData":{"ISSN":"18727786","abstract":"Quercetin, a dietary flavonol phytoestrogen, has many health benefits but it is poorly absorbed when administered orally. To improve its bioavailability, we prepared quercetin-loaded phytosome nanoparticles (QP) using the thin film hydration method. The prepared nano-formulations were characterized using different techniques. Transmission electron microscopy revealed the homogeneously spherical, well and uniformly dispersed, nano-sized nature of QP. Dynamic light scattering measurements of QP (70 ± 7.44 nm) also confirmed this. Stability of the formed nanoparticles was established via zeta potential determination. The prepared QP exhibited very high encapsulation efficiency (98.4%). The estrogenic activity of QP, concerning inflammation, oxidative stress, bone, lipid profile, blood glucose level and weight gain, was investigated in ovariectomized rat model using 10 and 50 mg/kg/day oral doses for 4 weeks. Treatment with QP showed significant increase in serum calcium, inorganic phosphorus and glutathione content. Whereas, it significantly decreased serum alkaline phosphatase, acid phosphatase, malondialdehyde level, tumor necrosis factor-alpha and glucose level and improved lipid profile. Consequently, the results obtained confirm the superiority of QP over free quercetin at the same doses as a promising hormone replacement therapy.","author":[{"dropping-particle":"","family":"Abd El-Fattah","given":"Abeer I.","non-dropping-particle":"","parse-names":false,"suffix":""},{"dropping-particle":"","family":"Fathy","given":"Mohamed M.","non-dropping-particle":"","parse-names":false,"suffix":""},{"dropping-particle":"","family":"Ali","given":"Zeinab Y.","non-dropping-particle":"","parse-names":false,"suffix":""},{"dropping-particle":"","family":"El-Garawany","given":"Abd El Rahman A.","non-dropping-particle":"","parse-names":false,"suffix":""},{"dropping-particle":"","family":"Mohamed","given":"Ehsan K.","non-dropping-particle":"","parse-names":false,"suffix":""}],"container-title":"Chemico-Biological Interactions","id":"ITEM-3","issued":{"date-parts":[["2017"]]},"page":"30-38","publisher":"Elsevier Ltd","title":"Enhanced therapeutic benefit of quercetin-loaded phytosome nanoparticles in ovariectomized rats","type":"article-journal","volume":"271"},"uris":["http://www.mendeley.com/documents/?uuid=aff563e8-892d-4a34-aef3-dffa967cb800"]},{"id":"ITEM-4","itemData":{"ISSN":"18790720","abstract":"Respiratory infection is a viral spreading disease and a common issue, particularly in kids. The treatments are available but have so many limitations because the drawback of this disease is more morbidity and mortality in the severely immune compromised. Even, the phyto-constituent antibacterial drug Gingerol was selected to treat respiratory infection but it exhibits low bioavailability profile, less aqueous-solubility issue and most important is rapidly eliminated from the body. To overcome these problems, novel drug delivery (nanoparticle) based phytosome complexed with chitosan approach was implemented. In this research work, the phytosome (GP) was prepared by blending of gingerol with soya lecithin in organic solvent using anti-solvent precipitation technique and it was further loaded in the aqueous solution of chitosan to formulate the phytosome complexed with chitosan (GLPC). To optimize the formulations of gingerol, it was characterized for percentage yield, percentage entrapment efficiency, drug loading and particle size, physical compatibility studies etc. which demonstrated the confirmation of complex of GLPC with soya lecithin and chitosan. The % entrapment efficiency and % drug loading of GLPC was found (86.02 ± 0.18%, 08.26 ± 0.72%) and of GP (84.36 ± 0.42%, 08.05 ± 0.03%), respectively. The average particle size and zeta potential of GLPC and GP were 254.01 ± 0.05 nm (−13.11 mV), and 431.21 ± 0.90 nm (−17.53 mV), respectively which confirm the inhibition of particle aggregation by using chitosan in complex. The in vitro release rate of GP (86.03 ± 0.06%) was slower than GLPC (88.93 ± 0.33%) in pH 7.4 phosphate buffer up to 24 h by diffusion process (Korsmeyer Peppas model). The optimized GLPC and GP were shown irregular particle shapes &amp; spherical and oval structures with smooth surface by SEM analysis. Furthermore, GLPC has shown the potent in vitro antioxidant activity, susceptible antibacterial activity and effective anti-inflammatory activity as compared to GP against stress, microbial infection and inflammation which were causable reason for the respiratory infections. GLPC has improved the significant bioavailability and also correlated the hematological values on rabbit blood against the incubation of microorganisms. Thus, the prepared nanoparticle based approach to deliver the gingerol, has the combined effect of chitosan and phytosome which shown better sustained-release profile and also prolonging the oral absorption rate of gi…","author":[{"dropping-particle":"","family":"Singh","given":"Rudra Pratap","non-dropping-particle":"","parse-names":false,"suffix":""},{"dropping-particle":"V.","family":"Gangadharappa","given":"H.","non-dropping-particle":"","parse-names":false,"suffix":""},{"dropping-particle":"","family":"Mruthunjaya","given":"K.","non-dropping-particle":"","parse-names":false,"suffix":""}],"container-title":"European Journal of Pharmaceutical Sciences","id":"ITEM-4","issued":{"date-parts":[["2018"]]},"page":"214-229","publisher":"Elsevier","title":"Phytosome complexed with chitosan for gingerol delivery in the treatment of respiratory infection: In vitro and in vivo evaluation","type":"article-journal","volume":"122"},"uris":["http://www.mendeley.com/documents/?uuid=bc0babf6-f1aa-46bb-93c9-b51faa844ea1"]}],"mendeley":{"formattedCitation":"[31,32,50,51]","plainTextFormattedCitation":"[31,32,50,51]","previouslyFormattedCitation":"[31,32,50,51]"},"properties":{"noteIndex":0},"schema":"https://github.com/citation-style-language/schema/raw/master/csl-citation.json"}</w:instrText>
      </w:r>
      <w:r w:rsidRPr="00F54F89">
        <w:fldChar w:fldCharType="separate"/>
      </w:r>
      <w:r w:rsidR="007D0946" w:rsidRPr="00F54F89">
        <w:rPr>
          <w:noProof/>
        </w:rPr>
        <w:t>[31,32,50,51]</w:t>
      </w:r>
      <w:r w:rsidRPr="00F54F89">
        <w:fldChar w:fldCharType="end"/>
      </w:r>
      <w:r w:rsidRPr="00F54F89">
        <w:t xml:space="preserve">. However, due to the diversity of bioactive compounds in PE, the molar ratio was not used in </w:t>
      </w:r>
      <w:r w:rsidR="00105C8C" w:rsidRPr="00F54F89">
        <w:t>this</w:t>
      </w:r>
      <w:r w:rsidRPr="00F54F89">
        <w:t xml:space="preserve"> study. Instead, the weight ratio of PE and PC was used, which were 1:1, 1:2 and 1:3 weight ratios. Additionally, the effect </w:t>
      </w:r>
      <w:r w:rsidR="00105C8C" w:rsidRPr="00F54F89">
        <w:t xml:space="preserve">of </w:t>
      </w:r>
      <w:r w:rsidRPr="00F54F89">
        <w:t>homogeni</w:t>
      </w:r>
      <w:r w:rsidR="00CE3FB2" w:rsidRPr="00F54F89">
        <w:t>sation</w:t>
      </w:r>
      <w:r w:rsidRPr="00F54F89">
        <w:t xml:space="preserve"> and the sonication time were also evaluated. Figure 3 presents the particle size, PDI, zeta potential as well as EE of CA, QU and KP in different PEP formulations.</w:t>
      </w:r>
    </w:p>
    <w:p w14:paraId="76BD6B6F" w14:textId="4052A88C" w:rsidR="000C6856" w:rsidRPr="00F54F89" w:rsidRDefault="000C6856" w:rsidP="000C6856">
      <w:pPr>
        <w:spacing w:line="360" w:lineRule="auto"/>
        <w:jc w:val="both"/>
        <w:rPr>
          <w:b/>
        </w:rPr>
      </w:pPr>
      <w:r w:rsidRPr="00F54F89">
        <w:t xml:space="preserve">As shown in Figure 3, the high concentration of PC in PEP increased the particle size and PDI of phytosome. This </w:t>
      </w:r>
      <w:r w:rsidR="00105C8C" w:rsidRPr="00F54F89">
        <w:t>may</w:t>
      </w:r>
      <w:r w:rsidRPr="00F54F89">
        <w:t xml:space="preserve"> be caused by the increase of dispersion viscosity due to the increase of PC concentration, leading to the higher surface tension and hence larger particle size </w:t>
      </w:r>
      <w:r w:rsidRPr="00F54F89">
        <w:fldChar w:fldCharType="begin" w:fldLock="1"/>
      </w:r>
      <w:r w:rsidR="007D0946" w:rsidRPr="00F54F89">
        <w:instrText>ADDIN CSL_CITATION {"citationItems":[{"id":"ITEM-1","itemData":{"ISBN":"0928-0987","ISSN":"09280987","PMID":"24345795","abstract":"We prepared amphotericin B (AmB) nanoparticles through liquid antisolvent precipitation (LAP) and by freeze-drying to improve the solubility of AmB for oral administration. The LAP was optimized through a single-factor experiment. We determined the effects of surfactants and their concentration, the stirring time, the precipitation temperature, the stirring intensity, the drug concentration and the volume ratio of antisolvent to solvent on the mean particle size (MPS) of the AmB nanoparticles. Increased stirring intensity and precipitation time favored AmB nanoparticles with smaller MPS, but precipitation times exceeding 30 min did not further reduce the MPS. Increased Tween-80 concentration and the drug concentration decreased the MPS of the AmB nanoparticles. Increased precipitation temperature and antisolvent to solvent volume ratio initially decreased the MPS of the AmB nanoparticles, which increased thereafter. Optimum conditions produced AmB nanoparticles with an MPS of 135.1 nm. The AmB nanoparticles were characterized through scanning electron microscopy (SEM), mass spectrometry (MS), Fourier transform infrared spectroscopy (FTIR), X-ray diffraction (XRD), differential scanning calorimetry (DSC), thermal gravimetric analysis (TG), solvent residue, drug purity test, and dissolution testing. The analyses indicated that the chemical structure of AmB remained unchanged in the nanoparticles, but the structure was changed from crystalline to amorphous. The residual DMSO in the nanoparticles was 0.24% less than the standard set by the International Conference on Harmonization limit for class III solvents. The AmB nanoparticles exhibited 2.1 times faster dissolution rates and 13 times equilibrium solubility compared with the raw drug. The detection results indicate that the AmB nanoparticles potentially improved the oral absorption of AmB. © 2013 Elsevier B.V. All rights reserved.","author":[{"dropping-particle":"","family":"Zu","given":"Yuangang","non-dropping-particle":"","parse-names":false,"suffix":""},{"dropping-particle":"","family":"Sun","given":"Wei","non-dropping-particle":"","parse-names":false,"suffix":""},{"dropping-particle":"","family":"Zhao","given":"Xiuhua","non-dropping-particle":"","parse-names":false,"suffix":""},{"dropping-particle":"","family":"Wang","given":"Weiguo","non-dropping-particle":"","parse-names":false,"suffix":""},{"dropping-particle":"","family":"Li","given":"Yong","non-dropping-particle":"","parse-names":false,"suffix":""},{"dropping-particle":"","family":"Ge","given":"Yunlong","non-dropping-particle":"","parse-names":false,"suffix":""},{"dropping-particle":"","family":"Liu","given":"Ying","non-dropping-particle":"","parse-names":false,"suffix":""},{"dropping-particle":"","family":"Wang","given":"Kunlun","non-dropping-particle":"","parse-names":false,"suffix":""}],"container-title":"European Journal of Pharmaceutical Sciences","id":"ITEM-1","issue":"1","issued":{"date-parts":[["2014"]]},"page":"109-117","publisher":"Elsevier B.V.","title":"Preparation and characterization of amorphous amphotericin B nanoparticles for oral administration through liquid antisolvent precipitation","type":"article-journal","volume":"53"},"uris":["http://www.mendeley.com/documents/?uuid=b8c53d1d-7646-4c8a-9e0a-791f419d2f13"]}],"mendeley":{"formattedCitation":"[52]","plainTextFormattedCitation":"[52]","previouslyFormattedCitation":"[52]"},"properties":{"noteIndex":0},"schema":"https://github.com/citation-style-language/schema/raw/master/csl-citation.json"}</w:instrText>
      </w:r>
      <w:r w:rsidRPr="00F54F89">
        <w:fldChar w:fldCharType="separate"/>
      </w:r>
      <w:r w:rsidR="007D0946" w:rsidRPr="00F54F89">
        <w:rPr>
          <w:noProof/>
        </w:rPr>
        <w:t>[52]</w:t>
      </w:r>
      <w:r w:rsidRPr="00F54F89">
        <w:fldChar w:fldCharType="end"/>
      </w:r>
      <w:r w:rsidRPr="00F54F89">
        <w:t xml:space="preserve">. </w:t>
      </w:r>
      <w:r w:rsidRPr="00F54F89">
        <w:lastRenderedPageBreak/>
        <w:t>In addition, the increase of homogeni</w:t>
      </w:r>
      <w:r w:rsidR="00CE3FB2" w:rsidRPr="00F54F89">
        <w:t>sation</w:t>
      </w:r>
      <w:r w:rsidRPr="00F54F89">
        <w:t xml:space="preserve"> and sonication time from 10 min to 20 min and from 30 min to 60 min, respectively</w:t>
      </w:r>
      <w:r w:rsidR="00EA64E3" w:rsidRPr="00F54F89">
        <w:t>,</w:t>
      </w:r>
      <w:r w:rsidRPr="00F54F89">
        <w:t xml:space="preserve"> decrease</w:t>
      </w:r>
      <w:r w:rsidR="00EA64E3" w:rsidRPr="00F54F89">
        <w:t>d</w:t>
      </w:r>
      <w:r w:rsidRPr="00F54F89">
        <w:t xml:space="preserve"> the particle size</w:t>
      </w:r>
      <w:r w:rsidR="00EA64E3" w:rsidRPr="00F54F89">
        <w:t>s significantly (</w:t>
      </w:r>
      <w:r w:rsidR="00EA64E3" w:rsidRPr="00F54F89">
        <w:rPr>
          <w:i/>
          <w:iCs/>
        </w:rPr>
        <w:t>p</w:t>
      </w:r>
      <w:r w:rsidR="00EA64E3" w:rsidRPr="00F54F89">
        <w:t xml:space="preserve"> &lt; 0.05)</w:t>
      </w:r>
      <w:r w:rsidRPr="00F54F89">
        <w:t xml:space="preserve">. These processes were able to break down the vesicles into nano-size droplets. </w:t>
      </w:r>
      <w:r w:rsidR="00CF42AD" w:rsidRPr="00F54F89">
        <w:t>Moreover</w:t>
      </w:r>
      <w:r w:rsidRPr="00F54F89">
        <w:t>, prolonged homogeni</w:t>
      </w:r>
      <w:r w:rsidR="00CE3FB2" w:rsidRPr="00F54F89">
        <w:t>sation</w:t>
      </w:r>
      <w:r w:rsidRPr="00F54F89">
        <w:t xml:space="preserve"> and sonication time produced more sonication energy to the nanoparticles dispersions, reducing the size of the phytosome droplets </w:t>
      </w:r>
      <w:r w:rsidRPr="00F54F89">
        <w:fldChar w:fldCharType="begin" w:fldLock="1"/>
      </w:r>
      <w:r w:rsidR="007D0946" w:rsidRPr="00F54F89">
        <w:instrText xml:space="preserve">ADDIN CSL_CITATION {"citationItems":[{"id":"ITEM-1","itemData":{"ISBN":"0927-7765","ISSN":"09277765","PMID":"21831615","abstract":"This study aimed to prepare solid lipid nanoparticles (SLNs) of a hydrophobic drug, tretinoin, by emulsification-ultrasonication method. Solubility of tretinoin in the solid lipids was examined. Effects of process variables were investigated on particle size, polydispersity index (PI), zeta potential (ZP), drug encapsulation efficiency (EE), and drug loading (L) of the SLNs. Shape and surface morphology of the SLNs were investigated by cryogenic field emission scanning electron microscopy (cryo-FESEM). Complete encapsulation of drug in the nanoparticles was checked by cross-polarized light microscopy and differential scanning calorimetry (DSC). Crystallinity of the formulation was analyzed by DSC and powder X-ray diffraction (PXRD). In addition, drug release and stability studies were also performed. The results indicated that 10mg tretinoin was soluble in 0.45±0.07g Precirol®ATO5 and 0.36±0.06g Compritol®888ATO, respectively. Process variables exhibited significant influence in producing SLNs. SLNs with &lt;120nm size, &lt;0.2 PI, &gt;I30ImV ZP, &gt;75% EE, and </w:instrText>
      </w:r>
      <w:r w:rsidR="007D0946" w:rsidRPr="00F54F89">
        <w:rPr>
          <w:rFonts w:ascii="Cambria Math" w:hAnsi="Cambria Math" w:cs="Cambria Math"/>
        </w:rPr>
        <w:instrText>∼</w:instrText>
      </w:r>
      <w:r w:rsidR="007D0946" w:rsidRPr="00F54F89">
        <w:instrText>0.8% L can be produced following the appropriate formulation conditions. Cryo-FESEM study showed spherical particles with smooth surface. Cross-polarized light microscopy study revealed that drug crystals in the external aqueous phase were absent when the SLNs were prepared at ≤0.05% drug concentration. DSC and PXRD studies indicated complete drug encapsulation within the nanoparticle matrix as amorphous form. The drug release study demonstrated sustained/prolonged drug release from the SLNs. Furthermore, tretinoin-loaded SLNs were stable for 3 months at 4°C. Hence, the developed SLNs can be used as drug carrier for sustained/prolonged drug release and/or to improve oral absorption/bioavailability. © 2011 Elsevier B.V.","author":[{"dropping-particle":"","family":"Das","given":"Surajit","non-dropping-particle":"","parse-names":false,"suffix":""},{"dropping-particle":"","family":"Ng","given":"Wai Kiong","non-dropping-particle":"","parse-names":false,"suffix":""},{"dropping-particle":"","family":"Kanaujia","given":"Parijat","non-dropping-particle":"","parse-names":false,"suffix":""},{"dropping-particle":"","family":"Kim","given":"Sanggu","non-dropping-particle":"","parse-names":false,"suffix":""},{"dropping-particle":"","family":"Tan","given":"Reginald B H","non-dropping-particle":"","parse-names":false,"suffix":""}],"container-title":"Colloids and Surfaces B: Biointerfaces","id":"ITEM-1","issue":"1","issued":{"date-parts":[["2011"]]},"page":"483-489","title":"Formulation design, preparation and physicochemical characterizations of solid lipid nanoparticles containing a hydrophobic drug: Effects of process variables","type":"article-journal","volume":"88"},"uris":["http://www.mendeley.com/documents/?uuid=96a3541b-5395-4ce0-af52-63c8b607533d"]}],"mendeley":{"formattedCitation":"[53]","plainTextFormattedCitation":"[53]","previouslyFormattedCitation":"[53]"},"properties":{"noteIndex":0},"schema":"https://github.com/citation-style-language/schema/raw/master/csl-citation.json"}</w:instrText>
      </w:r>
      <w:r w:rsidRPr="00F54F89">
        <w:fldChar w:fldCharType="separate"/>
      </w:r>
      <w:r w:rsidR="007D0946" w:rsidRPr="00F54F89">
        <w:rPr>
          <w:noProof/>
        </w:rPr>
        <w:t>[53]</w:t>
      </w:r>
      <w:r w:rsidRPr="00F54F89">
        <w:fldChar w:fldCharType="end"/>
      </w:r>
      <w:r w:rsidRPr="00F54F89">
        <w:t>.</w:t>
      </w:r>
    </w:p>
    <w:p w14:paraId="5BCF79A8" w14:textId="0DAF40DF" w:rsidR="000C6856" w:rsidRPr="00F54F89" w:rsidRDefault="000C6856" w:rsidP="000C6856">
      <w:pPr>
        <w:spacing w:line="360" w:lineRule="auto"/>
        <w:jc w:val="both"/>
      </w:pPr>
      <w:r w:rsidRPr="00F54F89">
        <w:t>Regarding the zeta potential, the PE:PC ratio, homogeni</w:t>
      </w:r>
      <w:r w:rsidR="00CE3FB2" w:rsidRPr="00F54F89">
        <w:t>sation</w:t>
      </w:r>
      <w:r w:rsidRPr="00F54F89">
        <w:t xml:space="preserve"> and sonication time did not exhibit a significant effect </w:t>
      </w:r>
      <w:r w:rsidR="00DF6C95" w:rsidRPr="00F54F89">
        <w:t>(</w:t>
      </w:r>
      <w:r w:rsidR="00DF6C95" w:rsidRPr="00F54F89">
        <w:rPr>
          <w:i/>
        </w:rPr>
        <w:t>p</w:t>
      </w:r>
      <w:r w:rsidR="00DF6C95" w:rsidRPr="00F54F89">
        <w:t xml:space="preserve"> &gt; 0.05) </w:t>
      </w:r>
      <w:r w:rsidRPr="00F54F89">
        <w:t xml:space="preserve">on the zeta potential of all PEP formulations. All formulations were found to have &gt; -30 mV of zeta potential, indicating the excellent stability of PEP obtained in this study </w:t>
      </w:r>
      <w:r w:rsidRPr="00F54F89">
        <w:fldChar w:fldCharType="begin" w:fldLock="1"/>
      </w:r>
      <w:r w:rsidR="007D0946" w:rsidRPr="00F54F89">
        <w:instrText>ADDIN CSL_CITATION {"citationItems":[{"id":"ITEM-1","itemData":{"ISSN":"11782013","abstract":"© 2018 El-Menshawe et al. Purpose: Herbal supplements are currently available as a safer alternative to manage obesity, which has become a rising problem over the recent years. Many chemical drugs on the market are designed to prevent or manage obesity but high cost, low efficacy, and multiple side effects limit its use. Nano lipo-vesicles phytosomal thermogel of Soybean, Glycine max (L.) Merrill, was formulated and evaluated in an attempt to investigate its anti-obesity action on body weight gain, adipose tissue size, and lipid profile data. Methods: Three different techniques were used to prepare phytosome formulations including solvent evaporation, cosolvency, and salting out. The optimized phytosome formulation was then selected using Design Expert® (version 7.0.0) depending on the highest entrapment efficiency, minimum particle size (PS), and maximum drug release within 2 hours as responses for further evaluation. The successful phytosome complex formation was investigated by means of Fourier-transform infrared spectroscopy and determination of PS and zeta potential. Phytosome vesicles’ shape was evaluated using transmission electron microscope to ensure its spherical shape. After characterization of the optimized phytosome formulation, it was incorporated into a thermogel formulation. The obtained phytosomal thermogel formulation was evaluated for its clarity, homogeneity, pH, and gel transformation temperature besides rheology behavior and permeation study. An in vivo study was done to investigate the anti-weight-gain effect of soy phytosomal thermogel. Results: EE was found to be &gt;99% for all formulations, PS ranging from 51.66-650.67 while drug release was found to be (77.61-99.78) in range. FTIR and TEM results confirmed the formation of phytosome complex. In vivo study showed a marked reduction in body weight, adipose tissue weight and lipid profile. Conclusion: Concisely, soy phytosomal thermogel was found to have a local anti-obesity effect on the abdomen of experimental male albino rats with a slight systemic effect on the lipid profile data.","author":[{"dropping-particle":"","family":"El-Menshawe","given":"Shahira F.","non-dropping-particle":"","parse-names":false,"suffix":""},{"dropping-particle":"","family":"Ali","given":"Adel A.","non-dropping-particle":"","parse-names":false,"suffix":""},{"dropping-particle":"","family":"Rabeh","given":"Mohamed A.","non-dropping-particle":"","parse-names":false,"suffix":""},{"dropping-particle":"","family":"Khalil","given":"Nermeen M.","non-dropping-particle":"","parse-names":false,"suffix":""}],"container-title":"International Journal of Nanomedicine","id":"ITEM-1","issued":{"date-parts":[["2018"]]},"page":"307-318","title":"Nanosized soy phytosome-based thermogel as topical anti-obesity formulation: An approach for acceptable level of evidence of an effective novel herbal weight loss product","type":"article-journal","volume":"13"},"uris":["http://www.mendeley.com/documents/?uuid=767db8f5-8ee4-434b-93cd-0ef2fbc10004"]}],"mendeley":{"formattedCitation":"[54]","plainTextFormattedCitation":"[54]","previouslyFormattedCitation":"[54]"},"properties":{"noteIndex":0},"schema":"https://github.com/citation-style-language/schema/raw/master/csl-citation.json"}</w:instrText>
      </w:r>
      <w:r w:rsidRPr="00F54F89">
        <w:fldChar w:fldCharType="separate"/>
      </w:r>
      <w:r w:rsidR="007D0946" w:rsidRPr="00F54F89">
        <w:rPr>
          <w:noProof/>
        </w:rPr>
        <w:t>[54]</w:t>
      </w:r>
      <w:r w:rsidRPr="00F54F89">
        <w:fldChar w:fldCharType="end"/>
      </w:r>
      <w:r w:rsidRPr="00F54F89">
        <w:t>.</w:t>
      </w:r>
      <w:r w:rsidR="009E056A" w:rsidRPr="00F54F89">
        <w:t xml:space="preserve"> The negative zeta potential obtained in this study might be caused by the position of the negative phosphate group of PC which is towards to the outside layer of the phytosome </w:t>
      </w:r>
      <w:r w:rsidR="009E056A" w:rsidRPr="00F54F89">
        <w:fldChar w:fldCharType="begin" w:fldLock="1"/>
      </w:r>
      <w:r w:rsidR="007D0946" w:rsidRPr="00F54F89">
        <w:instrText>ADDIN CSL_CITATION {"citationItems":[{"id":"ITEM-1","itemData":{"ISSN":"20462069","abstract":"Most medicinal and pharmaceutical herbal extracts are poorly soluble in aqueous moieties and have reduced adsorption by living cells. Liposomal encapsulation of those so called phytosomes could be a solution to overcome this problem. Meanwhile, much research shows that metallic nanoparticles such as gold nanoparticles (AuNPs) exhibit biological activity such as wound healing and antioxidant properties on living cells. Here, we constructed a novel liposomal formulation by encapsulating both Calendula officinalis extract and AuNPs. After the preparation of vesicles using the traditional thin film hydration method within extrusion, the resulting AuNP-phytosomes were characterized by dynamic light scattering size measurements, zeta potential and atomic force microscopy. These vesicles are less than 100 nm in size and have a high encapsulation efficiency for chlorogenic acid and quercetin as the model major molecules of Calendula extract. Furthermore, AuNP-phytosomes exhibited antioxidant and wound healing activity significantly according to the free forms of each encapsulated material and the plain liposome as well as the phytosome form. Moreover, the cellular interactions of the vesicles were monitored using the nano-vesicles prepared by Texas-Red labelled lipids under fluorescence microscopy. This journal is © the Partner Organisations 2014.","author":[{"dropping-particle":"","family":"Demir","given":"B.","non-dropping-particle":"","parse-names":false,"suffix":""},{"dropping-particle":"","family":"Barlas","given":"F. B.","non-dropping-particle":"","parse-names":false,"suffix":""},{"dropping-particle":"","family":"Guler","given":"E.","non-dropping-particle":"","parse-names":false,"suffix":""},{"dropping-particle":"","family":"Gumus","given":"P. Z.","non-dropping-particle":"","parse-names":false,"suffix":""},{"dropping-particle":"","family":"Can","given":"M.","non-dropping-particle":"","parse-names":false,"suffix":""},{"dropping-particle":"","family":"Yavuz","given":"M.","non-dropping-particle":"","parse-names":false,"suffix":""},{"dropping-particle":"","family":"Coskunol","given":"H.","non-dropping-particle":"","parse-names":false,"suffix":""},{"dropping-particle":"","family":"Timur","given":"S.","non-dropping-particle":"","parse-names":false,"suffix":""}],"container-title":"RSC Advances","id":"ITEM-1","issue":"65","issued":{"date-parts":[["2014"]]},"page":"34687-34695","publisher":"Royal Society of Chemistry","title":"Gold nanoparticle loaded phytosomal systems: Synthesis, characterization and in vitro investigations","type":"article-journal","volume":"4"},"uris":["http://www.mendeley.com/documents/?uuid=0ae343e9-d003-43fa-a0d1-400a9f430c5c"]}],"mendeley":{"formattedCitation":"[55]","plainTextFormattedCitation":"[55]","previouslyFormattedCitation":"[55]"},"properties":{"noteIndex":0},"schema":"https://github.com/citation-style-language/schema/raw/master/csl-citation.json"}</w:instrText>
      </w:r>
      <w:r w:rsidR="009E056A" w:rsidRPr="00F54F89">
        <w:fldChar w:fldCharType="separate"/>
      </w:r>
      <w:r w:rsidR="007D0946" w:rsidRPr="00F54F89">
        <w:rPr>
          <w:noProof/>
        </w:rPr>
        <w:t>[55]</w:t>
      </w:r>
      <w:r w:rsidR="009E056A" w:rsidRPr="00F54F89">
        <w:fldChar w:fldCharType="end"/>
      </w:r>
    </w:p>
    <w:p w14:paraId="0CAAA81D" w14:textId="65BD786E" w:rsidR="00444600" w:rsidRPr="00F54F89" w:rsidRDefault="00444600" w:rsidP="000C6856">
      <w:pPr>
        <w:spacing w:line="360" w:lineRule="auto"/>
        <w:jc w:val="both"/>
      </w:pPr>
      <w:r w:rsidRPr="00F54F89">
        <w:rPr>
          <w:b/>
          <w:sz w:val="20"/>
          <w:lang w:val="en-GB"/>
        </w:rPr>
        <w:t xml:space="preserve">Table 2. </w:t>
      </w:r>
      <w:r w:rsidRPr="00F54F89">
        <w:rPr>
          <w:sz w:val="20"/>
          <w:lang w:val="en-GB"/>
        </w:rPr>
        <w:t xml:space="preserve">Details of the various formulation parameters used to prepare PEP and their respective particle size, PDI and zeta potential </w:t>
      </w:r>
      <w:r w:rsidRPr="00F54F89">
        <w:rPr>
          <w:sz w:val="20"/>
          <w:szCs w:val="20"/>
        </w:rPr>
        <w:t xml:space="preserve">(means ± SD, </w:t>
      </w:r>
      <w:r w:rsidRPr="00F54F89">
        <w:rPr>
          <w:i/>
          <w:iCs/>
          <w:sz w:val="20"/>
          <w:szCs w:val="20"/>
        </w:rPr>
        <w:t xml:space="preserve">n </w:t>
      </w:r>
      <w:r w:rsidRPr="00F54F89">
        <w:rPr>
          <w:sz w:val="20"/>
          <w:szCs w:val="20"/>
        </w:rPr>
        <w:t>= 3).</w:t>
      </w:r>
    </w:p>
    <w:tbl>
      <w:tblPr>
        <w:tblW w:w="10490" w:type="dxa"/>
        <w:jc w:val="center"/>
        <w:tblLayout w:type="fixed"/>
        <w:tblLook w:val="04A0" w:firstRow="1" w:lastRow="0" w:firstColumn="1" w:lastColumn="0" w:noHBand="0" w:noVBand="1"/>
      </w:tblPr>
      <w:tblGrid>
        <w:gridCol w:w="1418"/>
        <w:gridCol w:w="567"/>
        <w:gridCol w:w="709"/>
        <w:gridCol w:w="1701"/>
        <w:gridCol w:w="1134"/>
        <w:gridCol w:w="1559"/>
        <w:gridCol w:w="1984"/>
        <w:gridCol w:w="1418"/>
      </w:tblGrid>
      <w:tr w:rsidR="00444600" w:rsidRPr="00F54F89" w14:paraId="3A0D03C4" w14:textId="77777777" w:rsidTr="00444600">
        <w:trPr>
          <w:trHeight w:val="300"/>
          <w:jc w:val="center"/>
        </w:trPr>
        <w:tc>
          <w:tcPr>
            <w:tcW w:w="1418" w:type="dxa"/>
            <w:tcBorders>
              <w:top w:val="single" w:sz="4" w:space="0" w:color="auto"/>
              <w:left w:val="nil"/>
              <w:bottom w:val="single" w:sz="4" w:space="0" w:color="auto"/>
              <w:right w:val="nil"/>
            </w:tcBorders>
            <w:shd w:val="clear" w:color="auto" w:fill="auto"/>
            <w:noWrap/>
            <w:vAlign w:val="center"/>
            <w:hideMark/>
          </w:tcPr>
          <w:p w14:paraId="106803F9"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Formulation code</w:t>
            </w:r>
          </w:p>
        </w:tc>
        <w:tc>
          <w:tcPr>
            <w:tcW w:w="567" w:type="dxa"/>
            <w:tcBorders>
              <w:top w:val="single" w:sz="4" w:space="0" w:color="auto"/>
              <w:left w:val="nil"/>
              <w:bottom w:val="single" w:sz="4" w:space="0" w:color="auto"/>
              <w:right w:val="nil"/>
            </w:tcBorders>
            <w:shd w:val="clear" w:color="auto" w:fill="auto"/>
            <w:noWrap/>
            <w:vAlign w:val="center"/>
            <w:hideMark/>
          </w:tcPr>
          <w:p w14:paraId="016D20C8"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E75</w:t>
            </w:r>
          </w:p>
        </w:tc>
        <w:tc>
          <w:tcPr>
            <w:tcW w:w="709" w:type="dxa"/>
            <w:tcBorders>
              <w:top w:val="single" w:sz="4" w:space="0" w:color="auto"/>
              <w:left w:val="nil"/>
              <w:bottom w:val="single" w:sz="4" w:space="0" w:color="auto"/>
              <w:right w:val="nil"/>
            </w:tcBorders>
            <w:shd w:val="clear" w:color="auto" w:fill="auto"/>
            <w:noWrap/>
            <w:vAlign w:val="center"/>
            <w:hideMark/>
          </w:tcPr>
          <w:p w14:paraId="528F4A68"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PC</w:t>
            </w:r>
          </w:p>
        </w:tc>
        <w:tc>
          <w:tcPr>
            <w:tcW w:w="1701" w:type="dxa"/>
            <w:tcBorders>
              <w:top w:val="single" w:sz="4" w:space="0" w:color="auto"/>
              <w:left w:val="nil"/>
              <w:bottom w:val="single" w:sz="4" w:space="0" w:color="auto"/>
              <w:right w:val="nil"/>
            </w:tcBorders>
            <w:shd w:val="clear" w:color="auto" w:fill="auto"/>
            <w:noWrap/>
            <w:vAlign w:val="center"/>
            <w:hideMark/>
          </w:tcPr>
          <w:p w14:paraId="5E2668FF"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Homogenisation</w:t>
            </w:r>
          </w:p>
        </w:tc>
        <w:tc>
          <w:tcPr>
            <w:tcW w:w="1134" w:type="dxa"/>
            <w:tcBorders>
              <w:top w:val="single" w:sz="4" w:space="0" w:color="auto"/>
              <w:left w:val="nil"/>
              <w:bottom w:val="single" w:sz="4" w:space="0" w:color="auto"/>
              <w:right w:val="nil"/>
            </w:tcBorders>
            <w:shd w:val="clear" w:color="auto" w:fill="auto"/>
            <w:noWrap/>
            <w:vAlign w:val="center"/>
            <w:hideMark/>
          </w:tcPr>
          <w:p w14:paraId="0296F58D"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Bath sonication</w:t>
            </w:r>
          </w:p>
        </w:tc>
        <w:tc>
          <w:tcPr>
            <w:tcW w:w="1559" w:type="dxa"/>
            <w:tcBorders>
              <w:top w:val="single" w:sz="4" w:space="0" w:color="auto"/>
              <w:left w:val="nil"/>
              <w:bottom w:val="single" w:sz="4" w:space="0" w:color="auto"/>
              <w:right w:val="nil"/>
            </w:tcBorders>
            <w:vAlign w:val="center"/>
          </w:tcPr>
          <w:p w14:paraId="7456DFD0"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Particle size (nm)</w:t>
            </w:r>
          </w:p>
        </w:tc>
        <w:tc>
          <w:tcPr>
            <w:tcW w:w="1984" w:type="dxa"/>
            <w:tcBorders>
              <w:top w:val="single" w:sz="4" w:space="0" w:color="auto"/>
              <w:left w:val="nil"/>
              <w:bottom w:val="single" w:sz="4" w:space="0" w:color="auto"/>
              <w:right w:val="nil"/>
            </w:tcBorders>
            <w:vAlign w:val="center"/>
          </w:tcPr>
          <w:p w14:paraId="43D5143E"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PDI</w:t>
            </w:r>
          </w:p>
        </w:tc>
        <w:tc>
          <w:tcPr>
            <w:tcW w:w="1418" w:type="dxa"/>
            <w:tcBorders>
              <w:top w:val="single" w:sz="4" w:space="0" w:color="auto"/>
              <w:left w:val="nil"/>
              <w:bottom w:val="single" w:sz="4" w:space="0" w:color="auto"/>
              <w:right w:val="nil"/>
            </w:tcBorders>
            <w:vAlign w:val="center"/>
          </w:tcPr>
          <w:p w14:paraId="60766BA8" w14:textId="77777777" w:rsidR="00444600" w:rsidRPr="00F54F89" w:rsidRDefault="00444600" w:rsidP="00444600">
            <w:pPr>
              <w:jc w:val="center"/>
              <w:rPr>
                <w:b/>
                <w:bCs/>
                <w:color w:val="000000"/>
                <w:sz w:val="20"/>
                <w:szCs w:val="20"/>
                <w:lang w:eastAsia="en-GB"/>
              </w:rPr>
            </w:pPr>
            <w:r w:rsidRPr="00F54F89">
              <w:rPr>
                <w:b/>
                <w:bCs/>
                <w:color w:val="000000"/>
                <w:sz w:val="20"/>
                <w:szCs w:val="20"/>
                <w:lang w:eastAsia="en-GB"/>
              </w:rPr>
              <w:t>Zeta potential (mV)</w:t>
            </w:r>
          </w:p>
        </w:tc>
      </w:tr>
      <w:tr w:rsidR="00444600" w:rsidRPr="00F54F89" w14:paraId="014FAC41"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20565A16"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F1</w:t>
            </w:r>
          </w:p>
        </w:tc>
        <w:tc>
          <w:tcPr>
            <w:tcW w:w="567" w:type="dxa"/>
            <w:tcBorders>
              <w:top w:val="nil"/>
              <w:left w:val="nil"/>
              <w:bottom w:val="nil"/>
              <w:right w:val="nil"/>
            </w:tcBorders>
            <w:shd w:val="clear" w:color="auto" w:fill="auto"/>
            <w:noWrap/>
            <w:vAlign w:val="bottom"/>
            <w:hideMark/>
          </w:tcPr>
          <w:p w14:paraId="2BCAB657"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1AC1F1D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1701" w:type="dxa"/>
            <w:tcBorders>
              <w:top w:val="nil"/>
              <w:left w:val="nil"/>
              <w:bottom w:val="nil"/>
              <w:right w:val="nil"/>
            </w:tcBorders>
            <w:shd w:val="clear" w:color="auto" w:fill="auto"/>
            <w:noWrap/>
            <w:vAlign w:val="bottom"/>
            <w:hideMark/>
          </w:tcPr>
          <w:p w14:paraId="1D685EF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10 min</w:t>
            </w:r>
          </w:p>
        </w:tc>
        <w:tc>
          <w:tcPr>
            <w:tcW w:w="1134" w:type="dxa"/>
            <w:tcBorders>
              <w:top w:val="nil"/>
              <w:left w:val="nil"/>
              <w:bottom w:val="nil"/>
              <w:right w:val="nil"/>
            </w:tcBorders>
            <w:shd w:val="clear" w:color="auto" w:fill="auto"/>
            <w:noWrap/>
            <w:vAlign w:val="bottom"/>
            <w:hideMark/>
          </w:tcPr>
          <w:p w14:paraId="4810D020"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480D28A7" w14:textId="77777777" w:rsidR="00444600" w:rsidRPr="00F54F89" w:rsidRDefault="00444600" w:rsidP="003A0A9C">
            <w:pPr>
              <w:jc w:val="center"/>
              <w:rPr>
                <w:color w:val="000000"/>
                <w:sz w:val="20"/>
                <w:szCs w:val="20"/>
                <w:lang w:eastAsia="en-GB"/>
              </w:rPr>
            </w:pPr>
            <w:r w:rsidRPr="00F54F89">
              <w:rPr>
                <w:color w:val="000000"/>
                <w:sz w:val="20"/>
                <w:szCs w:val="20"/>
              </w:rPr>
              <w:t xml:space="preserve">620.15 </w:t>
            </w:r>
            <w:r w:rsidRPr="00F54F89">
              <w:rPr>
                <w:sz w:val="20"/>
                <w:szCs w:val="20"/>
              </w:rPr>
              <w:t>± 53.96</w:t>
            </w:r>
          </w:p>
        </w:tc>
        <w:tc>
          <w:tcPr>
            <w:tcW w:w="1984" w:type="dxa"/>
            <w:tcBorders>
              <w:top w:val="nil"/>
              <w:left w:val="nil"/>
              <w:bottom w:val="nil"/>
              <w:right w:val="nil"/>
            </w:tcBorders>
            <w:vAlign w:val="bottom"/>
          </w:tcPr>
          <w:p w14:paraId="3BDD5E05" w14:textId="77777777" w:rsidR="00444600" w:rsidRPr="00F54F89" w:rsidRDefault="00444600" w:rsidP="003A0A9C">
            <w:pPr>
              <w:jc w:val="center"/>
              <w:rPr>
                <w:color w:val="000000"/>
                <w:sz w:val="20"/>
                <w:szCs w:val="20"/>
                <w:lang w:eastAsia="en-GB"/>
              </w:rPr>
            </w:pPr>
            <w:r w:rsidRPr="00F54F89">
              <w:rPr>
                <w:color w:val="000000"/>
                <w:sz w:val="20"/>
                <w:szCs w:val="20"/>
              </w:rPr>
              <w:t xml:space="preserve">0.234 </w:t>
            </w:r>
            <w:r w:rsidRPr="00F54F89">
              <w:rPr>
                <w:sz w:val="20"/>
                <w:szCs w:val="20"/>
              </w:rPr>
              <w:t>± 0.02</w:t>
            </w:r>
          </w:p>
        </w:tc>
        <w:tc>
          <w:tcPr>
            <w:tcW w:w="1418" w:type="dxa"/>
            <w:tcBorders>
              <w:top w:val="nil"/>
              <w:left w:val="nil"/>
              <w:bottom w:val="nil"/>
              <w:right w:val="nil"/>
            </w:tcBorders>
            <w:vAlign w:val="bottom"/>
          </w:tcPr>
          <w:p w14:paraId="366CA701" w14:textId="77777777" w:rsidR="00444600" w:rsidRPr="00F54F89" w:rsidRDefault="00444600" w:rsidP="003A0A9C">
            <w:pPr>
              <w:jc w:val="center"/>
              <w:rPr>
                <w:color w:val="000000"/>
                <w:sz w:val="20"/>
                <w:szCs w:val="20"/>
              </w:rPr>
            </w:pPr>
            <w:r w:rsidRPr="00F54F89">
              <w:rPr>
                <w:color w:val="000000"/>
                <w:sz w:val="20"/>
                <w:szCs w:val="20"/>
              </w:rPr>
              <w:t xml:space="preserve">-31.44 </w:t>
            </w:r>
            <w:r w:rsidRPr="00F54F89">
              <w:rPr>
                <w:sz w:val="20"/>
                <w:szCs w:val="20"/>
              </w:rPr>
              <w:t>± 2.74</w:t>
            </w:r>
          </w:p>
        </w:tc>
      </w:tr>
      <w:tr w:rsidR="00444600" w:rsidRPr="00F54F89" w14:paraId="4A52B6AA"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688FF9C0"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F2</w:t>
            </w:r>
          </w:p>
        </w:tc>
        <w:tc>
          <w:tcPr>
            <w:tcW w:w="567" w:type="dxa"/>
            <w:tcBorders>
              <w:top w:val="nil"/>
              <w:left w:val="nil"/>
              <w:bottom w:val="nil"/>
              <w:right w:val="nil"/>
            </w:tcBorders>
            <w:shd w:val="clear" w:color="auto" w:fill="auto"/>
            <w:noWrap/>
            <w:vAlign w:val="bottom"/>
            <w:hideMark/>
          </w:tcPr>
          <w:p w14:paraId="766D272B"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5484A1EB"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1701" w:type="dxa"/>
            <w:tcBorders>
              <w:top w:val="nil"/>
              <w:left w:val="nil"/>
              <w:bottom w:val="nil"/>
              <w:right w:val="nil"/>
            </w:tcBorders>
            <w:shd w:val="clear" w:color="auto" w:fill="auto"/>
            <w:noWrap/>
            <w:vAlign w:val="bottom"/>
            <w:hideMark/>
          </w:tcPr>
          <w:p w14:paraId="7F44939A"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20 min</w:t>
            </w:r>
          </w:p>
        </w:tc>
        <w:tc>
          <w:tcPr>
            <w:tcW w:w="1134" w:type="dxa"/>
            <w:tcBorders>
              <w:top w:val="nil"/>
              <w:left w:val="nil"/>
              <w:bottom w:val="nil"/>
              <w:right w:val="nil"/>
            </w:tcBorders>
            <w:shd w:val="clear" w:color="auto" w:fill="auto"/>
            <w:noWrap/>
            <w:vAlign w:val="bottom"/>
            <w:hideMark/>
          </w:tcPr>
          <w:p w14:paraId="04DF75FB"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0BBDDB8E" w14:textId="77777777" w:rsidR="00444600" w:rsidRPr="00F54F89" w:rsidRDefault="00444600" w:rsidP="003A0A9C">
            <w:pPr>
              <w:jc w:val="center"/>
              <w:rPr>
                <w:color w:val="000000"/>
                <w:sz w:val="20"/>
                <w:szCs w:val="20"/>
                <w:lang w:eastAsia="en-GB"/>
              </w:rPr>
            </w:pPr>
            <w:r w:rsidRPr="00F54F89">
              <w:rPr>
                <w:color w:val="000000"/>
                <w:sz w:val="20"/>
                <w:szCs w:val="20"/>
              </w:rPr>
              <w:t xml:space="preserve">531.65 </w:t>
            </w:r>
            <w:r w:rsidRPr="00F54F89">
              <w:rPr>
                <w:sz w:val="20"/>
                <w:szCs w:val="20"/>
              </w:rPr>
              <w:t>± 46.25</w:t>
            </w:r>
          </w:p>
        </w:tc>
        <w:tc>
          <w:tcPr>
            <w:tcW w:w="1984" w:type="dxa"/>
            <w:tcBorders>
              <w:top w:val="nil"/>
              <w:left w:val="nil"/>
              <w:bottom w:val="nil"/>
              <w:right w:val="nil"/>
            </w:tcBorders>
            <w:vAlign w:val="bottom"/>
          </w:tcPr>
          <w:p w14:paraId="0D9C8100" w14:textId="77777777" w:rsidR="00444600" w:rsidRPr="00F54F89" w:rsidRDefault="00444600" w:rsidP="003A0A9C">
            <w:pPr>
              <w:jc w:val="center"/>
              <w:rPr>
                <w:color w:val="000000"/>
                <w:sz w:val="20"/>
                <w:szCs w:val="20"/>
                <w:lang w:eastAsia="en-GB"/>
              </w:rPr>
            </w:pPr>
            <w:r w:rsidRPr="00F54F89">
              <w:rPr>
                <w:color w:val="000000"/>
                <w:sz w:val="20"/>
                <w:szCs w:val="20"/>
              </w:rPr>
              <w:t xml:space="preserve">0.229 </w:t>
            </w:r>
            <w:r w:rsidRPr="00F54F89">
              <w:rPr>
                <w:sz w:val="20"/>
                <w:szCs w:val="20"/>
              </w:rPr>
              <w:t>± 0.02</w:t>
            </w:r>
          </w:p>
        </w:tc>
        <w:tc>
          <w:tcPr>
            <w:tcW w:w="1418" w:type="dxa"/>
            <w:tcBorders>
              <w:top w:val="nil"/>
              <w:left w:val="nil"/>
              <w:bottom w:val="nil"/>
              <w:right w:val="nil"/>
            </w:tcBorders>
            <w:vAlign w:val="bottom"/>
          </w:tcPr>
          <w:p w14:paraId="480D8922" w14:textId="77777777" w:rsidR="00444600" w:rsidRPr="00F54F89" w:rsidRDefault="00444600" w:rsidP="003A0A9C">
            <w:pPr>
              <w:jc w:val="center"/>
              <w:rPr>
                <w:color w:val="000000"/>
                <w:sz w:val="20"/>
                <w:szCs w:val="20"/>
              </w:rPr>
            </w:pPr>
            <w:r w:rsidRPr="00F54F89">
              <w:rPr>
                <w:color w:val="000000"/>
                <w:sz w:val="20"/>
                <w:szCs w:val="20"/>
              </w:rPr>
              <w:t xml:space="preserve">-31.98 </w:t>
            </w:r>
            <w:r w:rsidRPr="00F54F89">
              <w:rPr>
                <w:sz w:val="20"/>
                <w:szCs w:val="20"/>
              </w:rPr>
              <w:t>± 2.78</w:t>
            </w:r>
          </w:p>
        </w:tc>
      </w:tr>
      <w:tr w:rsidR="00444600" w:rsidRPr="00F54F89" w14:paraId="4A715838"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62368560"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F3</w:t>
            </w:r>
          </w:p>
        </w:tc>
        <w:tc>
          <w:tcPr>
            <w:tcW w:w="567" w:type="dxa"/>
            <w:tcBorders>
              <w:top w:val="nil"/>
              <w:left w:val="nil"/>
              <w:bottom w:val="nil"/>
              <w:right w:val="nil"/>
            </w:tcBorders>
            <w:shd w:val="clear" w:color="auto" w:fill="auto"/>
            <w:noWrap/>
            <w:vAlign w:val="bottom"/>
            <w:hideMark/>
          </w:tcPr>
          <w:p w14:paraId="60A7AA1C"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1B35E624"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 g</w:t>
            </w:r>
          </w:p>
        </w:tc>
        <w:tc>
          <w:tcPr>
            <w:tcW w:w="1701" w:type="dxa"/>
            <w:tcBorders>
              <w:top w:val="nil"/>
              <w:left w:val="nil"/>
              <w:bottom w:val="nil"/>
              <w:right w:val="nil"/>
            </w:tcBorders>
            <w:shd w:val="clear" w:color="auto" w:fill="auto"/>
            <w:noWrap/>
            <w:vAlign w:val="bottom"/>
            <w:hideMark/>
          </w:tcPr>
          <w:p w14:paraId="7DCAB11E"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10 min</w:t>
            </w:r>
          </w:p>
        </w:tc>
        <w:tc>
          <w:tcPr>
            <w:tcW w:w="1134" w:type="dxa"/>
            <w:tcBorders>
              <w:top w:val="nil"/>
              <w:left w:val="nil"/>
              <w:bottom w:val="nil"/>
              <w:right w:val="nil"/>
            </w:tcBorders>
            <w:shd w:val="clear" w:color="auto" w:fill="auto"/>
            <w:noWrap/>
            <w:vAlign w:val="bottom"/>
            <w:hideMark/>
          </w:tcPr>
          <w:p w14:paraId="63F9B505"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7DA27B05" w14:textId="77777777" w:rsidR="00444600" w:rsidRPr="00F54F89" w:rsidRDefault="00444600" w:rsidP="003A0A9C">
            <w:pPr>
              <w:jc w:val="center"/>
              <w:rPr>
                <w:color w:val="000000"/>
                <w:sz w:val="20"/>
                <w:szCs w:val="20"/>
                <w:lang w:eastAsia="en-GB"/>
              </w:rPr>
            </w:pPr>
            <w:r w:rsidRPr="00F54F89">
              <w:rPr>
                <w:color w:val="000000"/>
                <w:sz w:val="20"/>
                <w:szCs w:val="20"/>
              </w:rPr>
              <w:t xml:space="preserve">364.82 </w:t>
            </w:r>
            <w:r w:rsidRPr="00F54F89">
              <w:rPr>
                <w:sz w:val="20"/>
                <w:szCs w:val="20"/>
              </w:rPr>
              <w:t>± 31.74</w:t>
            </w:r>
          </w:p>
        </w:tc>
        <w:tc>
          <w:tcPr>
            <w:tcW w:w="1984" w:type="dxa"/>
            <w:tcBorders>
              <w:top w:val="nil"/>
              <w:left w:val="nil"/>
              <w:bottom w:val="nil"/>
              <w:right w:val="nil"/>
            </w:tcBorders>
            <w:vAlign w:val="bottom"/>
          </w:tcPr>
          <w:p w14:paraId="5D5678D5" w14:textId="77777777" w:rsidR="00444600" w:rsidRPr="00F54F89" w:rsidRDefault="00444600" w:rsidP="003A0A9C">
            <w:pPr>
              <w:jc w:val="center"/>
              <w:rPr>
                <w:color w:val="000000"/>
                <w:sz w:val="20"/>
                <w:szCs w:val="20"/>
                <w:lang w:eastAsia="en-GB"/>
              </w:rPr>
            </w:pPr>
            <w:r w:rsidRPr="00F54F89">
              <w:rPr>
                <w:color w:val="000000"/>
                <w:sz w:val="20"/>
                <w:szCs w:val="20"/>
              </w:rPr>
              <w:t xml:space="preserve">0.244 </w:t>
            </w:r>
            <w:r w:rsidRPr="00F54F89">
              <w:rPr>
                <w:sz w:val="20"/>
                <w:szCs w:val="20"/>
              </w:rPr>
              <w:t>± 0.02</w:t>
            </w:r>
          </w:p>
        </w:tc>
        <w:tc>
          <w:tcPr>
            <w:tcW w:w="1418" w:type="dxa"/>
            <w:tcBorders>
              <w:top w:val="nil"/>
              <w:left w:val="nil"/>
              <w:bottom w:val="nil"/>
              <w:right w:val="nil"/>
            </w:tcBorders>
            <w:vAlign w:val="bottom"/>
          </w:tcPr>
          <w:p w14:paraId="596673B2" w14:textId="77777777" w:rsidR="00444600" w:rsidRPr="00F54F89" w:rsidRDefault="00444600" w:rsidP="003A0A9C">
            <w:pPr>
              <w:jc w:val="center"/>
              <w:rPr>
                <w:color w:val="000000"/>
                <w:sz w:val="20"/>
                <w:szCs w:val="20"/>
              </w:rPr>
            </w:pPr>
            <w:r w:rsidRPr="00F54F89">
              <w:rPr>
                <w:color w:val="000000"/>
                <w:sz w:val="20"/>
                <w:szCs w:val="20"/>
              </w:rPr>
              <w:t xml:space="preserve">-34.09 </w:t>
            </w:r>
            <w:r w:rsidRPr="00F54F89">
              <w:rPr>
                <w:sz w:val="20"/>
                <w:szCs w:val="20"/>
              </w:rPr>
              <w:t>± 2.96</w:t>
            </w:r>
          </w:p>
        </w:tc>
      </w:tr>
      <w:tr w:rsidR="00444600" w:rsidRPr="00F54F89" w14:paraId="0387FCA7"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79522D0A"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F4</w:t>
            </w:r>
          </w:p>
        </w:tc>
        <w:tc>
          <w:tcPr>
            <w:tcW w:w="567" w:type="dxa"/>
            <w:tcBorders>
              <w:top w:val="nil"/>
              <w:left w:val="nil"/>
              <w:bottom w:val="nil"/>
              <w:right w:val="nil"/>
            </w:tcBorders>
            <w:shd w:val="clear" w:color="auto" w:fill="auto"/>
            <w:noWrap/>
            <w:vAlign w:val="bottom"/>
            <w:hideMark/>
          </w:tcPr>
          <w:p w14:paraId="6096CA86"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13E4541E"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 g</w:t>
            </w:r>
          </w:p>
        </w:tc>
        <w:tc>
          <w:tcPr>
            <w:tcW w:w="1701" w:type="dxa"/>
            <w:tcBorders>
              <w:top w:val="nil"/>
              <w:left w:val="nil"/>
              <w:bottom w:val="nil"/>
              <w:right w:val="nil"/>
            </w:tcBorders>
            <w:shd w:val="clear" w:color="auto" w:fill="auto"/>
            <w:noWrap/>
            <w:vAlign w:val="bottom"/>
            <w:hideMark/>
          </w:tcPr>
          <w:p w14:paraId="397BC9C8"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20 min</w:t>
            </w:r>
          </w:p>
        </w:tc>
        <w:tc>
          <w:tcPr>
            <w:tcW w:w="1134" w:type="dxa"/>
            <w:tcBorders>
              <w:top w:val="nil"/>
              <w:left w:val="nil"/>
              <w:bottom w:val="nil"/>
              <w:right w:val="nil"/>
            </w:tcBorders>
            <w:shd w:val="clear" w:color="auto" w:fill="auto"/>
            <w:noWrap/>
            <w:vAlign w:val="bottom"/>
            <w:hideMark/>
          </w:tcPr>
          <w:p w14:paraId="5CF8D10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5078BFEE" w14:textId="77777777" w:rsidR="00444600" w:rsidRPr="00F54F89" w:rsidRDefault="00444600" w:rsidP="003A0A9C">
            <w:pPr>
              <w:jc w:val="center"/>
              <w:rPr>
                <w:color w:val="000000"/>
                <w:sz w:val="20"/>
                <w:szCs w:val="20"/>
                <w:lang w:eastAsia="en-GB"/>
              </w:rPr>
            </w:pPr>
            <w:r w:rsidRPr="00F54F89">
              <w:rPr>
                <w:color w:val="000000"/>
                <w:sz w:val="20"/>
                <w:szCs w:val="20"/>
              </w:rPr>
              <w:t xml:space="preserve">335.64 </w:t>
            </w:r>
            <w:r w:rsidRPr="00F54F89">
              <w:rPr>
                <w:sz w:val="20"/>
                <w:szCs w:val="20"/>
              </w:rPr>
              <w:t>± 29.20</w:t>
            </w:r>
          </w:p>
        </w:tc>
        <w:tc>
          <w:tcPr>
            <w:tcW w:w="1984" w:type="dxa"/>
            <w:tcBorders>
              <w:top w:val="nil"/>
              <w:left w:val="nil"/>
              <w:bottom w:val="nil"/>
              <w:right w:val="nil"/>
            </w:tcBorders>
            <w:vAlign w:val="bottom"/>
          </w:tcPr>
          <w:p w14:paraId="4367EFFE" w14:textId="77777777" w:rsidR="00444600" w:rsidRPr="00F54F89" w:rsidRDefault="00444600" w:rsidP="003A0A9C">
            <w:pPr>
              <w:tabs>
                <w:tab w:val="left" w:pos="1305"/>
              </w:tabs>
              <w:jc w:val="center"/>
              <w:rPr>
                <w:color w:val="000000"/>
                <w:sz w:val="20"/>
                <w:szCs w:val="20"/>
                <w:lang w:eastAsia="en-GB"/>
              </w:rPr>
            </w:pPr>
            <w:r w:rsidRPr="00F54F89">
              <w:rPr>
                <w:color w:val="000000"/>
                <w:sz w:val="20"/>
                <w:szCs w:val="20"/>
              </w:rPr>
              <w:t xml:space="preserve">0.232 </w:t>
            </w:r>
            <w:r w:rsidRPr="00F54F89">
              <w:rPr>
                <w:sz w:val="20"/>
                <w:szCs w:val="20"/>
              </w:rPr>
              <w:t>± 0.02</w:t>
            </w:r>
          </w:p>
        </w:tc>
        <w:tc>
          <w:tcPr>
            <w:tcW w:w="1418" w:type="dxa"/>
            <w:tcBorders>
              <w:top w:val="nil"/>
              <w:left w:val="nil"/>
              <w:bottom w:val="nil"/>
              <w:right w:val="nil"/>
            </w:tcBorders>
            <w:vAlign w:val="bottom"/>
          </w:tcPr>
          <w:p w14:paraId="056EB7A6" w14:textId="77777777" w:rsidR="00444600" w:rsidRPr="00F54F89" w:rsidRDefault="00444600" w:rsidP="003A0A9C">
            <w:pPr>
              <w:jc w:val="center"/>
              <w:rPr>
                <w:color w:val="000000"/>
                <w:sz w:val="20"/>
                <w:szCs w:val="20"/>
              </w:rPr>
            </w:pPr>
            <w:r w:rsidRPr="00F54F89">
              <w:rPr>
                <w:color w:val="000000"/>
                <w:sz w:val="20"/>
                <w:szCs w:val="20"/>
              </w:rPr>
              <w:t xml:space="preserve">-35.01 </w:t>
            </w:r>
            <w:r w:rsidRPr="00F54F89">
              <w:rPr>
                <w:sz w:val="20"/>
                <w:szCs w:val="20"/>
              </w:rPr>
              <w:t>± 3.04</w:t>
            </w:r>
          </w:p>
        </w:tc>
      </w:tr>
      <w:tr w:rsidR="00444600" w:rsidRPr="00F54F89" w14:paraId="796B6B2C"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12F43FA1"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F5</w:t>
            </w:r>
          </w:p>
        </w:tc>
        <w:tc>
          <w:tcPr>
            <w:tcW w:w="567" w:type="dxa"/>
            <w:tcBorders>
              <w:top w:val="nil"/>
              <w:left w:val="nil"/>
              <w:bottom w:val="nil"/>
              <w:right w:val="nil"/>
            </w:tcBorders>
            <w:shd w:val="clear" w:color="auto" w:fill="auto"/>
            <w:noWrap/>
            <w:vAlign w:val="bottom"/>
            <w:hideMark/>
          </w:tcPr>
          <w:p w14:paraId="3F39B65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2415F470"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 g</w:t>
            </w:r>
          </w:p>
        </w:tc>
        <w:tc>
          <w:tcPr>
            <w:tcW w:w="1701" w:type="dxa"/>
            <w:tcBorders>
              <w:top w:val="nil"/>
              <w:left w:val="nil"/>
              <w:bottom w:val="nil"/>
              <w:right w:val="nil"/>
            </w:tcBorders>
            <w:shd w:val="clear" w:color="auto" w:fill="auto"/>
            <w:noWrap/>
            <w:vAlign w:val="bottom"/>
            <w:hideMark/>
          </w:tcPr>
          <w:p w14:paraId="794F40AE"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10 min</w:t>
            </w:r>
          </w:p>
        </w:tc>
        <w:tc>
          <w:tcPr>
            <w:tcW w:w="1134" w:type="dxa"/>
            <w:tcBorders>
              <w:top w:val="nil"/>
              <w:left w:val="nil"/>
              <w:bottom w:val="nil"/>
              <w:right w:val="nil"/>
            </w:tcBorders>
            <w:shd w:val="clear" w:color="auto" w:fill="auto"/>
            <w:noWrap/>
            <w:vAlign w:val="bottom"/>
            <w:hideMark/>
          </w:tcPr>
          <w:p w14:paraId="707144C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44695466" w14:textId="77777777" w:rsidR="00444600" w:rsidRPr="00F54F89" w:rsidRDefault="00444600" w:rsidP="003A0A9C">
            <w:pPr>
              <w:jc w:val="center"/>
              <w:rPr>
                <w:color w:val="000000"/>
                <w:sz w:val="20"/>
                <w:szCs w:val="20"/>
                <w:lang w:eastAsia="en-GB"/>
              </w:rPr>
            </w:pPr>
            <w:r w:rsidRPr="00F54F89">
              <w:rPr>
                <w:color w:val="000000"/>
                <w:sz w:val="20"/>
                <w:szCs w:val="20"/>
              </w:rPr>
              <w:t xml:space="preserve">473.97 </w:t>
            </w:r>
            <w:r w:rsidRPr="00F54F89">
              <w:rPr>
                <w:sz w:val="20"/>
                <w:szCs w:val="20"/>
              </w:rPr>
              <w:t>± 41.23</w:t>
            </w:r>
          </w:p>
        </w:tc>
        <w:tc>
          <w:tcPr>
            <w:tcW w:w="1984" w:type="dxa"/>
            <w:tcBorders>
              <w:top w:val="nil"/>
              <w:left w:val="nil"/>
              <w:bottom w:val="nil"/>
              <w:right w:val="nil"/>
            </w:tcBorders>
            <w:vAlign w:val="bottom"/>
          </w:tcPr>
          <w:p w14:paraId="17D7A480" w14:textId="77777777" w:rsidR="00444600" w:rsidRPr="00F54F89" w:rsidRDefault="00444600" w:rsidP="003A0A9C">
            <w:pPr>
              <w:jc w:val="center"/>
              <w:rPr>
                <w:color w:val="000000"/>
                <w:sz w:val="20"/>
                <w:szCs w:val="20"/>
                <w:lang w:eastAsia="en-GB"/>
              </w:rPr>
            </w:pPr>
            <w:r w:rsidRPr="00F54F89">
              <w:rPr>
                <w:color w:val="000000"/>
                <w:sz w:val="20"/>
                <w:szCs w:val="20"/>
              </w:rPr>
              <w:t xml:space="preserve">0.265 </w:t>
            </w:r>
            <w:r w:rsidRPr="00F54F89">
              <w:rPr>
                <w:sz w:val="20"/>
                <w:szCs w:val="20"/>
              </w:rPr>
              <w:t>± 0.02</w:t>
            </w:r>
          </w:p>
        </w:tc>
        <w:tc>
          <w:tcPr>
            <w:tcW w:w="1418" w:type="dxa"/>
            <w:tcBorders>
              <w:top w:val="nil"/>
              <w:left w:val="nil"/>
              <w:bottom w:val="nil"/>
              <w:right w:val="nil"/>
            </w:tcBorders>
            <w:vAlign w:val="bottom"/>
          </w:tcPr>
          <w:p w14:paraId="46CE7500" w14:textId="77777777" w:rsidR="00444600" w:rsidRPr="00F54F89" w:rsidRDefault="00444600" w:rsidP="003A0A9C">
            <w:pPr>
              <w:jc w:val="center"/>
              <w:rPr>
                <w:color w:val="000000"/>
                <w:sz w:val="20"/>
                <w:szCs w:val="20"/>
              </w:rPr>
            </w:pPr>
            <w:r w:rsidRPr="00F54F89">
              <w:rPr>
                <w:color w:val="000000"/>
                <w:sz w:val="20"/>
                <w:szCs w:val="20"/>
              </w:rPr>
              <w:t xml:space="preserve">-37.41 </w:t>
            </w:r>
            <w:r w:rsidRPr="00F54F89">
              <w:rPr>
                <w:sz w:val="20"/>
                <w:szCs w:val="20"/>
              </w:rPr>
              <w:t>± 3.25</w:t>
            </w:r>
          </w:p>
        </w:tc>
      </w:tr>
      <w:tr w:rsidR="00444600" w:rsidRPr="00F54F89" w14:paraId="2622774C"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28FB5F96"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F6</w:t>
            </w:r>
          </w:p>
        </w:tc>
        <w:tc>
          <w:tcPr>
            <w:tcW w:w="567" w:type="dxa"/>
            <w:tcBorders>
              <w:top w:val="nil"/>
              <w:left w:val="nil"/>
              <w:bottom w:val="nil"/>
              <w:right w:val="nil"/>
            </w:tcBorders>
            <w:shd w:val="clear" w:color="auto" w:fill="auto"/>
            <w:noWrap/>
            <w:vAlign w:val="bottom"/>
            <w:hideMark/>
          </w:tcPr>
          <w:p w14:paraId="4E8EC6D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566F4600"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 g</w:t>
            </w:r>
          </w:p>
        </w:tc>
        <w:tc>
          <w:tcPr>
            <w:tcW w:w="1701" w:type="dxa"/>
            <w:tcBorders>
              <w:top w:val="nil"/>
              <w:left w:val="nil"/>
              <w:bottom w:val="nil"/>
              <w:right w:val="nil"/>
            </w:tcBorders>
            <w:shd w:val="clear" w:color="auto" w:fill="auto"/>
            <w:noWrap/>
            <w:vAlign w:val="bottom"/>
            <w:hideMark/>
          </w:tcPr>
          <w:p w14:paraId="05DD5FAC"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20 min</w:t>
            </w:r>
          </w:p>
        </w:tc>
        <w:tc>
          <w:tcPr>
            <w:tcW w:w="1134" w:type="dxa"/>
            <w:tcBorders>
              <w:top w:val="nil"/>
              <w:left w:val="nil"/>
              <w:bottom w:val="nil"/>
              <w:right w:val="nil"/>
            </w:tcBorders>
            <w:shd w:val="clear" w:color="auto" w:fill="auto"/>
            <w:noWrap/>
            <w:vAlign w:val="bottom"/>
            <w:hideMark/>
          </w:tcPr>
          <w:p w14:paraId="18ABEBA8"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559" w:type="dxa"/>
            <w:tcBorders>
              <w:top w:val="nil"/>
              <w:left w:val="nil"/>
              <w:bottom w:val="nil"/>
              <w:right w:val="nil"/>
            </w:tcBorders>
            <w:vAlign w:val="bottom"/>
          </w:tcPr>
          <w:p w14:paraId="167C38EB" w14:textId="77777777" w:rsidR="00444600" w:rsidRPr="00F54F89" w:rsidRDefault="00444600" w:rsidP="003A0A9C">
            <w:pPr>
              <w:jc w:val="center"/>
              <w:rPr>
                <w:color w:val="000000"/>
                <w:sz w:val="20"/>
                <w:szCs w:val="20"/>
                <w:lang w:eastAsia="en-GB"/>
              </w:rPr>
            </w:pPr>
            <w:r w:rsidRPr="00F54F89">
              <w:rPr>
                <w:color w:val="000000"/>
                <w:sz w:val="20"/>
                <w:szCs w:val="20"/>
              </w:rPr>
              <w:t xml:space="preserve">447.65 </w:t>
            </w:r>
            <w:r w:rsidRPr="00F54F89">
              <w:rPr>
                <w:sz w:val="20"/>
                <w:szCs w:val="20"/>
              </w:rPr>
              <w:t>± 38.95</w:t>
            </w:r>
          </w:p>
        </w:tc>
        <w:tc>
          <w:tcPr>
            <w:tcW w:w="1984" w:type="dxa"/>
            <w:tcBorders>
              <w:top w:val="nil"/>
              <w:left w:val="nil"/>
              <w:bottom w:val="nil"/>
              <w:right w:val="nil"/>
            </w:tcBorders>
            <w:vAlign w:val="bottom"/>
          </w:tcPr>
          <w:p w14:paraId="36A03B48" w14:textId="77777777" w:rsidR="00444600" w:rsidRPr="00F54F89" w:rsidRDefault="00444600" w:rsidP="003A0A9C">
            <w:pPr>
              <w:jc w:val="center"/>
              <w:rPr>
                <w:color w:val="000000"/>
                <w:sz w:val="20"/>
                <w:szCs w:val="20"/>
                <w:lang w:eastAsia="en-GB"/>
              </w:rPr>
            </w:pPr>
            <w:r w:rsidRPr="00F54F89">
              <w:rPr>
                <w:color w:val="000000"/>
                <w:sz w:val="20"/>
                <w:szCs w:val="20"/>
              </w:rPr>
              <w:t xml:space="preserve">0.262 </w:t>
            </w:r>
            <w:r w:rsidRPr="00F54F89">
              <w:rPr>
                <w:sz w:val="20"/>
                <w:szCs w:val="20"/>
              </w:rPr>
              <w:t>± 0.02</w:t>
            </w:r>
          </w:p>
        </w:tc>
        <w:tc>
          <w:tcPr>
            <w:tcW w:w="1418" w:type="dxa"/>
            <w:tcBorders>
              <w:top w:val="nil"/>
              <w:left w:val="nil"/>
              <w:bottom w:val="nil"/>
              <w:right w:val="nil"/>
            </w:tcBorders>
            <w:vAlign w:val="bottom"/>
          </w:tcPr>
          <w:p w14:paraId="3C0EFD91" w14:textId="77777777" w:rsidR="00444600" w:rsidRPr="00F54F89" w:rsidRDefault="00444600" w:rsidP="003A0A9C">
            <w:pPr>
              <w:jc w:val="center"/>
              <w:rPr>
                <w:color w:val="000000"/>
                <w:sz w:val="20"/>
                <w:szCs w:val="20"/>
              </w:rPr>
            </w:pPr>
            <w:r w:rsidRPr="00F54F89">
              <w:rPr>
                <w:color w:val="000000"/>
                <w:sz w:val="20"/>
                <w:szCs w:val="20"/>
              </w:rPr>
              <w:t xml:space="preserve">-36.91 </w:t>
            </w:r>
            <w:r w:rsidRPr="00F54F89">
              <w:rPr>
                <w:sz w:val="20"/>
                <w:szCs w:val="20"/>
              </w:rPr>
              <w:t>± 3.21</w:t>
            </w:r>
          </w:p>
        </w:tc>
      </w:tr>
      <w:tr w:rsidR="00444600" w:rsidRPr="00F54F89" w14:paraId="12E4B2AC"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13476D5D"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F7</w:t>
            </w:r>
          </w:p>
        </w:tc>
        <w:tc>
          <w:tcPr>
            <w:tcW w:w="567" w:type="dxa"/>
            <w:tcBorders>
              <w:top w:val="nil"/>
              <w:left w:val="nil"/>
              <w:bottom w:val="nil"/>
              <w:right w:val="nil"/>
            </w:tcBorders>
            <w:shd w:val="clear" w:color="auto" w:fill="auto"/>
            <w:noWrap/>
            <w:vAlign w:val="bottom"/>
            <w:hideMark/>
          </w:tcPr>
          <w:p w14:paraId="363B3897"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18F6CE5A"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1701" w:type="dxa"/>
            <w:tcBorders>
              <w:top w:val="nil"/>
              <w:left w:val="nil"/>
              <w:bottom w:val="nil"/>
              <w:right w:val="nil"/>
            </w:tcBorders>
            <w:shd w:val="clear" w:color="auto" w:fill="auto"/>
            <w:noWrap/>
            <w:vAlign w:val="bottom"/>
            <w:hideMark/>
          </w:tcPr>
          <w:p w14:paraId="4F570FD6"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nil"/>
              <w:right w:val="nil"/>
            </w:tcBorders>
            <w:shd w:val="clear" w:color="auto" w:fill="auto"/>
            <w:noWrap/>
            <w:vAlign w:val="bottom"/>
            <w:hideMark/>
          </w:tcPr>
          <w:p w14:paraId="5A0766F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30 min</w:t>
            </w:r>
          </w:p>
        </w:tc>
        <w:tc>
          <w:tcPr>
            <w:tcW w:w="1559" w:type="dxa"/>
            <w:tcBorders>
              <w:top w:val="nil"/>
              <w:left w:val="nil"/>
              <w:bottom w:val="nil"/>
              <w:right w:val="nil"/>
            </w:tcBorders>
            <w:vAlign w:val="bottom"/>
          </w:tcPr>
          <w:p w14:paraId="69063D50" w14:textId="77777777" w:rsidR="00444600" w:rsidRPr="00F54F89" w:rsidRDefault="00444600" w:rsidP="003A0A9C">
            <w:pPr>
              <w:jc w:val="center"/>
              <w:rPr>
                <w:color w:val="000000"/>
                <w:sz w:val="20"/>
                <w:szCs w:val="20"/>
                <w:lang w:eastAsia="en-GB"/>
              </w:rPr>
            </w:pPr>
            <w:r w:rsidRPr="00F54F89">
              <w:rPr>
                <w:color w:val="000000"/>
                <w:sz w:val="20"/>
                <w:szCs w:val="20"/>
              </w:rPr>
              <w:t xml:space="preserve">565.23 </w:t>
            </w:r>
            <w:r w:rsidRPr="00F54F89">
              <w:rPr>
                <w:sz w:val="20"/>
                <w:szCs w:val="20"/>
              </w:rPr>
              <w:t>± 49.17</w:t>
            </w:r>
          </w:p>
        </w:tc>
        <w:tc>
          <w:tcPr>
            <w:tcW w:w="1984" w:type="dxa"/>
            <w:tcBorders>
              <w:top w:val="nil"/>
              <w:left w:val="nil"/>
              <w:bottom w:val="nil"/>
              <w:right w:val="nil"/>
            </w:tcBorders>
            <w:vAlign w:val="bottom"/>
          </w:tcPr>
          <w:p w14:paraId="2F6B249E" w14:textId="77777777" w:rsidR="00444600" w:rsidRPr="00F54F89" w:rsidRDefault="00444600" w:rsidP="003A0A9C">
            <w:pPr>
              <w:jc w:val="center"/>
              <w:rPr>
                <w:color w:val="000000"/>
                <w:sz w:val="20"/>
                <w:szCs w:val="20"/>
                <w:lang w:eastAsia="en-GB"/>
              </w:rPr>
            </w:pPr>
            <w:r w:rsidRPr="00F54F89">
              <w:rPr>
                <w:color w:val="000000"/>
                <w:sz w:val="20"/>
                <w:szCs w:val="20"/>
              </w:rPr>
              <w:t xml:space="preserve">0.261 </w:t>
            </w:r>
            <w:r w:rsidRPr="00F54F89">
              <w:rPr>
                <w:sz w:val="20"/>
                <w:szCs w:val="20"/>
              </w:rPr>
              <w:t>± 0.02</w:t>
            </w:r>
          </w:p>
        </w:tc>
        <w:tc>
          <w:tcPr>
            <w:tcW w:w="1418" w:type="dxa"/>
            <w:tcBorders>
              <w:top w:val="nil"/>
              <w:left w:val="nil"/>
              <w:bottom w:val="nil"/>
              <w:right w:val="nil"/>
            </w:tcBorders>
            <w:vAlign w:val="bottom"/>
          </w:tcPr>
          <w:p w14:paraId="3C689338" w14:textId="77777777" w:rsidR="00444600" w:rsidRPr="00F54F89" w:rsidRDefault="00444600" w:rsidP="003A0A9C">
            <w:pPr>
              <w:jc w:val="center"/>
              <w:rPr>
                <w:color w:val="000000"/>
                <w:sz w:val="20"/>
                <w:szCs w:val="20"/>
              </w:rPr>
            </w:pPr>
            <w:r w:rsidRPr="00F54F89">
              <w:rPr>
                <w:color w:val="000000"/>
                <w:sz w:val="20"/>
                <w:szCs w:val="20"/>
              </w:rPr>
              <w:t xml:space="preserve">-30.98 </w:t>
            </w:r>
            <w:r w:rsidRPr="00F54F89">
              <w:rPr>
                <w:sz w:val="20"/>
                <w:szCs w:val="20"/>
              </w:rPr>
              <w:t>± 2.69</w:t>
            </w:r>
          </w:p>
        </w:tc>
      </w:tr>
      <w:tr w:rsidR="00444600" w:rsidRPr="00F54F89" w14:paraId="4C439939"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6AA73677"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F8</w:t>
            </w:r>
          </w:p>
        </w:tc>
        <w:tc>
          <w:tcPr>
            <w:tcW w:w="567" w:type="dxa"/>
            <w:tcBorders>
              <w:top w:val="nil"/>
              <w:left w:val="nil"/>
              <w:bottom w:val="nil"/>
              <w:right w:val="nil"/>
            </w:tcBorders>
            <w:shd w:val="clear" w:color="auto" w:fill="auto"/>
            <w:noWrap/>
            <w:vAlign w:val="bottom"/>
            <w:hideMark/>
          </w:tcPr>
          <w:p w14:paraId="2BE1661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01169205"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1701" w:type="dxa"/>
            <w:tcBorders>
              <w:top w:val="nil"/>
              <w:left w:val="nil"/>
              <w:bottom w:val="nil"/>
              <w:right w:val="nil"/>
            </w:tcBorders>
            <w:shd w:val="clear" w:color="auto" w:fill="auto"/>
            <w:noWrap/>
            <w:vAlign w:val="bottom"/>
            <w:hideMark/>
          </w:tcPr>
          <w:p w14:paraId="59EC817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nil"/>
              <w:right w:val="nil"/>
            </w:tcBorders>
            <w:shd w:val="clear" w:color="auto" w:fill="auto"/>
            <w:noWrap/>
            <w:vAlign w:val="bottom"/>
            <w:hideMark/>
          </w:tcPr>
          <w:p w14:paraId="613070AD" w14:textId="77777777" w:rsidR="00444600" w:rsidRPr="00F54F89" w:rsidRDefault="00444600" w:rsidP="003A0A9C">
            <w:pPr>
              <w:jc w:val="center"/>
              <w:rPr>
                <w:color w:val="000000"/>
                <w:sz w:val="20"/>
                <w:szCs w:val="20"/>
                <w:lang w:eastAsia="en-GB"/>
              </w:rPr>
            </w:pPr>
            <w:r w:rsidRPr="00F54F89">
              <w:rPr>
                <w:color w:val="000000"/>
                <w:sz w:val="20"/>
                <w:szCs w:val="20"/>
                <w:lang w:eastAsia="en-GB"/>
              </w:rPr>
              <w:t>60 min</w:t>
            </w:r>
          </w:p>
        </w:tc>
        <w:tc>
          <w:tcPr>
            <w:tcW w:w="1559" w:type="dxa"/>
            <w:tcBorders>
              <w:top w:val="nil"/>
              <w:left w:val="nil"/>
              <w:bottom w:val="nil"/>
              <w:right w:val="nil"/>
            </w:tcBorders>
            <w:vAlign w:val="bottom"/>
          </w:tcPr>
          <w:p w14:paraId="1A5F811B" w14:textId="77777777" w:rsidR="00444600" w:rsidRPr="00F54F89" w:rsidRDefault="00444600" w:rsidP="003A0A9C">
            <w:pPr>
              <w:jc w:val="center"/>
              <w:rPr>
                <w:color w:val="000000"/>
                <w:sz w:val="20"/>
                <w:szCs w:val="20"/>
                <w:lang w:eastAsia="en-GB"/>
              </w:rPr>
            </w:pPr>
            <w:r w:rsidRPr="00F54F89">
              <w:rPr>
                <w:color w:val="000000"/>
                <w:sz w:val="20"/>
                <w:szCs w:val="20"/>
              </w:rPr>
              <w:t xml:space="preserve">320.97 </w:t>
            </w:r>
            <w:r w:rsidRPr="00F54F89">
              <w:rPr>
                <w:sz w:val="20"/>
                <w:szCs w:val="20"/>
              </w:rPr>
              <w:t>± 27.92</w:t>
            </w:r>
          </w:p>
        </w:tc>
        <w:tc>
          <w:tcPr>
            <w:tcW w:w="1984" w:type="dxa"/>
            <w:tcBorders>
              <w:top w:val="nil"/>
              <w:left w:val="nil"/>
              <w:bottom w:val="nil"/>
              <w:right w:val="nil"/>
            </w:tcBorders>
            <w:vAlign w:val="bottom"/>
          </w:tcPr>
          <w:p w14:paraId="5CE89DA2" w14:textId="77777777" w:rsidR="00444600" w:rsidRPr="00F54F89" w:rsidRDefault="00444600" w:rsidP="003A0A9C">
            <w:pPr>
              <w:jc w:val="center"/>
              <w:rPr>
                <w:color w:val="000000"/>
                <w:sz w:val="20"/>
                <w:szCs w:val="20"/>
                <w:lang w:eastAsia="en-GB"/>
              </w:rPr>
            </w:pPr>
            <w:r w:rsidRPr="00F54F89">
              <w:rPr>
                <w:color w:val="000000"/>
                <w:sz w:val="20"/>
                <w:szCs w:val="20"/>
              </w:rPr>
              <w:t xml:space="preserve">0.231 </w:t>
            </w:r>
            <w:r w:rsidRPr="00F54F89">
              <w:rPr>
                <w:sz w:val="20"/>
                <w:szCs w:val="20"/>
              </w:rPr>
              <w:t>± 0.02</w:t>
            </w:r>
          </w:p>
        </w:tc>
        <w:tc>
          <w:tcPr>
            <w:tcW w:w="1418" w:type="dxa"/>
            <w:tcBorders>
              <w:top w:val="nil"/>
              <w:left w:val="nil"/>
              <w:bottom w:val="nil"/>
              <w:right w:val="nil"/>
            </w:tcBorders>
            <w:vAlign w:val="bottom"/>
          </w:tcPr>
          <w:p w14:paraId="62F42BDD" w14:textId="77777777" w:rsidR="00444600" w:rsidRPr="00F54F89" w:rsidRDefault="00444600" w:rsidP="003A0A9C">
            <w:pPr>
              <w:jc w:val="center"/>
              <w:rPr>
                <w:color w:val="000000"/>
                <w:sz w:val="20"/>
                <w:szCs w:val="20"/>
              </w:rPr>
            </w:pPr>
            <w:r w:rsidRPr="00F54F89">
              <w:rPr>
                <w:color w:val="000000"/>
                <w:sz w:val="20"/>
                <w:szCs w:val="20"/>
              </w:rPr>
              <w:t xml:space="preserve">-31.04 </w:t>
            </w:r>
            <w:r w:rsidRPr="00F54F89">
              <w:rPr>
                <w:sz w:val="20"/>
                <w:szCs w:val="20"/>
              </w:rPr>
              <w:t>± 2.70</w:t>
            </w:r>
          </w:p>
        </w:tc>
      </w:tr>
      <w:tr w:rsidR="00444600" w:rsidRPr="00F54F89" w14:paraId="6F44939D"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5859F4AD"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F9</w:t>
            </w:r>
          </w:p>
        </w:tc>
        <w:tc>
          <w:tcPr>
            <w:tcW w:w="567" w:type="dxa"/>
            <w:tcBorders>
              <w:top w:val="nil"/>
              <w:left w:val="nil"/>
              <w:bottom w:val="nil"/>
              <w:right w:val="nil"/>
            </w:tcBorders>
            <w:shd w:val="clear" w:color="auto" w:fill="auto"/>
            <w:noWrap/>
            <w:vAlign w:val="bottom"/>
            <w:hideMark/>
          </w:tcPr>
          <w:p w14:paraId="0E0C69F1"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0D48F4E8"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 g</w:t>
            </w:r>
          </w:p>
        </w:tc>
        <w:tc>
          <w:tcPr>
            <w:tcW w:w="1701" w:type="dxa"/>
            <w:tcBorders>
              <w:top w:val="nil"/>
              <w:left w:val="nil"/>
              <w:bottom w:val="nil"/>
              <w:right w:val="nil"/>
            </w:tcBorders>
            <w:shd w:val="clear" w:color="auto" w:fill="auto"/>
            <w:noWrap/>
            <w:vAlign w:val="bottom"/>
            <w:hideMark/>
          </w:tcPr>
          <w:p w14:paraId="42E81E28"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nil"/>
              <w:right w:val="nil"/>
            </w:tcBorders>
            <w:shd w:val="clear" w:color="auto" w:fill="auto"/>
            <w:noWrap/>
            <w:vAlign w:val="bottom"/>
            <w:hideMark/>
          </w:tcPr>
          <w:p w14:paraId="5DD9AF02"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30 min</w:t>
            </w:r>
          </w:p>
        </w:tc>
        <w:tc>
          <w:tcPr>
            <w:tcW w:w="1559" w:type="dxa"/>
            <w:tcBorders>
              <w:top w:val="nil"/>
              <w:left w:val="nil"/>
              <w:bottom w:val="nil"/>
              <w:right w:val="nil"/>
            </w:tcBorders>
            <w:vAlign w:val="bottom"/>
          </w:tcPr>
          <w:p w14:paraId="031BCEB3" w14:textId="77777777" w:rsidR="00444600" w:rsidRPr="00F54F89" w:rsidRDefault="00444600" w:rsidP="003A0A9C">
            <w:pPr>
              <w:jc w:val="center"/>
              <w:rPr>
                <w:color w:val="000000"/>
                <w:sz w:val="20"/>
                <w:szCs w:val="20"/>
                <w:lang w:eastAsia="en-GB"/>
              </w:rPr>
            </w:pPr>
            <w:r w:rsidRPr="00F54F89">
              <w:rPr>
                <w:color w:val="000000"/>
                <w:sz w:val="20"/>
                <w:szCs w:val="20"/>
              </w:rPr>
              <w:t xml:space="preserve">280.71 </w:t>
            </w:r>
            <w:r w:rsidRPr="00F54F89">
              <w:rPr>
                <w:sz w:val="20"/>
                <w:szCs w:val="20"/>
              </w:rPr>
              <w:t>± 24.42</w:t>
            </w:r>
          </w:p>
        </w:tc>
        <w:tc>
          <w:tcPr>
            <w:tcW w:w="1984" w:type="dxa"/>
            <w:tcBorders>
              <w:top w:val="nil"/>
              <w:left w:val="nil"/>
              <w:bottom w:val="nil"/>
              <w:right w:val="nil"/>
            </w:tcBorders>
            <w:vAlign w:val="bottom"/>
          </w:tcPr>
          <w:p w14:paraId="5CD55CE0" w14:textId="77777777" w:rsidR="00444600" w:rsidRPr="00F54F89" w:rsidRDefault="00444600" w:rsidP="003A0A9C">
            <w:pPr>
              <w:jc w:val="center"/>
              <w:rPr>
                <w:color w:val="000000"/>
                <w:sz w:val="20"/>
                <w:szCs w:val="20"/>
                <w:lang w:eastAsia="en-GB"/>
              </w:rPr>
            </w:pPr>
            <w:r w:rsidRPr="00F54F89">
              <w:rPr>
                <w:color w:val="000000"/>
                <w:sz w:val="20"/>
                <w:szCs w:val="20"/>
              </w:rPr>
              <w:t xml:space="preserve">0.253 </w:t>
            </w:r>
            <w:r w:rsidRPr="00F54F89">
              <w:rPr>
                <w:sz w:val="20"/>
                <w:szCs w:val="20"/>
              </w:rPr>
              <w:t>± 0.02</w:t>
            </w:r>
          </w:p>
        </w:tc>
        <w:tc>
          <w:tcPr>
            <w:tcW w:w="1418" w:type="dxa"/>
            <w:tcBorders>
              <w:top w:val="nil"/>
              <w:left w:val="nil"/>
              <w:bottom w:val="nil"/>
              <w:right w:val="nil"/>
            </w:tcBorders>
            <w:vAlign w:val="bottom"/>
          </w:tcPr>
          <w:p w14:paraId="0058F1E5" w14:textId="77777777" w:rsidR="00444600" w:rsidRPr="00F54F89" w:rsidRDefault="00444600" w:rsidP="003A0A9C">
            <w:pPr>
              <w:jc w:val="center"/>
              <w:rPr>
                <w:color w:val="000000"/>
                <w:sz w:val="20"/>
                <w:szCs w:val="20"/>
              </w:rPr>
            </w:pPr>
            <w:r w:rsidRPr="00F54F89">
              <w:rPr>
                <w:color w:val="000000"/>
                <w:sz w:val="20"/>
                <w:szCs w:val="20"/>
              </w:rPr>
              <w:t xml:space="preserve">-32.45 </w:t>
            </w:r>
            <w:r w:rsidRPr="00F54F89">
              <w:rPr>
                <w:sz w:val="20"/>
                <w:szCs w:val="20"/>
              </w:rPr>
              <w:t>± 2.82</w:t>
            </w:r>
          </w:p>
        </w:tc>
      </w:tr>
      <w:tr w:rsidR="00444600" w:rsidRPr="00F54F89" w14:paraId="5C587F50"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34DFDB6F"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F10</w:t>
            </w:r>
          </w:p>
        </w:tc>
        <w:tc>
          <w:tcPr>
            <w:tcW w:w="567" w:type="dxa"/>
            <w:tcBorders>
              <w:top w:val="nil"/>
              <w:left w:val="nil"/>
              <w:bottom w:val="nil"/>
              <w:right w:val="nil"/>
            </w:tcBorders>
            <w:shd w:val="clear" w:color="auto" w:fill="auto"/>
            <w:noWrap/>
            <w:vAlign w:val="bottom"/>
            <w:hideMark/>
          </w:tcPr>
          <w:p w14:paraId="0AF1FAAF"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002AB863" w14:textId="77777777" w:rsidR="00444600" w:rsidRPr="00F54F89" w:rsidRDefault="00444600" w:rsidP="003A0A9C">
            <w:pPr>
              <w:jc w:val="center"/>
              <w:rPr>
                <w:color w:val="000000"/>
                <w:sz w:val="20"/>
                <w:szCs w:val="20"/>
                <w:lang w:eastAsia="en-GB"/>
              </w:rPr>
            </w:pPr>
            <w:r w:rsidRPr="00F54F89">
              <w:rPr>
                <w:color w:val="000000"/>
                <w:sz w:val="20"/>
                <w:szCs w:val="20"/>
                <w:lang w:eastAsia="en-GB"/>
              </w:rPr>
              <w:t>2 g</w:t>
            </w:r>
          </w:p>
        </w:tc>
        <w:tc>
          <w:tcPr>
            <w:tcW w:w="1701" w:type="dxa"/>
            <w:tcBorders>
              <w:top w:val="nil"/>
              <w:left w:val="nil"/>
              <w:bottom w:val="nil"/>
              <w:right w:val="nil"/>
            </w:tcBorders>
            <w:shd w:val="clear" w:color="auto" w:fill="auto"/>
            <w:noWrap/>
            <w:vAlign w:val="bottom"/>
            <w:hideMark/>
          </w:tcPr>
          <w:p w14:paraId="01F052E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nil"/>
              <w:right w:val="nil"/>
            </w:tcBorders>
            <w:shd w:val="clear" w:color="auto" w:fill="auto"/>
            <w:noWrap/>
            <w:vAlign w:val="bottom"/>
            <w:hideMark/>
          </w:tcPr>
          <w:p w14:paraId="7BA956CF" w14:textId="77777777" w:rsidR="00444600" w:rsidRPr="00F54F89" w:rsidRDefault="00444600" w:rsidP="003A0A9C">
            <w:pPr>
              <w:jc w:val="center"/>
              <w:rPr>
                <w:color w:val="000000"/>
                <w:sz w:val="20"/>
                <w:szCs w:val="20"/>
                <w:lang w:eastAsia="en-GB"/>
              </w:rPr>
            </w:pPr>
            <w:r w:rsidRPr="00F54F89">
              <w:rPr>
                <w:color w:val="000000"/>
                <w:sz w:val="20"/>
                <w:szCs w:val="20"/>
                <w:lang w:eastAsia="en-GB"/>
              </w:rPr>
              <w:t>60 min</w:t>
            </w:r>
          </w:p>
        </w:tc>
        <w:tc>
          <w:tcPr>
            <w:tcW w:w="1559" w:type="dxa"/>
            <w:tcBorders>
              <w:top w:val="nil"/>
              <w:left w:val="nil"/>
              <w:bottom w:val="nil"/>
              <w:right w:val="nil"/>
            </w:tcBorders>
            <w:vAlign w:val="bottom"/>
          </w:tcPr>
          <w:p w14:paraId="2A744B2F" w14:textId="77777777" w:rsidR="00444600" w:rsidRPr="00F54F89" w:rsidRDefault="00444600" w:rsidP="003A0A9C">
            <w:pPr>
              <w:jc w:val="center"/>
              <w:rPr>
                <w:color w:val="000000"/>
                <w:sz w:val="20"/>
                <w:szCs w:val="20"/>
                <w:lang w:eastAsia="en-GB"/>
              </w:rPr>
            </w:pPr>
            <w:r w:rsidRPr="00F54F89">
              <w:rPr>
                <w:color w:val="000000"/>
                <w:sz w:val="20"/>
                <w:szCs w:val="20"/>
              </w:rPr>
              <w:t xml:space="preserve">247.98 </w:t>
            </w:r>
            <w:r w:rsidRPr="00F54F89">
              <w:rPr>
                <w:sz w:val="20"/>
                <w:szCs w:val="20"/>
              </w:rPr>
              <w:t>± 21.57</w:t>
            </w:r>
          </w:p>
        </w:tc>
        <w:tc>
          <w:tcPr>
            <w:tcW w:w="1984" w:type="dxa"/>
            <w:tcBorders>
              <w:top w:val="nil"/>
              <w:left w:val="nil"/>
              <w:bottom w:val="nil"/>
              <w:right w:val="nil"/>
            </w:tcBorders>
            <w:vAlign w:val="bottom"/>
          </w:tcPr>
          <w:p w14:paraId="4A7517C6" w14:textId="77777777" w:rsidR="00444600" w:rsidRPr="00F54F89" w:rsidRDefault="00444600" w:rsidP="003A0A9C">
            <w:pPr>
              <w:jc w:val="center"/>
              <w:rPr>
                <w:color w:val="000000"/>
                <w:sz w:val="20"/>
                <w:szCs w:val="20"/>
                <w:lang w:eastAsia="en-GB"/>
              </w:rPr>
            </w:pPr>
            <w:r w:rsidRPr="00F54F89">
              <w:rPr>
                <w:color w:val="000000"/>
                <w:sz w:val="20"/>
                <w:szCs w:val="20"/>
              </w:rPr>
              <w:t xml:space="preserve">0.249 </w:t>
            </w:r>
            <w:r w:rsidRPr="00F54F89">
              <w:rPr>
                <w:sz w:val="20"/>
                <w:szCs w:val="20"/>
              </w:rPr>
              <w:t>± 0.02</w:t>
            </w:r>
          </w:p>
        </w:tc>
        <w:tc>
          <w:tcPr>
            <w:tcW w:w="1418" w:type="dxa"/>
            <w:tcBorders>
              <w:top w:val="nil"/>
              <w:left w:val="nil"/>
              <w:bottom w:val="nil"/>
              <w:right w:val="nil"/>
            </w:tcBorders>
            <w:vAlign w:val="bottom"/>
          </w:tcPr>
          <w:p w14:paraId="091DEEA2" w14:textId="77777777" w:rsidR="00444600" w:rsidRPr="00F54F89" w:rsidRDefault="00444600" w:rsidP="003A0A9C">
            <w:pPr>
              <w:jc w:val="center"/>
              <w:rPr>
                <w:color w:val="000000"/>
                <w:sz w:val="20"/>
                <w:szCs w:val="20"/>
              </w:rPr>
            </w:pPr>
            <w:r w:rsidRPr="00F54F89">
              <w:rPr>
                <w:color w:val="000000"/>
                <w:sz w:val="20"/>
                <w:szCs w:val="20"/>
              </w:rPr>
              <w:t xml:space="preserve">-33.76 </w:t>
            </w:r>
            <w:r w:rsidRPr="00F54F89">
              <w:rPr>
                <w:sz w:val="20"/>
                <w:szCs w:val="20"/>
              </w:rPr>
              <w:t>± 2.93</w:t>
            </w:r>
          </w:p>
        </w:tc>
      </w:tr>
      <w:tr w:rsidR="00444600" w:rsidRPr="00F54F89" w14:paraId="1252CCDA" w14:textId="77777777" w:rsidTr="003A0A9C">
        <w:trPr>
          <w:trHeight w:val="300"/>
          <w:jc w:val="center"/>
        </w:trPr>
        <w:tc>
          <w:tcPr>
            <w:tcW w:w="1418" w:type="dxa"/>
            <w:tcBorders>
              <w:top w:val="nil"/>
              <w:left w:val="nil"/>
              <w:bottom w:val="nil"/>
              <w:right w:val="nil"/>
            </w:tcBorders>
            <w:shd w:val="clear" w:color="auto" w:fill="auto"/>
            <w:noWrap/>
            <w:vAlign w:val="bottom"/>
            <w:hideMark/>
          </w:tcPr>
          <w:p w14:paraId="4A18FE52"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F11</w:t>
            </w:r>
          </w:p>
        </w:tc>
        <w:tc>
          <w:tcPr>
            <w:tcW w:w="567" w:type="dxa"/>
            <w:tcBorders>
              <w:top w:val="nil"/>
              <w:left w:val="nil"/>
              <w:bottom w:val="nil"/>
              <w:right w:val="nil"/>
            </w:tcBorders>
            <w:shd w:val="clear" w:color="auto" w:fill="auto"/>
            <w:noWrap/>
            <w:vAlign w:val="bottom"/>
            <w:hideMark/>
          </w:tcPr>
          <w:p w14:paraId="3BE17CF6"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nil"/>
              <w:right w:val="nil"/>
            </w:tcBorders>
            <w:shd w:val="clear" w:color="auto" w:fill="auto"/>
            <w:noWrap/>
            <w:vAlign w:val="bottom"/>
            <w:hideMark/>
          </w:tcPr>
          <w:p w14:paraId="5483B5CB"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 g</w:t>
            </w:r>
          </w:p>
        </w:tc>
        <w:tc>
          <w:tcPr>
            <w:tcW w:w="1701" w:type="dxa"/>
            <w:tcBorders>
              <w:top w:val="nil"/>
              <w:left w:val="nil"/>
              <w:bottom w:val="nil"/>
              <w:right w:val="nil"/>
            </w:tcBorders>
            <w:shd w:val="clear" w:color="auto" w:fill="auto"/>
            <w:noWrap/>
            <w:vAlign w:val="bottom"/>
            <w:hideMark/>
          </w:tcPr>
          <w:p w14:paraId="5BE21113"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nil"/>
              <w:right w:val="nil"/>
            </w:tcBorders>
            <w:shd w:val="clear" w:color="auto" w:fill="auto"/>
            <w:noWrap/>
            <w:vAlign w:val="bottom"/>
            <w:hideMark/>
          </w:tcPr>
          <w:p w14:paraId="0AB5E810"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30 min</w:t>
            </w:r>
          </w:p>
        </w:tc>
        <w:tc>
          <w:tcPr>
            <w:tcW w:w="1559" w:type="dxa"/>
            <w:tcBorders>
              <w:top w:val="nil"/>
              <w:left w:val="nil"/>
              <w:bottom w:val="nil"/>
              <w:right w:val="nil"/>
            </w:tcBorders>
            <w:vAlign w:val="bottom"/>
          </w:tcPr>
          <w:p w14:paraId="7F945F56" w14:textId="77777777" w:rsidR="00444600" w:rsidRPr="00F54F89" w:rsidRDefault="00444600" w:rsidP="003A0A9C">
            <w:pPr>
              <w:jc w:val="center"/>
              <w:rPr>
                <w:color w:val="000000"/>
                <w:sz w:val="20"/>
                <w:szCs w:val="20"/>
                <w:lang w:eastAsia="en-GB"/>
              </w:rPr>
            </w:pPr>
            <w:r w:rsidRPr="00F54F89">
              <w:rPr>
                <w:color w:val="000000"/>
                <w:sz w:val="20"/>
                <w:szCs w:val="20"/>
              </w:rPr>
              <w:t xml:space="preserve">398.31 </w:t>
            </w:r>
            <w:r w:rsidRPr="00F54F89">
              <w:rPr>
                <w:sz w:val="20"/>
                <w:szCs w:val="20"/>
              </w:rPr>
              <w:t>± 34.65</w:t>
            </w:r>
          </w:p>
        </w:tc>
        <w:tc>
          <w:tcPr>
            <w:tcW w:w="1984" w:type="dxa"/>
            <w:tcBorders>
              <w:top w:val="nil"/>
              <w:left w:val="nil"/>
              <w:bottom w:val="nil"/>
              <w:right w:val="nil"/>
            </w:tcBorders>
            <w:vAlign w:val="bottom"/>
          </w:tcPr>
          <w:p w14:paraId="7A1A68EA" w14:textId="77777777" w:rsidR="00444600" w:rsidRPr="00F54F89" w:rsidRDefault="00444600" w:rsidP="003A0A9C">
            <w:pPr>
              <w:jc w:val="center"/>
              <w:rPr>
                <w:color w:val="000000"/>
                <w:sz w:val="20"/>
                <w:szCs w:val="20"/>
                <w:lang w:eastAsia="en-GB"/>
              </w:rPr>
            </w:pPr>
            <w:r w:rsidRPr="00F54F89">
              <w:rPr>
                <w:color w:val="000000"/>
                <w:sz w:val="20"/>
                <w:szCs w:val="20"/>
              </w:rPr>
              <w:t xml:space="preserve">0.243 </w:t>
            </w:r>
            <w:r w:rsidRPr="00F54F89">
              <w:rPr>
                <w:sz w:val="20"/>
                <w:szCs w:val="20"/>
              </w:rPr>
              <w:t>± 0.02</w:t>
            </w:r>
          </w:p>
        </w:tc>
        <w:tc>
          <w:tcPr>
            <w:tcW w:w="1418" w:type="dxa"/>
            <w:tcBorders>
              <w:top w:val="nil"/>
              <w:left w:val="nil"/>
              <w:bottom w:val="nil"/>
              <w:right w:val="nil"/>
            </w:tcBorders>
            <w:vAlign w:val="bottom"/>
          </w:tcPr>
          <w:p w14:paraId="6237D0D1" w14:textId="77777777" w:rsidR="00444600" w:rsidRPr="00F54F89" w:rsidRDefault="00444600" w:rsidP="003A0A9C">
            <w:pPr>
              <w:jc w:val="center"/>
              <w:rPr>
                <w:color w:val="000000"/>
                <w:sz w:val="20"/>
                <w:szCs w:val="20"/>
              </w:rPr>
            </w:pPr>
            <w:r w:rsidRPr="00F54F89">
              <w:rPr>
                <w:color w:val="000000"/>
                <w:sz w:val="20"/>
                <w:szCs w:val="20"/>
              </w:rPr>
              <w:t xml:space="preserve">-34.32 </w:t>
            </w:r>
            <w:r w:rsidRPr="00F54F89">
              <w:rPr>
                <w:sz w:val="20"/>
                <w:szCs w:val="20"/>
              </w:rPr>
              <w:t>± 2.98</w:t>
            </w:r>
          </w:p>
        </w:tc>
      </w:tr>
      <w:tr w:rsidR="00444600" w:rsidRPr="00F54F89" w14:paraId="7CD09CD3" w14:textId="77777777" w:rsidTr="003A0A9C">
        <w:trPr>
          <w:trHeight w:val="300"/>
          <w:jc w:val="center"/>
        </w:trPr>
        <w:tc>
          <w:tcPr>
            <w:tcW w:w="1418" w:type="dxa"/>
            <w:tcBorders>
              <w:top w:val="nil"/>
              <w:left w:val="nil"/>
              <w:bottom w:val="single" w:sz="4" w:space="0" w:color="auto"/>
              <w:right w:val="nil"/>
            </w:tcBorders>
            <w:shd w:val="clear" w:color="auto" w:fill="auto"/>
            <w:noWrap/>
            <w:vAlign w:val="bottom"/>
            <w:hideMark/>
          </w:tcPr>
          <w:p w14:paraId="0D898264" w14:textId="77777777" w:rsidR="00444600" w:rsidRPr="00F54F89" w:rsidRDefault="00444600" w:rsidP="003A0A9C">
            <w:pPr>
              <w:jc w:val="center"/>
              <w:rPr>
                <w:b/>
                <w:bCs/>
                <w:color w:val="000000"/>
                <w:sz w:val="20"/>
                <w:szCs w:val="20"/>
                <w:lang w:eastAsia="en-GB"/>
              </w:rPr>
            </w:pPr>
            <w:r w:rsidRPr="00F54F89">
              <w:rPr>
                <w:b/>
                <w:bCs/>
                <w:color w:val="000000"/>
                <w:sz w:val="20"/>
                <w:szCs w:val="20"/>
                <w:lang w:eastAsia="en-GB"/>
              </w:rPr>
              <w:t>F12</w:t>
            </w:r>
          </w:p>
        </w:tc>
        <w:tc>
          <w:tcPr>
            <w:tcW w:w="567" w:type="dxa"/>
            <w:tcBorders>
              <w:top w:val="nil"/>
              <w:left w:val="nil"/>
              <w:bottom w:val="single" w:sz="4" w:space="0" w:color="auto"/>
              <w:right w:val="nil"/>
            </w:tcBorders>
            <w:shd w:val="clear" w:color="auto" w:fill="auto"/>
            <w:noWrap/>
            <w:vAlign w:val="bottom"/>
            <w:hideMark/>
          </w:tcPr>
          <w:p w14:paraId="6F5BFCD5" w14:textId="77777777" w:rsidR="00444600" w:rsidRPr="00F54F89" w:rsidRDefault="00444600" w:rsidP="003A0A9C">
            <w:pPr>
              <w:jc w:val="center"/>
              <w:rPr>
                <w:color w:val="000000"/>
                <w:sz w:val="20"/>
                <w:szCs w:val="20"/>
                <w:lang w:eastAsia="en-GB"/>
              </w:rPr>
            </w:pPr>
            <w:r w:rsidRPr="00F54F89">
              <w:rPr>
                <w:color w:val="000000"/>
                <w:sz w:val="20"/>
                <w:szCs w:val="20"/>
                <w:lang w:eastAsia="en-GB"/>
              </w:rPr>
              <w:t>1 g</w:t>
            </w:r>
          </w:p>
        </w:tc>
        <w:tc>
          <w:tcPr>
            <w:tcW w:w="709" w:type="dxa"/>
            <w:tcBorders>
              <w:top w:val="nil"/>
              <w:left w:val="nil"/>
              <w:bottom w:val="single" w:sz="4" w:space="0" w:color="auto"/>
              <w:right w:val="nil"/>
            </w:tcBorders>
            <w:shd w:val="clear" w:color="auto" w:fill="auto"/>
            <w:noWrap/>
            <w:vAlign w:val="bottom"/>
            <w:hideMark/>
          </w:tcPr>
          <w:p w14:paraId="36FF74A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3 g</w:t>
            </w:r>
          </w:p>
        </w:tc>
        <w:tc>
          <w:tcPr>
            <w:tcW w:w="1701" w:type="dxa"/>
            <w:tcBorders>
              <w:top w:val="nil"/>
              <w:left w:val="nil"/>
              <w:bottom w:val="single" w:sz="4" w:space="0" w:color="auto"/>
              <w:right w:val="nil"/>
            </w:tcBorders>
            <w:shd w:val="clear" w:color="auto" w:fill="auto"/>
            <w:noWrap/>
            <w:vAlign w:val="bottom"/>
            <w:hideMark/>
          </w:tcPr>
          <w:p w14:paraId="012B45D9" w14:textId="77777777" w:rsidR="00444600" w:rsidRPr="00F54F89" w:rsidRDefault="00444600" w:rsidP="003A0A9C">
            <w:pPr>
              <w:jc w:val="center"/>
              <w:rPr>
                <w:color w:val="000000"/>
                <w:sz w:val="20"/>
                <w:szCs w:val="20"/>
                <w:lang w:eastAsia="en-GB"/>
              </w:rPr>
            </w:pPr>
            <w:r w:rsidRPr="00F54F89">
              <w:rPr>
                <w:color w:val="000000"/>
                <w:sz w:val="20"/>
                <w:szCs w:val="20"/>
                <w:lang w:eastAsia="en-GB"/>
              </w:rPr>
              <w:t>-</w:t>
            </w:r>
          </w:p>
        </w:tc>
        <w:tc>
          <w:tcPr>
            <w:tcW w:w="1134" w:type="dxa"/>
            <w:tcBorders>
              <w:top w:val="nil"/>
              <w:left w:val="nil"/>
              <w:bottom w:val="single" w:sz="4" w:space="0" w:color="auto"/>
              <w:right w:val="nil"/>
            </w:tcBorders>
            <w:shd w:val="clear" w:color="auto" w:fill="auto"/>
            <w:noWrap/>
            <w:vAlign w:val="bottom"/>
            <w:hideMark/>
          </w:tcPr>
          <w:p w14:paraId="74235020" w14:textId="77777777" w:rsidR="00444600" w:rsidRPr="00F54F89" w:rsidRDefault="00444600" w:rsidP="003A0A9C">
            <w:pPr>
              <w:jc w:val="center"/>
              <w:rPr>
                <w:color w:val="000000"/>
                <w:sz w:val="20"/>
                <w:szCs w:val="20"/>
                <w:lang w:eastAsia="en-GB"/>
              </w:rPr>
            </w:pPr>
            <w:r w:rsidRPr="00F54F89">
              <w:rPr>
                <w:color w:val="000000"/>
                <w:sz w:val="20"/>
                <w:szCs w:val="20"/>
                <w:lang w:eastAsia="en-GB"/>
              </w:rPr>
              <w:t>60 min</w:t>
            </w:r>
          </w:p>
        </w:tc>
        <w:tc>
          <w:tcPr>
            <w:tcW w:w="1559" w:type="dxa"/>
            <w:tcBorders>
              <w:top w:val="nil"/>
              <w:left w:val="nil"/>
              <w:bottom w:val="single" w:sz="4" w:space="0" w:color="auto"/>
              <w:right w:val="nil"/>
            </w:tcBorders>
            <w:vAlign w:val="bottom"/>
          </w:tcPr>
          <w:p w14:paraId="09C5C19B" w14:textId="77777777" w:rsidR="00444600" w:rsidRPr="00F54F89" w:rsidRDefault="00444600" w:rsidP="003A0A9C">
            <w:pPr>
              <w:jc w:val="center"/>
              <w:rPr>
                <w:color w:val="000000"/>
                <w:sz w:val="20"/>
                <w:szCs w:val="20"/>
                <w:lang w:eastAsia="en-GB"/>
              </w:rPr>
            </w:pPr>
            <w:r w:rsidRPr="00F54F89">
              <w:rPr>
                <w:color w:val="000000"/>
                <w:sz w:val="20"/>
                <w:szCs w:val="20"/>
              </w:rPr>
              <w:t xml:space="preserve">367.71 </w:t>
            </w:r>
            <w:r w:rsidRPr="00F54F89">
              <w:rPr>
                <w:sz w:val="20"/>
                <w:szCs w:val="20"/>
              </w:rPr>
              <w:t>± 31.99</w:t>
            </w:r>
          </w:p>
        </w:tc>
        <w:tc>
          <w:tcPr>
            <w:tcW w:w="1984" w:type="dxa"/>
            <w:tcBorders>
              <w:top w:val="nil"/>
              <w:left w:val="nil"/>
              <w:bottom w:val="single" w:sz="4" w:space="0" w:color="auto"/>
              <w:right w:val="nil"/>
            </w:tcBorders>
            <w:vAlign w:val="bottom"/>
          </w:tcPr>
          <w:p w14:paraId="02A11E92" w14:textId="77777777" w:rsidR="00444600" w:rsidRPr="00F54F89" w:rsidRDefault="00444600" w:rsidP="003A0A9C">
            <w:pPr>
              <w:jc w:val="center"/>
              <w:rPr>
                <w:b/>
                <w:bCs/>
                <w:color w:val="000000"/>
                <w:sz w:val="20"/>
                <w:szCs w:val="20"/>
                <w:lang w:eastAsia="en-GB"/>
              </w:rPr>
            </w:pPr>
            <w:r w:rsidRPr="00F54F89">
              <w:rPr>
                <w:color w:val="000000"/>
                <w:sz w:val="20"/>
                <w:szCs w:val="20"/>
              </w:rPr>
              <w:t xml:space="preserve">0.221 </w:t>
            </w:r>
            <w:r w:rsidRPr="00F54F89">
              <w:rPr>
                <w:sz w:val="20"/>
                <w:szCs w:val="20"/>
              </w:rPr>
              <w:t>± 0.01</w:t>
            </w:r>
          </w:p>
        </w:tc>
        <w:tc>
          <w:tcPr>
            <w:tcW w:w="1418" w:type="dxa"/>
            <w:tcBorders>
              <w:top w:val="nil"/>
              <w:left w:val="nil"/>
              <w:bottom w:val="single" w:sz="4" w:space="0" w:color="auto"/>
              <w:right w:val="nil"/>
            </w:tcBorders>
            <w:vAlign w:val="bottom"/>
          </w:tcPr>
          <w:p w14:paraId="7A1E708C" w14:textId="77777777" w:rsidR="00444600" w:rsidRPr="00F54F89" w:rsidRDefault="00444600" w:rsidP="003A0A9C">
            <w:pPr>
              <w:jc w:val="center"/>
              <w:rPr>
                <w:color w:val="000000"/>
                <w:sz w:val="20"/>
                <w:szCs w:val="20"/>
              </w:rPr>
            </w:pPr>
            <w:r w:rsidRPr="00F54F89">
              <w:rPr>
                <w:color w:val="000000"/>
                <w:sz w:val="20"/>
                <w:szCs w:val="20"/>
              </w:rPr>
              <w:t xml:space="preserve">-35.87 </w:t>
            </w:r>
            <w:r w:rsidRPr="00F54F89">
              <w:rPr>
                <w:sz w:val="20"/>
                <w:szCs w:val="20"/>
              </w:rPr>
              <w:t>± 3.12</w:t>
            </w:r>
          </w:p>
        </w:tc>
      </w:tr>
    </w:tbl>
    <w:p w14:paraId="5143F90B" w14:textId="77777777" w:rsidR="00444600" w:rsidRPr="00F54F89" w:rsidRDefault="00444600" w:rsidP="000C6856">
      <w:pPr>
        <w:spacing w:line="360" w:lineRule="auto"/>
        <w:jc w:val="both"/>
      </w:pPr>
    </w:p>
    <w:p w14:paraId="630198A3" w14:textId="7BC296C4" w:rsidR="007A36BF" w:rsidRPr="00F54F89" w:rsidRDefault="000C6856" w:rsidP="007A36BF">
      <w:pPr>
        <w:spacing w:line="360" w:lineRule="auto"/>
        <w:jc w:val="both"/>
      </w:pPr>
      <w:r w:rsidRPr="00F54F89">
        <w:t>With respect to the EE of PEP formulations, as described previously, the concentrations of CA, QU and KP encapsulated in PEP were determined. The results showed that these compounds had different capacity to be encapsulated in the PEP vesicles. The highest EE was achieved by QU, followed by KP and CA, respectively. This may be caused by the different of hydrogen donor and acceptor of these compounds. QU possesses 5 hydrogen bond donors and 7 hydrogen bond acceptors</w:t>
      </w:r>
      <w:r w:rsidR="007D0946" w:rsidRPr="00F54F89">
        <w:fldChar w:fldCharType="begin" w:fldLock="1"/>
      </w:r>
      <w:r w:rsidR="007D0946" w:rsidRPr="00F54F89">
        <w:instrText>ADDIN CSL_CITATION {"citationItems":[{"id":"ITEM-1","itemData":{"URL":"https://pubchem.ncbi.nlm.nih.gov/compound/Quercetin","accessed":{"date-parts":[["2019","8","3"]]},"author":[{"dropping-particle":"","family":"National Center for Biotechnology Information","given":"","non-dropping-particle":"","parse-names":false,"suffix":""}],"container-title":"PubChem Database","id":"ITEM-1","issued":{"date-parts":[["2019"]]},"page":"1","title":"Quercetin","type":"webpage"},"uris":["http://www.mendeley.com/documents/?uuid=5afdf072-cee5-473d-9c69-258d8232780e"]}],"mendeley":{"formattedCitation":"[56]","plainTextFormattedCitation":"[56]"},"properties":{"noteIndex":0},"schema":"https://github.com/citation-style-language/schema/raw/master/csl-citation.json"}</w:instrText>
      </w:r>
      <w:r w:rsidR="007D0946" w:rsidRPr="00F54F89">
        <w:fldChar w:fldCharType="separate"/>
      </w:r>
      <w:r w:rsidR="007D0946" w:rsidRPr="00F54F89">
        <w:rPr>
          <w:noProof/>
        </w:rPr>
        <w:t>[56]</w:t>
      </w:r>
      <w:r w:rsidR="007D0946" w:rsidRPr="00F54F89">
        <w:fldChar w:fldCharType="end"/>
      </w:r>
      <w:r w:rsidRPr="00F54F89">
        <w:t xml:space="preserve">. In contrast, CA and KP have 3 and 4 hydrogen bond donors as well as 4 and 6 hydrogen bond acceptors, respectively </w:t>
      </w:r>
      <w:r w:rsidRPr="00F54F89">
        <w:fldChar w:fldCharType="begin" w:fldLock="1"/>
      </w:r>
      <w:r w:rsidR="007D0946" w:rsidRPr="00F54F89">
        <w:instrText>ADDIN CSL_CITATION {"citationItems":[{"id":"ITEM-1","itemData":{"URL":"https://pubchem.ncbi.nlm.nih.gov/compound/Caffeic-acid","accessed":{"date-parts":[["2019","8","3"]]},"author":[{"dropping-particle":"","family":"National Center for Biotechnology Information","given":"","non-dropping-particle":"","parse-names":false,"suffix":""}],"container-title":"PubChem Database","id":"ITEM-1","issued":{"date-parts":[["2019"]]},"page":"1","title":"Caffeic acid","type":"webpage"},"uris":["http://www.mendeley.com/documents/?uuid=c4f7ce30-2797-4bec-bebc-79cc1c5bd1fe"]},{"id":"ITEM-2","itemData":{"URL":"https://pubchem.ncbi.nlm.nih.gov/compound/Kaempferol","accessed":{"date-parts":[["2019","8","3"]]},"author":[{"dropping-particle":"","family":"National Center for Biotechnology Information","given":"","non-dropping-particle":"","parse-names":false,"suffix":""}],"container-title":"PubChem Database","id":"ITEM-2","issued":{"date-parts":[["2019"]]},"page":"1","title":"Kaempferol","type":"webpage"},"uris":["http://www.mendeley.com/documents/?uuid=decb1567-b177-40ea-a111-aa7c97f40209"]}],"mendeley":{"formattedCitation":"[57,58]","plainTextFormattedCitation":"[57,58]","previouslyFormattedCitation":"[57,58]"},"properties":{"noteIndex":0},"schema":"https://github.com/citation-style-language/schema/raw/master/csl-citation.json"}</w:instrText>
      </w:r>
      <w:r w:rsidRPr="00F54F89">
        <w:fldChar w:fldCharType="separate"/>
      </w:r>
      <w:r w:rsidR="007D0946" w:rsidRPr="00F54F89">
        <w:rPr>
          <w:noProof/>
        </w:rPr>
        <w:t>[57,58]</w:t>
      </w:r>
      <w:r w:rsidRPr="00F54F89">
        <w:fldChar w:fldCharType="end"/>
      </w:r>
      <w:r w:rsidRPr="00F54F89">
        <w:t xml:space="preserve">. With this in mind, the possibility of QU to form hydrogen bond complex with PC was expected to be higher compared to those in CA and KP, resulting in higher EE in the PEP formulations. The EE of CA in PEP were in the range between 12.54 ± 1.09% and 45.65 ± 3.97 %. The range of EE from 21.81 ± 1.89 % to </w:t>
      </w:r>
      <w:r w:rsidRPr="00F54F89">
        <w:lastRenderedPageBreak/>
        <w:t xml:space="preserve">77.44 ± 6.73 % and from 13.90 ± 1.21 % to 54.96 ± 4.78 % in the case of QU and KP, respectively. In the case of parameters observed, the higher EE of these compounds was achieved by using higher concentration of PC. </w:t>
      </w:r>
      <w:r w:rsidR="0078151A" w:rsidRPr="00F54F89">
        <w:t>Analysed</w:t>
      </w:r>
      <w:r w:rsidRPr="00F54F89">
        <w:t xml:space="preserve"> statistically, the EE in PEP formulations prepared from 3 g of PC </w:t>
      </w:r>
      <w:r w:rsidR="00EA64E3" w:rsidRPr="00F54F89">
        <w:t xml:space="preserve">(F5, F6, F11 and F12) </w:t>
      </w:r>
      <w:r w:rsidRPr="00F54F89">
        <w:t xml:space="preserve">did not result in significantly higher EE compared to those prepared from 2 g of PC </w:t>
      </w:r>
      <w:r w:rsidR="00EA64E3" w:rsidRPr="00F54F89">
        <w:t xml:space="preserve">(F3, F4, F9 and F10) </w:t>
      </w:r>
      <w:r w:rsidRPr="00F54F89">
        <w:t>(</w:t>
      </w:r>
      <w:r w:rsidRPr="00F54F89">
        <w:rPr>
          <w:i/>
          <w:iCs/>
        </w:rPr>
        <w:t xml:space="preserve">p </w:t>
      </w:r>
      <w:r w:rsidRPr="00F54F89">
        <w:t xml:space="preserve">&gt; 0.05). In addition, despite the decrease on the particle size, </w:t>
      </w:r>
      <w:r w:rsidR="002638D2" w:rsidRPr="00F54F89">
        <w:t>the utilization of 20 min of homogenisation (F2, F4 and F6) and 60 min of sonication (F8, F10, and F12)</w:t>
      </w:r>
      <w:r w:rsidRPr="00F54F89">
        <w:t xml:space="preserve"> resulted in significant reduction in the EE of all compounds in the PEP formulations (</w:t>
      </w:r>
      <w:r w:rsidRPr="00F54F89">
        <w:rPr>
          <w:i/>
        </w:rPr>
        <w:t>p</w:t>
      </w:r>
      <w:r w:rsidRPr="00F54F89">
        <w:t xml:space="preserve"> &lt; 0.05)</w:t>
      </w:r>
      <w:r w:rsidR="002638D2" w:rsidRPr="00F54F89">
        <w:t xml:space="preserve">. </w:t>
      </w:r>
      <w:r w:rsidRPr="00F54F89">
        <w:t xml:space="preserve">This effect </w:t>
      </w:r>
      <w:r w:rsidR="00AC369F" w:rsidRPr="00F54F89">
        <w:t>may be as a result</w:t>
      </w:r>
      <w:r w:rsidRPr="00F54F89">
        <w:t xml:space="preserve"> of droplet break-up and separation of the core-shell formation of the composite nanoparticles, le</w:t>
      </w:r>
      <w:r w:rsidR="00AC369F" w:rsidRPr="00F54F89">
        <w:t>a</w:t>
      </w:r>
      <w:r w:rsidRPr="00F54F89">
        <w:t>d</w:t>
      </w:r>
      <w:r w:rsidR="00AC369F" w:rsidRPr="00F54F89">
        <w:t>ing</w:t>
      </w:r>
      <w:r w:rsidRPr="00F54F89">
        <w:t xml:space="preserve"> to </w:t>
      </w:r>
      <w:r w:rsidR="00AC369F" w:rsidRPr="00F54F89">
        <w:t>increased</w:t>
      </w:r>
      <w:r w:rsidRPr="00F54F89">
        <w:t xml:space="preserve"> leakage of the loaded drug throughout the emulsification process and therefore lower encapsulation efficiency </w:t>
      </w:r>
      <w:r w:rsidRPr="00F54F89">
        <w:fldChar w:fldCharType="begin" w:fldLock="1"/>
      </w:r>
      <w:r w:rsidR="007D0946" w:rsidRPr="00F54F89">
        <w:instrText>ADDIN CSL_CITATION {"citationItems":[{"id":"ITEM-1","itemData":{"ISSN":"22317546","abstract":"Encapsulation in the food industry is a process in which one or more ingredients or additives (core) are coated with an edible capsule. The use of liposomes is among the many forms of encapsulation of food ingredients. It consists of a sort of microscopic lipid vesicles, where due to the lipophilic and hydrophilic portion of its constituents, substances of various natures can be encapsulated, and the hydrophilic substances stay in the aqueous compartment and the lipophilic are inserted or adsorbed on the membrane. The aim of this work was to apply two different treatments, sonication and homogenization, in the encapsulation of a protein source, such as the cyanobacterium Spirulina platensis, formed out by the thin-film hydration method. Liposomes were prepared using purified soybean phosphatidylcholine and sonicated at 60°C for 30 min or homogenized at 10.000 rpm for 15 min. The average size, encapsulation efficiency and particle morphology were determined. The type of process applied did not differ when obtaining nanometric size particles, however, the liposomes subjected to homogenization had increased medium size compared to liposomes that were subjected to sonication. Morphologically, the liposomes were more uniform when subjected to the homogenizer.","author":[{"dropping-particle":"","family":"Machado","given":"A. R.","non-dropping-particle":"","parse-names":false,"suffix":""},{"dropping-particle":"","family":"Assis","given":"L. M.","non-dropping-particle":"","parse-names":false,"suffix":""},{"dropping-particle":"V.","family":"Costa","given":"J. A.V.","non-dropping-particle":"","parse-names":false,"suffix":""},{"dropping-particle":"","family":"Badiale-Furlong","given":"E.","non-dropping-particle":"","parse-names":false,"suffix":""},{"dropping-particle":"","family":"Motta","given":"A. S.","non-dropping-particle":"","parse-names":false,"suffix":""},{"dropping-particle":"","family":"Micheletto","given":"Y. M.S. S.","non-dropping-particle":"","parse-names":false,"suffix":""},{"dropping-particle":"","family":"Souza-Soares","given":"L. A.","non-dropping-particle":"","parse-names":false,"suffix":""}],"container-title":"International Food Research Journal","id":"ITEM-1","issue":"6","issued":{"date-parts":[["2014"]]},"page":"2201-2206","title":"Application of sonication and mixing for nanoencapsulation of the cyanobacterium Spirulina platensis in liposomes","type":"article-journal","volume":"21"},"uris":["http://www.mendeley.com/documents/?uuid=2524ddb9-00ed-49e4-a6e3-e1ee0d1e197c"]}],"mendeley":{"formattedCitation":"[59]","plainTextFormattedCitation":"[59]","previouslyFormattedCitation":"[59]"},"properties":{"noteIndex":0},"schema":"https://github.com/citation-style-language/schema/raw/master/csl-citation.json"}</w:instrText>
      </w:r>
      <w:r w:rsidRPr="00F54F89">
        <w:fldChar w:fldCharType="separate"/>
      </w:r>
      <w:r w:rsidR="007D0946" w:rsidRPr="00F54F89">
        <w:rPr>
          <w:noProof/>
        </w:rPr>
        <w:t>[59]</w:t>
      </w:r>
      <w:r w:rsidRPr="00F54F89">
        <w:fldChar w:fldCharType="end"/>
      </w:r>
      <w:r w:rsidRPr="00F54F89">
        <w:t>.</w:t>
      </w:r>
      <w:r w:rsidR="00EA64E3" w:rsidRPr="00F54F89">
        <w:t xml:space="preserve"> </w:t>
      </w:r>
      <w:r w:rsidR="002638D2" w:rsidRPr="00F54F89">
        <w:t xml:space="preserve">Therefore, 10 min and 60 min were selected as an optimum time for homogenisation and sonication, respectively. </w:t>
      </w:r>
      <w:r w:rsidRPr="00F54F89">
        <w:t xml:space="preserve">Considering all these parameters, 4 formulations were selected for further studies, namely F3, F5, F9 and F11. </w:t>
      </w:r>
    </w:p>
    <w:p w14:paraId="2555223C" w14:textId="77777777" w:rsidR="007A36BF" w:rsidRPr="00F54F89" w:rsidRDefault="007A36BF" w:rsidP="007A36BF">
      <w:pPr>
        <w:spacing w:line="360" w:lineRule="auto"/>
        <w:jc w:val="both"/>
      </w:pPr>
    </w:p>
    <w:p w14:paraId="56F129BA" w14:textId="40CB43CC" w:rsidR="000C6856" w:rsidRPr="00F54F89" w:rsidRDefault="00EA64E3" w:rsidP="007A36BF">
      <w:pPr>
        <w:spacing w:line="360" w:lineRule="auto"/>
        <w:jc w:val="center"/>
        <w:rPr>
          <w:b/>
        </w:rPr>
      </w:pPr>
      <w:r w:rsidRPr="00F54F89">
        <w:rPr>
          <w:b/>
          <w:noProof/>
        </w:rPr>
        <w:drawing>
          <wp:inline distT="0" distB="0" distL="0" distR="0" wp14:anchorId="50F4BFCD" wp14:editId="2B06B9D5">
            <wp:extent cx="5731510" cy="2950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inline>
        </w:drawing>
      </w:r>
    </w:p>
    <w:p w14:paraId="7CDAA992" w14:textId="2825EFE2" w:rsidR="000C6856" w:rsidRPr="00F54F89" w:rsidRDefault="000C6856" w:rsidP="000C6856">
      <w:pPr>
        <w:rPr>
          <w:sz w:val="20"/>
        </w:rPr>
      </w:pPr>
      <w:r w:rsidRPr="00F54F89">
        <w:rPr>
          <w:b/>
          <w:sz w:val="20"/>
        </w:rPr>
        <w:t xml:space="preserve">Figure 3. </w:t>
      </w:r>
      <w:r w:rsidR="002638D2" w:rsidRPr="00F54F89">
        <w:rPr>
          <w:sz w:val="20"/>
        </w:rPr>
        <w:t>E</w:t>
      </w:r>
      <w:r w:rsidRPr="00F54F89">
        <w:rPr>
          <w:sz w:val="20"/>
        </w:rPr>
        <w:t>ncapsulation efficiency of CA, QU and KP (</w:t>
      </w:r>
      <w:r w:rsidRPr="00F54F89">
        <w:rPr>
          <w:b/>
          <w:sz w:val="20"/>
        </w:rPr>
        <w:t>B</w:t>
      </w:r>
      <w:r w:rsidRPr="00F54F89">
        <w:rPr>
          <w:sz w:val="20"/>
        </w:rPr>
        <w:t xml:space="preserve">) of different PEP formulations (means ± SD, </w:t>
      </w:r>
      <w:r w:rsidRPr="00F54F89">
        <w:rPr>
          <w:i/>
          <w:iCs/>
          <w:sz w:val="20"/>
        </w:rPr>
        <w:t xml:space="preserve">n </w:t>
      </w:r>
      <w:r w:rsidRPr="00F54F89">
        <w:rPr>
          <w:sz w:val="20"/>
        </w:rPr>
        <w:t>= 3).</w:t>
      </w:r>
    </w:p>
    <w:p w14:paraId="6456A8E7" w14:textId="77777777" w:rsidR="007A36BF" w:rsidRPr="00F54F89" w:rsidRDefault="007A36BF" w:rsidP="000C6856">
      <w:pPr>
        <w:rPr>
          <w:sz w:val="20"/>
        </w:rPr>
      </w:pPr>
    </w:p>
    <w:p w14:paraId="07C35BDC" w14:textId="77777777" w:rsidR="000B499B" w:rsidRPr="00F54F89" w:rsidRDefault="000B499B" w:rsidP="000C6856">
      <w:pPr>
        <w:spacing w:line="360" w:lineRule="auto"/>
        <w:jc w:val="both"/>
        <w:rPr>
          <w:i/>
        </w:rPr>
      </w:pPr>
    </w:p>
    <w:p w14:paraId="6BA8408B" w14:textId="7D217646" w:rsidR="000C6856" w:rsidRPr="00F54F89" w:rsidRDefault="00314308" w:rsidP="000C6856">
      <w:pPr>
        <w:spacing w:line="360" w:lineRule="auto"/>
        <w:jc w:val="both"/>
        <w:rPr>
          <w:i/>
        </w:rPr>
      </w:pPr>
      <w:r w:rsidRPr="00F54F89">
        <w:rPr>
          <w:i/>
        </w:rPr>
        <w:t xml:space="preserve">3.6. </w:t>
      </w:r>
      <w:r w:rsidR="000C6856" w:rsidRPr="00F54F89">
        <w:rPr>
          <w:i/>
        </w:rPr>
        <w:t>Scanning electron microscope and FITR study</w:t>
      </w:r>
    </w:p>
    <w:p w14:paraId="30C1141A" w14:textId="6BEF23D1" w:rsidR="000C6856" w:rsidRPr="00F54F89" w:rsidRDefault="000C6856" w:rsidP="000C6856">
      <w:pPr>
        <w:pStyle w:val="TAMainText"/>
        <w:spacing w:after="360" w:line="360" w:lineRule="auto"/>
        <w:ind w:firstLine="0"/>
        <w:rPr>
          <w:rFonts w:ascii="Times New Roman" w:eastAsiaTheme="minorEastAsia" w:hAnsi="Times New Roman"/>
          <w:szCs w:val="24"/>
          <w:lang w:val="en-GB"/>
        </w:rPr>
      </w:pPr>
      <w:r w:rsidRPr="00F54F89">
        <w:rPr>
          <w:rFonts w:ascii="Times New Roman" w:eastAsiaTheme="minorEastAsia" w:hAnsi="Times New Roman"/>
          <w:szCs w:val="24"/>
          <w:lang w:val="en-GB"/>
        </w:rPr>
        <w:t xml:space="preserve">Figure 4A and 4B depict the morphology of the phytosomal formulations observed by </w:t>
      </w:r>
      <w:r w:rsidRPr="00F54F89">
        <w:rPr>
          <w:rFonts w:ascii="Times New Roman" w:hAnsi="Times New Roman"/>
          <w:szCs w:val="24"/>
          <w:lang w:val="en-GB"/>
        </w:rPr>
        <w:t>SEM. As shown,</w:t>
      </w:r>
      <w:r w:rsidRPr="00F54F89">
        <w:rPr>
          <w:rFonts w:ascii="Times New Roman" w:eastAsiaTheme="minorEastAsia" w:hAnsi="Times New Roman"/>
          <w:szCs w:val="24"/>
          <w:lang w:val="en-GB"/>
        </w:rPr>
        <w:t xml:space="preserve"> th</w:t>
      </w:r>
      <w:r w:rsidR="00CF42AD" w:rsidRPr="00F54F89">
        <w:rPr>
          <w:rFonts w:ascii="Times New Roman" w:eastAsiaTheme="minorEastAsia" w:hAnsi="Times New Roman"/>
          <w:szCs w:val="24"/>
          <w:lang w:val="en-GB"/>
        </w:rPr>
        <w:t>e obtained</w:t>
      </w:r>
      <w:r w:rsidRPr="00F54F89">
        <w:rPr>
          <w:rFonts w:ascii="Times New Roman" w:eastAsiaTheme="minorEastAsia" w:hAnsi="Times New Roman"/>
          <w:szCs w:val="24"/>
          <w:lang w:val="en-GB"/>
        </w:rPr>
        <w:t xml:space="preserve"> PEP exhibited spherical vesicles. The size of these phytosomes attained from SEM was in close agreement with the particle size results obtained from particle size </w:t>
      </w:r>
      <w:r w:rsidR="00EF1327" w:rsidRPr="00F54F89">
        <w:rPr>
          <w:rFonts w:ascii="Times New Roman" w:eastAsiaTheme="minorEastAsia" w:hAnsi="Times New Roman"/>
          <w:szCs w:val="24"/>
          <w:lang w:val="en-GB"/>
        </w:rPr>
        <w:t>analyser</w:t>
      </w:r>
      <w:r w:rsidRPr="00F54F89">
        <w:rPr>
          <w:rFonts w:ascii="Times New Roman" w:eastAsiaTheme="minorEastAsia" w:hAnsi="Times New Roman"/>
          <w:szCs w:val="24"/>
          <w:lang w:val="en-GB"/>
        </w:rPr>
        <w:t xml:space="preserve"> results.</w:t>
      </w:r>
    </w:p>
    <w:p w14:paraId="7A2CE9CE" w14:textId="3A388264" w:rsidR="000C6856" w:rsidRPr="00F54F89" w:rsidRDefault="00DF6C95" w:rsidP="000C6856">
      <w:pPr>
        <w:pStyle w:val="TAMainText"/>
        <w:spacing w:after="360" w:line="360" w:lineRule="auto"/>
        <w:ind w:firstLine="0"/>
        <w:rPr>
          <w:rFonts w:ascii="Times New Roman" w:hAnsi="Times New Roman"/>
          <w:szCs w:val="24"/>
          <w:lang w:val="en-GB"/>
        </w:rPr>
      </w:pPr>
      <w:r w:rsidRPr="00F54F89">
        <w:rPr>
          <w:rFonts w:ascii="Times New Roman" w:eastAsiaTheme="minorEastAsia" w:hAnsi="Times New Roman"/>
          <w:szCs w:val="24"/>
          <w:lang w:val="en-GB"/>
        </w:rPr>
        <w:lastRenderedPageBreak/>
        <w:t>FTIR studies were</w:t>
      </w:r>
      <w:r w:rsidR="000C6856" w:rsidRPr="00F54F89">
        <w:rPr>
          <w:rFonts w:ascii="Times New Roman" w:eastAsiaTheme="minorEastAsia" w:hAnsi="Times New Roman"/>
          <w:szCs w:val="24"/>
          <w:lang w:val="en-GB"/>
        </w:rPr>
        <w:t xml:space="preserve"> carried out on PE, PC and in the phytosomes to evaluate the existence of any interactions between bioactive compounds in PE and PC lipid. Figure 4</w:t>
      </w:r>
      <w:r w:rsidR="00934C1B" w:rsidRPr="00F54F89">
        <w:rPr>
          <w:rFonts w:ascii="Times New Roman" w:eastAsiaTheme="minorEastAsia" w:hAnsi="Times New Roman"/>
          <w:szCs w:val="24"/>
          <w:lang w:val="en-GB"/>
        </w:rPr>
        <w:t>E</w:t>
      </w:r>
      <w:r w:rsidR="000C6856" w:rsidRPr="00F54F89">
        <w:rPr>
          <w:rFonts w:ascii="Times New Roman" w:eastAsiaTheme="minorEastAsia" w:hAnsi="Times New Roman"/>
          <w:szCs w:val="24"/>
          <w:lang w:val="en-GB"/>
        </w:rPr>
        <w:t xml:space="preserve"> </w:t>
      </w:r>
      <w:r w:rsidR="000C6856" w:rsidRPr="00F54F89">
        <w:rPr>
          <w:rFonts w:ascii="Times New Roman" w:hAnsi="Times New Roman"/>
          <w:szCs w:val="24"/>
          <w:lang w:val="en-GB"/>
        </w:rPr>
        <w:t>shows the FTIR spectra of PE, PC and phytosome formulations.</w:t>
      </w:r>
      <w:r w:rsidR="000C6856" w:rsidRPr="00F54F89">
        <w:rPr>
          <w:rFonts w:ascii="Times New Roman" w:eastAsiaTheme="minorEastAsia" w:hAnsi="Times New Roman"/>
          <w:szCs w:val="24"/>
          <w:lang w:val="en-GB"/>
        </w:rPr>
        <w:t xml:space="preserve"> The FTIR spectrum of PC exhibited the characteristic signals at 2921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and 2853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corresponding to the C-H stretching in the chain of long fatty acid. Additional signals were also observed at 1733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(C=O stretching in the fatty acid ester), 1252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(P=O stretching), 1093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(P–O–C stretching), and 968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[−N</w:t>
      </w:r>
      <w:r w:rsidR="000C6856" w:rsidRPr="00F54F89">
        <w:rPr>
          <w:rFonts w:ascii="Times New Roman" w:eastAsiaTheme="minorEastAsia" w:hAnsi="Times New Roman"/>
          <w:szCs w:val="24"/>
          <w:vertAlign w:val="superscript"/>
          <w:lang w:val="en-GB"/>
        </w:rPr>
        <w:t>+</w:t>
      </w:r>
      <w:r w:rsidR="000C6856" w:rsidRPr="00F54F89">
        <w:rPr>
          <w:rFonts w:ascii="Times New Roman" w:eastAsiaTheme="minorEastAsia" w:hAnsi="Times New Roman"/>
          <w:szCs w:val="24"/>
          <w:lang w:val="en-GB"/>
        </w:rPr>
        <w:t>(CH</w:t>
      </w:r>
      <w:r w:rsidR="000C6856" w:rsidRPr="00F54F89">
        <w:rPr>
          <w:rFonts w:ascii="Times New Roman" w:eastAsiaTheme="minorEastAsia" w:hAnsi="Times New Roman"/>
          <w:szCs w:val="24"/>
          <w:vertAlign w:val="subscript"/>
          <w:lang w:val="en-GB"/>
        </w:rPr>
        <w:t>2</w:t>
      </w:r>
      <w:r w:rsidR="000C6856" w:rsidRPr="00F54F89">
        <w:rPr>
          <w:rFonts w:ascii="Times New Roman" w:eastAsiaTheme="minorEastAsia" w:hAnsi="Times New Roman"/>
          <w:szCs w:val="24"/>
          <w:lang w:val="en-GB"/>
        </w:rPr>
        <w:t>)</w:t>
      </w:r>
      <w:r w:rsidR="000C6856" w:rsidRPr="00F54F89">
        <w:rPr>
          <w:rFonts w:ascii="Times New Roman" w:eastAsiaTheme="minorEastAsia" w:hAnsi="Times New Roman"/>
          <w:szCs w:val="24"/>
          <w:vertAlign w:val="superscript"/>
          <w:lang w:val="en-GB"/>
        </w:rPr>
        <w:t>3</w:t>
      </w:r>
      <w:r w:rsidR="000C6856" w:rsidRPr="00F54F89">
        <w:rPr>
          <w:rFonts w:ascii="Times New Roman" w:eastAsiaTheme="minorEastAsia" w:hAnsi="Times New Roman"/>
          <w:szCs w:val="24"/>
          <w:lang w:val="en-GB"/>
        </w:rPr>
        <w:t>]. In the PE FTIR spectrum, the major peak was observed at 1694 cm</w:t>
      </w:r>
      <w:r w:rsidR="000C6856" w:rsidRPr="00F54F89">
        <w:rPr>
          <w:rFonts w:ascii="Times New Roman" w:eastAsiaTheme="minorEastAsia" w:hAnsi="Times New Roman"/>
          <w:szCs w:val="24"/>
          <w:vertAlign w:val="superscript"/>
          <w:lang w:val="en-GB"/>
        </w:rPr>
        <w:t xml:space="preserve">-1 </w:t>
      </w:r>
      <w:r w:rsidR="000C6856" w:rsidRPr="00F54F89">
        <w:rPr>
          <w:rFonts w:ascii="Times New Roman" w:eastAsiaTheme="minorEastAsia" w:hAnsi="Times New Roman"/>
          <w:szCs w:val="24"/>
          <w:lang w:val="en-GB"/>
        </w:rPr>
        <w:t>due to the C=O stretching of CA, QU and KP contained in PE. The peak at 1725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was corresponding to carboxylic acid from CA. Due to the rich amount of phenolic compound in PE, the peak between 1200-1400 cm</w:t>
      </w:r>
      <w:r w:rsidR="000C6856" w:rsidRPr="00F54F89">
        <w:rPr>
          <w:rFonts w:ascii="Times New Roman" w:eastAsiaTheme="minorEastAsia" w:hAnsi="Times New Roman"/>
          <w:szCs w:val="24"/>
          <w:vertAlign w:val="superscript"/>
          <w:lang w:val="en-GB"/>
        </w:rPr>
        <w:t>-1</w:t>
      </w:r>
      <w:r w:rsidR="000C6856" w:rsidRPr="00F54F89">
        <w:rPr>
          <w:rFonts w:ascii="Times New Roman" w:eastAsiaTheme="minorEastAsia" w:hAnsi="Times New Roman"/>
          <w:szCs w:val="24"/>
          <w:lang w:val="en-GB"/>
        </w:rPr>
        <w:t xml:space="preserve"> were observed, corresponding to –OH phenolic bending. In PE formulation, it was found that the </w:t>
      </w:r>
      <w:r w:rsidR="000C6856" w:rsidRPr="00F54F89">
        <w:rPr>
          <w:rFonts w:ascii="Times New Roman" w:hAnsi="Times New Roman"/>
          <w:szCs w:val="24"/>
          <w:lang w:val="en-GB"/>
        </w:rPr>
        <w:t xml:space="preserve">peaks of -OH and C=O of PE were shifted to </w:t>
      </w:r>
      <w:r w:rsidR="00AC369F" w:rsidRPr="00F54F89">
        <w:rPr>
          <w:rFonts w:ascii="Times New Roman" w:hAnsi="Times New Roman"/>
          <w:szCs w:val="24"/>
          <w:lang w:val="en-GB"/>
        </w:rPr>
        <w:t xml:space="preserve">a </w:t>
      </w:r>
      <w:r w:rsidR="000C6856" w:rsidRPr="00F54F89">
        <w:rPr>
          <w:rFonts w:ascii="Times New Roman" w:hAnsi="Times New Roman"/>
          <w:szCs w:val="24"/>
          <w:lang w:val="en-GB"/>
        </w:rPr>
        <w:t>higher wave number.  Furthermore, the peak of P</w:t>
      </w:r>
      <w:r w:rsidR="00D8255A" w:rsidRPr="00F54F89">
        <w:rPr>
          <w:rFonts w:ascii="Times New Roman" w:hAnsi="Times New Roman"/>
          <w:noProof/>
          <w:szCs w:val="24"/>
          <w:lang w:val="en-GB" w:eastAsia="en-GB"/>
        </w:rPr>
        <w:t>=</w:t>
      </w:r>
      <w:r w:rsidR="000C6856" w:rsidRPr="00F54F89">
        <w:rPr>
          <w:rFonts w:ascii="Times New Roman" w:hAnsi="Times New Roman"/>
          <w:szCs w:val="24"/>
          <w:lang w:val="en-GB"/>
        </w:rPr>
        <w:t>O of PC broadened. In addition, broadening of the characteristic phenolic (-OH) band at 3500 cm</w:t>
      </w:r>
      <w:r w:rsidR="000C6856" w:rsidRPr="00F54F89">
        <w:rPr>
          <w:rFonts w:ascii="Times New Roman" w:hAnsi="Times New Roman"/>
          <w:szCs w:val="24"/>
          <w:vertAlign w:val="superscript"/>
          <w:lang w:val="en-GB"/>
        </w:rPr>
        <w:t>-1</w:t>
      </w:r>
      <w:r w:rsidR="000C6856" w:rsidRPr="00F54F89">
        <w:rPr>
          <w:rFonts w:ascii="Times New Roman" w:hAnsi="Times New Roman"/>
          <w:szCs w:val="24"/>
          <w:lang w:val="en-GB"/>
        </w:rPr>
        <w:t xml:space="preserve"> was observed, which could be potentially caused by the formation of H-bonding </w:t>
      </w:r>
      <w:r w:rsidR="000C6856" w:rsidRPr="00F54F89">
        <w:rPr>
          <w:rFonts w:ascii="Times New Roman" w:hAnsi="Times New Roman"/>
          <w:szCs w:val="24"/>
          <w:lang w:val="en-GB"/>
        </w:rPr>
        <w:fldChar w:fldCharType="begin" w:fldLock="1"/>
      </w:r>
      <w:r w:rsidR="007D0946" w:rsidRPr="00F54F89">
        <w:rPr>
          <w:rFonts w:ascii="Times New Roman" w:hAnsi="Times New Roman"/>
          <w:szCs w:val="24"/>
          <w:lang w:val="en-GB"/>
        </w:rPr>
        <w:instrText>ADDIN CSL_CITATION {"citationItems":[{"id":"ITEM-1","itemData":{"ISSN":"11769114","abstract":"Diosmin (DSN) is an outstanding phlebotonic flavonoid with a tolerable potential for the treatment of colon and hepatocellular carcinoma. Being highly insoluble, DSN bioavailability suffers from high inter-subject variation due to variable degrees of permeation. This work endeavored to develop novel DSN loaded phytosomes in order to improve drug dissolution and intestinal permeability. Three preparation methods (solvent evaporation, salting out, and lyophilization) were compared. Nanocarrier optimization encompassed different soybean phospholipid (SPC) types, different solvents, and different DSN:SPC molar ratios (1:1, 1:2, and 1:4). In vitro appraisal encompassed differential scanning calorimetry, infrared spectroscopy, particle size, zeta potential, polydispersity index, transmission electron microscopy, drug content, and in vitro stability. Comparative dissolution studies were performed under sink versus non-sink conditions. Ex vivo intestinal permeation studies were performed on rats utilizing noneverted sac technique and high-performance liquid chromatography analysis. The results revealed lyophilization as the optimum preparation technique using SPC and solvent mixture (Dimethyl sulphoxide:t-butylalchol) in a 1:2 ratio. Complex formation was contended by differential scanning calorimetry and infrared data. Optimal lyophilized phytosomal nanocarriers (LPNs) exhibited the lowest particle size (316 nm), adequate zeta-potential (-27 mV), and good in vitro stability. Well formed, discrete vesicles were revealed by transmission electron microscopy, drug content, and in vitro stability. Comparative dissolution studies were performed. LPNs demonstrated significant enhancement in DSN dissolution compared to crude drug, physical mixture, and generic and brand DSN products. Permeation studies revealed 80% DSN permeated from LPNs via oxygenated rat intestine compared to non-detectable amounts from suspension. In this study, LPNs (99% drug loading) could be successfully tailored for DSN with improved dissolution and permeation characteristics, which is promising for lowering the influence of exogenous factors and increasing drug delivery. © 2013 Freag et al, publisher and licensee Dove Medical Press Ltd.","author":[{"dropping-particle":"","family":"Freag","given":"May S.","non-dropping-particle":"","parse-names":false,"suffix":""},{"dropping-particle":"","family":"Elnaggar","given":"Yosra S R","non-dropping-particle":"","parse-names":false,"suffix":""},{"dropping-particle":"","family":"Abdallah","given":"Ossama Y.","non-dropping-particle":"","parse-names":false,"suffix":""}],"container-title":"International Journal of Nanomedicine","id":"ITEM-1","issued":{"date-parts":[["2013"]]},"page":"2385-2397","title":"Lyophilized phytosomal nanocarriers as platforms for enhanced diosmin delivery: Optimization and ex vivo permeation","type":"article-journal","volume":"8"},"uris":["http://www.mendeley.com/documents/?uuid=6705e9ea-f8bf-43e7-a58f-b13a5367d036"]}],"mendeley":{"formattedCitation":"[30]","plainTextFormattedCitation":"[30]","previouslyFormattedCitation":"[30]"},"properties":{"noteIndex":0},"schema":"https://github.com/citation-style-language/schema/raw/master/csl-citation.json"}</w:instrText>
      </w:r>
      <w:r w:rsidR="000C6856" w:rsidRPr="00F54F89">
        <w:rPr>
          <w:rFonts w:ascii="Times New Roman" w:hAnsi="Times New Roman"/>
          <w:szCs w:val="24"/>
          <w:lang w:val="en-GB"/>
        </w:rPr>
        <w:fldChar w:fldCharType="separate"/>
      </w:r>
      <w:r w:rsidR="007D0946" w:rsidRPr="00F54F89">
        <w:rPr>
          <w:rFonts w:ascii="Times New Roman" w:hAnsi="Times New Roman"/>
          <w:noProof/>
          <w:szCs w:val="24"/>
          <w:lang w:val="en-GB"/>
        </w:rPr>
        <w:t>[30]</w:t>
      </w:r>
      <w:r w:rsidR="000C6856" w:rsidRPr="00F54F89">
        <w:rPr>
          <w:rFonts w:ascii="Times New Roman" w:hAnsi="Times New Roman"/>
          <w:szCs w:val="24"/>
          <w:lang w:val="en-GB"/>
        </w:rPr>
        <w:fldChar w:fldCharType="end"/>
      </w:r>
      <w:r w:rsidRPr="00F54F89">
        <w:rPr>
          <w:rFonts w:ascii="Times New Roman" w:hAnsi="Times New Roman"/>
          <w:szCs w:val="24"/>
          <w:lang w:val="en-GB"/>
        </w:rPr>
        <w:t>.</w:t>
      </w:r>
    </w:p>
    <w:p w14:paraId="2812852A" w14:textId="77777777" w:rsidR="000C6856" w:rsidRPr="00F54F89" w:rsidRDefault="000C6856" w:rsidP="000C6856">
      <w:pPr>
        <w:jc w:val="center"/>
        <w:rPr>
          <w:b/>
        </w:rPr>
      </w:pPr>
      <w:r w:rsidRPr="00F54F89">
        <w:rPr>
          <w:b/>
          <w:noProof/>
          <w:lang w:eastAsia="en-GB"/>
        </w:rPr>
        <w:drawing>
          <wp:inline distT="0" distB="0" distL="0" distR="0" wp14:anchorId="3AA8C710" wp14:editId="77E9778B">
            <wp:extent cx="5731510" cy="3259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MM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59455"/>
                    </a:xfrm>
                    <a:prstGeom prst="rect">
                      <a:avLst/>
                    </a:prstGeom>
                  </pic:spPr>
                </pic:pic>
              </a:graphicData>
            </a:graphic>
          </wp:inline>
        </w:drawing>
      </w:r>
    </w:p>
    <w:p w14:paraId="698B6383" w14:textId="2391CD84" w:rsidR="000C6856" w:rsidRPr="00F54F89" w:rsidRDefault="000C6856" w:rsidP="000C6856">
      <w:pPr>
        <w:jc w:val="both"/>
        <w:rPr>
          <w:sz w:val="20"/>
        </w:rPr>
      </w:pPr>
      <w:r w:rsidRPr="00F54F89">
        <w:rPr>
          <w:b/>
        </w:rPr>
        <w:t xml:space="preserve">Figure 4. </w:t>
      </w:r>
      <w:r w:rsidRPr="00F54F89">
        <w:rPr>
          <w:sz w:val="20"/>
        </w:rPr>
        <w:t>SEM images of F3 (</w:t>
      </w:r>
      <w:r w:rsidRPr="00F54F89">
        <w:rPr>
          <w:b/>
          <w:sz w:val="20"/>
        </w:rPr>
        <w:t>A</w:t>
      </w:r>
      <w:r w:rsidRPr="00F54F89">
        <w:rPr>
          <w:sz w:val="20"/>
        </w:rPr>
        <w:t>), F5 (</w:t>
      </w:r>
      <w:r w:rsidRPr="00F54F89">
        <w:rPr>
          <w:b/>
          <w:sz w:val="20"/>
        </w:rPr>
        <w:t>B</w:t>
      </w:r>
      <w:r w:rsidRPr="00F54F89">
        <w:rPr>
          <w:sz w:val="20"/>
        </w:rPr>
        <w:t>), F9 (</w:t>
      </w:r>
      <w:r w:rsidRPr="00F54F89">
        <w:rPr>
          <w:b/>
          <w:sz w:val="20"/>
        </w:rPr>
        <w:t>C</w:t>
      </w:r>
      <w:r w:rsidRPr="00F54F89">
        <w:rPr>
          <w:sz w:val="20"/>
        </w:rPr>
        <w:t>) and F11 (</w:t>
      </w:r>
      <w:r w:rsidRPr="00F54F89">
        <w:rPr>
          <w:b/>
          <w:sz w:val="20"/>
        </w:rPr>
        <w:t>D</w:t>
      </w:r>
      <w:r w:rsidRPr="00F54F89">
        <w:rPr>
          <w:sz w:val="20"/>
        </w:rPr>
        <w:t>) formulation of PEP at a magnification power of 30000x. FTIR spectra of F3, F5, F9 and F11 formulation of PEP, PC and PE (</w:t>
      </w:r>
      <w:r w:rsidRPr="00F54F89">
        <w:rPr>
          <w:b/>
          <w:sz w:val="20"/>
        </w:rPr>
        <w:t>E</w:t>
      </w:r>
      <w:r w:rsidRPr="00F54F89">
        <w:rPr>
          <w:sz w:val="20"/>
        </w:rPr>
        <w:t xml:space="preserve">). </w:t>
      </w:r>
    </w:p>
    <w:p w14:paraId="2B861493" w14:textId="77777777" w:rsidR="00DF6C95" w:rsidRPr="00F54F89" w:rsidRDefault="00DF6C95" w:rsidP="000C6856">
      <w:pPr>
        <w:jc w:val="both"/>
        <w:rPr>
          <w:b/>
        </w:rPr>
      </w:pPr>
    </w:p>
    <w:p w14:paraId="70C25618" w14:textId="77777777" w:rsidR="000B499B" w:rsidRPr="00F54F89" w:rsidRDefault="000B499B" w:rsidP="000C6856">
      <w:pPr>
        <w:spacing w:line="360" w:lineRule="auto"/>
        <w:jc w:val="both"/>
        <w:rPr>
          <w:i/>
        </w:rPr>
      </w:pPr>
    </w:p>
    <w:p w14:paraId="23758ED4" w14:textId="0D28C961" w:rsidR="000C6856" w:rsidRPr="00F54F89" w:rsidRDefault="00314308" w:rsidP="000C6856">
      <w:pPr>
        <w:spacing w:line="360" w:lineRule="auto"/>
        <w:jc w:val="both"/>
        <w:rPr>
          <w:i/>
        </w:rPr>
      </w:pPr>
      <w:r w:rsidRPr="00F54F89">
        <w:rPr>
          <w:i/>
        </w:rPr>
        <w:t xml:space="preserve">3.7. </w:t>
      </w:r>
      <w:r w:rsidR="000C6856" w:rsidRPr="00F54F89">
        <w:rPr>
          <w:i/>
        </w:rPr>
        <w:t xml:space="preserve">Solubility analysis </w:t>
      </w:r>
    </w:p>
    <w:p w14:paraId="6FF5269E" w14:textId="318CDBA4" w:rsidR="000C6856" w:rsidRPr="00F54F89" w:rsidRDefault="000C6856" w:rsidP="000C6856">
      <w:pPr>
        <w:spacing w:line="360" w:lineRule="auto"/>
        <w:jc w:val="both"/>
        <w:rPr>
          <w:spacing w:val="2"/>
          <w:shd w:val="clear" w:color="auto" w:fill="FCFCFC"/>
        </w:rPr>
      </w:pPr>
      <w:r w:rsidRPr="00F54F89">
        <w:rPr>
          <w:spacing w:val="2"/>
          <w:shd w:val="clear" w:color="auto" w:fill="FCFCFC"/>
        </w:rPr>
        <w:t xml:space="preserve">The effect of phytosome formulation on the solubility of CA, QU and KP in PE was also </w:t>
      </w:r>
      <w:r w:rsidR="00AC369F" w:rsidRPr="00F54F89">
        <w:rPr>
          <w:spacing w:val="2"/>
          <w:shd w:val="clear" w:color="auto" w:fill="FCFCFC"/>
        </w:rPr>
        <w:t>investigated</w:t>
      </w:r>
      <w:r w:rsidRPr="00F54F89">
        <w:rPr>
          <w:spacing w:val="2"/>
          <w:shd w:val="clear" w:color="auto" w:fill="FCFCFC"/>
        </w:rPr>
        <w:t xml:space="preserve">. The solubilities of these compounds in water and n-octanol in comparison with </w:t>
      </w:r>
      <w:r w:rsidRPr="00F54F89">
        <w:rPr>
          <w:spacing w:val="2"/>
          <w:shd w:val="clear" w:color="auto" w:fill="FCFCFC"/>
        </w:rPr>
        <w:lastRenderedPageBreak/>
        <w:t xml:space="preserve">their solubilities in PEP formulations of F3, F5, F9 and F11 are depicted in Table 3. The solubilities of CA, QU and KP in water were observed to be </w:t>
      </w:r>
      <w:r w:rsidRPr="00F54F89">
        <w:rPr>
          <w:color w:val="000000"/>
          <w:lang w:eastAsia="en-GB"/>
        </w:rPr>
        <w:t xml:space="preserve">143.23 ± 13.76 </w:t>
      </w:r>
      <w:r w:rsidRPr="00F54F89">
        <w:rPr>
          <w:bCs/>
          <w:color w:val="000000"/>
          <w:lang w:eastAsia="en-GB"/>
        </w:rPr>
        <w:t>μg/mL</w:t>
      </w:r>
      <w:r w:rsidRPr="00F54F89">
        <w:rPr>
          <w:color w:val="000000"/>
          <w:lang w:eastAsia="en-GB"/>
        </w:rPr>
        <w:t xml:space="preserve"> 38.41 ± 2.54 </w:t>
      </w:r>
      <w:r w:rsidRPr="00F54F89">
        <w:rPr>
          <w:bCs/>
          <w:color w:val="000000"/>
          <w:lang w:eastAsia="en-GB"/>
        </w:rPr>
        <w:t>μg/mL</w:t>
      </w:r>
      <w:r w:rsidRPr="00F54F89">
        <w:rPr>
          <w:color w:val="000000"/>
          <w:lang w:eastAsia="en-GB"/>
        </w:rPr>
        <w:t xml:space="preserve"> 37.34 ± 2.12 </w:t>
      </w:r>
      <w:r w:rsidRPr="00F54F89">
        <w:rPr>
          <w:bCs/>
          <w:color w:val="000000"/>
          <w:lang w:eastAsia="en-GB"/>
        </w:rPr>
        <w:t>μg/mL, respectively. In n-octanol, these compound exhibited significant greater (</w:t>
      </w:r>
      <w:r w:rsidRPr="00F54F89">
        <w:rPr>
          <w:bCs/>
          <w:i/>
          <w:color w:val="000000"/>
          <w:lang w:eastAsia="en-GB"/>
        </w:rPr>
        <w:t>p</w:t>
      </w:r>
      <w:r w:rsidRPr="00F54F89">
        <w:rPr>
          <w:bCs/>
          <w:color w:val="000000"/>
          <w:lang w:eastAsia="en-GB"/>
        </w:rPr>
        <w:t xml:space="preserve"> &lt; 0.05) than those in water, which were </w:t>
      </w:r>
      <w:r w:rsidRPr="00F54F89">
        <w:rPr>
          <w:color w:val="000000"/>
          <w:lang w:eastAsia="en-GB"/>
        </w:rPr>
        <w:t xml:space="preserve">543.87 ± 49.12 </w:t>
      </w:r>
      <w:r w:rsidRPr="00F54F89">
        <w:rPr>
          <w:bCs/>
          <w:color w:val="000000"/>
          <w:lang w:eastAsia="en-GB"/>
        </w:rPr>
        <w:t>μg/mL</w:t>
      </w:r>
      <w:r w:rsidRPr="00F54F89">
        <w:rPr>
          <w:color w:val="000000"/>
          <w:lang w:eastAsia="en-GB"/>
        </w:rPr>
        <w:t xml:space="preserve">, 643.45 ± 19.88 </w:t>
      </w:r>
      <w:r w:rsidRPr="00F54F89">
        <w:rPr>
          <w:bCs/>
          <w:color w:val="000000"/>
          <w:lang w:eastAsia="en-GB"/>
        </w:rPr>
        <w:t>μg/mL</w:t>
      </w:r>
      <w:r w:rsidRPr="00F54F89">
        <w:rPr>
          <w:color w:val="000000"/>
          <w:lang w:eastAsia="en-GB"/>
        </w:rPr>
        <w:t>, and 654.32 ± 28.18</w:t>
      </w:r>
      <w:r w:rsidRPr="00F54F89">
        <w:rPr>
          <w:bCs/>
          <w:color w:val="000000"/>
          <w:lang w:eastAsia="en-GB"/>
        </w:rPr>
        <w:t xml:space="preserve"> μg/mL</w:t>
      </w:r>
      <w:r w:rsidRPr="00F54F89">
        <w:rPr>
          <w:spacing w:val="2"/>
          <w:shd w:val="clear" w:color="auto" w:fill="FCFCFC"/>
        </w:rPr>
        <w:t xml:space="preserve"> for CA, QU and KP, respectively, representing the hydrophobic nature of these compounds. The formulation of PE into phytosome was able to enhance the solubility of CA, QU and KP in both water and n-octanol. As shown in Table </w:t>
      </w:r>
      <w:r w:rsidR="00934C1B" w:rsidRPr="00F54F89">
        <w:rPr>
          <w:spacing w:val="2"/>
          <w:shd w:val="clear" w:color="auto" w:fill="FCFCFC"/>
        </w:rPr>
        <w:t>3</w:t>
      </w:r>
      <w:r w:rsidRPr="00F54F89">
        <w:rPr>
          <w:spacing w:val="2"/>
          <w:shd w:val="clear" w:color="auto" w:fill="FCFCFC"/>
        </w:rPr>
        <w:t>, in water, the solubilities of these compounds increased significantly (</w:t>
      </w:r>
      <w:r w:rsidRPr="00F54F89">
        <w:rPr>
          <w:i/>
          <w:spacing w:val="2"/>
          <w:shd w:val="clear" w:color="auto" w:fill="FCFCFC"/>
        </w:rPr>
        <w:t>p</w:t>
      </w:r>
      <w:r w:rsidRPr="00F54F89">
        <w:rPr>
          <w:spacing w:val="2"/>
          <w:shd w:val="clear" w:color="auto" w:fill="FCFCFC"/>
        </w:rPr>
        <w:t xml:space="preserve"> &lt; 0.05) over approximately 5-fold, 12-fold and 11-fold for CA, QU and KP, respectively, compared to their solubility in PE. The slight enhancements were observed in the solubility in n-octanol, which were approximately 1.1 times higher than those in the case of PE.</w:t>
      </w:r>
      <w:r w:rsidR="00DF6C95" w:rsidRPr="00F54F89">
        <w:rPr>
          <w:spacing w:val="2"/>
          <w:shd w:val="clear" w:color="auto" w:fill="FCFCFC"/>
        </w:rPr>
        <w:t xml:space="preserve"> Additionally, it was found that</w:t>
      </w:r>
      <w:r w:rsidRPr="00F54F89">
        <w:rPr>
          <w:spacing w:val="2"/>
          <w:shd w:val="clear" w:color="auto" w:fill="FCFCFC"/>
        </w:rPr>
        <w:t>, despite the non-significant (</w:t>
      </w:r>
      <w:r w:rsidRPr="00F54F89">
        <w:rPr>
          <w:i/>
          <w:spacing w:val="2"/>
          <w:shd w:val="clear" w:color="auto" w:fill="FCFCFC"/>
        </w:rPr>
        <w:t xml:space="preserve">p </w:t>
      </w:r>
      <w:r w:rsidRPr="00F54F89">
        <w:rPr>
          <w:spacing w:val="2"/>
          <w:shd w:val="clear" w:color="auto" w:fill="FCFCFC"/>
        </w:rPr>
        <w:t>&gt; 0.05) increase, the smaller particle size of PEP resulted in higher solubility in both water and n-octanol.</w:t>
      </w:r>
      <w:r w:rsidRPr="00F54F89">
        <w:rPr>
          <w:color w:val="000000" w:themeColor="text1"/>
          <w:spacing w:val="2"/>
          <w:shd w:val="clear" w:color="auto" w:fill="FCFCFC"/>
        </w:rPr>
        <w:t xml:space="preserve"> </w:t>
      </w:r>
      <w:r w:rsidR="00D71130" w:rsidRPr="00F54F89">
        <w:rPr>
          <w:noProof/>
          <w:color w:val="000000" w:themeColor="text1"/>
        </w:rPr>
        <w:t xml:space="preserve">Generally, phyto-phospholid complexes could potentially increase lipophilicty and hydrophilicty of active compounds </w:t>
      </w:r>
      <w:r w:rsidR="00D71130" w:rsidRPr="00F54F89">
        <w:rPr>
          <w:noProof/>
          <w:color w:val="000000" w:themeColor="text1"/>
        </w:rPr>
        <w:fldChar w:fldCharType="begin" w:fldLock="1"/>
      </w:r>
      <w:r w:rsidR="007D0946" w:rsidRPr="00F54F89">
        <w:rPr>
          <w:noProof/>
          <w:color w:val="000000" w:themeColor="text1"/>
        </w:rPr>
        <w:instrText>ADDIN CSL_CITATION {"citationItems":[{"id":"ITEM-1","itemData":{"ISSN":"2221285X","abstract":"Although active constituents extracted from plants show robust in vitro pharmacological effects, low in vivo absorption greatly limits the widespread application of these compounds. A strategy of using phyto-phospholipid complexes represents a promising approach to increase the oral bioavailability of active constituents, which is consist of ‘‘label-friendly” phospholipids and active constituents. Hydrogen bond interactions between active constituents and phospholipids enable phospholipid complexes as an integral part. This review provides an update on four important issues related to phyto-phospholipid complexes: active constituents, phospholipids, solvents, and stoichiometric ratios. We also discuss recent progress in research on the preparation, characterization, structural verification, and increased bioavailability of phyto-phospholipid complexes.","author":[{"dropping-particle":"","family":"Lu","given":"Mei","non-dropping-particle":"","parse-names":false,"suffix":""},{"dropping-particle":"","family":"Qiu","given":"Qiujun","non-dropping-particle":"","parse-names":false,"suffix":""},{"dropping-particle":"","family":"Luo","given":"Xiang","non-dropping-particle":"","parse-names":false,"suffix":""},{"dropping-particle":"","family":"Liu","given":"Xinrong","non-dropping-particle":"","parse-names":false,"suffix":""},{"dropping-particle":"","family":"Sun","given":"Jing","non-dropping-particle":"","parse-names":false,"suffix":""},{"dropping-particle":"","family":"Wang","given":"Cunyang","non-dropping-particle":"","parse-names":false,"suffix":""},{"dropping-particle":"","family":"Lin","given":"Xiangyun","non-dropping-particle":"","parse-names":false,"suffix":""},{"dropping-particle":"","family":"Deng","given":"Yihui","non-dropping-particle":"","parse-names":false,"suffix":""},{"dropping-particle":"","family":"Song","given":"Yanzhi","non-dropping-particle":"","parse-names":false,"suffix":""}],"container-title":"Asian Journal of Pharmaceutical Sciences","id":"ITEM-1","issue":"3","issued":{"date-parts":[["2019"]]},"page":"265-274","publisher":"Elsevier B.V.","title":"Phyto-phospholipid complexes (phytosomes): A novel strategy to improve the bioavailability of active constituents","type":"article-journal","volume":"14"},"uris":["http://www.mendeley.com/documents/?uuid=bedbf608-f931-4a01-8219-5e2a2fbeb75b"]}],"mendeley":{"formattedCitation":"[25]","plainTextFormattedCitation":"[25]","previouslyFormattedCitation":"[25]"},"properties":{"noteIndex":0},"schema":"https://github.com/citation-style-language/schema/raw/master/csl-citation.json"}</w:instrText>
      </w:r>
      <w:r w:rsidR="00D71130" w:rsidRPr="00F54F89">
        <w:rPr>
          <w:noProof/>
          <w:color w:val="000000" w:themeColor="text1"/>
        </w:rPr>
        <w:fldChar w:fldCharType="separate"/>
      </w:r>
      <w:r w:rsidR="007D0946" w:rsidRPr="00F54F89">
        <w:rPr>
          <w:noProof/>
          <w:color w:val="000000" w:themeColor="text1"/>
        </w:rPr>
        <w:t>[25]</w:t>
      </w:r>
      <w:r w:rsidR="00D71130" w:rsidRPr="00F54F89">
        <w:rPr>
          <w:noProof/>
          <w:color w:val="000000" w:themeColor="text1"/>
        </w:rPr>
        <w:fldChar w:fldCharType="end"/>
      </w:r>
      <w:r w:rsidR="00D71130" w:rsidRPr="00F54F89">
        <w:rPr>
          <w:noProof/>
          <w:color w:val="000000" w:themeColor="text1"/>
        </w:rPr>
        <w:t xml:space="preserve">. </w:t>
      </w:r>
      <w:r w:rsidR="002723A2" w:rsidRPr="00F54F89">
        <w:rPr>
          <w:color w:val="000000" w:themeColor="text1"/>
          <w:spacing w:val="2"/>
          <w:shd w:val="clear" w:color="auto" w:fill="FCFCFC"/>
        </w:rPr>
        <w:t xml:space="preserve"> </w:t>
      </w:r>
      <w:r w:rsidRPr="00F54F89">
        <w:rPr>
          <w:spacing w:val="2"/>
          <w:shd w:val="clear" w:color="auto" w:fill="FCFCFC"/>
        </w:rPr>
        <w:t xml:space="preserve">Several studies have shown the ability of nanoparticle delivery system in enhancement the solubility of poorly water soluble drugs due to the reduction of the particle size </w:t>
      </w:r>
      <w:r w:rsidRPr="00F54F89">
        <w:rPr>
          <w:spacing w:val="2"/>
          <w:shd w:val="clear" w:color="auto" w:fill="FCFCFC"/>
        </w:rPr>
        <w:fldChar w:fldCharType="begin" w:fldLock="1"/>
      </w:r>
      <w:r w:rsidR="007D0946" w:rsidRPr="00F54F89">
        <w:rPr>
          <w:spacing w:val="2"/>
          <w:shd w:val="clear" w:color="auto" w:fill="FCFCFC"/>
        </w:rPr>
        <w:instrText xml:space="preserve">ADDIN CSL_CITATION {"citationItems":[{"id":"ITEM-1","itemData":{"ISSN":"15206017","abstract":"Amorphous solid dispersions (ASDs) are used as bioavailability-enhancing formulations on the premise of the increased solubility of the amorphous form over its crystalline counterpart. Recent studies have shown that ASDs can, during dissolution, generate amorphous nanoparticles that were initially postulated to serve as a source of rapidly dissolving compound during absorption. Researchers have proposed that nanoparticles, including crystalline nanoparticles, may provide additional benefits to absorption such as drifting in the mucous layer. However, there are limited published data on the impact of nanoparticle size on bioavailability in vivo and, to our knowledge, there have been no published examples looking at the impact of differential size of in situ–generated nanoparticles from an ASD. Anacetrapib, a highly lipophilic, Biopharmaceutics Classification System IV compound, formulated as an ASD that generates nanoparticles on dissolution, was used in the studies described in this article. A differential response in bioavailability was observed with </w:instrText>
      </w:r>
      <w:r w:rsidR="007D0946" w:rsidRPr="00F54F89">
        <w:rPr>
          <w:rFonts w:ascii="Cambria Math" w:hAnsi="Cambria Math" w:cs="Cambria Math"/>
          <w:spacing w:val="2"/>
          <w:shd w:val="clear" w:color="auto" w:fill="FCFCFC"/>
        </w:rPr>
        <w:instrText>∼</w:instrText>
      </w:r>
      <w:r w:rsidR="007D0946" w:rsidRPr="00F54F89">
        <w:rPr>
          <w:spacing w:val="2"/>
          <w:shd w:val="clear" w:color="auto" w:fill="FCFCFC"/>
        </w:rPr>
        <w:instrText xml:space="preserve">100 nm or smaller particles, resulting in higher average exposure compared to </w:instrText>
      </w:r>
      <w:r w:rsidR="007D0946" w:rsidRPr="00F54F89">
        <w:rPr>
          <w:rFonts w:ascii="Cambria Math" w:hAnsi="Cambria Math" w:cs="Cambria Math"/>
          <w:spacing w:val="2"/>
          <w:shd w:val="clear" w:color="auto" w:fill="FCFCFC"/>
        </w:rPr>
        <w:instrText>∼</w:instrText>
      </w:r>
      <w:r w:rsidR="007D0946" w:rsidRPr="00F54F89">
        <w:rPr>
          <w:spacing w:val="2"/>
          <w:shd w:val="clear" w:color="auto" w:fill="FCFCFC"/>
        </w:rPr>
        <w:instrText>200 nm or larger particles. This increase in bioavailability could not be fully accounted for by the improvement in dissolution rate and was not as pronounced as that achieved by improving solubilization by coadministration with a high-fat meal.","author":[{"dropping-particle":"","family":"Kesisoglou","given":"Filippos","non-dropping-particle":"","parse-names":false,"suffix":""},{"dropping-particle":"","family":"Wang","given":"Michael","non-dropping-particle":"","parse-names":false,"suffix":""},{"dropping-particle":"","family":"Galipeau","given":"Kendra","non-dropping-particle":"","parse-names":false,"suffix":""},{"dropping-particle":"","family":"Harmon","given":"Paul","non-dropping-particle":"","parse-names":false,"suffix":""},{"dropping-particle":"","family":"Okoh","given":"Grace","non-dropping-particle":"","parse-names":false,"suffix":""},{"dropping-particle":"","family":"Xu","given":"Wei","non-dropping-particle":"","parse-names":false,"suffix":""}],"container-title":"Journal of Pharmaceutical Sciences","id":"ITEM-1","issued":{"date-parts":[["2019"]]},"page":"1-9","publisher":"Elsevier Ltd","title":"Effect of Amorphous Nanoparticle Size on Bioavailability of Anacetrapib in Dogs","type":"article-journal"},"uris":["http://www.mendeley.com/documents/?uuid=99c5e541-e4bf-435f-bf51-b91fcfd14d01"]},{"id":"ITEM-2","itemData":{"ISSN":"18790003","abstract":"A major challenge associated with the oral delivery of anti-hypertensive drugs is their poor water solubility and low oral bioavailability. Carvedilol (CAR), a potential beta-blocker is hydrophobic drug that exhibit limited therapeutic effect through oral conventional drug delivery systems. For this reason, it is prerequisite to further investigate and develop an alternative drug delivery system so as to improve therapeutic efficacy of carvedilol as well as to minimize side effects of conventional treatment therapy. In the present study, it was aimed to develop nanoparticles (NPs) of a hydrophobic antihypertensive agent, Carvedilol by using chitosan (CS) as biodegradable polymer. Carvedilol chitosan nanoparticles (CAR-CS-NPs) were prepared by ionic gelation technique using sodium tripolyphosphate (TPP) as a crosslinking agent. The NPs were optimized and validated by Box-Behnken design (BBD). The optimized formulation showed particle size 102.12 nm and drug entrapment efficiency 71.26 ± 1.16%. The drug release profile of CAR-CS NPs showed biphasic release pattern with an initial burst release in the first 2 h followed by a controlled release over a period of 72 h. The pharmacokinetic results revealed that the optimized chitosan nanoparticles formulation have higher bioavailability than marketed tablet formulation which indicates CAR-CS NPs as an effective strategy to delivery poorly water soluble drugs.","author":[{"dropping-particle":"","family":"Sharma","given":"Mayank","non-dropping-particle":"","parse-names":false,"suffix":""},{"dropping-particle":"","family":"Sharma","given":"Rajesh","non-dropping-particle":"","parse-names":false,"suffix":""},{"dropping-particle":"","family":"Jain","given":"Dinesh Kumar","non-dropping-particle":"","parse-names":false,"suffix":""},{"dropping-particle":"","family":"Saraf","given":"Apeksha","non-dropping-particle":"","parse-names":false,"suffix":""}],"container-title":"International Journal of Biological Macromolecules","id":"ITEM-2","issued":{"date-parts":[["2019"]]},"page":"246-260","publisher":"Elsevier B.V.","title":"Enhancement of oral bioavailability of poorly water soluble carvedilol by chitosan nanoparticles: Optimization and pharmacokinetic study","type":"article-journal","volume":"135"},"uris":["http://www.mendeley.com/documents/?uuid=e6243902-f45b-4f8f-b143-ddb1ef942b4a"]},{"id":"ITEM-3","itemData":{"ISSN":"11769114","abstract":"Diosmin (DSN) is an outstanding phlebotonic flavonoid with a tolerable potential for the treatment of colon and hepatocellular carcinoma. Being highly insoluble, DSN bioavailability suffers from high inter-subject variation due to variable degrees of permeation. This work endeavored to develop novel DSN loaded phytosomes in order to improve drug dissolution and intestinal permeability. Three preparation methods (solvent evaporation, salting out, and lyophilization) were compared. Nanocarrier optimization encompassed different soybean phospholipid (SPC) types, different solvents, and different DSN:SPC molar ratios (1:1, 1:2, and 1:4). In vitro appraisal encompassed differential scanning calorimetry, infrared spectroscopy, particle size, zeta potential, polydispersity index, transmission electron microscopy, drug content, and in vitro stability. Comparative dissolution studies were performed under sink versus non-sink conditions. Ex vivo intestinal permeation studies were performed on rats utilizing noneverted sac technique and high-performance liquid chromatography analysis. The results revealed lyophilization as the optimum preparation technique using SPC and solvent mixture (Dimethyl sulphoxide:t-butylalchol) in a 1:2 ratio. Complex formation was contended by differential scanning calorimetry and infrared data. Optimal lyophilized phytosomal nanocarriers (LPNs) exhibited the lowest particle size (316 nm), adequate zeta-potential (-27 mV), and good in vitro stability. Well formed, discrete vesicles were revealed by transmission electron microscopy, drug content, and in vitro stability. Comparative dissolution studies were performed. LPNs demonstrated significant enhancement in DSN dissolution compared to crude drug, physical mixture, and generic and brand DSN products. Permeation studies revealed 80% DSN permeated from LPNs via oxygenated rat intestine compared to non-detectable amounts from suspension. In this study, LPNs (99% drug loading) could be successfully tailored for DSN with improved dissolution and permeation characteristics, which is promising for lowering the influence of exogenous factors and increasing drug delivery. © 2013 Freag et al, publisher and licensee Dove Medical Press Ltd.","author":[{"dropping-particle":"","family":"Freag","given":"May S.","non-dropping-particle":"","parse-names":false,"suffix":""},{"dropping-particle":"","family":"Elnaggar","given":"Yosra S R","non-dropping-particle":"","parse-names":false,"suffix":""},{"dropping-particle":"","family":"Abdallah","given":"Ossama Y.","non-dropping-particle":"","parse-names":false,"suffix":""}],"container-title":"International Journal of Nanomedicine","id":"ITEM-3","issued":{"date-parts":[["2013"]]},"page":"2385-2397","title":"Lyophilized phytosomal nanocarriers as platforms for enhanced diosmin delivery: Optimization and ex vivo permeation","type":"article-journal","volume":"8"},"uris":["http://www.mendeley.com/documents/?uuid=6705e9ea-f8bf-43e7-a58f-b13a5367d036"]}],"mendeley":{"formattedCitation":"[30,60,61]","plainTextFormattedCitation":"[30,60,61]","previouslyFormattedCitation":"[30,60,61]"},"properties":{"noteIndex":0},"schema":"https://github.com/citation-style-language/schema/raw/master/csl-citation.json"}</w:instrText>
      </w:r>
      <w:r w:rsidRPr="00F54F89">
        <w:rPr>
          <w:spacing w:val="2"/>
          <w:shd w:val="clear" w:color="auto" w:fill="FCFCFC"/>
        </w:rPr>
        <w:fldChar w:fldCharType="separate"/>
      </w:r>
      <w:r w:rsidR="007D0946" w:rsidRPr="00F54F89">
        <w:rPr>
          <w:noProof/>
          <w:spacing w:val="2"/>
          <w:shd w:val="clear" w:color="auto" w:fill="FCFCFC"/>
        </w:rPr>
        <w:t>[30,60,61]</w:t>
      </w:r>
      <w:r w:rsidRPr="00F54F89">
        <w:rPr>
          <w:spacing w:val="2"/>
          <w:shd w:val="clear" w:color="auto" w:fill="FCFCFC"/>
        </w:rPr>
        <w:fldChar w:fldCharType="end"/>
      </w:r>
      <w:r w:rsidRPr="00F54F89">
        <w:rPr>
          <w:spacing w:val="2"/>
          <w:shd w:val="clear" w:color="auto" w:fill="FCFCFC"/>
        </w:rPr>
        <w:t xml:space="preserve">. </w:t>
      </w:r>
    </w:p>
    <w:p w14:paraId="42B3F0D7" w14:textId="77777777" w:rsidR="000B499B" w:rsidRPr="00F54F89" w:rsidRDefault="000B499B">
      <w:pPr>
        <w:rPr>
          <w:b/>
          <w:sz w:val="20"/>
          <w:szCs w:val="20"/>
        </w:rPr>
      </w:pPr>
    </w:p>
    <w:p w14:paraId="2AD75FCE" w14:textId="593789F2" w:rsidR="000C6856" w:rsidRPr="00F54F89" w:rsidRDefault="000C6856">
      <w:pPr>
        <w:rPr>
          <w:sz w:val="20"/>
          <w:szCs w:val="20"/>
        </w:rPr>
      </w:pPr>
      <w:r w:rsidRPr="00F54F89">
        <w:rPr>
          <w:b/>
          <w:sz w:val="20"/>
          <w:szCs w:val="20"/>
        </w:rPr>
        <w:t xml:space="preserve">Table 3. </w:t>
      </w:r>
      <w:r w:rsidRPr="00F54F89">
        <w:rPr>
          <w:sz w:val="20"/>
          <w:szCs w:val="20"/>
        </w:rPr>
        <w:t xml:space="preserve">Solubility of CA, QU and KP from pure PE and F3, F5, F9 and F11 of PEP formulations (means ± SD, </w:t>
      </w:r>
      <w:r w:rsidRPr="00F54F89">
        <w:rPr>
          <w:i/>
          <w:iCs/>
          <w:sz w:val="20"/>
          <w:szCs w:val="20"/>
        </w:rPr>
        <w:t xml:space="preserve">n </w:t>
      </w:r>
      <w:r w:rsidRPr="00F54F89">
        <w:rPr>
          <w:sz w:val="20"/>
          <w:szCs w:val="20"/>
        </w:rPr>
        <w:t>= 3).</w:t>
      </w:r>
    </w:p>
    <w:tbl>
      <w:tblPr>
        <w:tblW w:w="7260" w:type="dxa"/>
        <w:jc w:val="center"/>
        <w:tblLook w:val="04A0" w:firstRow="1" w:lastRow="0" w:firstColumn="1" w:lastColumn="0" w:noHBand="0" w:noVBand="1"/>
      </w:tblPr>
      <w:tblGrid>
        <w:gridCol w:w="1172"/>
        <w:gridCol w:w="1540"/>
        <w:gridCol w:w="2360"/>
        <w:gridCol w:w="2400"/>
      </w:tblGrid>
      <w:tr w:rsidR="000C6856" w:rsidRPr="00F54F89" w14:paraId="761A6427" w14:textId="77777777" w:rsidTr="00D8255A">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23832499"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Compound</w:t>
            </w:r>
          </w:p>
        </w:tc>
        <w:tc>
          <w:tcPr>
            <w:tcW w:w="1540" w:type="dxa"/>
            <w:tcBorders>
              <w:top w:val="single" w:sz="4" w:space="0" w:color="auto"/>
              <w:left w:val="nil"/>
              <w:bottom w:val="single" w:sz="4" w:space="0" w:color="auto"/>
              <w:right w:val="nil"/>
            </w:tcBorders>
            <w:shd w:val="clear" w:color="auto" w:fill="auto"/>
            <w:noWrap/>
            <w:vAlign w:val="bottom"/>
            <w:hideMark/>
          </w:tcPr>
          <w:p w14:paraId="791FD559"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Samples</w:t>
            </w:r>
          </w:p>
        </w:tc>
        <w:tc>
          <w:tcPr>
            <w:tcW w:w="2360" w:type="dxa"/>
            <w:tcBorders>
              <w:top w:val="single" w:sz="4" w:space="0" w:color="auto"/>
              <w:left w:val="nil"/>
              <w:bottom w:val="single" w:sz="4" w:space="0" w:color="auto"/>
              <w:right w:val="nil"/>
            </w:tcBorders>
            <w:shd w:val="clear" w:color="auto" w:fill="auto"/>
            <w:noWrap/>
            <w:vAlign w:val="bottom"/>
            <w:hideMark/>
          </w:tcPr>
          <w:p w14:paraId="5548BA61"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Aqueous solubility (μg/mL)</w:t>
            </w:r>
          </w:p>
        </w:tc>
        <w:tc>
          <w:tcPr>
            <w:tcW w:w="2400" w:type="dxa"/>
            <w:tcBorders>
              <w:top w:val="single" w:sz="4" w:space="0" w:color="auto"/>
              <w:left w:val="nil"/>
              <w:bottom w:val="single" w:sz="4" w:space="0" w:color="auto"/>
              <w:right w:val="nil"/>
            </w:tcBorders>
            <w:shd w:val="clear" w:color="auto" w:fill="auto"/>
            <w:noWrap/>
            <w:vAlign w:val="bottom"/>
            <w:hideMark/>
          </w:tcPr>
          <w:p w14:paraId="62230F9A"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n-octanol solubility (μg/mL)</w:t>
            </w:r>
          </w:p>
        </w:tc>
      </w:tr>
      <w:tr w:rsidR="000C6856" w:rsidRPr="00F54F89" w14:paraId="1005A7F9" w14:textId="77777777" w:rsidTr="00D8255A">
        <w:trPr>
          <w:trHeight w:val="300"/>
          <w:jc w:val="center"/>
        </w:trPr>
        <w:tc>
          <w:tcPr>
            <w:tcW w:w="960" w:type="dxa"/>
            <w:vMerge w:val="restart"/>
            <w:tcBorders>
              <w:top w:val="single" w:sz="4" w:space="0" w:color="auto"/>
              <w:left w:val="nil"/>
              <w:bottom w:val="nil"/>
              <w:right w:val="nil"/>
            </w:tcBorders>
            <w:shd w:val="clear" w:color="auto" w:fill="auto"/>
            <w:noWrap/>
            <w:vAlign w:val="center"/>
            <w:hideMark/>
          </w:tcPr>
          <w:p w14:paraId="6D812ADF"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CA</w:t>
            </w:r>
          </w:p>
        </w:tc>
        <w:tc>
          <w:tcPr>
            <w:tcW w:w="1540" w:type="dxa"/>
            <w:tcBorders>
              <w:top w:val="single" w:sz="4" w:space="0" w:color="auto"/>
              <w:left w:val="nil"/>
              <w:bottom w:val="nil"/>
              <w:right w:val="nil"/>
            </w:tcBorders>
            <w:shd w:val="clear" w:color="auto" w:fill="auto"/>
            <w:noWrap/>
            <w:vAlign w:val="center"/>
            <w:hideMark/>
          </w:tcPr>
          <w:p w14:paraId="0F568CD9"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PE</w:t>
            </w:r>
          </w:p>
        </w:tc>
        <w:tc>
          <w:tcPr>
            <w:tcW w:w="2360" w:type="dxa"/>
            <w:tcBorders>
              <w:top w:val="single" w:sz="4" w:space="0" w:color="auto"/>
              <w:left w:val="nil"/>
              <w:bottom w:val="nil"/>
              <w:right w:val="nil"/>
            </w:tcBorders>
            <w:shd w:val="clear" w:color="auto" w:fill="auto"/>
            <w:noWrap/>
            <w:vAlign w:val="center"/>
            <w:hideMark/>
          </w:tcPr>
          <w:p w14:paraId="0666209A" w14:textId="77777777" w:rsidR="000C6856" w:rsidRPr="00F54F89" w:rsidRDefault="000C6856" w:rsidP="00AB2710">
            <w:pPr>
              <w:jc w:val="center"/>
              <w:rPr>
                <w:color w:val="000000"/>
                <w:sz w:val="20"/>
                <w:szCs w:val="20"/>
                <w:lang w:eastAsia="en-GB"/>
              </w:rPr>
            </w:pPr>
            <w:r w:rsidRPr="00F54F89">
              <w:rPr>
                <w:color w:val="000000"/>
                <w:sz w:val="20"/>
                <w:szCs w:val="20"/>
                <w:lang w:eastAsia="en-GB"/>
              </w:rPr>
              <w:t>143.23 ± 13.76</w:t>
            </w:r>
          </w:p>
        </w:tc>
        <w:tc>
          <w:tcPr>
            <w:tcW w:w="2400" w:type="dxa"/>
            <w:tcBorders>
              <w:top w:val="single" w:sz="4" w:space="0" w:color="auto"/>
              <w:left w:val="nil"/>
              <w:bottom w:val="nil"/>
              <w:right w:val="nil"/>
            </w:tcBorders>
            <w:shd w:val="clear" w:color="auto" w:fill="auto"/>
            <w:noWrap/>
            <w:vAlign w:val="center"/>
            <w:hideMark/>
          </w:tcPr>
          <w:p w14:paraId="16FD572A" w14:textId="77777777" w:rsidR="000C6856" w:rsidRPr="00F54F89" w:rsidRDefault="000C6856" w:rsidP="00AB2710">
            <w:pPr>
              <w:jc w:val="center"/>
              <w:rPr>
                <w:color w:val="000000"/>
                <w:sz w:val="20"/>
                <w:szCs w:val="20"/>
                <w:lang w:eastAsia="en-GB"/>
              </w:rPr>
            </w:pPr>
            <w:r w:rsidRPr="00F54F89">
              <w:rPr>
                <w:color w:val="000000"/>
                <w:sz w:val="20"/>
                <w:szCs w:val="20"/>
                <w:lang w:eastAsia="en-GB"/>
              </w:rPr>
              <w:t>543.87 ± 49.12</w:t>
            </w:r>
          </w:p>
        </w:tc>
      </w:tr>
      <w:tr w:rsidR="000C6856" w:rsidRPr="00F54F89" w14:paraId="451F005A" w14:textId="77777777" w:rsidTr="00AB2710">
        <w:trPr>
          <w:trHeight w:val="300"/>
          <w:jc w:val="center"/>
        </w:trPr>
        <w:tc>
          <w:tcPr>
            <w:tcW w:w="960" w:type="dxa"/>
            <w:vMerge/>
            <w:tcBorders>
              <w:top w:val="nil"/>
              <w:left w:val="nil"/>
              <w:bottom w:val="nil"/>
              <w:right w:val="nil"/>
            </w:tcBorders>
            <w:vAlign w:val="center"/>
            <w:hideMark/>
          </w:tcPr>
          <w:p w14:paraId="4409BA66"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4440A4B6"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F3</w:t>
            </w:r>
          </w:p>
        </w:tc>
        <w:tc>
          <w:tcPr>
            <w:tcW w:w="2360" w:type="dxa"/>
            <w:tcBorders>
              <w:top w:val="nil"/>
              <w:left w:val="nil"/>
              <w:bottom w:val="nil"/>
              <w:right w:val="nil"/>
            </w:tcBorders>
            <w:shd w:val="clear" w:color="auto" w:fill="auto"/>
            <w:noWrap/>
            <w:vAlign w:val="center"/>
            <w:hideMark/>
          </w:tcPr>
          <w:p w14:paraId="7EFBA2CB" w14:textId="77777777" w:rsidR="000C6856" w:rsidRPr="00F54F89" w:rsidRDefault="000C6856" w:rsidP="00AB2710">
            <w:pPr>
              <w:jc w:val="center"/>
              <w:rPr>
                <w:color w:val="000000"/>
                <w:sz w:val="20"/>
                <w:szCs w:val="20"/>
                <w:lang w:eastAsia="en-GB"/>
              </w:rPr>
            </w:pPr>
            <w:r w:rsidRPr="00F54F89">
              <w:rPr>
                <w:color w:val="000000"/>
                <w:sz w:val="20"/>
                <w:szCs w:val="20"/>
                <w:lang w:eastAsia="en-GB"/>
              </w:rPr>
              <w:t>832.12 ± 43.54</w:t>
            </w:r>
          </w:p>
        </w:tc>
        <w:tc>
          <w:tcPr>
            <w:tcW w:w="2400" w:type="dxa"/>
            <w:tcBorders>
              <w:top w:val="nil"/>
              <w:left w:val="nil"/>
              <w:bottom w:val="nil"/>
              <w:right w:val="nil"/>
            </w:tcBorders>
            <w:shd w:val="clear" w:color="auto" w:fill="auto"/>
            <w:noWrap/>
            <w:vAlign w:val="center"/>
            <w:hideMark/>
          </w:tcPr>
          <w:p w14:paraId="16A14D4B"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681.09 ± 52.10</w:t>
            </w:r>
          </w:p>
        </w:tc>
      </w:tr>
      <w:tr w:rsidR="000C6856" w:rsidRPr="00F54F89" w14:paraId="4BFF3603" w14:textId="77777777" w:rsidTr="00AB2710">
        <w:trPr>
          <w:trHeight w:val="300"/>
          <w:jc w:val="center"/>
        </w:trPr>
        <w:tc>
          <w:tcPr>
            <w:tcW w:w="960" w:type="dxa"/>
            <w:vMerge/>
            <w:tcBorders>
              <w:top w:val="nil"/>
              <w:left w:val="nil"/>
              <w:bottom w:val="nil"/>
              <w:right w:val="nil"/>
            </w:tcBorders>
            <w:vAlign w:val="center"/>
            <w:hideMark/>
          </w:tcPr>
          <w:p w14:paraId="515D48D2"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02BF8F1D"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F5</w:t>
            </w:r>
          </w:p>
        </w:tc>
        <w:tc>
          <w:tcPr>
            <w:tcW w:w="2360" w:type="dxa"/>
            <w:tcBorders>
              <w:top w:val="nil"/>
              <w:left w:val="nil"/>
              <w:bottom w:val="nil"/>
              <w:right w:val="nil"/>
            </w:tcBorders>
            <w:shd w:val="clear" w:color="auto" w:fill="auto"/>
            <w:noWrap/>
            <w:vAlign w:val="center"/>
            <w:hideMark/>
          </w:tcPr>
          <w:p w14:paraId="09E1F174"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759.36 ± 56.32</w:t>
            </w:r>
          </w:p>
        </w:tc>
        <w:tc>
          <w:tcPr>
            <w:tcW w:w="2400" w:type="dxa"/>
            <w:tcBorders>
              <w:top w:val="nil"/>
              <w:left w:val="nil"/>
              <w:bottom w:val="nil"/>
              <w:right w:val="nil"/>
            </w:tcBorders>
            <w:shd w:val="clear" w:color="auto" w:fill="auto"/>
            <w:noWrap/>
            <w:vAlign w:val="center"/>
            <w:hideMark/>
          </w:tcPr>
          <w:p w14:paraId="3BF89F2C"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653.78 ± 48.77</w:t>
            </w:r>
          </w:p>
        </w:tc>
      </w:tr>
      <w:tr w:rsidR="000C6856" w:rsidRPr="00F54F89" w14:paraId="58AFE5B8" w14:textId="77777777" w:rsidTr="00AB2710">
        <w:trPr>
          <w:trHeight w:val="300"/>
          <w:jc w:val="center"/>
        </w:trPr>
        <w:tc>
          <w:tcPr>
            <w:tcW w:w="960" w:type="dxa"/>
            <w:vMerge/>
            <w:tcBorders>
              <w:top w:val="nil"/>
              <w:left w:val="nil"/>
              <w:bottom w:val="nil"/>
              <w:right w:val="nil"/>
            </w:tcBorders>
            <w:vAlign w:val="center"/>
            <w:hideMark/>
          </w:tcPr>
          <w:p w14:paraId="18C7F63F"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4A3E8A9B"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F9</w:t>
            </w:r>
          </w:p>
        </w:tc>
        <w:tc>
          <w:tcPr>
            <w:tcW w:w="2360" w:type="dxa"/>
            <w:tcBorders>
              <w:top w:val="nil"/>
              <w:left w:val="nil"/>
              <w:bottom w:val="nil"/>
              <w:right w:val="nil"/>
            </w:tcBorders>
            <w:shd w:val="clear" w:color="auto" w:fill="auto"/>
            <w:noWrap/>
            <w:vAlign w:val="center"/>
            <w:hideMark/>
          </w:tcPr>
          <w:p w14:paraId="5C582D3B" w14:textId="77777777" w:rsidR="000C6856" w:rsidRPr="00F54F89" w:rsidRDefault="000C6856" w:rsidP="00AB2710">
            <w:pPr>
              <w:jc w:val="center"/>
              <w:rPr>
                <w:color w:val="000000"/>
                <w:sz w:val="20"/>
                <w:szCs w:val="20"/>
                <w:lang w:eastAsia="en-GB"/>
              </w:rPr>
            </w:pPr>
            <w:r w:rsidRPr="00F54F89">
              <w:rPr>
                <w:color w:val="000000"/>
                <w:sz w:val="20"/>
                <w:szCs w:val="20"/>
                <w:lang w:eastAsia="en-GB"/>
              </w:rPr>
              <w:t>895.43 ± 35.14</w:t>
            </w:r>
          </w:p>
        </w:tc>
        <w:tc>
          <w:tcPr>
            <w:tcW w:w="2400" w:type="dxa"/>
            <w:tcBorders>
              <w:top w:val="nil"/>
              <w:left w:val="nil"/>
              <w:bottom w:val="nil"/>
              <w:right w:val="nil"/>
            </w:tcBorders>
            <w:shd w:val="clear" w:color="auto" w:fill="auto"/>
            <w:noWrap/>
            <w:vAlign w:val="center"/>
            <w:hideMark/>
          </w:tcPr>
          <w:p w14:paraId="3DCC10DE"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698.32 ± 32.12</w:t>
            </w:r>
          </w:p>
        </w:tc>
      </w:tr>
      <w:tr w:rsidR="000C6856" w:rsidRPr="00F54F89" w14:paraId="6A98F6D2" w14:textId="77777777" w:rsidTr="00D8255A">
        <w:trPr>
          <w:trHeight w:val="300"/>
          <w:jc w:val="center"/>
        </w:trPr>
        <w:tc>
          <w:tcPr>
            <w:tcW w:w="960" w:type="dxa"/>
            <w:vMerge/>
            <w:tcBorders>
              <w:top w:val="nil"/>
              <w:left w:val="nil"/>
              <w:bottom w:val="single" w:sz="4" w:space="0" w:color="auto"/>
              <w:right w:val="nil"/>
            </w:tcBorders>
            <w:vAlign w:val="center"/>
            <w:hideMark/>
          </w:tcPr>
          <w:p w14:paraId="6F0CB236"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single" w:sz="4" w:space="0" w:color="auto"/>
              <w:right w:val="nil"/>
            </w:tcBorders>
            <w:shd w:val="clear" w:color="auto" w:fill="auto"/>
            <w:noWrap/>
            <w:vAlign w:val="center"/>
            <w:hideMark/>
          </w:tcPr>
          <w:p w14:paraId="551DB0CF"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F11</w:t>
            </w:r>
          </w:p>
        </w:tc>
        <w:tc>
          <w:tcPr>
            <w:tcW w:w="2360" w:type="dxa"/>
            <w:tcBorders>
              <w:top w:val="nil"/>
              <w:left w:val="nil"/>
              <w:bottom w:val="single" w:sz="4" w:space="0" w:color="auto"/>
              <w:right w:val="nil"/>
            </w:tcBorders>
            <w:shd w:val="clear" w:color="auto" w:fill="auto"/>
            <w:noWrap/>
            <w:vAlign w:val="center"/>
            <w:hideMark/>
          </w:tcPr>
          <w:p w14:paraId="6F14E451"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787.13 ± 29.87</w:t>
            </w:r>
          </w:p>
        </w:tc>
        <w:tc>
          <w:tcPr>
            <w:tcW w:w="2400" w:type="dxa"/>
            <w:tcBorders>
              <w:top w:val="nil"/>
              <w:left w:val="nil"/>
              <w:bottom w:val="single" w:sz="4" w:space="0" w:color="auto"/>
              <w:right w:val="nil"/>
            </w:tcBorders>
            <w:shd w:val="clear" w:color="auto" w:fill="auto"/>
            <w:noWrap/>
            <w:vAlign w:val="center"/>
            <w:hideMark/>
          </w:tcPr>
          <w:p w14:paraId="0F87DF94"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672.69 ± 29.13</w:t>
            </w:r>
          </w:p>
        </w:tc>
      </w:tr>
      <w:tr w:rsidR="000C6856" w:rsidRPr="00F54F89" w14:paraId="57B99B33" w14:textId="77777777" w:rsidTr="00D8255A">
        <w:trPr>
          <w:trHeight w:val="300"/>
          <w:jc w:val="center"/>
        </w:trPr>
        <w:tc>
          <w:tcPr>
            <w:tcW w:w="960" w:type="dxa"/>
            <w:vMerge w:val="restart"/>
            <w:tcBorders>
              <w:top w:val="single" w:sz="4" w:space="0" w:color="auto"/>
              <w:left w:val="nil"/>
              <w:bottom w:val="nil"/>
              <w:right w:val="nil"/>
            </w:tcBorders>
            <w:shd w:val="clear" w:color="auto" w:fill="auto"/>
            <w:noWrap/>
            <w:vAlign w:val="center"/>
            <w:hideMark/>
          </w:tcPr>
          <w:p w14:paraId="0941D020"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QU</w:t>
            </w:r>
          </w:p>
        </w:tc>
        <w:tc>
          <w:tcPr>
            <w:tcW w:w="1540" w:type="dxa"/>
            <w:tcBorders>
              <w:top w:val="single" w:sz="4" w:space="0" w:color="auto"/>
              <w:left w:val="nil"/>
              <w:bottom w:val="nil"/>
              <w:right w:val="nil"/>
            </w:tcBorders>
            <w:shd w:val="clear" w:color="auto" w:fill="auto"/>
            <w:noWrap/>
            <w:vAlign w:val="center"/>
            <w:hideMark/>
          </w:tcPr>
          <w:p w14:paraId="3CDA1C70"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PE</w:t>
            </w:r>
          </w:p>
        </w:tc>
        <w:tc>
          <w:tcPr>
            <w:tcW w:w="2360" w:type="dxa"/>
            <w:tcBorders>
              <w:top w:val="single" w:sz="4" w:space="0" w:color="auto"/>
              <w:left w:val="nil"/>
              <w:bottom w:val="nil"/>
              <w:right w:val="nil"/>
            </w:tcBorders>
            <w:shd w:val="clear" w:color="auto" w:fill="auto"/>
            <w:noWrap/>
            <w:vAlign w:val="center"/>
            <w:hideMark/>
          </w:tcPr>
          <w:p w14:paraId="1681D31A"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38.41 ± 2.54</w:t>
            </w:r>
          </w:p>
        </w:tc>
        <w:tc>
          <w:tcPr>
            <w:tcW w:w="2400" w:type="dxa"/>
            <w:tcBorders>
              <w:top w:val="single" w:sz="4" w:space="0" w:color="auto"/>
              <w:left w:val="nil"/>
              <w:bottom w:val="nil"/>
              <w:right w:val="nil"/>
            </w:tcBorders>
            <w:shd w:val="clear" w:color="auto" w:fill="auto"/>
            <w:noWrap/>
            <w:vAlign w:val="center"/>
            <w:hideMark/>
          </w:tcPr>
          <w:p w14:paraId="0D8C3AD4"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643.45 ± 19.88</w:t>
            </w:r>
          </w:p>
        </w:tc>
      </w:tr>
      <w:tr w:rsidR="000C6856" w:rsidRPr="00F54F89" w14:paraId="068DFBF1" w14:textId="77777777" w:rsidTr="00AB2710">
        <w:trPr>
          <w:trHeight w:val="300"/>
          <w:jc w:val="center"/>
        </w:trPr>
        <w:tc>
          <w:tcPr>
            <w:tcW w:w="960" w:type="dxa"/>
            <w:vMerge/>
            <w:tcBorders>
              <w:top w:val="nil"/>
              <w:left w:val="nil"/>
              <w:bottom w:val="nil"/>
              <w:right w:val="nil"/>
            </w:tcBorders>
            <w:vAlign w:val="center"/>
            <w:hideMark/>
          </w:tcPr>
          <w:p w14:paraId="0683D89C"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0B198D6D"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F3</w:t>
            </w:r>
          </w:p>
        </w:tc>
        <w:tc>
          <w:tcPr>
            <w:tcW w:w="2360" w:type="dxa"/>
            <w:tcBorders>
              <w:top w:val="nil"/>
              <w:left w:val="nil"/>
              <w:bottom w:val="nil"/>
              <w:right w:val="nil"/>
            </w:tcBorders>
            <w:shd w:val="clear" w:color="auto" w:fill="auto"/>
            <w:noWrap/>
            <w:vAlign w:val="center"/>
            <w:hideMark/>
          </w:tcPr>
          <w:p w14:paraId="6E533D47" w14:textId="77777777" w:rsidR="000C6856" w:rsidRPr="00F54F89" w:rsidRDefault="000C6856" w:rsidP="00AB2710">
            <w:pPr>
              <w:jc w:val="center"/>
              <w:rPr>
                <w:color w:val="000000"/>
                <w:sz w:val="20"/>
                <w:szCs w:val="20"/>
                <w:lang w:eastAsia="en-GB"/>
              </w:rPr>
            </w:pPr>
            <w:r w:rsidRPr="00F54F89">
              <w:rPr>
                <w:color w:val="000000"/>
                <w:sz w:val="20"/>
                <w:szCs w:val="20"/>
                <w:lang w:eastAsia="en-GB"/>
              </w:rPr>
              <w:t>471.12 ± 31.34</w:t>
            </w:r>
          </w:p>
        </w:tc>
        <w:tc>
          <w:tcPr>
            <w:tcW w:w="2400" w:type="dxa"/>
            <w:tcBorders>
              <w:top w:val="nil"/>
              <w:left w:val="nil"/>
              <w:bottom w:val="nil"/>
              <w:right w:val="nil"/>
            </w:tcBorders>
            <w:shd w:val="clear" w:color="auto" w:fill="auto"/>
            <w:noWrap/>
            <w:vAlign w:val="center"/>
            <w:hideMark/>
          </w:tcPr>
          <w:p w14:paraId="0A62ACDB"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702.98 ± 35.31</w:t>
            </w:r>
          </w:p>
        </w:tc>
      </w:tr>
      <w:tr w:rsidR="000C6856" w:rsidRPr="00F54F89" w14:paraId="7989C0B2" w14:textId="77777777" w:rsidTr="00AB2710">
        <w:trPr>
          <w:trHeight w:val="300"/>
          <w:jc w:val="center"/>
        </w:trPr>
        <w:tc>
          <w:tcPr>
            <w:tcW w:w="960" w:type="dxa"/>
            <w:vMerge/>
            <w:tcBorders>
              <w:top w:val="nil"/>
              <w:left w:val="nil"/>
              <w:bottom w:val="nil"/>
              <w:right w:val="nil"/>
            </w:tcBorders>
            <w:vAlign w:val="center"/>
            <w:hideMark/>
          </w:tcPr>
          <w:p w14:paraId="100710BD"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7A19E15F"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F5</w:t>
            </w:r>
          </w:p>
        </w:tc>
        <w:tc>
          <w:tcPr>
            <w:tcW w:w="2360" w:type="dxa"/>
            <w:tcBorders>
              <w:top w:val="nil"/>
              <w:left w:val="nil"/>
              <w:bottom w:val="nil"/>
              <w:right w:val="nil"/>
            </w:tcBorders>
            <w:shd w:val="clear" w:color="auto" w:fill="auto"/>
            <w:noWrap/>
            <w:vAlign w:val="center"/>
            <w:hideMark/>
          </w:tcPr>
          <w:p w14:paraId="4DE7FAFD"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398.95 ± 24.91</w:t>
            </w:r>
          </w:p>
        </w:tc>
        <w:tc>
          <w:tcPr>
            <w:tcW w:w="2400" w:type="dxa"/>
            <w:tcBorders>
              <w:top w:val="nil"/>
              <w:left w:val="nil"/>
              <w:bottom w:val="nil"/>
              <w:right w:val="nil"/>
            </w:tcBorders>
            <w:shd w:val="clear" w:color="auto" w:fill="auto"/>
            <w:noWrap/>
            <w:vAlign w:val="center"/>
            <w:hideMark/>
          </w:tcPr>
          <w:p w14:paraId="579490F4"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652.69 ± 30.87</w:t>
            </w:r>
          </w:p>
        </w:tc>
      </w:tr>
      <w:tr w:rsidR="000C6856" w:rsidRPr="00F54F89" w14:paraId="7DDDEE4F" w14:textId="77777777" w:rsidTr="00AB2710">
        <w:trPr>
          <w:trHeight w:val="300"/>
          <w:jc w:val="center"/>
        </w:trPr>
        <w:tc>
          <w:tcPr>
            <w:tcW w:w="960" w:type="dxa"/>
            <w:vMerge/>
            <w:tcBorders>
              <w:top w:val="nil"/>
              <w:left w:val="nil"/>
              <w:bottom w:val="nil"/>
              <w:right w:val="nil"/>
            </w:tcBorders>
            <w:vAlign w:val="center"/>
            <w:hideMark/>
          </w:tcPr>
          <w:p w14:paraId="34B2679F"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3B3E1B73"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F9</w:t>
            </w:r>
          </w:p>
        </w:tc>
        <w:tc>
          <w:tcPr>
            <w:tcW w:w="2360" w:type="dxa"/>
            <w:tcBorders>
              <w:top w:val="nil"/>
              <w:left w:val="nil"/>
              <w:bottom w:val="nil"/>
              <w:right w:val="nil"/>
            </w:tcBorders>
            <w:shd w:val="clear" w:color="auto" w:fill="auto"/>
            <w:noWrap/>
            <w:vAlign w:val="center"/>
            <w:hideMark/>
          </w:tcPr>
          <w:p w14:paraId="58AFD8B4" w14:textId="77777777" w:rsidR="000C6856" w:rsidRPr="00F54F89" w:rsidRDefault="000C6856" w:rsidP="00AB2710">
            <w:pPr>
              <w:jc w:val="center"/>
              <w:rPr>
                <w:color w:val="000000"/>
                <w:sz w:val="20"/>
                <w:szCs w:val="20"/>
                <w:lang w:eastAsia="en-GB"/>
              </w:rPr>
            </w:pPr>
            <w:r w:rsidRPr="00F54F89">
              <w:rPr>
                <w:color w:val="000000"/>
                <w:sz w:val="20"/>
                <w:szCs w:val="20"/>
                <w:lang w:eastAsia="en-GB"/>
              </w:rPr>
              <w:t>483.23 ± 31.09</w:t>
            </w:r>
          </w:p>
        </w:tc>
        <w:tc>
          <w:tcPr>
            <w:tcW w:w="2400" w:type="dxa"/>
            <w:tcBorders>
              <w:top w:val="nil"/>
              <w:left w:val="nil"/>
              <w:bottom w:val="nil"/>
              <w:right w:val="nil"/>
            </w:tcBorders>
            <w:shd w:val="clear" w:color="auto" w:fill="auto"/>
            <w:noWrap/>
            <w:vAlign w:val="center"/>
            <w:hideMark/>
          </w:tcPr>
          <w:p w14:paraId="6D1947A1"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714.98 ± 31.32</w:t>
            </w:r>
          </w:p>
        </w:tc>
      </w:tr>
      <w:tr w:rsidR="000C6856" w:rsidRPr="00F54F89" w14:paraId="76BC4888" w14:textId="77777777" w:rsidTr="00D8255A">
        <w:trPr>
          <w:trHeight w:val="300"/>
          <w:jc w:val="center"/>
        </w:trPr>
        <w:tc>
          <w:tcPr>
            <w:tcW w:w="960" w:type="dxa"/>
            <w:vMerge/>
            <w:tcBorders>
              <w:top w:val="nil"/>
              <w:left w:val="nil"/>
              <w:bottom w:val="single" w:sz="4" w:space="0" w:color="auto"/>
              <w:right w:val="nil"/>
            </w:tcBorders>
            <w:vAlign w:val="center"/>
            <w:hideMark/>
          </w:tcPr>
          <w:p w14:paraId="460C5299"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single" w:sz="4" w:space="0" w:color="auto"/>
              <w:right w:val="nil"/>
            </w:tcBorders>
            <w:shd w:val="clear" w:color="auto" w:fill="auto"/>
            <w:noWrap/>
            <w:vAlign w:val="center"/>
            <w:hideMark/>
          </w:tcPr>
          <w:p w14:paraId="61C981D6"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F11</w:t>
            </w:r>
          </w:p>
        </w:tc>
        <w:tc>
          <w:tcPr>
            <w:tcW w:w="2360" w:type="dxa"/>
            <w:tcBorders>
              <w:top w:val="nil"/>
              <w:left w:val="nil"/>
              <w:bottom w:val="single" w:sz="4" w:space="0" w:color="auto"/>
              <w:right w:val="nil"/>
            </w:tcBorders>
            <w:shd w:val="clear" w:color="auto" w:fill="auto"/>
            <w:noWrap/>
            <w:vAlign w:val="center"/>
            <w:hideMark/>
          </w:tcPr>
          <w:p w14:paraId="0A86C8CF" w14:textId="77777777" w:rsidR="000C6856" w:rsidRPr="00F54F89" w:rsidRDefault="000C6856" w:rsidP="00AB2710">
            <w:pPr>
              <w:jc w:val="center"/>
              <w:rPr>
                <w:color w:val="000000"/>
                <w:sz w:val="20"/>
                <w:szCs w:val="20"/>
                <w:lang w:eastAsia="en-GB"/>
              </w:rPr>
            </w:pPr>
            <w:r w:rsidRPr="00F54F89">
              <w:rPr>
                <w:color w:val="000000"/>
                <w:sz w:val="20"/>
                <w:szCs w:val="20"/>
                <w:lang w:eastAsia="en-GB"/>
              </w:rPr>
              <w:t>426.98 ± 39.98</w:t>
            </w:r>
          </w:p>
        </w:tc>
        <w:tc>
          <w:tcPr>
            <w:tcW w:w="2400" w:type="dxa"/>
            <w:tcBorders>
              <w:top w:val="nil"/>
              <w:left w:val="nil"/>
              <w:bottom w:val="single" w:sz="4" w:space="0" w:color="auto"/>
              <w:right w:val="nil"/>
            </w:tcBorders>
            <w:shd w:val="clear" w:color="auto" w:fill="auto"/>
            <w:noWrap/>
            <w:vAlign w:val="center"/>
            <w:hideMark/>
          </w:tcPr>
          <w:p w14:paraId="6FD26D69"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687.69 ± 38.15</w:t>
            </w:r>
          </w:p>
        </w:tc>
      </w:tr>
      <w:tr w:rsidR="000C6856" w:rsidRPr="00F54F89" w14:paraId="5ADFF399" w14:textId="77777777" w:rsidTr="00D8255A">
        <w:trPr>
          <w:trHeight w:val="300"/>
          <w:jc w:val="center"/>
        </w:trPr>
        <w:tc>
          <w:tcPr>
            <w:tcW w:w="960" w:type="dxa"/>
            <w:vMerge w:val="restart"/>
            <w:tcBorders>
              <w:top w:val="single" w:sz="4" w:space="0" w:color="auto"/>
              <w:left w:val="nil"/>
              <w:bottom w:val="single" w:sz="4" w:space="0" w:color="000000"/>
              <w:right w:val="nil"/>
            </w:tcBorders>
            <w:shd w:val="clear" w:color="auto" w:fill="auto"/>
            <w:noWrap/>
            <w:vAlign w:val="center"/>
            <w:hideMark/>
          </w:tcPr>
          <w:p w14:paraId="30377F1F"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KP</w:t>
            </w:r>
          </w:p>
        </w:tc>
        <w:tc>
          <w:tcPr>
            <w:tcW w:w="1540" w:type="dxa"/>
            <w:tcBorders>
              <w:top w:val="single" w:sz="4" w:space="0" w:color="auto"/>
              <w:left w:val="nil"/>
              <w:bottom w:val="nil"/>
              <w:right w:val="nil"/>
            </w:tcBorders>
            <w:shd w:val="clear" w:color="auto" w:fill="auto"/>
            <w:noWrap/>
            <w:vAlign w:val="center"/>
            <w:hideMark/>
          </w:tcPr>
          <w:p w14:paraId="5C148986"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PE</w:t>
            </w:r>
          </w:p>
        </w:tc>
        <w:tc>
          <w:tcPr>
            <w:tcW w:w="2360" w:type="dxa"/>
            <w:tcBorders>
              <w:top w:val="single" w:sz="4" w:space="0" w:color="auto"/>
              <w:left w:val="nil"/>
              <w:bottom w:val="nil"/>
              <w:right w:val="nil"/>
            </w:tcBorders>
            <w:shd w:val="clear" w:color="auto" w:fill="auto"/>
            <w:noWrap/>
            <w:vAlign w:val="center"/>
            <w:hideMark/>
          </w:tcPr>
          <w:p w14:paraId="1AECBB8A"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37.34 ± 2.12</w:t>
            </w:r>
          </w:p>
        </w:tc>
        <w:tc>
          <w:tcPr>
            <w:tcW w:w="2400" w:type="dxa"/>
            <w:tcBorders>
              <w:top w:val="single" w:sz="4" w:space="0" w:color="auto"/>
              <w:left w:val="nil"/>
              <w:bottom w:val="nil"/>
              <w:right w:val="nil"/>
            </w:tcBorders>
            <w:shd w:val="clear" w:color="auto" w:fill="auto"/>
            <w:noWrap/>
            <w:vAlign w:val="center"/>
            <w:hideMark/>
          </w:tcPr>
          <w:p w14:paraId="06E35927"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654.32 ± 28.18</w:t>
            </w:r>
          </w:p>
        </w:tc>
      </w:tr>
      <w:tr w:rsidR="000C6856" w:rsidRPr="00F54F89" w14:paraId="09CE3917" w14:textId="77777777" w:rsidTr="00AB2710">
        <w:trPr>
          <w:trHeight w:val="300"/>
          <w:jc w:val="center"/>
        </w:trPr>
        <w:tc>
          <w:tcPr>
            <w:tcW w:w="960" w:type="dxa"/>
            <w:vMerge/>
            <w:tcBorders>
              <w:top w:val="nil"/>
              <w:left w:val="nil"/>
              <w:bottom w:val="single" w:sz="4" w:space="0" w:color="000000"/>
              <w:right w:val="nil"/>
            </w:tcBorders>
            <w:vAlign w:val="center"/>
            <w:hideMark/>
          </w:tcPr>
          <w:p w14:paraId="5C912AE4"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482765C3"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F3</w:t>
            </w:r>
          </w:p>
        </w:tc>
        <w:tc>
          <w:tcPr>
            <w:tcW w:w="2360" w:type="dxa"/>
            <w:tcBorders>
              <w:top w:val="nil"/>
              <w:left w:val="nil"/>
              <w:bottom w:val="nil"/>
              <w:right w:val="nil"/>
            </w:tcBorders>
            <w:shd w:val="clear" w:color="auto" w:fill="auto"/>
            <w:noWrap/>
            <w:vAlign w:val="center"/>
            <w:hideMark/>
          </w:tcPr>
          <w:p w14:paraId="2A77CA20"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371.02 ± 21.54</w:t>
            </w:r>
          </w:p>
        </w:tc>
        <w:tc>
          <w:tcPr>
            <w:tcW w:w="2400" w:type="dxa"/>
            <w:tcBorders>
              <w:top w:val="nil"/>
              <w:left w:val="nil"/>
              <w:bottom w:val="nil"/>
              <w:right w:val="nil"/>
            </w:tcBorders>
            <w:shd w:val="clear" w:color="auto" w:fill="auto"/>
            <w:noWrap/>
            <w:vAlign w:val="center"/>
            <w:hideMark/>
          </w:tcPr>
          <w:p w14:paraId="5091F0C3"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719.98 ± 32.87</w:t>
            </w:r>
          </w:p>
        </w:tc>
      </w:tr>
      <w:tr w:rsidR="000C6856" w:rsidRPr="00F54F89" w14:paraId="376A0411" w14:textId="77777777" w:rsidTr="00AB2710">
        <w:trPr>
          <w:trHeight w:val="300"/>
          <w:jc w:val="center"/>
        </w:trPr>
        <w:tc>
          <w:tcPr>
            <w:tcW w:w="960" w:type="dxa"/>
            <w:vMerge/>
            <w:tcBorders>
              <w:top w:val="nil"/>
              <w:left w:val="nil"/>
              <w:bottom w:val="single" w:sz="4" w:space="0" w:color="000000"/>
              <w:right w:val="nil"/>
            </w:tcBorders>
            <w:vAlign w:val="center"/>
            <w:hideMark/>
          </w:tcPr>
          <w:p w14:paraId="4770EF70"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529E6B7C"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F5</w:t>
            </w:r>
          </w:p>
        </w:tc>
        <w:tc>
          <w:tcPr>
            <w:tcW w:w="2360" w:type="dxa"/>
            <w:tcBorders>
              <w:top w:val="nil"/>
              <w:left w:val="nil"/>
              <w:bottom w:val="nil"/>
              <w:right w:val="nil"/>
            </w:tcBorders>
            <w:shd w:val="clear" w:color="auto" w:fill="auto"/>
            <w:noWrap/>
            <w:vAlign w:val="center"/>
            <w:hideMark/>
          </w:tcPr>
          <w:p w14:paraId="228E5F0C"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345.87 ± 32.34</w:t>
            </w:r>
          </w:p>
        </w:tc>
        <w:tc>
          <w:tcPr>
            <w:tcW w:w="2400" w:type="dxa"/>
            <w:tcBorders>
              <w:top w:val="nil"/>
              <w:left w:val="nil"/>
              <w:bottom w:val="nil"/>
              <w:right w:val="nil"/>
            </w:tcBorders>
            <w:shd w:val="clear" w:color="auto" w:fill="auto"/>
            <w:noWrap/>
            <w:vAlign w:val="center"/>
            <w:hideMark/>
          </w:tcPr>
          <w:p w14:paraId="4AE11185" w14:textId="77777777" w:rsidR="000C6856" w:rsidRPr="00F54F89" w:rsidRDefault="000C6856" w:rsidP="00AB2710">
            <w:pPr>
              <w:jc w:val="center"/>
              <w:rPr>
                <w:color w:val="000000"/>
                <w:sz w:val="20"/>
                <w:szCs w:val="20"/>
                <w:lang w:eastAsia="en-GB"/>
              </w:rPr>
            </w:pPr>
            <w:r w:rsidRPr="00F54F89">
              <w:rPr>
                <w:color w:val="000000"/>
                <w:sz w:val="20"/>
                <w:szCs w:val="20"/>
                <w:lang w:eastAsia="en-GB"/>
              </w:rPr>
              <w:t>687.09 ± 41.93</w:t>
            </w:r>
          </w:p>
        </w:tc>
      </w:tr>
      <w:tr w:rsidR="000C6856" w:rsidRPr="00F54F89" w14:paraId="0B2E2D4B" w14:textId="77777777" w:rsidTr="00AB2710">
        <w:trPr>
          <w:trHeight w:val="300"/>
          <w:jc w:val="center"/>
        </w:trPr>
        <w:tc>
          <w:tcPr>
            <w:tcW w:w="960" w:type="dxa"/>
            <w:vMerge/>
            <w:tcBorders>
              <w:top w:val="nil"/>
              <w:left w:val="nil"/>
              <w:bottom w:val="single" w:sz="4" w:space="0" w:color="000000"/>
              <w:right w:val="nil"/>
            </w:tcBorders>
            <w:vAlign w:val="center"/>
            <w:hideMark/>
          </w:tcPr>
          <w:p w14:paraId="792AD777"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nil"/>
              <w:right w:val="nil"/>
            </w:tcBorders>
            <w:shd w:val="clear" w:color="auto" w:fill="auto"/>
            <w:noWrap/>
            <w:vAlign w:val="center"/>
            <w:hideMark/>
          </w:tcPr>
          <w:p w14:paraId="7B98E185"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F9</w:t>
            </w:r>
          </w:p>
        </w:tc>
        <w:tc>
          <w:tcPr>
            <w:tcW w:w="2360" w:type="dxa"/>
            <w:tcBorders>
              <w:top w:val="nil"/>
              <w:left w:val="nil"/>
              <w:bottom w:val="nil"/>
              <w:right w:val="nil"/>
            </w:tcBorders>
            <w:shd w:val="clear" w:color="auto" w:fill="auto"/>
            <w:noWrap/>
            <w:vAlign w:val="center"/>
            <w:hideMark/>
          </w:tcPr>
          <w:p w14:paraId="33109DBC"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398.45 ± 19.98</w:t>
            </w:r>
          </w:p>
        </w:tc>
        <w:tc>
          <w:tcPr>
            <w:tcW w:w="2400" w:type="dxa"/>
            <w:tcBorders>
              <w:top w:val="nil"/>
              <w:left w:val="nil"/>
              <w:bottom w:val="nil"/>
              <w:right w:val="nil"/>
            </w:tcBorders>
            <w:shd w:val="clear" w:color="auto" w:fill="auto"/>
            <w:noWrap/>
            <w:vAlign w:val="center"/>
            <w:hideMark/>
          </w:tcPr>
          <w:p w14:paraId="1F7FF6DD"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743.04 ± 53.16</w:t>
            </w:r>
          </w:p>
        </w:tc>
      </w:tr>
      <w:tr w:rsidR="000C6856" w:rsidRPr="00F54F89" w14:paraId="468FA07D" w14:textId="77777777" w:rsidTr="00AB2710">
        <w:trPr>
          <w:trHeight w:val="300"/>
          <w:jc w:val="center"/>
        </w:trPr>
        <w:tc>
          <w:tcPr>
            <w:tcW w:w="960" w:type="dxa"/>
            <w:vMerge/>
            <w:tcBorders>
              <w:top w:val="nil"/>
              <w:left w:val="nil"/>
              <w:bottom w:val="single" w:sz="4" w:space="0" w:color="000000"/>
              <w:right w:val="nil"/>
            </w:tcBorders>
            <w:vAlign w:val="center"/>
            <w:hideMark/>
          </w:tcPr>
          <w:p w14:paraId="058C41C9" w14:textId="77777777" w:rsidR="000C6856" w:rsidRPr="00F54F89" w:rsidRDefault="000C6856" w:rsidP="00AB2710">
            <w:pPr>
              <w:jc w:val="center"/>
              <w:rPr>
                <w:b/>
                <w:bCs/>
                <w:color w:val="000000"/>
                <w:sz w:val="20"/>
                <w:szCs w:val="20"/>
                <w:lang w:eastAsia="en-GB"/>
              </w:rPr>
            </w:pPr>
          </w:p>
        </w:tc>
        <w:tc>
          <w:tcPr>
            <w:tcW w:w="1540" w:type="dxa"/>
            <w:tcBorders>
              <w:top w:val="nil"/>
              <w:left w:val="nil"/>
              <w:bottom w:val="single" w:sz="4" w:space="0" w:color="auto"/>
              <w:right w:val="nil"/>
            </w:tcBorders>
            <w:shd w:val="clear" w:color="auto" w:fill="auto"/>
            <w:noWrap/>
            <w:vAlign w:val="center"/>
            <w:hideMark/>
          </w:tcPr>
          <w:p w14:paraId="70C45D96" w14:textId="77777777" w:rsidR="000C6856" w:rsidRPr="00F54F89" w:rsidRDefault="000C6856" w:rsidP="00AB2710">
            <w:pPr>
              <w:jc w:val="center"/>
              <w:rPr>
                <w:b/>
                <w:bCs/>
                <w:color w:val="000000"/>
                <w:sz w:val="20"/>
                <w:szCs w:val="20"/>
                <w:lang w:eastAsia="en-GB"/>
              </w:rPr>
            </w:pPr>
            <w:r w:rsidRPr="00F54F89">
              <w:rPr>
                <w:b/>
                <w:bCs/>
                <w:color w:val="000000"/>
                <w:sz w:val="20"/>
                <w:szCs w:val="20"/>
                <w:lang w:eastAsia="en-GB"/>
              </w:rPr>
              <w:t>F11</w:t>
            </w:r>
          </w:p>
        </w:tc>
        <w:tc>
          <w:tcPr>
            <w:tcW w:w="2360" w:type="dxa"/>
            <w:tcBorders>
              <w:top w:val="nil"/>
              <w:left w:val="nil"/>
              <w:bottom w:val="single" w:sz="4" w:space="0" w:color="auto"/>
              <w:right w:val="nil"/>
            </w:tcBorders>
            <w:shd w:val="clear" w:color="auto" w:fill="auto"/>
            <w:noWrap/>
            <w:vAlign w:val="center"/>
            <w:hideMark/>
          </w:tcPr>
          <w:p w14:paraId="38472BB8" w14:textId="77777777" w:rsidR="000C6856" w:rsidRPr="00F54F89" w:rsidRDefault="000C6856" w:rsidP="00AB2710">
            <w:pPr>
              <w:jc w:val="center"/>
              <w:rPr>
                <w:color w:val="000000"/>
                <w:sz w:val="20"/>
                <w:szCs w:val="20"/>
                <w:lang w:eastAsia="en-GB"/>
              </w:rPr>
            </w:pPr>
            <w:r w:rsidRPr="00F54F89">
              <w:rPr>
                <w:color w:val="000000"/>
                <w:sz w:val="20"/>
                <w:szCs w:val="20"/>
                <w:lang w:eastAsia="en-GB"/>
              </w:rPr>
              <w:t>378.98 ± 24.91</w:t>
            </w:r>
          </w:p>
        </w:tc>
        <w:tc>
          <w:tcPr>
            <w:tcW w:w="2400" w:type="dxa"/>
            <w:tcBorders>
              <w:top w:val="nil"/>
              <w:left w:val="nil"/>
              <w:bottom w:val="single" w:sz="4" w:space="0" w:color="auto"/>
              <w:right w:val="nil"/>
            </w:tcBorders>
            <w:shd w:val="clear" w:color="auto" w:fill="auto"/>
            <w:noWrap/>
            <w:vAlign w:val="center"/>
            <w:hideMark/>
          </w:tcPr>
          <w:p w14:paraId="1D64FECC" w14:textId="77777777" w:rsidR="000C6856" w:rsidRPr="00F54F89" w:rsidRDefault="000C6856" w:rsidP="00AB2710">
            <w:pPr>
              <w:jc w:val="center"/>
              <w:rPr>
                <w:color w:val="000000"/>
                <w:sz w:val="20"/>
                <w:szCs w:val="20"/>
                <w:lang w:eastAsia="en-GB"/>
              </w:rPr>
            </w:pPr>
            <w:r w:rsidRPr="00F54F89">
              <w:rPr>
                <w:color w:val="000000"/>
                <w:sz w:val="20"/>
                <w:szCs w:val="20"/>
                <w:lang w:eastAsia="en-GB"/>
              </w:rPr>
              <w:t>701.69 ± 49.23</w:t>
            </w:r>
          </w:p>
        </w:tc>
      </w:tr>
    </w:tbl>
    <w:p w14:paraId="0F0CC716" w14:textId="77777777" w:rsidR="00314308" w:rsidRPr="00F54F89" w:rsidRDefault="00314308" w:rsidP="000C6856">
      <w:pPr>
        <w:spacing w:line="360" w:lineRule="auto"/>
        <w:jc w:val="both"/>
        <w:rPr>
          <w:b/>
          <w:i/>
        </w:rPr>
      </w:pPr>
    </w:p>
    <w:p w14:paraId="783E4B24" w14:textId="6A70D5E8" w:rsidR="000C6856" w:rsidRPr="00F54F89" w:rsidRDefault="00314308" w:rsidP="000C6856">
      <w:pPr>
        <w:spacing w:line="360" w:lineRule="auto"/>
        <w:jc w:val="both"/>
        <w:rPr>
          <w:i/>
        </w:rPr>
      </w:pPr>
      <w:r w:rsidRPr="00F54F89">
        <w:rPr>
          <w:i/>
        </w:rPr>
        <w:t xml:space="preserve">3.8. </w:t>
      </w:r>
      <w:r w:rsidR="00DF6C95" w:rsidRPr="00F54F89">
        <w:rPr>
          <w:i/>
        </w:rPr>
        <w:t>In vitro</w:t>
      </w:r>
      <w:r w:rsidR="000C6856" w:rsidRPr="00F54F89">
        <w:rPr>
          <w:i/>
        </w:rPr>
        <w:t xml:space="preserve"> dissolution study </w:t>
      </w:r>
      <w:r w:rsidRPr="00F54F89">
        <w:rPr>
          <w:i/>
        </w:rPr>
        <w:t>for oral delivery</w:t>
      </w:r>
    </w:p>
    <w:p w14:paraId="08D58E1B" w14:textId="17E3CCD7" w:rsidR="000C6856" w:rsidRPr="00F54F89" w:rsidRDefault="000C6856" w:rsidP="000C6856">
      <w:pPr>
        <w:spacing w:line="360" w:lineRule="auto"/>
        <w:jc w:val="both"/>
      </w:pPr>
      <w:r w:rsidRPr="00F54F89">
        <w:t xml:space="preserve">In attempt to mimic human physiology, the </w:t>
      </w:r>
      <w:r w:rsidR="00DF6C95" w:rsidRPr="00F54F89">
        <w:rPr>
          <w:i/>
        </w:rPr>
        <w:t>in vitro</w:t>
      </w:r>
      <w:r w:rsidRPr="00F54F89">
        <w:rPr>
          <w:i/>
        </w:rPr>
        <w:t xml:space="preserve"> </w:t>
      </w:r>
      <w:r w:rsidRPr="00F54F89">
        <w:t xml:space="preserve">dissolution behaviours of </w:t>
      </w:r>
      <w:r w:rsidR="00BF4807" w:rsidRPr="00F54F89">
        <w:t>CA, QU &amp; KP</w:t>
      </w:r>
      <w:r w:rsidRPr="00F54F89">
        <w:t xml:space="preserve"> from PEP were investigated in three biorelevant media, namely FaSSGF, FaSSIF and FeSSIF. </w:t>
      </w:r>
      <w:r w:rsidRPr="00F54F89">
        <w:lastRenderedPageBreak/>
        <w:t xml:space="preserve">FaSSGH was used to stimulate condition in the stomach. While FaSSIF and FeSSIF were used to stimulated condition in the upper intestine </w:t>
      </w:r>
      <w:r w:rsidRPr="00F54F89">
        <w:fldChar w:fldCharType="begin" w:fldLock="1"/>
      </w:r>
      <w:r w:rsidR="007D0946" w:rsidRPr="00F54F89">
        <w:instrText>ADDIN CSL_CITATION {"citationItems":[{"id":"ITEM-1","itemData":{"ISSN":"18734367","abstract":"In recent years there has been a growing interest in solid lipid-based systems, particularly in solid lipid microparticles (SLMs); however, only very few studies deeply investigated the dissolution behaviour of orally delivered-SLMs. The present study provides new insights about the release performance in different gastrointestinal fluids of SLMs containing a freely water soluble drug (caffeine, as BCS class I drug). Three different formulations of SLMs were prepared by spray congealing using lipid excipients belonging to three chemical classes: fatty acids, triglycerides and waxes. The dissolution profiles of caffeine were investigated using various updated biorelevant dissolution media simulating the conditions of the gastrointestinal tract (gastric tract and proximal human intestine). The profiles were statistically compared and the morphological changes of the particles after dissolution were assessed by SEM analysis. The influence of the SLMs composition resulted to be crucial on the dissolution behavior in the case of bigger particles (&gt;250 μm), while smaller SLMs (100-250 μm) were mainly affected by the fluid composition. Moreover, regardless of the particle size, greater differences in drug release profiles were noted by using different intestinal media compared to those obtained in gastric media. In particular, the drug release from fatty acid and triglyceride-based SLMs was more controlled in the phosphate buffer than in the intestinal biorelevant media; while the opposite behavior was noticed for waxy-bases SLMs. Overall, the present study provides interesting insights which can be useful for the design of a multiparticulated solid lipid formulation.","author":[{"dropping-particle":"","family":"Albertini","given":"Beatrice","non-dropping-particle":"","parse-names":false,"suffix":""},{"dropping-particle":"","family":"Bertoni","given":"Serena","non-dropping-particle":"","parse-names":false,"suffix":""},{"dropping-particle":"","family":"Perissutti","given":"Beatrice","non-dropping-particle":"","parse-names":false,"suffix":""},{"dropping-particle":"","family":"Passerini","given":"Nadia","non-dropping-particle":"","parse-names":false,"suffix":""}],"container-title":"Colloids and Surfaces B: Biointerfaces","id":"ITEM-1","issued":{"date-parts":[["2019"]]},"page":"276-285","publisher":"Elsevier","title":"An investigation into the release behavior of solid lipid microparticles in different simulated gastrointestinal fluids","type":"article-journal","volume":"173"},"uris":["http://www.mendeley.com/documents/?uuid=c44a4ab4-f373-49b3-a1ff-e8b88086019c"]},{"id":"ITEM-2","itemData":{"ISSN":"09280987","abstract":"Lipid matrix particles (LMP) may be used as better carriers for poorly water-soluble drugs than liquid lipid carriers because of reduced drug mobilization in the formulations. However, the digestion process of solid lipid particles and their effect on the absorption of poorly water-soluble drugs are not fully understood. This study aimed at investigating the effect of particle size of LMP on drug release in vitro as well as absorption in vivo in order to get a better understanding on the effect of degradation of lipid particles on drug solubilisation and absorption. Fenofibrate, a model poorly water-soluble drug, was incorporated into LMP in this study using probe ultrasound sonication. The resultant LMP were characterised in terms of particle size, size distribution, zeta potential, entrapment efficiency, in vitro lipolysis and in vivo absorption in rat model. LMP of three different particle sizes i.e. approximately 100 nm, 400 nm, and 10 μm (microparticles) were produced with high entrapment efficiencies. The in vitro lipolysis study showed that the recovery of fenofibrate in the aqueous phase for 100 nm and 400 nm LMP was significantly higher (p &lt; 0.05) than that of microparticles after 30 min of lipolysis, suggesting that nano-sized LMP were digested to a larger extent due to greater specific surface area. The 100 nm LMP showed faster initial digestion followed by 400 nm LMP and microparticles. The area under the plasma concentration-time curve (AUC) following oral administration of 100 nm LMP was significantly higher (p &lt; 0.01) than that of microparticles and fenofibrate crystalline suspension (control). However, no significant difference was observed between the AUCs of 100 nm and 400 nm LMP. The same rank order on the in vivo absorption and the in vitro response was observed. The recovery (%) of fenofibrate partitioning into the aqueous phase during in vitro lipolysis and the AUC of plasma concentration-time curve of fenofibric acid was in the order of 100 nm LMP &gt; microparticles &gt; control. In summary, the present study demonstrated the particle size dependence of bioavailability of fenofibrate loaded LMP in rat model which correlates well with the in vitro drug release performed in the biorelevant medium.© 2013 Elsevier B.V. All rights reserved.","author":[{"dropping-particle":"","family":"Borkar","given":"Nrupa","non-dropping-particle":"","parse-names":false,"suffix":""},{"dropping-particle":"","family":"Xia","given":"Dengning","non-dropping-particle":"","parse-names":false,"suffix":""},{"dropping-particle":"","family":"Holm","given":"René","non-dropping-particle":"","parse-names":false,"suffix":""},{"dropping-particle":"","family":"Gan","given":"Yong","non-dropping-particle":"","parse-names":false,"suffix":""},{"dropping-particle":"","family":"Müllertz","given":"Anette","non-dropping-particle":"","parse-names":false,"suffix":""},{"dropping-particle":"","family":"Yang","given":"Mingshi","non-dropping-particle":"","parse-names":false,"suffix":""},{"dropping-particle":"","family":"Mu","given":"Huiling","non-dropping-particle":"","parse-names":false,"suffix":""}],"container-title":"European Journal of Pharmaceutical Sciences","id":"ITEM-2","issue":"1","issued":{"date-parts":[["2014"]]},"page":"204-210","publisher":"Elsevier B.V.","title":"Investigating the correlation between in vivo absorption and in vitro release of fenofibrate from lipid matrix particles in biorelevant medium","type":"article-journal","volume":"51"},"uris":["http://www.mendeley.com/documents/?uuid=6518573f-3b82-4f88-8b22-db63f74bebd7"]},{"id":"ITEM-3","itemData":{"ISSN":"18733441","abstract":"As a growing number of nanotherapeutics enters the market, improved analytical techniques for measuring the drug release are required. Biorelevant release tests have become a standard in the prediction of in vivo pharmacokinetics but also in quality control of novel dosage forms. In the present study, two methods for testing the drug release from nanocarriers, namely the filtration technique and the dispersion releaser technology, have been investigated. Initially, the in vitro release rates were determined using two different biorelevant media. Additionally, the effect of each method on a simulated in vivo pharmacokinetic profile was studied using advanced PBPK modelling. The two methods resulted in slightly different release profiles. Applying the filtration method, an early plateau of 91.0 ± 5.3% was reached at the first sampling time point. In comparison, the release rate steadily increased to a maximum of 100.9 ± 4.1% when the dispersion releaser technology was used. Sensitivity analysis revealed how these differences translated into the PBPK-based simulation. A change in the total dissolution rate of 10% resulted in cmax values of +1.6% and −11.0%, respectively, when using input data obtained with the dispersion releaser. Data obtained by filtration translated into cmax values of ±1.8%.","author":[{"dropping-particle":"","family":"Jung","given":"Fabian","non-dropping-particle":"","parse-names":false,"suffix":""},{"dropping-particle":"","family":"Nothnagel","given":"Lisa","non-dropping-particle":"","parse-names":false,"suffix":""},{"dropping-particle":"","family":"Gao","given":"Fiona","non-dropping-particle":"","parse-names":false,"suffix":""},{"dropping-particle":"","family":"Thurn","given":"Manuela","non-dropping-particle":"","parse-names":false,"suffix":""},{"dropping-particle":"","family":"Vogel","given":"Vitali","non-dropping-particle":"","parse-names":false,"suffix":""},{"dropping-particle":"","family":"Wacker","given":"Matthias G.","non-dropping-particle":"","parse-names":false,"suffix":""}],"container-title":"European Journal of Pharmaceutics and Biopharmaceutics","id":"ITEM-3","issued":{"date-parts":[["2018"]]},"page":"462-470","publisher":"Elsevier","title":"A comparison of two biorelevant in vitro drug release methods for nanotherapeutics based on advanced physiologically-based pharmacokinetic modelling","type":"article-journal","volume":"127"},"uris":["http://www.mendeley.com/documents/?uuid=4f9a1fa8-8c70-4dab-aca6-dedeb7c67099"]},{"id":"ITEM-4","itemData":{"ISSN":"18733441","abstract":"Aims Postprandial administration of solid oral dosage forms greatly changes the dissolution environment compared to fasted state administration. The aims of this study were to investigate and forecast the effect of co-administration of a meal on drug release for delayed and/or extended release mesalamine formulations as well as design of in vitro tests to distinguish among formulations in a biorelevant way. Methods Five different mesalamine formulations (Asacol® 400 mg, Mezavant® 1200 mg, Pentasa® 500 mg and Salofalk® in the 250 mg and 500 mg strengths) were investigated with biorelevant dissolution methods using the USP apparatus III and USP apparatus IV (open loop mode) under both fasted and fed state conditions, as well as with the dissolution methods described in pharmacopeia for delayed and extended release mesalamine products. Results Using the biorelevant experimental conditions proposed in this study, changes in release in the proximal gut due to meal intake are forecast to be minimal for Asacol®, Mezavant®, Pentasa® and Salofalk® 500 mg, while for Salofalk® 250 mg release was predicted to occur much earlier under fed state conditions. The USP apparatus III generally tended to result in faster dissolution rates and forecast more pronounced food effects for Salofalk® 250 mg than the USP apparatus IV. The biorelevant dissolution gradients were also able to reflect the in vivo behavior of the formulations. Conclusions In vitro biorelevant models can be useful in the comparison of the release behavior from different delayed and extended release mesalamine formulations as well as forecasting effects of concomitant meal intake on drug release.","author":[{"dropping-particle":"","family":"Andreas","given":"Cord J.","non-dropping-particle":"","parse-names":false,"suffix":""},{"dropping-particle":"","family":"Chen","given":"Ying Chen","non-dropping-particle":"","parse-names":false,"suffix":""},{"dropping-particle":"","family":"Markopoulos","given":"Constantinos","non-dropping-particle":"","parse-names":false,"suffix":""},{"dropping-particle":"","family":"Reppas","given":"Christos","non-dropping-particle":"","parse-names":false,"suffix":""},{"dropping-particle":"","family":"Dressman","given":"Jennifer","non-dropping-particle":"","parse-names":false,"suffix":""}],"container-title":"European Journal of Pharmaceutics and Biopharmaceutics","id":"ITEM-4","issued":{"date-parts":[["2015"]]},"page":"39-50","publisher":"Elsevier B.V.","title":"In vitro biorelevant models for evaluating modified release mesalamine products to forecast the effect of formulation and meal intake on drug release","type":"article-journal","volume":"97"},"uris":["http://www.mendeley.com/documents/?uuid=1850b544-9401-47a3-aea4-7a904990624b"]},{"id":"ITEM-5","itemData":{"ISSN":"18733476","abstract":"Rutin, a strong antioxidant, has been implicated in the prevention of liver inflammation. However, low solubility and permeability through the gut wall limit development of rutin as a therapeutic agent for oral administration. Phytosomes are described as lipid nanocarriers with a complexation between the phospholipid headgroups and entrapped phytochemicals. The aim of this research was to compare the structure of rutin liposomes to rutin phytosomes. FT-IR, DSC and NMR were employed to investigate the presence of any molecular interactions between the formulation components. The FT-IR spectra showed that a new –OH bond had formed in the rutin phytosomes, suggesting the formation of a molecular complex. 31P NMR experiments revealed that the DPPC molecule is altered when formulated as liposomes but that these changes were greater for samples from the phytosome formulation. DSC data revealed that when rutin was added to DPPC there was a significant shift in the transition temperature of DPPC. Further, the shift was greater in the THF solvent used to produce phytosomes compared to CHCl3 used to produce liposomes. 1H NMR spectra of the phytosome samples indicated three additional peaks that were greater than in the liposome formulation. ROESY NMR spectra provided evidence supporting the interaction between rutin and DPPC in both liposomes and phytosomes. The apparent differences in molecular interaction between liposomes and phytosomes did not however impact rutin release in biorelevant media or during in vitro small intestinal lipolysis.","author":[{"dropping-particle":"","family":"Vu","given":"Hanh T.H.","non-dropping-particle":"","parse-names":false,"suffix":""},{"dropping-particle":"","family":"Hook","given":"Sarah M.","non-dropping-particle":"","parse-names":false,"suffix":""},{"dropping-particle":"","family":"Siqueira","given":"Scheyla D.","non-dropping-particle":"","parse-names":false,"suffix":""},{"dropping-particle":"","family":"Müllertz","given":"Anette","non-dropping-particle":"","parse-names":false,"suffix":""},{"dropping-particle":"","family":"Rades","given":"Thomas","non-dropping-particle":"","parse-names":false,"suffix":""},{"dropping-particle":"","family":"McDowell","given":"Arlene","non-dropping-particle":"","parse-names":false,"suffix":""}],"container-title":"International Journal of Pharmaceutics","id":"ITEM-5","issue":"1","issued":{"date-parts":[["2018"]]},"page":"82-91","title":"Are phytosomes a superior nanodelivery system for the antioxidant rutin?","type":"article-journal","volume":"548"},"uris":["http://www.mendeley.com/documents/?uuid=6bde2d43-4392-477d-8d6c-bdc1addd5b6d"]}],"mendeley":{"formattedCitation":"[22,62–65]","plainTextFormattedCitation":"[22,62–65]","previouslyFormattedCitation":"[22,62–65]"},"properties":{"noteIndex":0},"schema":"https://github.com/citation-style-language/schema/raw/master/csl-citation.json"}</w:instrText>
      </w:r>
      <w:r w:rsidRPr="00F54F89">
        <w:fldChar w:fldCharType="separate"/>
      </w:r>
      <w:r w:rsidR="007D0946" w:rsidRPr="00F54F89">
        <w:rPr>
          <w:noProof/>
        </w:rPr>
        <w:t>[22,62–65]</w:t>
      </w:r>
      <w:r w:rsidRPr="00F54F89">
        <w:fldChar w:fldCharType="end"/>
      </w:r>
      <w:r w:rsidRPr="00F54F89">
        <w:t xml:space="preserve">. The </w:t>
      </w:r>
      <w:r w:rsidR="00DF6C95" w:rsidRPr="00F54F89">
        <w:rPr>
          <w:i/>
        </w:rPr>
        <w:t>in vitro</w:t>
      </w:r>
      <w:r w:rsidRPr="00F54F89">
        <w:rPr>
          <w:i/>
        </w:rPr>
        <w:t xml:space="preserve"> </w:t>
      </w:r>
      <w:r w:rsidRPr="00F54F89">
        <w:t>dissolution behaviours of CA, QU and KP in these media are depicted in F</w:t>
      </w:r>
      <w:r w:rsidR="00D8255A" w:rsidRPr="00F54F89">
        <w:t>igure 5, 6 and 7</w:t>
      </w:r>
      <w:r w:rsidRPr="00F54F89">
        <w:t xml:space="preserve">. In all cases, due to the hydrophobic nature of the compounds, the dissolution of CA, QU and KP from PE in all media was lower compared to those from PEP formulations. </w:t>
      </w:r>
    </w:p>
    <w:p w14:paraId="03B95630" w14:textId="77777777" w:rsidR="000C6856" w:rsidRPr="00F54F89" w:rsidRDefault="000C6856" w:rsidP="000C6856">
      <w:pPr>
        <w:spacing w:line="360" w:lineRule="auto"/>
        <w:jc w:val="both"/>
      </w:pPr>
      <w:r w:rsidRPr="00F54F89">
        <w:t xml:space="preserve">Specifically, in FaSSGF, after 6-h, only 34.36 ± 1.9%, 29.52 ± 2.64% and 16.01 ± 1.44% of CA, QU and KP, respectively, were released in the case of PE, indicating low gastric dissolution of these compounds. Formulating PE into phytosome formulations was able to enhance the dissolution behaviour of these compounds in the gastric environment. As shown in Figure 5, after 6-h 53.55 ± 4.91%, 37.87 ± 2.34%, 54.98 ± 2.44% and 38.65 ± 2.12% of CA were dissolved from F3, F5, F9 and F11, respectively. With respect to QU profile, the total dissolution of 49.72 ± 3.14%, 41.42 ± 3.87%, 55.67 ± 6.01% and 45.21 ± 3.10% were observed after 6-h dissolution of F3, F5, F9 and F11, respectively. In the case of KP profile, it was found that 45.65 ± 3.87%, 31.99 ± 2.10%, 52.98 ± 4.32% and 41.32 ± 4.01% of KP were dissolved from F3, F5, F9 and F11, respectively. With these results in mind, it was concluded that, despite the higher dissolution profile of PEP compared to PE, incomplete dissolution profiles in gastric environment were observed in all phytosome formulations. Accordingly, the dissolution behaviour in upper intestine is the key point for further dissolution profile of these compounds from PE and PEP. </w:t>
      </w:r>
    </w:p>
    <w:p w14:paraId="107B01FB" w14:textId="74D1903A" w:rsidR="00C67FDF" w:rsidRPr="00F54F89" w:rsidRDefault="00C67FDF" w:rsidP="000C6856">
      <w:pPr>
        <w:spacing w:line="360" w:lineRule="auto"/>
        <w:jc w:val="center"/>
      </w:pPr>
      <w:r w:rsidRPr="00F54F89">
        <w:rPr>
          <w:noProof/>
          <w:lang w:eastAsia="en-GB"/>
        </w:rPr>
        <w:lastRenderedPageBreak/>
        <w:drawing>
          <wp:inline distT="0" distB="0" distL="0" distR="0" wp14:anchorId="2696EDDE" wp14:editId="0A259E48">
            <wp:extent cx="5731510" cy="3948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48430"/>
                    </a:xfrm>
                    <a:prstGeom prst="rect">
                      <a:avLst/>
                    </a:prstGeom>
                  </pic:spPr>
                </pic:pic>
              </a:graphicData>
            </a:graphic>
          </wp:inline>
        </w:drawing>
      </w:r>
    </w:p>
    <w:p w14:paraId="50135EE1" w14:textId="4CC86AF8" w:rsidR="000C6856" w:rsidRPr="00F54F89" w:rsidRDefault="000C6856" w:rsidP="00DA3C48">
      <w:pPr>
        <w:jc w:val="both"/>
        <w:rPr>
          <w:sz w:val="20"/>
        </w:rPr>
      </w:pPr>
      <w:r w:rsidRPr="00F54F89">
        <w:rPr>
          <w:b/>
          <w:sz w:val="20"/>
        </w:rPr>
        <w:t xml:space="preserve">Figure 5. </w:t>
      </w:r>
      <w:r w:rsidR="00DF6C95" w:rsidRPr="00F54F89">
        <w:rPr>
          <w:i/>
          <w:sz w:val="20"/>
        </w:rPr>
        <w:t>In vitro</w:t>
      </w:r>
      <w:r w:rsidRPr="00F54F89">
        <w:rPr>
          <w:b/>
          <w:sz w:val="20"/>
        </w:rPr>
        <w:t xml:space="preserve"> </w:t>
      </w:r>
      <w:r w:rsidRPr="00F54F89">
        <w:rPr>
          <w:sz w:val="20"/>
        </w:rPr>
        <w:t>dissolution profiles of CA (</w:t>
      </w:r>
      <w:r w:rsidRPr="00F54F89">
        <w:rPr>
          <w:b/>
          <w:sz w:val="20"/>
        </w:rPr>
        <w:t>A</w:t>
      </w:r>
      <w:r w:rsidRPr="00F54F89">
        <w:rPr>
          <w:sz w:val="20"/>
        </w:rPr>
        <w:t>), QU (</w:t>
      </w:r>
      <w:r w:rsidRPr="00F54F89">
        <w:rPr>
          <w:b/>
          <w:sz w:val="20"/>
        </w:rPr>
        <w:t>B</w:t>
      </w:r>
      <w:r w:rsidRPr="00F54F89">
        <w:rPr>
          <w:sz w:val="20"/>
        </w:rPr>
        <w:t>) and KP (</w:t>
      </w:r>
      <w:r w:rsidRPr="00F54F89">
        <w:rPr>
          <w:b/>
          <w:sz w:val="20"/>
        </w:rPr>
        <w:t>C</w:t>
      </w:r>
      <w:r w:rsidRPr="00F54F89">
        <w:rPr>
          <w:sz w:val="20"/>
        </w:rPr>
        <w:t xml:space="preserve">) in PE in comparison with different PEP formulations in FaSSGF, pH 1.6 at 37 °C (means ± SD, </w:t>
      </w:r>
      <w:r w:rsidRPr="00F54F89">
        <w:rPr>
          <w:i/>
          <w:iCs/>
          <w:sz w:val="20"/>
        </w:rPr>
        <w:t xml:space="preserve">n </w:t>
      </w:r>
      <w:r w:rsidRPr="00F54F89">
        <w:rPr>
          <w:sz w:val="20"/>
        </w:rPr>
        <w:t xml:space="preserve">= 3). </w:t>
      </w:r>
    </w:p>
    <w:p w14:paraId="66BD7CCB" w14:textId="77777777" w:rsidR="00DF6C95" w:rsidRPr="00F54F89" w:rsidRDefault="00DF6C95" w:rsidP="00DA3C48">
      <w:pPr>
        <w:jc w:val="both"/>
        <w:rPr>
          <w:sz w:val="20"/>
        </w:rPr>
      </w:pPr>
    </w:p>
    <w:p w14:paraId="122BB08A" w14:textId="135390AE" w:rsidR="000C6856" w:rsidRPr="00F54F89" w:rsidRDefault="000C6856" w:rsidP="000C6856">
      <w:pPr>
        <w:spacing w:line="360" w:lineRule="auto"/>
        <w:jc w:val="both"/>
      </w:pPr>
      <w:r w:rsidRPr="00F54F89">
        <w:t xml:space="preserve">In FaSSIF and FeSSIF, remarkably, CA, QU and KP experienced degradation due to the instability of these compound in the intestine environment. As illustrated in Figure 6, in FaSSIF, CA, QU and KP were </w:t>
      </w:r>
      <w:r w:rsidR="00DE42C1" w:rsidRPr="00F54F89">
        <w:t>each</w:t>
      </w:r>
      <w:r w:rsidRPr="00F54F89">
        <w:t xml:space="preserve"> degraded dramatically (</w:t>
      </w:r>
      <w:r w:rsidRPr="00F54F89">
        <w:rPr>
          <w:i/>
        </w:rPr>
        <w:t>p</w:t>
      </w:r>
      <w:r w:rsidRPr="00F54F89">
        <w:t xml:space="preserve"> &lt; 0.05) after 90 min, 75 min, 60 min, respectively. Rapid degradations to significant lower concentration (</w:t>
      </w:r>
      <w:r w:rsidRPr="00F54F89">
        <w:rPr>
          <w:i/>
        </w:rPr>
        <w:t>p</w:t>
      </w:r>
      <w:r w:rsidRPr="00F54F89">
        <w:t xml:space="preserve"> &lt; 0.05) of these compounds were observed in FeSSIF with time degradation of 75 min, 60 min and 45 min for CA, QU and KP, respectively. Incorporation of PE into p</w:t>
      </w:r>
      <w:r w:rsidR="00EF1327" w:rsidRPr="00F54F89">
        <w:t>h</w:t>
      </w:r>
      <w:r w:rsidRPr="00F54F89">
        <w:t xml:space="preserve">ytosome formulation was shown to protect these compounds from the degradation in the intestine environment. After 6 hours, 91.07 ± 8.20%, 63.98 ± 5.75 % and 68.43 ± 6.15% of CA, QU and KP was released from F3 in FaSSIF. In FeSSIF, the total dissolution of 93.89 ± 8.45% of CA, 66.65 ± 6.01% of QU and 69.82 ± 6.28% of KP were dissolved after 6-h from F3. In terms of dissolution behaviour from F5, 59.61 ± 4.98% of CA, 54.54 ± 3.89% of QU and 50.03 ± 4.87% of KP were dissolved in FaSSIF after 6-h. In FeSSIF, approximately 61.45 ± 5.98%, 57.65 ± 5.21% and 51.47 ± 4.65% of CA, QU and KP were dissolved after 6-h, respectively. Our data was supported by Vu et al, developing phytosome formulation of rutin </w:t>
      </w:r>
      <w:r w:rsidRPr="00F54F89">
        <w:fldChar w:fldCharType="begin" w:fldLock="1"/>
      </w:r>
      <w:r w:rsidR="007D0946" w:rsidRPr="00F54F89">
        <w:instrText>ADDIN CSL_CITATION {"citationItems":[{"id":"ITEM-1","itemData":{"ISSN":"18733476","abstract":"Rutin, a strong antioxidant, has been implicated in the prevention of liver inflammation. However, low solubility and permeability through the gut wall limit development of rutin as a therapeutic agent for oral administration. Phytosomes are described as lipid nanocarriers with a complexation between the phospholipid headgroups and entrapped phytochemicals. The aim of this research was to compare the structure of rutin liposomes to rutin phytosomes. FT-IR, DSC and NMR were employed to investigate the presence of any molecular interactions between the formulation components. The FT-IR spectra showed that a new –OH bond had formed in the rutin phytosomes, suggesting the formation of a molecular complex. 31P NMR experiments revealed that the DPPC molecule is altered when formulated as liposomes but that these changes were greater for samples from the phytosome formulation. DSC data revealed that when rutin was added to DPPC there was a significant shift in the transition temperature of DPPC. Further, the shift was greater in the THF solvent used to produce phytosomes compared to CHCl3 used to produce liposomes. 1H NMR spectra of the phytosome samples indicated three additional peaks that were greater than in the liposome formulation. ROESY NMR spectra provided evidence supporting the interaction between rutin and DPPC in both liposomes and phytosomes. The apparent differences in molecular interaction between liposomes and phytosomes did not however impact rutin release in biorelevant media or during in vitro small intestinal lipolysis.","author":[{"dropping-particle":"","family":"Vu","given":"Hanh T.H.","non-dropping-particle":"","parse-names":false,"suffix":""},{"dropping-particle":"","family":"Hook","given":"Sarah M.","non-dropping-particle":"","parse-names":false,"suffix":""},{"dropping-particle":"","family":"Siqueira","given":"Scheyla D.","non-dropping-particle":"","parse-names":false,"suffix":""},{"dropping-particle":"","family":"Müllertz","given":"Anette","non-dropping-particle":"","parse-names":false,"suffix":""},{"dropping-particle":"","family":"Rades","given":"Thomas","non-dropping-particle":"","parse-names":false,"suffix":""},{"dropping-particle":"","family":"McDowell","given":"Arlene","non-dropping-particle":"","parse-names":false,"suffix":""}],"container-title":"International Journal of Pharmaceutics","id":"ITEM-1","issue":"1","issued":{"date-parts":[["2018"]]},"page":"82-91","title":"Are phytosomes a superior nanodelivery system for the antioxidant rutin?","type":"article-journal","volume":"548"},"uris":["http://www.mendeley.com/documents/?uuid=6bde2d43-4392-477d-8d6c-bdc1addd5b6d"]}],"mendeley":{"formattedCitation":"[22]","plainTextFormattedCitation":"[22]","previouslyFormattedCitation":"[22]"},"properties":{"noteIndex":0},"schema":"https://github.com/citation-style-language/schema/raw/master/csl-citation.json"}</w:instrText>
      </w:r>
      <w:r w:rsidRPr="00F54F89">
        <w:fldChar w:fldCharType="separate"/>
      </w:r>
      <w:r w:rsidR="007D0946" w:rsidRPr="00F54F89">
        <w:rPr>
          <w:noProof/>
        </w:rPr>
        <w:t>[22]</w:t>
      </w:r>
      <w:r w:rsidRPr="00F54F89">
        <w:fldChar w:fldCharType="end"/>
      </w:r>
      <w:r w:rsidR="00DE42C1" w:rsidRPr="00F54F89">
        <w:t xml:space="preserve"> who</w:t>
      </w:r>
      <w:r w:rsidRPr="00F54F89">
        <w:t xml:space="preserve"> found that the formulation of rutin into phytosome was able to avoid the degradation of rutin in the intestinal fluid environment. Interestingly, despite the fact that the PEP was able to avoid the degradation, it was not in the case of F9 and F11. Indeed, F9 and F11 were able to delay the degradation of CA, QU and KP </w:t>
      </w:r>
      <w:r w:rsidRPr="00F54F89">
        <w:lastRenderedPageBreak/>
        <w:t xml:space="preserve">in the intestine environment. However, in </w:t>
      </w:r>
      <w:r w:rsidR="00DE42C1" w:rsidRPr="00F54F89">
        <w:t>this</w:t>
      </w:r>
      <w:r w:rsidRPr="00F54F89">
        <w:t xml:space="preserve"> study, as shown in Figure 6 and 7, the degradation still occurred. </w:t>
      </w:r>
      <w:r w:rsidR="00DF6C95" w:rsidRPr="00F54F89">
        <w:t>Degradation</w:t>
      </w:r>
      <w:r w:rsidRPr="00F54F89">
        <w:t xml:space="preserve"> was observed in the case of the small particle size of PEP prepared by sonication. Therefore, it could be postulated that</w:t>
      </w:r>
      <w:r w:rsidR="00DF6C95" w:rsidRPr="00F54F89">
        <w:t>,</w:t>
      </w:r>
      <w:r w:rsidRPr="00F54F89">
        <w:t xml:space="preserve"> although the small particle size resulted in higher solubility enhancement, the formulations were not rigid enough to protect CA, QU and KP from degradation from the intestine. </w:t>
      </w:r>
    </w:p>
    <w:p w14:paraId="31204698" w14:textId="477E100C" w:rsidR="000C6856" w:rsidRPr="00F54F89" w:rsidRDefault="00C40E75" w:rsidP="000C6856">
      <w:pPr>
        <w:spacing w:line="360" w:lineRule="auto"/>
        <w:jc w:val="center"/>
      </w:pPr>
      <w:r w:rsidRPr="00F54F89">
        <w:rPr>
          <w:noProof/>
        </w:rPr>
        <w:drawing>
          <wp:inline distT="0" distB="0" distL="0" distR="0" wp14:anchorId="4A3A74A0" wp14:editId="5C4BA896">
            <wp:extent cx="5731510" cy="4019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 5 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p>
    <w:p w14:paraId="0D2B3BB0" w14:textId="788B4ACA" w:rsidR="007A36BF" w:rsidRPr="00F54F89" w:rsidRDefault="000C6856" w:rsidP="000C6856">
      <w:pPr>
        <w:jc w:val="both"/>
        <w:rPr>
          <w:b/>
          <w:sz w:val="20"/>
        </w:rPr>
      </w:pPr>
      <w:r w:rsidRPr="00F54F89">
        <w:rPr>
          <w:b/>
          <w:sz w:val="20"/>
        </w:rPr>
        <w:t>Figure 6.</w:t>
      </w:r>
      <w:r w:rsidRPr="00F54F89">
        <w:rPr>
          <w:sz w:val="20"/>
        </w:rPr>
        <w:t xml:space="preserve"> </w:t>
      </w:r>
      <w:r w:rsidR="00DF6C95" w:rsidRPr="00F54F89">
        <w:rPr>
          <w:i/>
          <w:sz w:val="20"/>
        </w:rPr>
        <w:t>In vitro</w:t>
      </w:r>
      <w:r w:rsidRPr="00F54F89">
        <w:rPr>
          <w:b/>
          <w:sz w:val="20"/>
        </w:rPr>
        <w:t xml:space="preserve"> </w:t>
      </w:r>
      <w:r w:rsidRPr="00F54F89">
        <w:rPr>
          <w:sz w:val="20"/>
        </w:rPr>
        <w:t>dissolution profiles of CA (</w:t>
      </w:r>
      <w:r w:rsidRPr="00F54F89">
        <w:rPr>
          <w:b/>
          <w:sz w:val="20"/>
        </w:rPr>
        <w:t>A</w:t>
      </w:r>
      <w:r w:rsidRPr="00F54F89">
        <w:rPr>
          <w:sz w:val="20"/>
        </w:rPr>
        <w:t>), QU (</w:t>
      </w:r>
      <w:r w:rsidRPr="00F54F89">
        <w:rPr>
          <w:b/>
          <w:sz w:val="20"/>
        </w:rPr>
        <w:t>B</w:t>
      </w:r>
      <w:r w:rsidRPr="00F54F89">
        <w:rPr>
          <w:sz w:val="20"/>
        </w:rPr>
        <w:t>) and KP (</w:t>
      </w:r>
      <w:r w:rsidRPr="00F54F89">
        <w:rPr>
          <w:b/>
          <w:sz w:val="20"/>
        </w:rPr>
        <w:t>C</w:t>
      </w:r>
      <w:r w:rsidRPr="00F54F89">
        <w:rPr>
          <w:sz w:val="20"/>
        </w:rPr>
        <w:t xml:space="preserve">) in PE in comparison with different PEP formulations in FeSSIF, pH 5.0 at 37 °C (means ± SD, </w:t>
      </w:r>
      <w:r w:rsidRPr="00F54F89">
        <w:rPr>
          <w:i/>
          <w:iCs/>
          <w:sz w:val="20"/>
        </w:rPr>
        <w:t xml:space="preserve">n </w:t>
      </w:r>
      <w:r w:rsidRPr="00F54F89">
        <w:rPr>
          <w:sz w:val="20"/>
        </w:rPr>
        <w:t>= 3).</w:t>
      </w:r>
    </w:p>
    <w:p w14:paraId="3A52A5D7" w14:textId="17F3E543" w:rsidR="000C6856" w:rsidRPr="00F54F89" w:rsidRDefault="00843DAF" w:rsidP="000C6856">
      <w:pPr>
        <w:spacing w:line="360" w:lineRule="auto"/>
        <w:jc w:val="center"/>
        <w:rPr>
          <w:b/>
        </w:rPr>
      </w:pPr>
      <w:r w:rsidRPr="00F54F89">
        <w:rPr>
          <w:b/>
          <w:noProof/>
        </w:rPr>
        <w:lastRenderedPageBreak/>
        <w:drawing>
          <wp:inline distT="0" distB="0" distL="0" distR="0" wp14:anchorId="02AEF7BC" wp14:editId="38E78CD1">
            <wp:extent cx="5731510" cy="3850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 1 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50640"/>
                    </a:xfrm>
                    <a:prstGeom prst="rect">
                      <a:avLst/>
                    </a:prstGeom>
                  </pic:spPr>
                </pic:pic>
              </a:graphicData>
            </a:graphic>
          </wp:inline>
        </w:drawing>
      </w:r>
    </w:p>
    <w:p w14:paraId="0FB107D1" w14:textId="47EF6656" w:rsidR="000C6856" w:rsidRPr="00F54F89" w:rsidRDefault="000C6856" w:rsidP="00DA3C48">
      <w:pPr>
        <w:jc w:val="both"/>
        <w:rPr>
          <w:sz w:val="20"/>
        </w:rPr>
      </w:pPr>
      <w:r w:rsidRPr="00F54F89">
        <w:rPr>
          <w:b/>
          <w:sz w:val="20"/>
        </w:rPr>
        <w:t xml:space="preserve">Figure 7. </w:t>
      </w:r>
      <w:r w:rsidR="00DF6C95" w:rsidRPr="00F54F89">
        <w:rPr>
          <w:i/>
          <w:sz w:val="20"/>
        </w:rPr>
        <w:t>In vitro</w:t>
      </w:r>
      <w:r w:rsidRPr="00F54F89">
        <w:rPr>
          <w:b/>
          <w:sz w:val="20"/>
        </w:rPr>
        <w:t xml:space="preserve"> </w:t>
      </w:r>
      <w:r w:rsidRPr="00F54F89">
        <w:rPr>
          <w:sz w:val="20"/>
        </w:rPr>
        <w:t>dissolution profiles of CA (</w:t>
      </w:r>
      <w:r w:rsidRPr="00F54F89">
        <w:rPr>
          <w:b/>
          <w:sz w:val="20"/>
        </w:rPr>
        <w:t>A</w:t>
      </w:r>
      <w:r w:rsidRPr="00F54F89">
        <w:rPr>
          <w:sz w:val="20"/>
        </w:rPr>
        <w:t>), QU (</w:t>
      </w:r>
      <w:r w:rsidRPr="00F54F89">
        <w:rPr>
          <w:b/>
          <w:sz w:val="20"/>
        </w:rPr>
        <w:t>B</w:t>
      </w:r>
      <w:r w:rsidRPr="00F54F89">
        <w:rPr>
          <w:sz w:val="20"/>
        </w:rPr>
        <w:t>) and KP (</w:t>
      </w:r>
      <w:r w:rsidRPr="00F54F89">
        <w:rPr>
          <w:b/>
          <w:sz w:val="20"/>
        </w:rPr>
        <w:t>C</w:t>
      </w:r>
      <w:r w:rsidRPr="00F54F89">
        <w:rPr>
          <w:sz w:val="20"/>
        </w:rPr>
        <w:t xml:space="preserve">) in PE in comparison with different PEP formulations in FaSSIF, pH 6.5 at 37 °C (means ± SD, </w:t>
      </w:r>
      <w:r w:rsidRPr="00F54F89">
        <w:rPr>
          <w:i/>
          <w:iCs/>
          <w:sz w:val="20"/>
        </w:rPr>
        <w:t xml:space="preserve">n </w:t>
      </w:r>
      <w:r w:rsidRPr="00F54F89">
        <w:rPr>
          <w:sz w:val="20"/>
        </w:rPr>
        <w:t>= 3).</w:t>
      </w:r>
    </w:p>
    <w:p w14:paraId="3C8733CF" w14:textId="77777777" w:rsidR="00843DAF" w:rsidRPr="00F54F89" w:rsidRDefault="00843DAF" w:rsidP="000C6856">
      <w:pPr>
        <w:spacing w:after="240" w:line="360" w:lineRule="auto"/>
        <w:jc w:val="both"/>
        <w:rPr>
          <w:i/>
        </w:rPr>
      </w:pPr>
    </w:p>
    <w:p w14:paraId="1585A72F" w14:textId="3CC71541" w:rsidR="000C6856" w:rsidRPr="00F54F89" w:rsidRDefault="00314308" w:rsidP="000C6856">
      <w:pPr>
        <w:spacing w:after="240" w:line="360" w:lineRule="auto"/>
        <w:jc w:val="both"/>
        <w:rPr>
          <w:i/>
        </w:rPr>
      </w:pPr>
      <w:r w:rsidRPr="00F54F89">
        <w:rPr>
          <w:i/>
        </w:rPr>
        <w:t xml:space="preserve">3.9. </w:t>
      </w:r>
      <w:r w:rsidR="000C6856" w:rsidRPr="00F54F89">
        <w:rPr>
          <w:i/>
        </w:rPr>
        <w:t>Drug release kinetic using mathematical modelling</w:t>
      </w:r>
    </w:p>
    <w:p w14:paraId="0D590143" w14:textId="2F4956C3" w:rsidR="000C6856" w:rsidRPr="00F54F89" w:rsidRDefault="000C6856" w:rsidP="00DF6C95">
      <w:pPr>
        <w:pStyle w:val="TAMainText"/>
        <w:spacing w:after="360" w:line="360" w:lineRule="auto"/>
        <w:ind w:firstLine="0"/>
        <w:rPr>
          <w:rFonts w:ascii="Times New Roman" w:hAnsi="Times New Roman"/>
          <w:b/>
          <w:szCs w:val="24"/>
        </w:rPr>
        <w:sectPr w:rsidR="000C6856" w:rsidRPr="00F54F89" w:rsidSect="001B7A4D">
          <w:pgSz w:w="11906" w:h="16838"/>
          <w:pgMar w:top="1440" w:right="1440" w:bottom="1440" w:left="1440" w:header="708" w:footer="708" w:gutter="0"/>
          <w:lnNumType w:countBy="1" w:restart="continuous"/>
          <w:cols w:space="708"/>
          <w:docGrid w:linePitch="360"/>
        </w:sectPr>
      </w:pPr>
      <w:r w:rsidRPr="00F54F89">
        <w:rPr>
          <w:rFonts w:ascii="Times New Roman" w:hAnsi="Times New Roman"/>
          <w:szCs w:val="24"/>
          <w:lang w:val="en-GB"/>
        </w:rPr>
        <w:t xml:space="preserve">In </w:t>
      </w:r>
      <w:r w:rsidR="00DE42C1" w:rsidRPr="00F54F89">
        <w:rPr>
          <w:rFonts w:ascii="Times New Roman" w:hAnsi="Times New Roman"/>
          <w:szCs w:val="24"/>
          <w:lang w:val="en-GB"/>
        </w:rPr>
        <w:t xml:space="preserve">an </w:t>
      </w:r>
      <w:r w:rsidRPr="00F54F89">
        <w:rPr>
          <w:rFonts w:ascii="Times New Roman" w:hAnsi="Times New Roman"/>
          <w:szCs w:val="24"/>
          <w:lang w:val="en-GB"/>
        </w:rPr>
        <w:t xml:space="preserve">attempt to examine the dissolution mechanism and kinetic modelling of CA, QU and KP from phytosomes, the </w:t>
      </w:r>
      <w:r w:rsidR="007861BE" w:rsidRPr="00F54F89">
        <w:rPr>
          <w:rFonts w:ascii="Times New Roman" w:hAnsi="Times New Roman"/>
          <w:szCs w:val="24"/>
          <w:lang w:val="en-GB"/>
        </w:rPr>
        <w:t>percentage of</w:t>
      </w:r>
      <w:r w:rsidRPr="00F54F89">
        <w:rPr>
          <w:rFonts w:ascii="Times New Roman" w:hAnsi="Times New Roman"/>
          <w:szCs w:val="24"/>
          <w:lang w:val="en-GB"/>
        </w:rPr>
        <w:t xml:space="preserve"> drug dissolution data were fitted to different kinetic models. The most suitable release model was selected according to the value of the coefficient correlation of</w:t>
      </w:r>
      <w:r w:rsidR="00EA5ACF" w:rsidRPr="00F54F89">
        <w:rPr>
          <w:rFonts w:ascii="Times New Roman" w:hAnsi="Times New Roman"/>
          <w:szCs w:val="24"/>
          <w:lang w:val="en-GB"/>
        </w:rPr>
        <w:t xml:space="preserve"> the model investigated. Table S</w:t>
      </w:r>
      <w:r w:rsidR="00E40AA4" w:rsidRPr="00F54F89">
        <w:rPr>
          <w:rFonts w:ascii="Times New Roman" w:hAnsi="Times New Roman"/>
          <w:szCs w:val="24"/>
          <w:lang w:val="en-GB"/>
        </w:rPr>
        <w:t>3</w:t>
      </w:r>
      <w:r w:rsidR="00EA5ACF" w:rsidRPr="00F54F89">
        <w:rPr>
          <w:rFonts w:ascii="Times New Roman" w:hAnsi="Times New Roman"/>
          <w:szCs w:val="24"/>
          <w:lang w:val="en-GB"/>
        </w:rPr>
        <w:t>, S</w:t>
      </w:r>
      <w:r w:rsidR="00E40AA4" w:rsidRPr="00F54F89">
        <w:rPr>
          <w:rFonts w:ascii="Times New Roman" w:hAnsi="Times New Roman"/>
          <w:szCs w:val="24"/>
          <w:lang w:val="en-GB"/>
        </w:rPr>
        <w:t>4</w:t>
      </w:r>
      <w:r w:rsidR="00EA5ACF" w:rsidRPr="00F54F89">
        <w:rPr>
          <w:rFonts w:ascii="Times New Roman" w:hAnsi="Times New Roman"/>
          <w:szCs w:val="24"/>
          <w:lang w:val="en-GB"/>
        </w:rPr>
        <w:t xml:space="preserve"> and S</w:t>
      </w:r>
      <w:r w:rsidR="00E40AA4" w:rsidRPr="00F54F89">
        <w:rPr>
          <w:rFonts w:ascii="Times New Roman" w:hAnsi="Times New Roman"/>
          <w:szCs w:val="24"/>
          <w:lang w:val="en-GB"/>
        </w:rPr>
        <w:t>5</w:t>
      </w:r>
      <w:r w:rsidRPr="00F54F89">
        <w:rPr>
          <w:rFonts w:ascii="Times New Roman" w:hAnsi="Times New Roman"/>
          <w:szCs w:val="24"/>
          <w:lang w:val="en-GB"/>
        </w:rPr>
        <w:t xml:space="preserve"> show the results of kinetic modelling profiles of CA, QU and KP from F3, F5, F9 and F11 in different biorelevant media. The results revealed that the release profiles of all compounds from phytosome formulations were best fitted with Higuchi and Korsmeyer-Peppas models.  Additionally, the </w:t>
      </w:r>
      <w:r w:rsidRPr="00F54F89">
        <w:rPr>
          <w:rFonts w:ascii="Times New Roman" w:hAnsi="Times New Roman"/>
          <w:i/>
          <w:szCs w:val="24"/>
          <w:lang w:val="en-GB"/>
        </w:rPr>
        <w:t>n</w:t>
      </w:r>
      <w:r w:rsidRPr="00F54F89">
        <w:rPr>
          <w:rFonts w:ascii="Times New Roman" w:hAnsi="Times New Roman"/>
          <w:szCs w:val="24"/>
          <w:lang w:val="en-GB"/>
        </w:rPr>
        <w:t xml:space="preserve"> values were between 0.45 and 0.89. Therefore, the dissolution mechanism of CA, QU and KP from phytosome was expected to be non-Fickian (anomalous diffusion). This model illustrates that the release of compounds from the formulation matrix was based on the diffusion of compounds from the matrix, and erosion as well as degradation of the lipid core </w:t>
      </w:r>
      <w:r w:rsidRPr="00F54F89">
        <w:rPr>
          <w:rFonts w:ascii="Times New Roman" w:hAnsi="Times New Roman"/>
          <w:szCs w:val="24"/>
          <w:lang w:val="en-GB"/>
        </w:rPr>
        <w:fldChar w:fldCharType="begin" w:fldLock="1"/>
      </w:r>
      <w:r w:rsidR="007D0946" w:rsidRPr="00F54F89">
        <w:rPr>
          <w:rFonts w:ascii="Times New Roman" w:hAnsi="Times New Roman"/>
          <w:szCs w:val="24"/>
          <w:lang w:val="en-GB"/>
        </w:rPr>
        <w:instrText>ADDIN CSL_CITATION {"citationItems":[{"id":"ITEM-1","itemData":{"ISSN":"2314-6133","abstract":"The aim of this study was to assess the in vitro release kinetics of antituberculosis drug-loaded nanoparticles (NPs) using a “modified” cylindrical apparatus fitted with a regenerated cellulose membrane attached to a standard dissolution apparatus (modifiedcylinder method). The model drugs that were used were rifampicin (RIF) and moxifloxacin hydrochloride (MX). Gelatin and polybutyl cyanoacrylate (PBCA) NPs were evaluated as the nanocarriers, respectively. The dissolution and release kinetics of the drugs from loaded NPs were studied in different media using the modified cylinder method and dialysis bag technique was used as the control technique. The results showed that use of the modified cylinder method resulted in different release profiles associated with unique release mechanisms for the nanocarrier systems investigated. The modified cylinder method also permitted discrimination between forced and normal in vitro release of the model drugs from gelatin NPs in the presence or absence of enzymatic degradation. The use of dialysis bag technique resulted in an inability to differentiate between the mechanisms of drug release from the NPs in these cases. This approach offers an effective tool to investigate in vitro release of RIF and MX from NPs, which further indicate that this technique can be used for performance testing of nanosized carrier systems.","author":[{"dropping-particle":"","family":"Gao","given":"Yuan","non-dropping-particle":"","parse-names":false,"suffix":""},{"dropping-particle":"","family":"Zuo","given":"Jieyu","non-dropping-particle":"","parse-names":false,"suffix":""},{"dropping-particle":"","family":"Bou-Chacra","given":"Nadia","non-dropping-particle":"","parse-names":false,"suffix":""},{"dropping-particle":"","family":"Pinto","given":"Terezinha de Jesus Andreoli","non-dropping-particle":"","parse-names":false,"suffix":""},{"dropping-particle":"","family":"Clas","given":"Sophie-Dorothee","non-dropping-particle":"","parse-names":false,"suffix":""},{"dropping-particle":"","family":"Walker","given":"Roderick B.","non-dropping-particle":"","parse-names":false,"suffix":""},{"dropping-particle":"","family":"Löbenberg","given":"Raimar","non-dropping-particle":"","parse-names":false,"suffix":""}],"container-title":"BioMed Research International","id":"ITEM-1","issue":"1","issued":{"date-parts":[["2013"]]},"page":"1-9","title":"In vitro release kinetics of antituberculosis drugs from nanoparticles assessed using a modified dissolution apparatus","type":"article-journal","volume":"2013"},"uris":["http://www.mendeley.com/documents/?uuid=4694ec63-beaf-47b6-abf9-6d65d8587f70"]},{"id":"ITEM-2","itemData":{"ISBN":"0928-0987 (Print)\\n0928-0987 (Linking)","ISSN":"03262383","PMID":"11297896","abstract":"Generic drugs offer a cost-effective alternative to brand-name products. However, the main concern with modified-release formulations is the substitution of one product for another. Accordingly, the first objective of this study was to assess the interchangeability of the available diltiazem extended-release (ER) products on the basis of their in vitro dissolution characteristics using USP Apparatus 2 and 3. The second objective was to compare dissolution profiles in simulated fasted and fed states and determine whether there is a change in the mechanism of drug release. Dissolution profiles characterized using Apparatus 2 or 3 under fasted conditions were similar. However, Apparatus 3 testing provided a more discriminating and comprehensive evaluation of the drug release performance of ER products. Testing using Apparatus 3 in the fed state highlighted some difference in dissolution profiles, suggesting a food effect on drug release. This implies that, depending on the targeted concentration, a patient should be instructed whether to take the medication in fasted or fed state. The study therefore shows the necessity of testing the products in both fasted and fed states to determine their similarity and therapeutic interchangeability. Apparatus 3 testing was also more accurate in determining the release mechanism than the Apparatus 2 method. No change in the mechanism of drug release between fasted and fed state was observed.","author":[{"dropping-particle":"","family":"Costa","given":"Paulo","non-dropping-particle":"","parse-names":false,"suffix":""},{"dropping-particle":"","family":"Lobo","given":"Jose Manuel Sousa","non-dropping-particle":"","parse-names":false,"suffix":""}],"container-title":"European Journal of Pharmaceutical Sciences","id":"ITEM-2","issue":"1","issued":{"date-parts":[["2001"]]},"page":"123-133","title":"Modeling and comparison of dissolution profiles","type":"article-journal","volume":"13"},"uris":["http://www.mendeley.com/documents/?uuid=a2581472-69ba-4e09-981b-00eefa4170c7"]},{"id":"ITEM-3","itemData":{"ISBN":"0001-6837 (Print) 0001-6837 (Linking)","ISSN":"1100-9233","PMID":"20524422","abstract":"This study explores the determinants of distribution, abundance and\\nregeneration of six Pinus species (P. halepensis, P. nigra, P. pinaster,\\nP. pinea, P. sylvestris and P. uncinata) that occur naturally in\\nCatalonia, northeastern Spain. The aim of this study was to generate\\naccurate predictions of the distribution of each species using simple\\nand readily available environmental variables. We used recursive\\npartitioning and GIS analyses to relate the data base of 10600 field\\nplots from the Forestry Inventory of Catalonia with abiotic and biotic\\ncharacteristics of each plot. We present general patterns of\\ndistribution, dominance and regeneration for the six species and then\\nfocus on P. halepensis, the most abundant pine species in the western\\nMediterranean Basin. For all six species, the models correctly\\nclassified more than 80% of the distribution using abiotic factors,\\nmainly altitude and rainfall variability. Biotic factors such as the\\nbasal area of other pine species were necessary to accurately predict\\npatterns of pine species dominance. Biotic factors, especially the basal\\narea of evergreen species (mainly Quercus ilex), were of overriding\\nimportance when predicting patterns of seedling occurrence. Potentially\\nimportant factors such as land use and fire history were of little\\nsignificance for predicting distribution at the scale of our study. Our\\nmodels failed to predict accurately which species (and in which numbers)\\nco-occur with P. halepensis. Factors not included in this study, such as\\nstand age, disturbance (cutting, clearing) and other human-induced\\nfactors, are probably the main determinants of co-existence patterns.","author":[{"dropping-particle":"","family":"Dash","given":"Suvakanta","non-dropping-particle":"","parse-names":false,"suffix":""},{"dropping-particle":"","family":"Murthy","given":"Padala Narashima","non-dropping-particle":"","parse-names":false,"suffix":""},{"dropping-particle":"","family":"Nath","given":"Lilakanta","non-dropping-particle":"","parse-names":false,"suffix":""},{"dropping-particle":"","family":"Chowdhury","given":"Prasanta","non-dropping-particle":"","parse-names":false,"suffix":""}],"container-title":"Acta Poloniae Pharmaceutica - Drug Research","id":"ITEM-3","issue":"3","issued":{"date-parts":[["2010"]]},"page":"217-223","title":"Kinetic modelling on drug release from controlled drug delivery systems","type":"article-journal","volume":"67"},"uris":["http://www.mendeley.com/documents/?uuid=14d0af5f-1ec6-4120-a79b-e64671da84f4"]}],"mendeley":{"formattedCitation":"[41,42,66]","plainTextFormattedCitation":"[41,42,66]","previouslyFormattedCitation":"[41,42,66]"},"properties":{"noteIndex":0},"schema":"https://github.com/citation-style-language/schema/raw/master/csl-citation.json"}</w:instrText>
      </w:r>
      <w:r w:rsidRPr="00F54F89">
        <w:rPr>
          <w:rFonts w:ascii="Times New Roman" w:hAnsi="Times New Roman"/>
          <w:szCs w:val="24"/>
          <w:lang w:val="en-GB"/>
        </w:rPr>
        <w:fldChar w:fldCharType="separate"/>
      </w:r>
      <w:r w:rsidR="007D0946" w:rsidRPr="00F54F89">
        <w:rPr>
          <w:rFonts w:ascii="Times New Roman" w:hAnsi="Times New Roman"/>
          <w:noProof/>
          <w:szCs w:val="24"/>
          <w:lang w:val="en-GB"/>
        </w:rPr>
        <w:t>[41,42,66]</w:t>
      </w:r>
      <w:r w:rsidRPr="00F54F89">
        <w:rPr>
          <w:rFonts w:ascii="Times New Roman" w:hAnsi="Times New Roman"/>
          <w:szCs w:val="24"/>
          <w:lang w:val="en-GB"/>
        </w:rPr>
        <w:fldChar w:fldCharType="end"/>
      </w:r>
      <w:r w:rsidRPr="00F54F89">
        <w:rPr>
          <w:rFonts w:ascii="Times New Roman" w:hAnsi="Times New Roman"/>
          <w:szCs w:val="24"/>
          <w:lang w:val="en-GB"/>
        </w:rPr>
        <w:t xml:space="preserve">. Analysed statistically, the </w:t>
      </w:r>
      <w:r w:rsidR="007861BE" w:rsidRPr="00F54F89">
        <w:rPr>
          <w:rFonts w:ascii="Times New Roman" w:hAnsi="Times New Roman"/>
          <w:szCs w:val="24"/>
          <w:lang w:val="en-GB"/>
        </w:rPr>
        <w:t>percentage of</w:t>
      </w:r>
      <w:r w:rsidRPr="00F54F89">
        <w:rPr>
          <w:rFonts w:ascii="Times New Roman" w:hAnsi="Times New Roman"/>
          <w:szCs w:val="24"/>
          <w:lang w:val="en-GB"/>
        </w:rPr>
        <w:t xml:space="preserve"> dissolution </w:t>
      </w:r>
      <w:r w:rsidR="007861BE" w:rsidRPr="00F54F89">
        <w:rPr>
          <w:rFonts w:ascii="Times New Roman" w:hAnsi="Times New Roman"/>
          <w:szCs w:val="24"/>
          <w:lang w:val="en-GB"/>
        </w:rPr>
        <w:t xml:space="preserve">profiles </w:t>
      </w:r>
      <w:r w:rsidRPr="00F54F89">
        <w:rPr>
          <w:rFonts w:ascii="Times New Roman" w:hAnsi="Times New Roman"/>
          <w:szCs w:val="24"/>
          <w:lang w:val="en-GB"/>
        </w:rPr>
        <w:t>of all compounds from F3 was significantly higher (</w:t>
      </w:r>
      <w:r w:rsidRPr="00F54F89">
        <w:rPr>
          <w:rFonts w:ascii="Times New Roman" w:hAnsi="Times New Roman"/>
          <w:i/>
          <w:szCs w:val="24"/>
          <w:lang w:val="en-GB"/>
        </w:rPr>
        <w:t>p</w:t>
      </w:r>
      <w:r w:rsidRPr="00F54F89">
        <w:rPr>
          <w:rFonts w:ascii="Times New Roman" w:hAnsi="Times New Roman"/>
          <w:szCs w:val="24"/>
          <w:lang w:val="en-GB"/>
        </w:rPr>
        <w:t xml:space="preserve"> &lt; 0.05) compared to the results from F5. For that reason, F3 was selected for further study.</w:t>
      </w:r>
    </w:p>
    <w:p w14:paraId="4CEEBBC8" w14:textId="41483BA2" w:rsidR="000C6856" w:rsidRPr="00F54F89" w:rsidRDefault="00F606FB" w:rsidP="000C6856">
      <w:pPr>
        <w:spacing w:line="360" w:lineRule="auto"/>
        <w:jc w:val="both"/>
        <w:rPr>
          <w:i/>
        </w:rPr>
      </w:pPr>
      <w:r w:rsidRPr="00F54F89">
        <w:rPr>
          <w:i/>
        </w:rPr>
        <w:lastRenderedPageBreak/>
        <w:t xml:space="preserve">3.10. </w:t>
      </w:r>
      <w:r w:rsidR="00DF6C95" w:rsidRPr="00F54F89">
        <w:rPr>
          <w:i/>
        </w:rPr>
        <w:t>In vitro</w:t>
      </w:r>
      <w:r w:rsidR="000C6856" w:rsidRPr="00F54F89">
        <w:rPr>
          <w:i/>
        </w:rPr>
        <w:t xml:space="preserve"> phytosomal stability in gastrointestinal environment</w:t>
      </w:r>
    </w:p>
    <w:p w14:paraId="7DA6C53D" w14:textId="16371123" w:rsidR="000C6856" w:rsidRPr="00F54F89" w:rsidRDefault="000C6856" w:rsidP="000C6856">
      <w:pPr>
        <w:spacing w:line="360" w:lineRule="auto"/>
        <w:jc w:val="both"/>
      </w:pPr>
      <w:r w:rsidRPr="00F54F89">
        <w:t xml:space="preserve">In an attempt to evaluate the physical stability of phytosome following contact with gastrointestinal tract, the particle size, PDI and zeta potential of F3 were investigated for the hypothesised duration in the gastrointestinal tract </w:t>
      </w:r>
      <w:r w:rsidR="00DF6C95" w:rsidRPr="00F54F89">
        <w:rPr>
          <w:i/>
        </w:rPr>
        <w:t>in vivo</w:t>
      </w:r>
      <w:r w:rsidRPr="00F54F89">
        <w:t xml:space="preserve">. Table </w:t>
      </w:r>
      <w:r w:rsidR="00EA5ACF" w:rsidRPr="00F54F89">
        <w:t>4</w:t>
      </w:r>
      <w:r w:rsidRPr="00F54F89">
        <w:t xml:space="preserve"> summarizes the characteri</w:t>
      </w:r>
      <w:r w:rsidR="00CE3FB2" w:rsidRPr="00F54F89">
        <w:t>sation</w:t>
      </w:r>
      <w:r w:rsidRPr="00F54F89">
        <w:t>s of F3 after 3 h and 6 h contact with FaSSGF, FeSSIF and FaSSIF. In terms of particle size and PDI, stability of F3 after 3 h and 6 h in biorelevant media did not change significantly (</w:t>
      </w:r>
      <w:r w:rsidRPr="00F54F89">
        <w:rPr>
          <w:i/>
        </w:rPr>
        <w:t>p</w:t>
      </w:r>
      <w:r w:rsidRPr="00F54F89">
        <w:t xml:space="preserve"> &gt; 0.05) compared to the initial measurements. In addition to that, it was found that there were no precipitation and aggregation observed in FaSSGF, FeSSIF and FaSSIF media.</w:t>
      </w:r>
    </w:p>
    <w:p w14:paraId="01E9B059" w14:textId="4D846DE4" w:rsidR="000C6856" w:rsidRPr="00F54F89" w:rsidRDefault="000C6856" w:rsidP="000C6856">
      <w:pPr>
        <w:jc w:val="both"/>
        <w:rPr>
          <w:b/>
          <w:sz w:val="20"/>
        </w:rPr>
      </w:pPr>
      <w:r w:rsidRPr="00F54F89">
        <w:rPr>
          <w:b/>
          <w:sz w:val="20"/>
        </w:rPr>
        <w:t xml:space="preserve">Table </w:t>
      </w:r>
      <w:r w:rsidR="00EA5ACF" w:rsidRPr="00F54F89">
        <w:rPr>
          <w:b/>
          <w:sz w:val="20"/>
        </w:rPr>
        <w:t>4</w:t>
      </w:r>
      <w:r w:rsidRPr="00F54F89">
        <w:rPr>
          <w:sz w:val="20"/>
        </w:rPr>
        <w:t xml:space="preserve">. </w:t>
      </w:r>
      <w:r w:rsidR="00DF6C95" w:rsidRPr="00F54F89">
        <w:rPr>
          <w:i/>
          <w:sz w:val="20"/>
        </w:rPr>
        <w:t>In vitro</w:t>
      </w:r>
      <w:r w:rsidRPr="00F54F89">
        <w:rPr>
          <w:sz w:val="20"/>
        </w:rPr>
        <w:t xml:space="preserve"> phytosomal stability of </w:t>
      </w:r>
      <w:r w:rsidR="0078151A" w:rsidRPr="00F54F89">
        <w:rPr>
          <w:sz w:val="20"/>
        </w:rPr>
        <w:t>optimised</w:t>
      </w:r>
      <w:r w:rsidRPr="00F54F89">
        <w:rPr>
          <w:sz w:val="20"/>
        </w:rPr>
        <w:t xml:space="preserve"> PEP formulation (F3) in FaSSGF, pH 1.6, FeSSIF, pH 5.0 and FaSSIF, pH 6.5 at 37 °C (means ± SD, </w:t>
      </w:r>
      <w:r w:rsidRPr="00F54F89">
        <w:rPr>
          <w:i/>
          <w:iCs/>
          <w:sz w:val="20"/>
        </w:rPr>
        <w:t xml:space="preserve">n </w:t>
      </w:r>
      <w:r w:rsidRPr="00F54F89">
        <w:rPr>
          <w:sz w:val="20"/>
        </w:rPr>
        <w:t>= 3).</w:t>
      </w:r>
    </w:p>
    <w:tbl>
      <w:tblPr>
        <w:tblW w:w="3339" w:type="pct"/>
        <w:jc w:val="center"/>
        <w:tblLook w:val="04A0" w:firstRow="1" w:lastRow="0" w:firstColumn="1" w:lastColumn="0" w:noHBand="0" w:noVBand="1"/>
      </w:tblPr>
      <w:tblGrid>
        <w:gridCol w:w="1383"/>
        <w:gridCol w:w="1705"/>
        <w:gridCol w:w="1226"/>
        <w:gridCol w:w="1905"/>
      </w:tblGrid>
      <w:tr w:rsidR="000C6856" w:rsidRPr="00F54F89" w14:paraId="60130BB2" w14:textId="77777777" w:rsidTr="00AB2710">
        <w:trPr>
          <w:trHeight w:val="300"/>
          <w:jc w:val="center"/>
        </w:trPr>
        <w:tc>
          <w:tcPr>
            <w:tcW w:w="1090" w:type="pct"/>
            <w:tcBorders>
              <w:top w:val="single" w:sz="4" w:space="0" w:color="auto"/>
              <w:left w:val="nil"/>
              <w:bottom w:val="single" w:sz="4" w:space="0" w:color="auto"/>
              <w:right w:val="nil"/>
            </w:tcBorders>
            <w:shd w:val="clear" w:color="auto" w:fill="auto"/>
            <w:noWrap/>
            <w:vAlign w:val="bottom"/>
            <w:hideMark/>
          </w:tcPr>
          <w:p w14:paraId="7D1EEB1E" w14:textId="77777777" w:rsidR="000C6856" w:rsidRPr="00F54F89" w:rsidRDefault="000C6856" w:rsidP="00AB2710">
            <w:pPr>
              <w:jc w:val="center"/>
              <w:rPr>
                <w:b/>
                <w:bCs/>
                <w:color w:val="000000"/>
                <w:sz w:val="20"/>
                <w:lang w:eastAsia="en-GB"/>
              </w:rPr>
            </w:pPr>
            <w:r w:rsidRPr="00F54F89">
              <w:rPr>
                <w:b/>
                <w:bCs/>
                <w:color w:val="000000"/>
                <w:sz w:val="20"/>
                <w:lang w:eastAsia="en-GB"/>
              </w:rPr>
              <w:t>Time interval</w:t>
            </w:r>
          </w:p>
        </w:tc>
        <w:tc>
          <w:tcPr>
            <w:tcW w:w="1380" w:type="pct"/>
            <w:tcBorders>
              <w:top w:val="single" w:sz="4" w:space="0" w:color="auto"/>
              <w:left w:val="nil"/>
              <w:bottom w:val="single" w:sz="4" w:space="0" w:color="auto"/>
              <w:right w:val="nil"/>
            </w:tcBorders>
            <w:shd w:val="clear" w:color="auto" w:fill="auto"/>
            <w:noWrap/>
            <w:vAlign w:val="bottom"/>
            <w:hideMark/>
          </w:tcPr>
          <w:p w14:paraId="262EE539" w14:textId="77777777" w:rsidR="000C6856" w:rsidRPr="00F54F89" w:rsidRDefault="000C6856" w:rsidP="00AB2710">
            <w:pPr>
              <w:jc w:val="center"/>
              <w:rPr>
                <w:b/>
                <w:bCs/>
                <w:color w:val="000000"/>
                <w:sz w:val="20"/>
                <w:lang w:eastAsia="en-GB"/>
              </w:rPr>
            </w:pPr>
            <w:r w:rsidRPr="00F54F89">
              <w:rPr>
                <w:b/>
                <w:bCs/>
                <w:color w:val="000000"/>
                <w:sz w:val="20"/>
                <w:lang w:eastAsia="en-GB"/>
              </w:rPr>
              <w:t>Particle size (nm)</w:t>
            </w:r>
          </w:p>
        </w:tc>
        <w:tc>
          <w:tcPr>
            <w:tcW w:w="1012" w:type="pct"/>
            <w:tcBorders>
              <w:top w:val="single" w:sz="4" w:space="0" w:color="auto"/>
              <w:left w:val="nil"/>
              <w:bottom w:val="single" w:sz="4" w:space="0" w:color="auto"/>
              <w:right w:val="nil"/>
            </w:tcBorders>
            <w:shd w:val="clear" w:color="auto" w:fill="auto"/>
            <w:noWrap/>
            <w:vAlign w:val="bottom"/>
            <w:hideMark/>
          </w:tcPr>
          <w:p w14:paraId="701C87E8" w14:textId="77777777" w:rsidR="000C6856" w:rsidRPr="00F54F89" w:rsidRDefault="000C6856" w:rsidP="00AB2710">
            <w:pPr>
              <w:jc w:val="center"/>
              <w:rPr>
                <w:b/>
                <w:bCs/>
                <w:color w:val="000000"/>
                <w:sz w:val="20"/>
                <w:lang w:eastAsia="en-GB"/>
              </w:rPr>
            </w:pPr>
            <w:r w:rsidRPr="00F54F89">
              <w:rPr>
                <w:b/>
                <w:bCs/>
                <w:color w:val="000000"/>
                <w:sz w:val="20"/>
                <w:lang w:eastAsia="en-GB"/>
              </w:rPr>
              <w:t>PDI</w:t>
            </w:r>
          </w:p>
        </w:tc>
        <w:tc>
          <w:tcPr>
            <w:tcW w:w="1518" w:type="pct"/>
            <w:tcBorders>
              <w:top w:val="single" w:sz="4" w:space="0" w:color="auto"/>
              <w:left w:val="nil"/>
              <w:bottom w:val="single" w:sz="4" w:space="0" w:color="auto"/>
              <w:right w:val="nil"/>
            </w:tcBorders>
            <w:shd w:val="clear" w:color="auto" w:fill="auto"/>
            <w:noWrap/>
            <w:vAlign w:val="bottom"/>
            <w:hideMark/>
          </w:tcPr>
          <w:p w14:paraId="1196C512" w14:textId="77777777" w:rsidR="000C6856" w:rsidRPr="00F54F89" w:rsidRDefault="000C6856" w:rsidP="00AB2710">
            <w:pPr>
              <w:jc w:val="center"/>
              <w:rPr>
                <w:b/>
                <w:bCs/>
                <w:color w:val="000000"/>
                <w:sz w:val="20"/>
                <w:lang w:eastAsia="en-GB"/>
              </w:rPr>
            </w:pPr>
            <w:r w:rsidRPr="00F54F89">
              <w:rPr>
                <w:b/>
                <w:bCs/>
                <w:color w:val="000000"/>
                <w:sz w:val="20"/>
                <w:lang w:eastAsia="en-GB"/>
              </w:rPr>
              <w:t>Zeta potential (mV)</w:t>
            </w:r>
          </w:p>
        </w:tc>
      </w:tr>
      <w:tr w:rsidR="000C6856" w:rsidRPr="00F54F89" w14:paraId="3349B5E3" w14:textId="77777777" w:rsidTr="00AB2710">
        <w:trPr>
          <w:trHeight w:val="300"/>
          <w:jc w:val="center"/>
        </w:trPr>
        <w:tc>
          <w:tcPr>
            <w:tcW w:w="1090" w:type="pct"/>
            <w:tcBorders>
              <w:top w:val="nil"/>
              <w:left w:val="nil"/>
              <w:bottom w:val="nil"/>
              <w:right w:val="nil"/>
            </w:tcBorders>
            <w:shd w:val="clear" w:color="auto" w:fill="auto"/>
            <w:noWrap/>
            <w:vAlign w:val="bottom"/>
            <w:hideMark/>
          </w:tcPr>
          <w:p w14:paraId="55B4826E" w14:textId="77777777" w:rsidR="000C6856" w:rsidRPr="00F54F89" w:rsidRDefault="000C6856" w:rsidP="00AB2710">
            <w:pPr>
              <w:jc w:val="center"/>
              <w:rPr>
                <w:b/>
                <w:bCs/>
                <w:color w:val="000000"/>
                <w:sz w:val="20"/>
                <w:lang w:eastAsia="en-GB"/>
              </w:rPr>
            </w:pPr>
            <w:r w:rsidRPr="00F54F89">
              <w:rPr>
                <w:b/>
                <w:bCs/>
                <w:color w:val="000000"/>
                <w:sz w:val="20"/>
                <w:lang w:eastAsia="en-GB"/>
              </w:rPr>
              <w:t>3 h (FaSSGF)</w:t>
            </w:r>
          </w:p>
        </w:tc>
        <w:tc>
          <w:tcPr>
            <w:tcW w:w="1380" w:type="pct"/>
            <w:tcBorders>
              <w:top w:val="nil"/>
              <w:left w:val="nil"/>
              <w:bottom w:val="nil"/>
              <w:right w:val="nil"/>
            </w:tcBorders>
            <w:shd w:val="clear" w:color="auto" w:fill="auto"/>
            <w:noWrap/>
            <w:vAlign w:val="center"/>
            <w:hideMark/>
          </w:tcPr>
          <w:p w14:paraId="08FC9CD7" w14:textId="77777777" w:rsidR="000C6856" w:rsidRPr="00F54F89" w:rsidRDefault="000C6856" w:rsidP="00AB2710">
            <w:pPr>
              <w:jc w:val="center"/>
              <w:rPr>
                <w:color w:val="000000"/>
                <w:sz w:val="20"/>
                <w:lang w:eastAsia="en-GB"/>
              </w:rPr>
            </w:pPr>
            <w:r w:rsidRPr="00F54F89">
              <w:rPr>
                <w:color w:val="000000"/>
                <w:sz w:val="20"/>
                <w:lang w:eastAsia="en-GB"/>
              </w:rPr>
              <w:t>379.36 ± 28.65</w:t>
            </w:r>
          </w:p>
        </w:tc>
        <w:tc>
          <w:tcPr>
            <w:tcW w:w="1012" w:type="pct"/>
            <w:tcBorders>
              <w:top w:val="nil"/>
              <w:left w:val="nil"/>
              <w:bottom w:val="nil"/>
              <w:right w:val="nil"/>
            </w:tcBorders>
            <w:shd w:val="clear" w:color="auto" w:fill="auto"/>
            <w:noWrap/>
            <w:vAlign w:val="center"/>
            <w:hideMark/>
          </w:tcPr>
          <w:p w14:paraId="5E19A6A4" w14:textId="77777777" w:rsidR="000C6856" w:rsidRPr="00F54F89" w:rsidRDefault="000C6856" w:rsidP="00AB2710">
            <w:pPr>
              <w:jc w:val="center"/>
              <w:rPr>
                <w:color w:val="000000"/>
                <w:sz w:val="20"/>
                <w:lang w:eastAsia="en-GB"/>
              </w:rPr>
            </w:pPr>
            <w:r w:rsidRPr="00F54F89">
              <w:rPr>
                <w:color w:val="000000"/>
                <w:sz w:val="20"/>
                <w:lang w:eastAsia="en-GB"/>
              </w:rPr>
              <w:t>0.253 ± 0.01</w:t>
            </w:r>
          </w:p>
        </w:tc>
        <w:tc>
          <w:tcPr>
            <w:tcW w:w="1518" w:type="pct"/>
            <w:tcBorders>
              <w:top w:val="nil"/>
              <w:left w:val="nil"/>
              <w:bottom w:val="nil"/>
              <w:right w:val="nil"/>
            </w:tcBorders>
            <w:shd w:val="clear" w:color="auto" w:fill="auto"/>
            <w:noWrap/>
            <w:vAlign w:val="center"/>
            <w:hideMark/>
          </w:tcPr>
          <w:p w14:paraId="191AC6CF" w14:textId="77777777" w:rsidR="000C6856" w:rsidRPr="00F54F89" w:rsidRDefault="000C6856" w:rsidP="00AB2710">
            <w:pPr>
              <w:jc w:val="center"/>
              <w:rPr>
                <w:color w:val="000000"/>
                <w:sz w:val="20"/>
                <w:lang w:eastAsia="en-GB"/>
              </w:rPr>
            </w:pPr>
            <w:r w:rsidRPr="00F54F89">
              <w:rPr>
                <w:color w:val="000000"/>
                <w:sz w:val="20"/>
                <w:lang w:eastAsia="en-GB"/>
              </w:rPr>
              <w:t>-15.62 ± 1.12</w:t>
            </w:r>
          </w:p>
        </w:tc>
      </w:tr>
      <w:tr w:rsidR="000C6856" w:rsidRPr="00F54F89" w14:paraId="0E9F5D53" w14:textId="77777777" w:rsidTr="00AB2710">
        <w:trPr>
          <w:trHeight w:val="300"/>
          <w:jc w:val="center"/>
        </w:trPr>
        <w:tc>
          <w:tcPr>
            <w:tcW w:w="1090" w:type="pct"/>
            <w:tcBorders>
              <w:top w:val="nil"/>
              <w:left w:val="nil"/>
              <w:bottom w:val="nil"/>
              <w:right w:val="nil"/>
            </w:tcBorders>
            <w:shd w:val="clear" w:color="auto" w:fill="auto"/>
            <w:noWrap/>
            <w:vAlign w:val="bottom"/>
            <w:hideMark/>
          </w:tcPr>
          <w:p w14:paraId="2DD39245" w14:textId="77777777" w:rsidR="000C6856" w:rsidRPr="00F54F89" w:rsidRDefault="000C6856" w:rsidP="00AB2710">
            <w:pPr>
              <w:jc w:val="center"/>
              <w:rPr>
                <w:b/>
                <w:bCs/>
                <w:color w:val="000000"/>
                <w:sz w:val="20"/>
                <w:lang w:eastAsia="en-GB"/>
              </w:rPr>
            </w:pPr>
            <w:r w:rsidRPr="00F54F89">
              <w:rPr>
                <w:b/>
                <w:bCs/>
                <w:color w:val="000000"/>
                <w:sz w:val="20"/>
                <w:lang w:eastAsia="en-GB"/>
              </w:rPr>
              <w:t>6 h (FaSSGF)</w:t>
            </w:r>
          </w:p>
        </w:tc>
        <w:tc>
          <w:tcPr>
            <w:tcW w:w="1380" w:type="pct"/>
            <w:tcBorders>
              <w:top w:val="nil"/>
              <w:left w:val="nil"/>
              <w:bottom w:val="nil"/>
              <w:right w:val="nil"/>
            </w:tcBorders>
            <w:shd w:val="clear" w:color="auto" w:fill="auto"/>
            <w:noWrap/>
            <w:vAlign w:val="center"/>
            <w:hideMark/>
          </w:tcPr>
          <w:p w14:paraId="289F1B83" w14:textId="77777777" w:rsidR="000C6856" w:rsidRPr="00F54F89" w:rsidRDefault="000C6856" w:rsidP="00AB2710">
            <w:pPr>
              <w:jc w:val="center"/>
              <w:rPr>
                <w:color w:val="000000"/>
                <w:sz w:val="20"/>
                <w:lang w:eastAsia="en-GB"/>
              </w:rPr>
            </w:pPr>
            <w:r w:rsidRPr="00F54F89">
              <w:rPr>
                <w:color w:val="000000"/>
                <w:sz w:val="20"/>
                <w:lang w:eastAsia="en-GB"/>
              </w:rPr>
              <w:t>381.79 ± 28.12</w:t>
            </w:r>
          </w:p>
        </w:tc>
        <w:tc>
          <w:tcPr>
            <w:tcW w:w="1012" w:type="pct"/>
            <w:tcBorders>
              <w:top w:val="nil"/>
              <w:left w:val="nil"/>
              <w:bottom w:val="nil"/>
              <w:right w:val="nil"/>
            </w:tcBorders>
            <w:shd w:val="clear" w:color="auto" w:fill="auto"/>
            <w:noWrap/>
            <w:vAlign w:val="center"/>
            <w:hideMark/>
          </w:tcPr>
          <w:p w14:paraId="7AEF3E23" w14:textId="77777777" w:rsidR="000C6856" w:rsidRPr="00F54F89" w:rsidRDefault="000C6856" w:rsidP="00AB2710">
            <w:pPr>
              <w:jc w:val="center"/>
              <w:rPr>
                <w:color w:val="000000"/>
                <w:sz w:val="20"/>
                <w:lang w:eastAsia="en-GB"/>
              </w:rPr>
            </w:pPr>
            <w:r w:rsidRPr="00F54F89">
              <w:rPr>
                <w:color w:val="000000"/>
                <w:sz w:val="20"/>
                <w:lang w:eastAsia="en-GB"/>
              </w:rPr>
              <w:t>0.268 ± 0.02</w:t>
            </w:r>
          </w:p>
        </w:tc>
        <w:tc>
          <w:tcPr>
            <w:tcW w:w="1518" w:type="pct"/>
            <w:tcBorders>
              <w:top w:val="nil"/>
              <w:left w:val="nil"/>
              <w:bottom w:val="nil"/>
              <w:right w:val="nil"/>
            </w:tcBorders>
            <w:shd w:val="clear" w:color="auto" w:fill="auto"/>
            <w:noWrap/>
            <w:vAlign w:val="center"/>
            <w:hideMark/>
          </w:tcPr>
          <w:p w14:paraId="472FC4D8" w14:textId="77777777" w:rsidR="000C6856" w:rsidRPr="00F54F89" w:rsidRDefault="000C6856" w:rsidP="00AB2710">
            <w:pPr>
              <w:jc w:val="center"/>
              <w:rPr>
                <w:color w:val="000000"/>
                <w:sz w:val="20"/>
                <w:lang w:eastAsia="en-GB"/>
              </w:rPr>
            </w:pPr>
            <w:r w:rsidRPr="00F54F89">
              <w:rPr>
                <w:color w:val="000000"/>
                <w:sz w:val="20"/>
                <w:lang w:eastAsia="en-GB"/>
              </w:rPr>
              <w:t>-14.98 ± 1.19</w:t>
            </w:r>
          </w:p>
        </w:tc>
      </w:tr>
      <w:tr w:rsidR="000C6856" w:rsidRPr="00F54F89" w14:paraId="174AF8DB" w14:textId="77777777" w:rsidTr="00AB2710">
        <w:trPr>
          <w:trHeight w:val="300"/>
          <w:jc w:val="center"/>
        </w:trPr>
        <w:tc>
          <w:tcPr>
            <w:tcW w:w="1090" w:type="pct"/>
            <w:tcBorders>
              <w:top w:val="nil"/>
              <w:left w:val="nil"/>
              <w:bottom w:val="nil"/>
              <w:right w:val="nil"/>
            </w:tcBorders>
            <w:shd w:val="clear" w:color="auto" w:fill="auto"/>
            <w:noWrap/>
            <w:vAlign w:val="bottom"/>
            <w:hideMark/>
          </w:tcPr>
          <w:p w14:paraId="12CBFE3D" w14:textId="77777777" w:rsidR="000C6856" w:rsidRPr="00F54F89" w:rsidRDefault="000C6856" w:rsidP="00AB2710">
            <w:pPr>
              <w:jc w:val="center"/>
              <w:rPr>
                <w:b/>
                <w:bCs/>
                <w:color w:val="000000"/>
                <w:sz w:val="20"/>
                <w:lang w:eastAsia="en-GB"/>
              </w:rPr>
            </w:pPr>
            <w:r w:rsidRPr="00F54F89">
              <w:rPr>
                <w:b/>
                <w:bCs/>
                <w:color w:val="000000"/>
                <w:sz w:val="20"/>
                <w:lang w:eastAsia="en-GB"/>
              </w:rPr>
              <w:t>3 h (FeSSIF)</w:t>
            </w:r>
          </w:p>
        </w:tc>
        <w:tc>
          <w:tcPr>
            <w:tcW w:w="1380" w:type="pct"/>
            <w:tcBorders>
              <w:top w:val="nil"/>
              <w:left w:val="nil"/>
              <w:bottom w:val="nil"/>
              <w:right w:val="nil"/>
            </w:tcBorders>
            <w:shd w:val="clear" w:color="auto" w:fill="auto"/>
            <w:noWrap/>
            <w:vAlign w:val="center"/>
            <w:hideMark/>
          </w:tcPr>
          <w:p w14:paraId="36E52FC5" w14:textId="66CB9C53" w:rsidR="000C6856" w:rsidRPr="00F54F89" w:rsidRDefault="000C6856" w:rsidP="00AB2710">
            <w:pPr>
              <w:jc w:val="center"/>
              <w:rPr>
                <w:color w:val="000000"/>
                <w:sz w:val="20"/>
                <w:lang w:eastAsia="en-GB"/>
              </w:rPr>
            </w:pPr>
            <w:r w:rsidRPr="00F54F89">
              <w:rPr>
                <w:color w:val="000000"/>
                <w:sz w:val="20"/>
                <w:lang w:eastAsia="en-GB"/>
              </w:rPr>
              <w:t>38</w:t>
            </w:r>
            <w:r w:rsidR="00444600" w:rsidRPr="00F54F89">
              <w:rPr>
                <w:color w:val="000000"/>
                <w:sz w:val="20"/>
                <w:lang w:eastAsia="en-GB"/>
              </w:rPr>
              <w:t>3.32</w:t>
            </w:r>
            <w:r w:rsidRPr="00F54F89">
              <w:rPr>
                <w:color w:val="000000"/>
                <w:sz w:val="20"/>
                <w:lang w:eastAsia="en-GB"/>
              </w:rPr>
              <w:t xml:space="preserve"> ± 3</w:t>
            </w:r>
            <w:r w:rsidR="00444600" w:rsidRPr="00F54F89">
              <w:rPr>
                <w:color w:val="000000"/>
                <w:sz w:val="20"/>
                <w:lang w:eastAsia="en-GB"/>
              </w:rPr>
              <w:t>3</w:t>
            </w:r>
            <w:r w:rsidRPr="00F54F89">
              <w:rPr>
                <w:color w:val="000000"/>
                <w:sz w:val="20"/>
                <w:lang w:eastAsia="en-GB"/>
              </w:rPr>
              <w:t>.3</w:t>
            </w:r>
            <w:r w:rsidR="00444600" w:rsidRPr="00F54F89">
              <w:rPr>
                <w:color w:val="000000"/>
                <w:sz w:val="20"/>
                <w:lang w:eastAsia="en-GB"/>
              </w:rPr>
              <w:t>1</w:t>
            </w:r>
          </w:p>
        </w:tc>
        <w:tc>
          <w:tcPr>
            <w:tcW w:w="1012" w:type="pct"/>
            <w:tcBorders>
              <w:top w:val="nil"/>
              <w:left w:val="nil"/>
              <w:bottom w:val="nil"/>
              <w:right w:val="nil"/>
            </w:tcBorders>
            <w:shd w:val="clear" w:color="auto" w:fill="auto"/>
            <w:noWrap/>
            <w:vAlign w:val="center"/>
            <w:hideMark/>
          </w:tcPr>
          <w:p w14:paraId="11666898" w14:textId="3356BE4C" w:rsidR="000C6856" w:rsidRPr="00F54F89" w:rsidRDefault="000C6856" w:rsidP="00AB2710">
            <w:pPr>
              <w:jc w:val="center"/>
              <w:rPr>
                <w:color w:val="000000"/>
                <w:sz w:val="20"/>
                <w:lang w:eastAsia="en-GB"/>
              </w:rPr>
            </w:pPr>
            <w:r w:rsidRPr="00F54F89">
              <w:rPr>
                <w:color w:val="000000"/>
                <w:sz w:val="20"/>
                <w:lang w:eastAsia="en-GB"/>
              </w:rPr>
              <w:t>0.2</w:t>
            </w:r>
            <w:r w:rsidR="00444600" w:rsidRPr="00F54F89">
              <w:rPr>
                <w:color w:val="000000"/>
                <w:sz w:val="20"/>
                <w:lang w:eastAsia="en-GB"/>
              </w:rPr>
              <w:t>2</w:t>
            </w:r>
            <w:r w:rsidRPr="00F54F89">
              <w:rPr>
                <w:color w:val="000000"/>
                <w:sz w:val="20"/>
                <w:lang w:eastAsia="en-GB"/>
              </w:rPr>
              <w:t>9 ± 0.02</w:t>
            </w:r>
          </w:p>
        </w:tc>
        <w:tc>
          <w:tcPr>
            <w:tcW w:w="1518" w:type="pct"/>
            <w:tcBorders>
              <w:top w:val="nil"/>
              <w:left w:val="nil"/>
              <w:bottom w:val="nil"/>
              <w:right w:val="nil"/>
            </w:tcBorders>
            <w:shd w:val="clear" w:color="auto" w:fill="auto"/>
            <w:noWrap/>
            <w:vAlign w:val="center"/>
            <w:hideMark/>
          </w:tcPr>
          <w:p w14:paraId="20C74266" w14:textId="2FF01B45" w:rsidR="000C6856" w:rsidRPr="00F54F89" w:rsidRDefault="000C6856" w:rsidP="00AB2710">
            <w:pPr>
              <w:jc w:val="center"/>
              <w:rPr>
                <w:color w:val="000000"/>
                <w:sz w:val="20"/>
                <w:lang w:eastAsia="en-GB"/>
              </w:rPr>
            </w:pPr>
            <w:r w:rsidRPr="00F54F89">
              <w:rPr>
                <w:color w:val="000000"/>
                <w:sz w:val="20"/>
                <w:lang w:eastAsia="en-GB"/>
              </w:rPr>
              <w:t>+2</w:t>
            </w:r>
            <w:r w:rsidR="00444600" w:rsidRPr="00F54F89">
              <w:rPr>
                <w:color w:val="000000"/>
                <w:sz w:val="20"/>
                <w:lang w:eastAsia="en-GB"/>
              </w:rPr>
              <w:t>0.43</w:t>
            </w:r>
            <w:r w:rsidRPr="00F54F89">
              <w:rPr>
                <w:color w:val="000000"/>
                <w:sz w:val="20"/>
                <w:lang w:eastAsia="en-GB"/>
              </w:rPr>
              <w:t xml:space="preserve"> ± 1.</w:t>
            </w:r>
            <w:r w:rsidR="00444600" w:rsidRPr="00F54F89">
              <w:rPr>
                <w:color w:val="000000"/>
                <w:sz w:val="20"/>
                <w:lang w:eastAsia="en-GB"/>
              </w:rPr>
              <w:t>43</w:t>
            </w:r>
          </w:p>
        </w:tc>
      </w:tr>
      <w:tr w:rsidR="000C6856" w:rsidRPr="00F54F89" w14:paraId="57A02B02" w14:textId="77777777" w:rsidTr="00AB2710">
        <w:trPr>
          <w:trHeight w:val="300"/>
          <w:jc w:val="center"/>
        </w:trPr>
        <w:tc>
          <w:tcPr>
            <w:tcW w:w="1090" w:type="pct"/>
            <w:tcBorders>
              <w:top w:val="nil"/>
              <w:left w:val="nil"/>
              <w:bottom w:val="nil"/>
              <w:right w:val="nil"/>
            </w:tcBorders>
            <w:shd w:val="clear" w:color="auto" w:fill="auto"/>
            <w:noWrap/>
            <w:vAlign w:val="bottom"/>
            <w:hideMark/>
          </w:tcPr>
          <w:p w14:paraId="3239AD12" w14:textId="77777777" w:rsidR="000C6856" w:rsidRPr="00F54F89" w:rsidRDefault="000C6856" w:rsidP="00AB2710">
            <w:pPr>
              <w:jc w:val="center"/>
              <w:rPr>
                <w:b/>
                <w:bCs/>
                <w:color w:val="000000"/>
                <w:sz w:val="20"/>
                <w:lang w:eastAsia="en-GB"/>
              </w:rPr>
            </w:pPr>
            <w:r w:rsidRPr="00F54F89">
              <w:rPr>
                <w:b/>
                <w:bCs/>
                <w:color w:val="000000"/>
                <w:sz w:val="20"/>
                <w:lang w:eastAsia="en-GB"/>
              </w:rPr>
              <w:t>6 h (FeSSIF)</w:t>
            </w:r>
          </w:p>
        </w:tc>
        <w:tc>
          <w:tcPr>
            <w:tcW w:w="1380" w:type="pct"/>
            <w:tcBorders>
              <w:top w:val="nil"/>
              <w:left w:val="nil"/>
              <w:bottom w:val="nil"/>
              <w:right w:val="nil"/>
            </w:tcBorders>
            <w:shd w:val="clear" w:color="auto" w:fill="auto"/>
            <w:noWrap/>
            <w:vAlign w:val="center"/>
            <w:hideMark/>
          </w:tcPr>
          <w:p w14:paraId="69B15843" w14:textId="5B714770" w:rsidR="000C6856" w:rsidRPr="00F54F89" w:rsidRDefault="000C6856" w:rsidP="00AB2710">
            <w:pPr>
              <w:jc w:val="center"/>
              <w:rPr>
                <w:color w:val="000000"/>
                <w:sz w:val="20"/>
                <w:lang w:eastAsia="en-GB"/>
              </w:rPr>
            </w:pPr>
            <w:r w:rsidRPr="00F54F89">
              <w:rPr>
                <w:color w:val="000000"/>
                <w:sz w:val="20"/>
                <w:lang w:eastAsia="en-GB"/>
              </w:rPr>
              <w:t>3</w:t>
            </w:r>
            <w:r w:rsidR="00444600" w:rsidRPr="00F54F89">
              <w:rPr>
                <w:color w:val="000000"/>
                <w:sz w:val="20"/>
                <w:lang w:eastAsia="en-GB"/>
              </w:rPr>
              <w:t>79.99</w:t>
            </w:r>
            <w:r w:rsidRPr="00F54F89">
              <w:rPr>
                <w:color w:val="000000"/>
                <w:sz w:val="20"/>
                <w:lang w:eastAsia="en-GB"/>
              </w:rPr>
              <w:t xml:space="preserve"> ± </w:t>
            </w:r>
            <w:r w:rsidR="00444600" w:rsidRPr="00F54F89">
              <w:rPr>
                <w:color w:val="000000"/>
                <w:sz w:val="20"/>
                <w:lang w:eastAsia="en-GB"/>
              </w:rPr>
              <w:t>28.32</w:t>
            </w:r>
          </w:p>
        </w:tc>
        <w:tc>
          <w:tcPr>
            <w:tcW w:w="1012" w:type="pct"/>
            <w:tcBorders>
              <w:top w:val="nil"/>
              <w:left w:val="nil"/>
              <w:bottom w:val="nil"/>
              <w:right w:val="nil"/>
            </w:tcBorders>
            <w:shd w:val="clear" w:color="auto" w:fill="auto"/>
            <w:noWrap/>
            <w:vAlign w:val="center"/>
            <w:hideMark/>
          </w:tcPr>
          <w:p w14:paraId="5394028B" w14:textId="3786A41F" w:rsidR="000C6856" w:rsidRPr="00F54F89" w:rsidRDefault="000C6856" w:rsidP="00AB2710">
            <w:pPr>
              <w:jc w:val="center"/>
              <w:rPr>
                <w:color w:val="000000"/>
                <w:sz w:val="20"/>
                <w:lang w:eastAsia="en-GB"/>
              </w:rPr>
            </w:pPr>
            <w:r w:rsidRPr="00F54F89">
              <w:rPr>
                <w:color w:val="000000"/>
                <w:sz w:val="20"/>
                <w:lang w:eastAsia="en-GB"/>
              </w:rPr>
              <w:t>0.</w:t>
            </w:r>
            <w:r w:rsidR="00444600" w:rsidRPr="00F54F89">
              <w:rPr>
                <w:color w:val="000000"/>
                <w:sz w:val="20"/>
                <w:lang w:eastAsia="en-GB"/>
              </w:rPr>
              <w:t>283</w:t>
            </w:r>
            <w:r w:rsidRPr="00F54F89">
              <w:rPr>
                <w:color w:val="000000"/>
                <w:sz w:val="20"/>
                <w:lang w:eastAsia="en-GB"/>
              </w:rPr>
              <w:t xml:space="preserve"> ± 0.02</w:t>
            </w:r>
          </w:p>
        </w:tc>
        <w:tc>
          <w:tcPr>
            <w:tcW w:w="1518" w:type="pct"/>
            <w:tcBorders>
              <w:top w:val="nil"/>
              <w:left w:val="nil"/>
              <w:bottom w:val="nil"/>
              <w:right w:val="nil"/>
            </w:tcBorders>
            <w:shd w:val="clear" w:color="auto" w:fill="auto"/>
            <w:noWrap/>
            <w:vAlign w:val="center"/>
            <w:hideMark/>
          </w:tcPr>
          <w:p w14:paraId="7032602A" w14:textId="45A52AEE" w:rsidR="000C6856" w:rsidRPr="00F54F89" w:rsidRDefault="000C6856" w:rsidP="00AB2710">
            <w:pPr>
              <w:jc w:val="center"/>
              <w:rPr>
                <w:color w:val="000000"/>
                <w:sz w:val="20"/>
                <w:lang w:eastAsia="en-GB"/>
              </w:rPr>
            </w:pPr>
            <w:r w:rsidRPr="00F54F89">
              <w:rPr>
                <w:color w:val="000000"/>
                <w:sz w:val="20"/>
                <w:lang w:eastAsia="en-GB"/>
              </w:rPr>
              <w:t>+2</w:t>
            </w:r>
            <w:r w:rsidR="00444600" w:rsidRPr="00F54F89">
              <w:rPr>
                <w:color w:val="000000"/>
                <w:sz w:val="20"/>
                <w:lang w:eastAsia="en-GB"/>
              </w:rPr>
              <w:t>1.11</w:t>
            </w:r>
            <w:r w:rsidRPr="00F54F89">
              <w:rPr>
                <w:color w:val="000000"/>
                <w:sz w:val="20"/>
                <w:lang w:eastAsia="en-GB"/>
              </w:rPr>
              <w:t xml:space="preserve"> ± 1.</w:t>
            </w:r>
            <w:r w:rsidR="00444600" w:rsidRPr="00F54F89">
              <w:rPr>
                <w:color w:val="000000"/>
                <w:sz w:val="20"/>
                <w:lang w:eastAsia="en-GB"/>
              </w:rPr>
              <w:t>32</w:t>
            </w:r>
          </w:p>
        </w:tc>
      </w:tr>
      <w:tr w:rsidR="000C6856" w:rsidRPr="00F54F89" w14:paraId="70FE1F2D" w14:textId="77777777" w:rsidTr="00AB2710">
        <w:trPr>
          <w:trHeight w:val="300"/>
          <w:jc w:val="center"/>
        </w:trPr>
        <w:tc>
          <w:tcPr>
            <w:tcW w:w="1090" w:type="pct"/>
            <w:tcBorders>
              <w:top w:val="nil"/>
              <w:left w:val="nil"/>
              <w:bottom w:val="nil"/>
              <w:right w:val="nil"/>
            </w:tcBorders>
            <w:shd w:val="clear" w:color="auto" w:fill="auto"/>
            <w:noWrap/>
            <w:vAlign w:val="bottom"/>
            <w:hideMark/>
          </w:tcPr>
          <w:p w14:paraId="369EE064" w14:textId="77777777" w:rsidR="000C6856" w:rsidRPr="00F54F89" w:rsidRDefault="000C6856" w:rsidP="00AB2710">
            <w:pPr>
              <w:jc w:val="center"/>
              <w:rPr>
                <w:b/>
                <w:bCs/>
                <w:color w:val="000000"/>
                <w:sz w:val="20"/>
                <w:lang w:eastAsia="en-GB"/>
              </w:rPr>
            </w:pPr>
            <w:r w:rsidRPr="00F54F89">
              <w:rPr>
                <w:b/>
                <w:bCs/>
                <w:color w:val="000000"/>
                <w:sz w:val="20"/>
                <w:lang w:eastAsia="en-GB"/>
              </w:rPr>
              <w:t>3 h (FaSSIF)</w:t>
            </w:r>
          </w:p>
        </w:tc>
        <w:tc>
          <w:tcPr>
            <w:tcW w:w="1380" w:type="pct"/>
            <w:tcBorders>
              <w:top w:val="nil"/>
              <w:left w:val="nil"/>
              <w:bottom w:val="nil"/>
              <w:right w:val="nil"/>
            </w:tcBorders>
            <w:shd w:val="clear" w:color="auto" w:fill="auto"/>
            <w:noWrap/>
            <w:vAlign w:val="center"/>
            <w:hideMark/>
          </w:tcPr>
          <w:p w14:paraId="08132F0D" w14:textId="3C054206" w:rsidR="000C6856" w:rsidRPr="00F54F89" w:rsidRDefault="000C6856" w:rsidP="00AB2710">
            <w:pPr>
              <w:jc w:val="center"/>
              <w:rPr>
                <w:color w:val="000000"/>
                <w:sz w:val="20"/>
                <w:lang w:eastAsia="en-GB"/>
              </w:rPr>
            </w:pPr>
            <w:r w:rsidRPr="00F54F89">
              <w:rPr>
                <w:color w:val="000000"/>
                <w:sz w:val="20"/>
                <w:lang w:eastAsia="en-GB"/>
              </w:rPr>
              <w:t>3</w:t>
            </w:r>
            <w:r w:rsidR="00444600" w:rsidRPr="00F54F89">
              <w:rPr>
                <w:color w:val="000000"/>
                <w:sz w:val="20"/>
                <w:lang w:eastAsia="en-GB"/>
              </w:rPr>
              <w:t>88.76</w:t>
            </w:r>
            <w:r w:rsidRPr="00F54F89">
              <w:rPr>
                <w:color w:val="000000"/>
                <w:sz w:val="20"/>
                <w:lang w:eastAsia="en-GB"/>
              </w:rPr>
              <w:t xml:space="preserve"> ± 2</w:t>
            </w:r>
            <w:r w:rsidR="00444600" w:rsidRPr="00F54F89">
              <w:rPr>
                <w:color w:val="000000"/>
                <w:sz w:val="20"/>
                <w:lang w:eastAsia="en-GB"/>
              </w:rPr>
              <w:t>4.91</w:t>
            </w:r>
          </w:p>
        </w:tc>
        <w:tc>
          <w:tcPr>
            <w:tcW w:w="1012" w:type="pct"/>
            <w:tcBorders>
              <w:top w:val="nil"/>
              <w:left w:val="nil"/>
              <w:bottom w:val="nil"/>
              <w:right w:val="nil"/>
            </w:tcBorders>
            <w:shd w:val="clear" w:color="auto" w:fill="auto"/>
            <w:noWrap/>
            <w:vAlign w:val="center"/>
            <w:hideMark/>
          </w:tcPr>
          <w:p w14:paraId="6300CD94" w14:textId="63865335" w:rsidR="000C6856" w:rsidRPr="00F54F89" w:rsidRDefault="000C6856" w:rsidP="00AB2710">
            <w:pPr>
              <w:jc w:val="center"/>
              <w:rPr>
                <w:color w:val="000000"/>
                <w:sz w:val="20"/>
                <w:lang w:eastAsia="en-GB"/>
              </w:rPr>
            </w:pPr>
            <w:r w:rsidRPr="00F54F89">
              <w:rPr>
                <w:color w:val="000000"/>
                <w:sz w:val="20"/>
                <w:lang w:eastAsia="en-GB"/>
              </w:rPr>
              <w:t>0.2</w:t>
            </w:r>
            <w:r w:rsidR="00444600" w:rsidRPr="00F54F89">
              <w:rPr>
                <w:color w:val="000000"/>
                <w:sz w:val="20"/>
                <w:lang w:eastAsia="en-GB"/>
              </w:rPr>
              <w:t>12</w:t>
            </w:r>
            <w:r w:rsidRPr="00F54F89">
              <w:rPr>
                <w:color w:val="000000"/>
                <w:sz w:val="20"/>
                <w:lang w:eastAsia="en-GB"/>
              </w:rPr>
              <w:t xml:space="preserve"> ± 0.0</w:t>
            </w:r>
            <w:r w:rsidR="00444600" w:rsidRPr="00F54F89">
              <w:rPr>
                <w:color w:val="000000"/>
                <w:sz w:val="20"/>
                <w:lang w:eastAsia="en-GB"/>
              </w:rPr>
              <w:t>2</w:t>
            </w:r>
          </w:p>
        </w:tc>
        <w:tc>
          <w:tcPr>
            <w:tcW w:w="1518" w:type="pct"/>
            <w:tcBorders>
              <w:top w:val="nil"/>
              <w:left w:val="nil"/>
              <w:bottom w:val="nil"/>
              <w:right w:val="nil"/>
            </w:tcBorders>
            <w:shd w:val="clear" w:color="auto" w:fill="auto"/>
            <w:noWrap/>
            <w:vAlign w:val="center"/>
            <w:hideMark/>
          </w:tcPr>
          <w:p w14:paraId="30DB8806" w14:textId="2BAAF663" w:rsidR="000C6856" w:rsidRPr="00F54F89" w:rsidRDefault="000C6856" w:rsidP="00AB2710">
            <w:pPr>
              <w:jc w:val="center"/>
              <w:rPr>
                <w:color w:val="000000"/>
                <w:sz w:val="20"/>
                <w:lang w:eastAsia="en-GB"/>
              </w:rPr>
            </w:pPr>
            <w:r w:rsidRPr="00F54F89">
              <w:rPr>
                <w:color w:val="000000"/>
                <w:sz w:val="20"/>
                <w:lang w:eastAsia="en-GB"/>
              </w:rPr>
              <w:t>+22.</w:t>
            </w:r>
            <w:r w:rsidR="00444600" w:rsidRPr="00F54F89">
              <w:rPr>
                <w:color w:val="000000"/>
                <w:sz w:val="20"/>
                <w:lang w:eastAsia="en-GB"/>
              </w:rPr>
              <w:t>23</w:t>
            </w:r>
            <w:r w:rsidRPr="00F54F89">
              <w:rPr>
                <w:color w:val="000000"/>
                <w:sz w:val="20"/>
                <w:lang w:eastAsia="en-GB"/>
              </w:rPr>
              <w:t xml:space="preserve"> ± 1.</w:t>
            </w:r>
            <w:r w:rsidR="00444600" w:rsidRPr="00F54F89">
              <w:rPr>
                <w:color w:val="000000"/>
                <w:sz w:val="20"/>
                <w:lang w:eastAsia="en-GB"/>
              </w:rPr>
              <w:t>65</w:t>
            </w:r>
          </w:p>
        </w:tc>
      </w:tr>
      <w:tr w:rsidR="000C6856" w:rsidRPr="00F54F89" w14:paraId="374DD6AD" w14:textId="77777777" w:rsidTr="00AB2710">
        <w:trPr>
          <w:trHeight w:val="300"/>
          <w:jc w:val="center"/>
        </w:trPr>
        <w:tc>
          <w:tcPr>
            <w:tcW w:w="1090" w:type="pct"/>
            <w:tcBorders>
              <w:top w:val="nil"/>
              <w:left w:val="nil"/>
              <w:bottom w:val="single" w:sz="4" w:space="0" w:color="auto"/>
              <w:right w:val="nil"/>
            </w:tcBorders>
            <w:shd w:val="clear" w:color="auto" w:fill="auto"/>
            <w:noWrap/>
            <w:vAlign w:val="bottom"/>
            <w:hideMark/>
          </w:tcPr>
          <w:p w14:paraId="5FFEE8BF" w14:textId="77777777" w:rsidR="000C6856" w:rsidRPr="00F54F89" w:rsidRDefault="000C6856" w:rsidP="00AB2710">
            <w:pPr>
              <w:jc w:val="center"/>
              <w:rPr>
                <w:b/>
                <w:bCs/>
                <w:color w:val="000000"/>
                <w:sz w:val="20"/>
                <w:lang w:eastAsia="en-GB"/>
              </w:rPr>
            </w:pPr>
            <w:r w:rsidRPr="00F54F89">
              <w:rPr>
                <w:b/>
                <w:bCs/>
                <w:color w:val="000000"/>
                <w:sz w:val="20"/>
                <w:lang w:eastAsia="en-GB"/>
              </w:rPr>
              <w:t>6 h (FaSSIF)</w:t>
            </w:r>
          </w:p>
        </w:tc>
        <w:tc>
          <w:tcPr>
            <w:tcW w:w="1380" w:type="pct"/>
            <w:tcBorders>
              <w:top w:val="nil"/>
              <w:left w:val="nil"/>
              <w:bottom w:val="single" w:sz="4" w:space="0" w:color="auto"/>
              <w:right w:val="nil"/>
            </w:tcBorders>
            <w:shd w:val="clear" w:color="auto" w:fill="auto"/>
            <w:noWrap/>
            <w:vAlign w:val="center"/>
            <w:hideMark/>
          </w:tcPr>
          <w:p w14:paraId="5133DAB3" w14:textId="4E3EB547" w:rsidR="000C6856" w:rsidRPr="00F54F89" w:rsidRDefault="000C6856" w:rsidP="00AB2710">
            <w:pPr>
              <w:jc w:val="center"/>
              <w:rPr>
                <w:color w:val="000000"/>
                <w:sz w:val="20"/>
                <w:lang w:eastAsia="en-GB"/>
              </w:rPr>
            </w:pPr>
            <w:r w:rsidRPr="00F54F89">
              <w:rPr>
                <w:color w:val="000000"/>
                <w:sz w:val="20"/>
                <w:lang w:eastAsia="en-GB"/>
              </w:rPr>
              <w:t>3</w:t>
            </w:r>
            <w:r w:rsidR="00444600" w:rsidRPr="00F54F89">
              <w:rPr>
                <w:color w:val="000000"/>
                <w:sz w:val="20"/>
                <w:lang w:eastAsia="en-GB"/>
              </w:rPr>
              <w:t>82.03</w:t>
            </w:r>
            <w:r w:rsidRPr="00F54F89">
              <w:rPr>
                <w:color w:val="000000"/>
                <w:sz w:val="20"/>
                <w:lang w:eastAsia="en-GB"/>
              </w:rPr>
              <w:t xml:space="preserve"> ± 2</w:t>
            </w:r>
            <w:r w:rsidR="00444600" w:rsidRPr="00F54F89">
              <w:rPr>
                <w:color w:val="000000"/>
                <w:sz w:val="20"/>
                <w:lang w:eastAsia="en-GB"/>
              </w:rPr>
              <w:t>1.32</w:t>
            </w:r>
          </w:p>
        </w:tc>
        <w:tc>
          <w:tcPr>
            <w:tcW w:w="1012" w:type="pct"/>
            <w:tcBorders>
              <w:top w:val="nil"/>
              <w:left w:val="nil"/>
              <w:bottom w:val="single" w:sz="4" w:space="0" w:color="auto"/>
              <w:right w:val="nil"/>
            </w:tcBorders>
            <w:shd w:val="clear" w:color="auto" w:fill="auto"/>
            <w:noWrap/>
            <w:vAlign w:val="center"/>
            <w:hideMark/>
          </w:tcPr>
          <w:p w14:paraId="4D59F3C5" w14:textId="66E11ABA" w:rsidR="000C6856" w:rsidRPr="00F54F89" w:rsidRDefault="000C6856" w:rsidP="00AB2710">
            <w:pPr>
              <w:jc w:val="center"/>
              <w:rPr>
                <w:color w:val="000000"/>
                <w:sz w:val="20"/>
                <w:lang w:eastAsia="en-GB"/>
              </w:rPr>
            </w:pPr>
            <w:r w:rsidRPr="00F54F89">
              <w:rPr>
                <w:color w:val="000000"/>
                <w:sz w:val="20"/>
                <w:lang w:eastAsia="en-GB"/>
              </w:rPr>
              <w:t>0.</w:t>
            </w:r>
            <w:r w:rsidR="00444600" w:rsidRPr="00F54F89">
              <w:rPr>
                <w:color w:val="000000"/>
                <w:sz w:val="20"/>
                <w:lang w:eastAsia="en-GB"/>
              </w:rPr>
              <w:t>277</w:t>
            </w:r>
            <w:r w:rsidRPr="00F54F89">
              <w:rPr>
                <w:color w:val="000000"/>
                <w:sz w:val="20"/>
                <w:lang w:eastAsia="en-GB"/>
              </w:rPr>
              <w:t xml:space="preserve"> ± 0.02</w:t>
            </w:r>
          </w:p>
        </w:tc>
        <w:tc>
          <w:tcPr>
            <w:tcW w:w="1518" w:type="pct"/>
            <w:tcBorders>
              <w:top w:val="nil"/>
              <w:left w:val="nil"/>
              <w:bottom w:val="single" w:sz="4" w:space="0" w:color="auto"/>
              <w:right w:val="nil"/>
            </w:tcBorders>
            <w:shd w:val="clear" w:color="auto" w:fill="auto"/>
            <w:noWrap/>
            <w:vAlign w:val="center"/>
            <w:hideMark/>
          </w:tcPr>
          <w:p w14:paraId="0EE9B83E" w14:textId="3C523979" w:rsidR="000C6856" w:rsidRPr="00F54F89" w:rsidRDefault="000C6856" w:rsidP="00AB2710">
            <w:pPr>
              <w:jc w:val="center"/>
              <w:rPr>
                <w:color w:val="000000"/>
                <w:sz w:val="20"/>
                <w:lang w:eastAsia="en-GB"/>
              </w:rPr>
            </w:pPr>
            <w:r w:rsidRPr="00F54F89">
              <w:rPr>
                <w:color w:val="000000"/>
                <w:sz w:val="20"/>
                <w:lang w:eastAsia="en-GB"/>
              </w:rPr>
              <w:t>+2</w:t>
            </w:r>
            <w:r w:rsidR="00444600" w:rsidRPr="00F54F89">
              <w:rPr>
                <w:color w:val="000000"/>
                <w:sz w:val="20"/>
                <w:lang w:eastAsia="en-GB"/>
              </w:rPr>
              <w:t>1.03</w:t>
            </w:r>
            <w:r w:rsidRPr="00F54F89">
              <w:rPr>
                <w:color w:val="000000"/>
                <w:sz w:val="20"/>
                <w:lang w:eastAsia="en-GB"/>
              </w:rPr>
              <w:t xml:space="preserve"> ± 1.</w:t>
            </w:r>
            <w:r w:rsidR="00444600" w:rsidRPr="00F54F89">
              <w:rPr>
                <w:color w:val="000000"/>
                <w:sz w:val="20"/>
                <w:lang w:eastAsia="en-GB"/>
              </w:rPr>
              <w:t>76</w:t>
            </w:r>
          </w:p>
        </w:tc>
      </w:tr>
    </w:tbl>
    <w:p w14:paraId="40316E82" w14:textId="77777777" w:rsidR="000C6856" w:rsidRPr="00F54F89" w:rsidRDefault="000C6856" w:rsidP="000C6856"/>
    <w:p w14:paraId="43694BE4" w14:textId="54A3B646" w:rsidR="000C6856" w:rsidRPr="00F54F89" w:rsidRDefault="000C6856" w:rsidP="000C6856">
      <w:pPr>
        <w:spacing w:line="360" w:lineRule="auto"/>
        <w:jc w:val="both"/>
      </w:pPr>
      <w:r w:rsidRPr="00F54F89">
        <w:t xml:space="preserve">The results presented here reflect that phytosome formulations of F3 could potentially sustain their original physical properties and homogenous dispersion stability post-incubation in different biorelevant media, indicating excellent physical stability. </w:t>
      </w:r>
      <w:r w:rsidR="00DE42C1" w:rsidRPr="00F54F89">
        <w:t>E</w:t>
      </w:r>
      <w:r w:rsidRPr="00F54F89">
        <w:t xml:space="preserve">xamination of the results showed that phytosome possessed a positive zeta potential in acidic FaSSGF medium (˜20 mV) and a lower negative zeta potential in FaSSIF and FeSSIF (˜ −15 mV). These shifts in the vesicular zeta potential might be described due to the double charge of PC used in this study, namely negative charge from phosphate group and positive charge from choline molecule </w:t>
      </w:r>
      <w:r w:rsidRPr="00F54F89">
        <w:fldChar w:fldCharType="begin" w:fldLock="1"/>
      </w:r>
      <w:r w:rsidR="007D0946" w:rsidRPr="00F54F89">
        <w:instrText>ADDIN CSL_CITATION {"citationItems":[{"id":"ITEM-1","itemData":{"ISSN":"11769114","abstract":"Diosmin (DSN) is an outstanding phlebotonic flavonoid with a tolerable potential for the treatment of colon and hepatocellular carcinoma. Being highly insoluble, DSN bioavailability suffers from high inter-subject variation due to variable degrees of permeation. This work endeavored to develop novel DSN loaded phytosomes in order to improve drug dissolution and intestinal permeability. Three preparation methods (solvent evaporation, salting out, and lyophilization) were compared. Nanocarrier optimization encompassed different soybean phospholipid (SPC) types, different solvents, and different DSN:SPC molar ratios (1:1, 1:2, and 1:4). In vitro appraisal encompassed differential scanning calorimetry, infrared spectroscopy, particle size, zeta potential, polydispersity index, transmission electron microscopy, drug content, and in vitro stability. Comparative dissolution studies were performed under sink versus non-sink conditions. Ex vivo intestinal permeation studies were performed on rats utilizing noneverted sac technique and high-performance liquid chromatography analysis. The results revealed lyophilization as the optimum preparation technique using SPC and solvent mixture (Dimethyl sulphoxide:t-butylalchol) in a 1:2 ratio. Complex formation was contended by differential scanning calorimetry and infrared data. Optimal lyophilized phytosomal nanocarriers (LPNs) exhibited the lowest particle size (316 nm), adequate zeta-potential (-27 mV), and good in vitro stability. Well formed, discrete vesicles were revealed by transmission electron microscopy, drug content, and in vitro stability. Comparative dissolution studies were performed. LPNs demonstrated significant enhancement in DSN dissolution compared to crude drug, physical mixture, and generic and brand DSN products. Permeation studies revealed 80% DSN permeated from LPNs via oxygenated rat intestine compared to non-detectable amounts from suspension. In this study, LPNs (99% drug loading) could be successfully tailored for DSN with improved dissolution and permeation characteristics, which is promising for lowering the influence of exogenous factors and increasing drug delivery. © 2013 Freag et al, publisher and licensee Dove Medical Press Ltd.","author":[{"dropping-particle":"","family":"Freag","given":"May S.","non-dropping-particle":"","parse-names":false,"suffix":""},{"dropping-particle":"","family":"Elnaggar","given":"Yosra S R","non-dropping-particle":"","parse-names":false,"suffix":""},{"dropping-particle":"","family":"Abdallah","given":"Ossama Y.","non-dropping-particle":"","parse-names":false,"suffix":""}],"container-title":"International Journal of Nanomedicine","id":"ITEM-1","issued":{"date-parts":[["2013"]]},"page":"2385-2397","title":"Lyophilized phytosomal nanocarriers as platforms for enhanced diosmin delivery: Optimization and ex vivo permeation","type":"article-journal","volume":"8"},"uris":["http://www.mendeley.com/documents/?uuid=6705e9ea-f8bf-43e7-a58f-b13a5367d036"]}],"mendeley":{"formattedCitation":"[30]","plainTextFormattedCitation":"[30]","previouslyFormattedCitation":"[30]"},"properties":{"noteIndex":0},"schema":"https://github.com/citation-style-language/schema/raw/master/csl-citation.json"}</w:instrText>
      </w:r>
      <w:r w:rsidRPr="00F54F89">
        <w:fldChar w:fldCharType="separate"/>
      </w:r>
      <w:r w:rsidR="007D0946" w:rsidRPr="00F54F89">
        <w:rPr>
          <w:noProof/>
        </w:rPr>
        <w:t>[30]</w:t>
      </w:r>
      <w:r w:rsidRPr="00F54F89">
        <w:fldChar w:fldCharType="end"/>
      </w:r>
      <w:r w:rsidRPr="00F54F89">
        <w:t>. Acidic FaSSGF medium is deemed to neutralize the negativity of phosphate oxygen leading to the predomination of a positive charge. In contrast, a slightly higher pH of FaSSIF and FeSSIF is deemed to neutralize positive charge of choline, resulting in negative charge of phytosome vesicles. Lower negative value of FaSSIF and FeSSIF in comparison with the initial zeta potential of phytosome in water may be caused by the common ion effect of the PO</w:t>
      </w:r>
      <w:r w:rsidRPr="00F54F89">
        <w:rPr>
          <w:vertAlign w:val="subscript"/>
        </w:rPr>
        <w:t>4</w:t>
      </w:r>
      <w:r w:rsidRPr="00F54F89">
        <w:t xml:space="preserve"> group on PC, resulting in the suppression of negative charge. However, this low zeta potential value was able to maintain initial physical stability of the phytosome during the time required in the gastrointestinal tract without showing any particle aggregation and precipitation. In addition, the zeta potential analysis results imply that the phytosome does not need relative high repulsion forces for stabili</w:t>
      </w:r>
      <w:r w:rsidR="00CE3FB2" w:rsidRPr="00F54F89">
        <w:t>sation</w:t>
      </w:r>
      <w:r w:rsidRPr="00F54F89">
        <w:t xml:space="preserve"> because of trivial need for the liquid state on shelf </w:t>
      </w:r>
      <w:r w:rsidRPr="00F54F89">
        <w:fldChar w:fldCharType="begin" w:fldLock="1"/>
      </w:r>
      <w:r w:rsidR="007D0946" w:rsidRPr="00F54F89">
        <w:instrText>ADDIN CSL_CITATION {"citationItems":[{"id":"ITEM-1","itemData":{"ISSN":"11769114","abstract":"Raloxifene hydrochloride (RLX) is a selective estrogen-receptor modulator for treatment of osteoporosis and prevention of breast and endometrial cancer. By virtue of extensive presystemic clearance, RLX bioavailability is only 2%. The current study aimed to tailor and characterize RLX-loaded self-nanoemulsifying drug-delivery systems (SNEDDS) using bioactive excipients affecting drug metabolism. The potential of oral nanocarriers to enhance RLX delivery to endocrine target organs was assessed in fasted and fed female Wistar rats using high-performance liquid chromatography. RLX was loaded in the dissolved and dispersed status in the alkalinized (A-SNEDDS) and nonalkalinized (NA-SNEDDS) systems, respectively. Optimization and assessment relied on solubility studies, emulsification efficiency, phase diagrams, dilution robustness, cloud point, particle size, zeta potential (ZP), polydispersity index (PDI), and transmission electron microscopy. In vitro release was assessed using dialysis bag versus dissolution cup methods. NA-SNEDDS were developed with suitable globule size (38.49 ± 4.30 nm), ZP (31.70 ± 3.58 mV), PDI (0.31 ± 0.02), and cloud point (85°C). A-SNEDDS exhibited good globule size (35 ± 2.80 nm), adequate PDI (0.28 ± 0.06), and lower ZP magnitude (-21.20 ± 3.46 mV). Transmission electron microscopy revealed spherical globules and contended data of size analysis. Release studies demonstrated a nonsignificant enhancement of RLX release from NA-SNEDDS compared to drug suspension with the lowest release shown by A-SNEDDS. A conflicting result was elucidated from in vivo trial. A significant enhancement in RLX uptake by endocrine organs was observed after nanocarrier administration compared to RLX suspension. In vivo studies reflected a poor in vitro/in vivo correlation, recommended nanocarrier administration before meals, and did not reveal any advantage for drug loading in the solubilized form (A-SNEDDS). To conclude, NA-SNEDDS possessed superior in vitro characteristics to A-SNEDDS, with equal in vivo potential. NA-SNEDDS elaborated in this work could successfully double RLX delivery to endocrine target organs, with promising consequences of lower dose and side effects of the drug. © 2012 Elsheikh et al, publisher and licensee Dove Medical Press Ltd.","author":[{"dropping-particle":"","family":"Elsheikh","given":"Manal A.","non-dropping-particle":"","parse-names":false,"suffix":""},{"dropping-particle":"","family":"Elnaggar","given":"Yosra S.R.","non-dropping-particle":"","parse-names":false,"suffix":""},{"dropping-particle":"","family":"Gohar","given":"Eman Y.","non-dropping-particle":"","parse-names":false,"suffix":""},{"dropping-particle":"","family":"Abdallah","given":"Ossama Y.","non-dropping-particle":"","parse-names":false,"suffix":""}],"container-title":"International Journal of Nanomedicine","id":"ITEM-1","issued":{"date-parts":[["2012"]]},"page":"3787-3802","title":"Nanoemulsion liquid preconcentrates for raloxifene hydrochloride: Optimization and in vivo appraisal","type":"article-journal","volume":"7"},"uris":["http://www.mendeley.com/documents/?uuid=b9f6e589-ddfb-446d-8371-4aa0354c85da"]}],"mendeley":{"formattedCitation":"[67]","plainTextFormattedCitation":"[67]","previouslyFormattedCitation":"[67]"},"properties":{"noteIndex":0},"schema":"https://github.com/citation-style-language/schema/raw/master/csl-citation.json"}</w:instrText>
      </w:r>
      <w:r w:rsidRPr="00F54F89">
        <w:fldChar w:fldCharType="separate"/>
      </w:r>
      <w:r w:rsidR="007D0946" w:rsidRPr="00F54F89">
        <w:rPr>
          <w:noProof/>
        </w:rPr>
        <w:t>[67]</w:t>
      </w:r>
      <w:r w:rsidRPr="00F54F89">
        <w:fldChar w:fldCharType="end"/>
      </w:r>
      <w:r w:rsidRPr="00F54F89">
        <w:t xml:space="preserve">. </w:t>
      </w:r>
    </w:p>
    <w:p w14:paraId="78C569F8" w14:textId="77777777" w:rsidR="000B499B" w:rsidRPr="00F54F89" w:rsidRDefault="000B499B" w:rsidP="000C6856">
      <w:pPr>
        <w:spacing w:after="240" w:line="360" w:lineRule="auto"/>
        <w:jc w:val="both"/>
        <w:rPr>
          <w:i/>
        </w:rPr>
      </w:pPr>
    </w:p>
    <w:p w14:paraId="39913B6D" w14:textId="13CB493D" w:rsidR="000C6856" w:rsidRPr="00F54F89" w:rsidRDefault="00F606FB" w:rsidP="000C6856">
      <w:pPr>
        <w:spacing w:after="240" w:line="360" w:lineRule="auto"/>
        <w:jc w:val="both"/>
        <w:rPr>
          <w:i/>
        </w:rPr>
      </w:pPr>
      <w:r w:rsidRPr="00F54F89">
        <w:rPr>
          <w:i/>
        </w:rPr>
        <w:lastRenderedPageBreak/>
        <w:t xml:space="preserve">3.11. </w:t>
      </w:r>
      <w:r w:rsidR="000C6856" w:rsidRPr="00F54F89">
        <w:rPr>
          <w:i/>
        </w:rPr>
        <w:t>Characteri</w:t>
      </w:r>
      <w:r w:rsidR="00CE3FB2" w:rsidRPr="00F54F89">
        <w:rPr>
          <w:i/>
        </w:rPr>
        <w:t>sation</w:t>
      </w:r>
      <w:r w:rsidR="000C6856" w:rsidRPr="00F54F89">
        <w:rPr>
          <w:i/>
        </w:rPr>
        <w:t xml:space="preserve"> of phytosomal hydrogel</w:t>
      </w:r>
    </w:p>
    <w:p w14:paraId="13A19706" w14:textId="77777777" w:rsidR="000C6856" w:rsidRPr="00F54F89" w:rsidRDefault="00F606FB" w:rsidP="000C6856">
      <w:pPr>
        <w:spacing w:after="240" w:line="360" w:lineRule="auto"/>
        <w:jc w:val="both"/>
        <w:rPr>
          <w:i/>
        </w:rPr>
      </w:pPr>
      <w:r w:rsidRPr="00F54F89">
        <w:rPr>
          <w:i/>
        </w:rPr>
        <w:t xml:space="preserve">3.11.1. </w:t>
      </w:r>
      <w:r w:rsidR="000C6856" w:rsidRPr="00F54F89">
        <w:rPr>
          <w:i/>
        </w:rPr>
        <w:t>Drug uniformity content and pH</w:t>
      </w:r>
    </w:p>
    <w:p w14:paraId="392B6D2A" w14:textId="6BBD3151" w:rsidR="000C6856" w:rsidRPr="00F54F89" w:rsidRDefault="000C6856" w:rsidP="000C6856">
      <w:pPr>
        <w:spacing w:after="240" w:line="360" w:lineRule="auto"/>
        <w:jc w:val="both"/>
      </w:pPr>
      <w:r w:rsidRPr="00F54F89">
        <w:t>Uniformity content assay of three main compounds of PE in the formulation was carried out to evaluate the effect of the formulation process on the distribution of compounds in the final products. The results exhibited that the recover</w:t>
      </w:r>
      <w:r w:rsidR="00444600" w:rsidRPr="00F54F89">
        <w:t>ies</w:t>
      </w:r>
      <w:r w:rsidRPr="00F54F89">
        <w:t xml:space="preserve"> of analytes were found to be between 98.43 ± 1.43% and 99.03 ± 1.87% for CA, 97.98 ± 1.76% and 100.32 ± 2.09% for QU and 98.67 ± 1.32 and 99.98 ± 2.01% for KP. This implies that the formulation process did not affect the recovery and homogeneity of all compounds in the hydrogel. In terms of pH of the formulation, the pH of blank hydrogel was found to be 6.54 ± 0.05. Moreover, the pH of PEP-loaded hydrogel was in the range of 5.19 ± 0.04 – 5.32 ± 0.03. The final pH of the formulations was in t</w:t>
      </w:r>
      <w:r w:rsidR="005E0336" w:rsidRPr="00F54F89">
        <w:t xml:space="preserve">he range of skin pH which is 5 </w:t>
      </w:r>
      <w:r w:rsidRPr="00F54F89">
        <w:t xml:space="preserve">to 6 </w:t>
      </w:r>
      <w:r w:rsidRPr="00F54F89">
        <w:fldChar w:fldCharType="begin" w:fldLock="1"/>
      </w:r>
      <w:r w:rsidR="007D0946" w:rsidRPr="00F54F89">
        <w:instrText>ADDIN CSL_CITATION {"citationItems":[{"id":"ITEM-1","itemData":{"ISSN":"21680485","abstract":"In this work, the possibility of using derivatives of alkyl polyglucosides for the production of mild, ecological, and sustainable cosmetics products was analyzed.","author":[{"dropping-particle":"","family":"Seweryn","given":"Artur","non-dropping-particle":"","parse-names":false,"suffix":""},{"dropping-particle":"","family":"Bujak","given":"Tomasz","non-dropping-particle":"","parse-names":false,"suffix":""}],"container-title":"ACS Sustainable Chemistry and Engineering","genre":"research-article","id":"ITEM-1","issue":"12","issued":{"date-parts":[["2018"]]},"page":"17294-17301","publisher":"American Chemical Society","title":"Application of Anionic Phosphorus Derivatives of Alkyl Polyglucosides for the Production of Sustainable and Mild Body Wash Cosmetics","type":"article-journal","volume":"6"},"uris":["http://www.mendeley.com/documents/?uuid=d743ed3b-10b5-4127-9a51-3f1cfb08b272"]}],"mendeley":{"formattedCitation":"[68]","plainTextFormattedCitation":"[68]","previouslyFormattedCitation":"[68]"},"properties":{"noteIndex":0},"schema":"https://github.com/citation-style-language/schema/raw/master/csl-citation.json"}</w:instrText>
      </w:r>
      <w:r w:rsidRPr="00F54F89">
        <w:fldChar w:fldCharType="separate"/>
      </w:r>
      <w:r w:rsidR="007D0946" w:rsidRPr="00F54F89">
        <w:rPr>
          <w:noProof/>
        </w:rPr>
        <w:t>[68]</w:t>
      </w:r>
      <w:r w:rsidRPr="00F54F89">
        <w:fldChar w:fldCharType="end"/>
      </w:r>
      <w:r w:rsidRPr="00F54F89">
        <w:t xml:space="preserve">, indicating the tolerability of the formulation to the skin. </w:t>
      </w:r>
    </w:p>
    <w:p w14:paraId="5207AFA3" w14:textId="77777777" w:rsidR="000C6856" w:rsidRPr="00F54F89" w:rsidRDefault="00F606FB" w:rsidP="000C6856">
      <w:pPr>
        <w:spacing w:after="240" w:line="360" w:lineRule="auto"/>
        <w:jc w:val="both"/>
        <w:rPr>
          <w:i/>
        </w:rPr>
      </w:pPr>
      <w:r w:rsidRPr="00F54F89">
        <w:rPr>
          <w:i/>
        </w:rPr>
        <w:t xml:space="preserve">3.11.2. </w:t>
      </w:r>
      <w:r w:rsidR="000C6856" w:rsidRPr="00F54F89">
        <w:rPr>
          <w:i/>
        </w:rPr>
        <w:t>Spreadability</w:t>
      </w:r>
    </w:p>
    <w:p w14:paraId="0BE9CFB8" w14:textId="1CF6C00D" w:rsidR="000C6856" w:rsidRPr="00F54F89" w:rsidRDefault="000C6856" w:rsidP="000C6856">
      <w:pPr>
        <w:spacing w:after="240" w:line="360" w:lineRule="auto"/>
        <w:jc w:val="both"/>
        <w:rPr>
          <w:b/>
        </w:rPr>
      </w:pPr>
      <w:r w:rsidRPr="00F54F89">
        <w:t xml:space="preserve">Spreadability is </w:t>
      </w:r>
      <w:r w:rsidR="00E40D5F" w:rsidRPr="00F54F89">
        <w:t>one of the</w:t>
      </w:r>
      <w:r w:rsidRPr="00F54F89">
        <w:t xml:space="preserve"> essential characteristic</w:t>
      </w:r>
      <w:r w:rsidR="00E40D5F" w:rsidRPr="00F54F89">
        <w:t>s</w:t>
      </w:r>
      <w:r w:rsidRPr="00F54F89">
        <w:t xml:space="preserve"> of hydrogel formulation related to customer compliance. Administration of hydrogel</w:t>
      </w:r>
      <w:r w:rsidR="00DE42C1" w:rsidRPr="00F54F89">
        <w:t>s</w:t>
      </w:r>
      <w:r w:rsidRPr="00F54F89">
        <w:t xml:space="preserve"> to</w:t>
      </w:r>
      <w:r w:rsidR="00DE42C1" w:rsidRPr="00F54F89">
        <w:t xml:space="preserve"> the</w:t>
      </w:r>
      <w:r w:rsidRPr="00F54F89">
        <w:t xml:space="preserve"> skin is more comfortable</w:t>
      </w:r>
      <w:r w:rsidR="00DE42C1" w:rsidRPr="00F54F89">
        <w:t xml:space="preserve"> for patients</w:t>
      </w:r>
      <w:r w:rsidRPr="00F54F89">
        <w:t xml:space="preserve"> if the gel exhibit</w:t>
      </w:r>
      <w:r w:rsidR="00DE42C1" w:rsidRPr="00F54F89">
        <w:t>s</w:t>
      </w:r>
      <w:r w:rsidRPr="00F54F89">
        <w:t xml:space="preserve"> sufficient spreadability </w:t>
      </w:r>
      <w:r w:rsidRPr="00F54F89">
        <w:fldChar w:fldCharType="begin" w:fldLock="1"/>
      </w:r>
      <w:r w:rsidR="007D0946" w:rsidRPr="00F54F89">
        <w:instrText>ADDIN CSL_CITATION {"citationItems":[{"id":"ITEM-1","itemData":{"ISSN":"17732247","abstract":"The study is designed to formulate, optimize and evaluate Azelaic acid loaded nano-structured lipid carrier (NLCs) with an aim to enhance its skin targeting, retention, and achieve sustained release with reduced drug related side effects. NLCs were formulated by melt emulsification and ultra-sonication technique and optimized employing 33 full factorial design taking lipid:drug ratio, surfactant concentration and sonication time as independent variables with particle size (PS) and entrapment efficiency (EE) as dependent variables. The optimized formulation (F23) exhibited spherical surfaced stable nano particles of 49.6 ± 1.24 nm size and 83.4 ± 2.14% EE. Formulation F23 was then incorporate to aloe-vera based carbopol gel and evaluated for its physiological properties, drug content, in-vitro release and skin distribution (fluorescent microscopy) analysis. The gel was found to be non-irritating, homogenous, with optimum moisture content, spreadability and occlusivity. In-vitro permeation studies showed NLC preparation to markedly enhance the dug's skin retention in comparison to drug suspended in gel and marketed preparation. The skin distribution studies employing rhodamine 6G further confirmed the permeation of NLCs to the deeper layers of skin. The experimental findings suggested that NLCs could serve as a promising carrier for site specific targeting with better skin retention abilities.","author":[{"dropping-particle":"","family":"Malik","given":"Deepinder Singh","non-dropping-particle":"","parse-names":false,"suffix":""},{"dropping-particle":"","family":"Kaur","given":"Gurpreet","non-dropping-particle":"","parse-names":false,"suffix":""}],"container-title":"Journal of Drug Delivery Science and Technology","id":"ITEM-1","issue":"April","issued":{"date-parts":[["2018"]]},"page":"123-136","publisher":"Elsevier","title":"Nanostructured gel for topical delivery of azelaic acid: Designing, characterization, and in-vitro evaluation","type":"article-journal","volume":"47"},"uris":["http://www.mendeley.com/documents/?uuid=87b3d75d-a5a2-4195-86a1-1c2707ff3e8f"]},{"id":"ITEM-2","itemData":{"ISSN":"13190164","abstract":"In the present work attempts have been made to prepare the nanostructured lipid carrier (NLC) gel, by using minoxidil, which is preferably used in case of Alopecia, i.e. baldness pattern as a effective drug. The nine different formulations of Minoxidil-NLC (NLC1-NLC9) were prepared using solid and liquid lipids with Cholesterol and Soya lecithin in different concentrations by the melt dispersion ultrasonication method. Properties of NLC1-NLC9 such as the particle size and its distribution, the scanning electron microscopy (SEM), the drug entrapment efficiency (EE), and the drug release behavior were investigated. The nanoparticulate dispersion was suitably gelled and characterized with respect to drug content, pH, spreadability, rheology, and in vitro release. Safety of the NLC-based gel was assessed using primary skin irritation studies. The formulated NLC3 was spherical in shape, with average particle size of 280. nm, zeta potential of -42.40. mV and entrapment efficiency of 86.09%. Differential Scanning Calorimeter (DSC) measurements revealed that imperfect crystallization occurred in the inner core of the NLC particles. The drug release behavior from the NLC displayed a biphasic drug release pattern with burst release at the initial stage followed by sustained release. These results indicated that the NLC3 is a suitable carrier of minoxidil with improved drug loading capacity and controlled drug release properties. It has been observed that NLC gel produces the gel with good consistency, homogeneity, spreadability and rheological behavior. The developed NLC-based gel showed faster onset and elicited prolonged activity up to 16. h. The present study concluded that the NLC-based gel containing minoxidil dissolved in a mixture of solid lipid and liquid lipid in the nanoparticulate form helped us to attain the objective of faster onset yet prolonged action as evident from in vitro release. © 2012.","author":[{"dropping-particle":"","family":"Uprit","given":"Shubham","non-dropping-particle":"","parse-names":false,"suffix":""},{"dropping-particle":"","family":"Kumar Sahu","given":"Ram","non-dropping-particle":"","parse-names":false,"suffix":""},{"dropping-particle":"","family":"Roy","given":"Amit","non-dropping-particle":"","parse-names":false,"suffix":""},{"dropping-particle":"","family":"Pare","given":"Aniruddha","non-dropping-particle":"","parse-names":false,"suffix":""}],"container-title":"Saudi Pharmaceutical Journal","id":"ITEM-2","issue":"4","issued":{"date-parts":[["2013"]]},"page":"379-385","publisher":"King Saud University","title":"Preparation and characterization of minoxidil loaded nanostructured lipid carrier gel for effective treatment of alopecia","type":"article-journal","volume":"21"},"uris":["http://www.mendeley.com/documents/?uuid=e07a5261-18bd-4bf2-81e3-2853d5abc9d0"]}],"mendeley":{"formattedCitation":"[19,44]","plainTextFormattedCitation":"[19,44]","previouslyFormattedCitation":"[19,44]"},"properties":{"noteIndex":0},"schema":"https://github.com/citation-style-language/schema/raw/master/csl-citation.json"}</w:instrText>
      </w:r>
      <w:r w:rsidRPr="00F54F89">
        <w:fldChar w:fldCharType="separate"/>
      </w:r>
      <w:r w:rsidR="007D0946" w:rsidRPr="00F54F89">
        <w:rPr>
          <w:noProof/>
        </w:rPr>
        <w:t>[19,44]</w:t>
      </w:r>
      <w:r w:rsidRPr="00F54F89">
        <w:fldChar w:fldCharType="end"/>
      </w:r>
      <w:r w:rsidRPr="00F54F89">
        <w:t>. Figure 8A shows the spreadability of control formulation in comparison with the PEP-loaded hydrogel. The results showed that the incorporation PEP into hydrogel formulation did not change (</w:t>
      </w:r>
      <w:r w:rsidRPr="00F54F89">
        <w:rPr>
          <w:i/>
        </w:rPr>
        <w:t>p</w:t>
      </w:r>
      <w:r w:rsidRPr="00F54F89">
        <w:t xml:space="preserve"> &gt; 0.05) the spreadability of the final products.</w:t>
      </w:r>
    </w:p>
    <w:p w14:paraId="23D26E9B" w14:textId="7113DD2A" w:rsidR="000C6856" w:rsidRPr="00F54F89" w:rsidRDefault="00F606FB" w:rsidP="000C6856">
      <w:pPr>
        <w:spacing w:after="240" w:line="360" w:lineRule="auto"/>
        <w:jc w:val="both"/>
        <w:rPr>
          <w:i/>
        </w:rPr>
      </w:pPr>
      <w:r w:rsidRPr="00F54F89">
        <w:rPr>
          <w:i/>
        </w:rPr>
        <w:t xml:space="preserve">3.11.3. </w:t>
      </w:r>
      <w:r w:rsidR="00DF6C95" w:rsidRPr="00F54F89">
        <w:rPr>
          <w:i/>
        </w:rPr>
        <w:t>In vitro</w:t>
      </w:r>
      <w:r w:rsidR="000C6856" w:rsidRPr="00F54F89">
        <w:rPr>
          <w:i/>
        </w:rPr>
        <w:t xml:space="preserve"> skin occlusivity evaluation</w:t>
      </w:r>
    </w:p>
    <w:p w14:paraId="5AEA02F4" w14:textId="67B15364" w:rsidR="000C6856" w:rsidRPr="00F54F89" w:rsidRDefault="000C6856" w:rsidP="000C6856">
      <w:pPr>
        <w:spacing w:after="240" w:line="360" w:lineRule="auto"/>
        <w:jc w:val="both"/>
      </w:pPr>
      <w:r w:rsidRPr="00F54F89">
        <w:t xml:space="preserve">Skin occlusivity evaluation was carried out </w:t>
      </w:r>
      <w:r w:rsidR="00DF6C95" w:rsidRPr="00F54F89">
        <w:rPr>
          <w:i/>
        </w:rPr>
        <w:t>in vitro</w:t>
      </w:r>
      <w:r w:rsidRPr="00F54F89">
        <w:rPr>
          <w:i/>
        </w:rPr>
        <w:t xml:space="preserve"> </w:t>
      </w:r>
      <w:r w:rsidRPr="00F54F89">
        <w:t xml:space="preserve">to predict the ability of the formulation to maintain the hydration characteristic of the skin </w:t>
      </w:r>
      <w:r w:rsidRPr="00F54F89">
        <w:fldChar w:fldCharType="begin" w:fldLock="1"/>
      </w:r>
      <w:r w:rsidR="007D0946" w:rsidRPr="00F54F89">
        <w:instrText>ADDIN CSL_CITATION {"citationItems":[{"id":"ITEM-1","itemData":{"ISSN":"17732247","abstract":"The study is designed to formulate, optimize and evaluate Azelaic acid loaded nano-structured lipid carrier (NLCs) with an aim to enhance its skin targeting, retention, and achieve sustained release with reduced drug related side effects. NLCs were formulated by melt emulsification and ultra-sonication technique and optimized employing 33 full factorial design taking lipid:drug ratio, surfactant concentration and sonication time as independent variables with particle size (PS) and entrapment efficiency (EE) as dependent variables. The optimized formulation (F23) exhibited spherical surfaced stable nano particles of 49.6 ± 1.24 nm size and 83.4 ± 2.14% EE. Formulation F23 was then incorporate to aloe-vera based carbopol gel and evaluated for its physiological properties, drug content, in-vitro release and skin distribution (fluorescent microscopy) analysis. The gel was found to be non-irritating, homogenous, with optimum moisture content, spreadability and occlusivity. In-vitro permeation studies showed NLC preparation to markedly enhance the dug's skin retention in comparison to drug suspended in gel and marketed preparation. The skin distribution studies employing rhodamine 6G further confirmed the permeation of NLCs to the deeper layers of skin. The experimental findings suggested that NLCs could serve as a promising carrier for site specific targeting with better skin retention abilities.","author":[{"dropping-particle":"","family":"Malik","given":"Deepinder Singh","non-dropping-particle":"","parse-names":false,"suffix":""},{"dropping-particle":"","family":"Kaur","given":"Gurpreet","non-dropping-particle":"","parse-names":false,"suffix":""}],"container-title":"Journal of Drug Delivery Science and Technology","id":"ITEM-1","issue":"April","issued":{"date-parts":[["2018"]]},"page":"123-136","publisher":"Elsevier","title":"Nanostructured gel for topical delivery of azelaic acid: Designing, characterization, and in-vitro evaluation","type":"article-journal","volume":"47"},"uris":["http://www.mendeley.com/documents/?uuid=87b3d75d-a5a2-4195-86a1-1c2707ff3e8f"]}],"mendeley":{"formattedCitation":"[44]","plainTextFormattedCitation":"[44]","previouslyFormattedCitation":"[44]"},"properties":{"noteIndex":0},"schema":"https://github.com/citation-style-language/schema/raw/master/csl-citation.json"}</w:instrText>
      </w:r>
      <w:r w:rsidRPr="00F54F89">
        <w:fldChar w:fldCharType="separate"/>
      </w:r>
      <w:r w:rsidR="007D0946" w:rsidRPr="00F54F89">
        <w:rPr>
          <w:noProof/>
        </w:rPr>
        <w:t>[44]</w:t>
      </w:r>
      <w:r w:rsidRPr="00F54F89">
        <w:fldChar w:fldCharType="end"/>
      </w:r>
      <w:r w:rsidRPr="00F54F89">
        <w:t xml:space="preserve">. The results of </w:t>
      </w:r>
      <w:r w:rsidR="00DF6C95" w:rsidRPr="00F54F89">
        <w:rPr>
          <w:i/>
        </w:rPr>
        <w:t>in vitro</w:t>
      </w:r>
      <w:r w:rsidRPr="00F54F89">
        <w:t xml:space="preserve"> skin occlusivity are exhibited in Figure 8B. It was found that the incorporation of PEP into hydrogel was able to increase the occlusivity values significantly (</w:t>
      </w:r>
      <w:r w:rsidRPr="00F54F89">
        <w:rPr>
          <w:i/>
        </w:rPr>
        <w:t>p</w:t>
      </w:r>
      <w:r w:rsidRPr="00F54F89">
        <w:t xml:space="preserve"> &lt; 0.05). Higher occlusivity could potentially increase the hydration of the skin for 48 h, enabling the drug permeation into deeper layer of the skin due to the reduction of gaps of corneocyte </w:t>
      </w:r>
      <w:r w:rsidRPr="00F54F89">
        <w:fldChar w:fldCharType="begin" w:fldLock="1"/>
      </w:r>
      <w:r w:rsidR="007D0946" w:rsidRPr="00F54F89">
        <w:instrText>ADDIN CSL_CITATION {"citationItems":[{"id":"ITEM-1","itemData":{"ISSN":"17732247","abstract":"Ageing is the progressive deterioration of physiological functions in organisms. Folic acid (FA) can be used as antiaging. The objective of this research is the feasibility of topical delivery of FA using nanostructured lipid carriers (NLCs) to offer sustained antioxidant and antiaging effects. FA NLCS were prepared by hot high pressure homogenization. Encapsulation efficiency (EE), in vitro release, ex vivo permeation and skin targeting were evaluated. Characterization of selected formulations was assessed, together with stability and water occlusion. Further, histology and antioxidant potential were evaluated. EE exceeded 95%. Formulations with 30% oil showed maximum skin targeting, water occlusion and high efficiency of hydration and antioxidant potential. Incorporation of oil into solid lipids causes more imperfections in the crystal lattice, providing high drug encapsulation. The small particle size leads to forming a depot in the skin providing efficient skin targeting, water occlusion, antiaging and antioxidant effects especially for the 30% oil containing formula; F11. The results emphasize the success of topical application of FA NLCs. F11 represents a promising, stable preparation, achieving remarkable long acting skin hydration, in vitro and ex vivo antioxidant potential lasting for &gt;4 days.","author":[{"dropping-particle":"","family":"Ammar","given":"Hussein Osman","non-dropping-particle":"","parse-names":false,"suffix":""},{"dropping-particle":"","family":"Ghorab","given":"Mahmoud Mohamed","non-dropping-particle":"","parse-names":false,"suffix":""},{"dropping-particle":"","family":"Mostafa","given":"Dina Mahmoud","non-dropping-particle":"","parse-names":false,"suffix":""},{"dropping-particle":"","family":"Ibrahim","given":"Eman Samy","non-dropping-particle":"","parse-names":false,"suffix":""}],"container-title":"Journal of Drug Delivery Science and Technology","id":"ITEM-1","issued":{"date-parts":[["2016"]]},"page":"72-82","publisher":"Elsevier Ltd","title":"Folic acid loaded lipid nanocarriers with promoted skin antiaging and antioxidant efficacy","type":"article-journal","volume":"31"},"uris":["http://www.mendeley.com/documents/?uuid=172a0b5b-f336-4f0b-b5b1-56cd8010771c"]}],"mendeley":{"formattedCitation":"[69]","plainTextFormattedCitation":"[69]","previouslyFormattedCitation":"[69]"},"properties":{"noteIndex":0},"schema":"https://github.com/citation-style-language/schema/raw/master/csl-citation.json"}</w:instrText>
      </w:r>
      <w:r w:rsidRPr="00F54F89">
        <w:fldChar w:fldCharType="separate"/>
      </w:r>
      <w:r w:rsidR="007D0946" w:rsidRPr="00F54F89">
        <w:rPr>
          <w:noProof/>
        </w:rPr>
        <w:t>[69]</w:t>
      </w:r>
      <w:r w:rsidRPr="00F54F89">
        <w:fldChar w:fldCharType="end"/>
      </w:r>
      <w:r w:rsidRPr="00F54F89">
        <w:t xml:space="preserve">. </w:t>
      </w:r>
      <w:r w:rsidR="0078151A" w:rsidRPr="00F54F89">
        <w:t>Analysed</w:t>
      </w:r>
      <w:r w:rsidRPr="00F54F89">
        <w:t xml:space="preserve"> statistically, there was no significant (</w:t>
      </w:r>
      <w:r w:rsidRPr="00F54F89">
        <w:rPr>
          <w:i/>
        </w:rPr>
        <w:t>p</w:t>
      </w:r>
      <w:r w:rsidRPr="00F54F89">
        <w:t xml:space="preserve"> &gt; 0.05) in occlusivity values between any formulation of PEP-loaded hydrogel.</w:t>
      </w:r>
    </w:p>
    <w:p w14:paraId="5E8031E4" w14:textId="44D9F215" w:rsidR="000C6856" w:rsidRPr="00F54F89" w:rsidRDefault="00C67FDF" w:rsidP="000C6856">
      <w:pPr>
        <w:spacing w:line="360" w:lineRule="auto"/>
      </w:pPr>
      <w:r w:rsidRPr="00F54F89">
        <w:rPr>
          <w:noProof/>
          <w:lang w:eastAsia="en-GB"/>
        </w:rPr>
        <w:lastRenderedPageBreak/>
        <w:drawing>
          <wp:inline distT="0" distB="0" distL="0" distR="0" wp14:anchorId="7828F9E0" wp14:editId="7488D95D">
            <wp:extent cx="5731510" cy="53600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360035"/>
                    </a:xfrm>
                    <a:prstGeom prst="rect">
                      <a:avLst/>
                    </a:prstGeom>
                  </pic:spPr>
                </pic:pic>
              </a:graphicData>
            </a:graphic>
          </wp:inline>
        </w:drawing>
      </w:r>
    </w:p>
    <w:p w14:paraId="7706DD34" w14:textId="41D19DCC" w:rsidR="000C6856" w:rsidRPr="00F54F89" w:rsidRDefault="000C6856" w:rsidP="000C6856">
      <w:pPr>
        <w:jc w:val="both"/>
        <w:rPr>
          <w:sz w:val="20"/>
          <w:szCs w:val="20"/>
        </w:rPr>
      </w:pPr>
      <w:r w:rsidRPr="00F54F89">
        <w:rPr>
          <w:b/>
          <w:sz w:val="20"/>
          <w:szCs w:val="20"/>
        </w:rPr>
        <w:t xml:space="preserve">Figure 8. </w:t>
      </w:r>
      <w:r w:rsidRPr="00F54F89">
        <w:rPr>
          <w:sz w:val="20"/>
          <w:szCs w:val="20"/>
        </w:rPr>
        <w:t>Spreadability of PEP-loaded hydrogel formulation in comparison with control hydrogel (</w:t>
      </w:r>
      <w:r w:rsidRPr="00F54F89">
        <w:rPr>
          <w:b/>
          <w:sz w:val="20"/>
          <w:szCs w:val="20"/>
        </w:rPr>
        <w:t>A</w:t>
      </w:r>
      <w:r w:rsidRPr="00F54F89">
        <w:rPr>
          <w:sz w:val="20"/>
          <w:szCs w:val="20"/>
        </w:rPr>
        <w:t xml:space="preserve">), </w:t>
      </w:r>
      <w:r w:rsidR="00DF6C95" w:rsidRPr="00F54F89">
        <w:rPr>
          <w:i/>
          <w:sz w:val="20"/>
          <w:szCs w:val="20"/>
        </w:rPr>
        <w:t>In vitro</w:t>
      </w:r>
      <w:r w:rsidRPr="00F54F89">
        <w:rPr>
          <w:sz w:val="20"/>
          <w:szCs w:val="20"/>
        </w:rPr>
        <w:t xml:space="preserve"> skin occlusivity</w:t>
      </w:r>
      <w:r w:rsidRPr="00F54F89">
        <w:rPr>
          <w:b/>
          <w:sz w:val="20"/>
          <w:szCs w:val="20"/>
        </w:rPr>
        <w:t xml:space="preserve"> </w:t>
      </w:r>
      <w:r w:rsidRPr="00F54F89">
        <w:rPr>
          <w:sz w:val="20"/>
          <w:szCs w:val="20"/>
        </w:rPr>
        <w:t>of PEP-loaded hydrogel formulation in comparison with control hydrogel (</w:t>
      </w:r>
      <w:r w:rsidRPr="00F54F89">
        <w:rPr>
          <w:b/>
          <w:sz w:val="20"/>
          <w:szCs w:val="20"/>
        </w:rPr>
        <w:t>B</w:t>
      </w:r>
      <w:r w:rsidRPr="00F54F89">
        <w:rPr>
          <w:sz w:val="20"/>
          <w:szCs w:val="20"/>
        </w:rPr>
        <w:t xml:space="preserve">), </w:t>
      </w:r>
      <w:r w:rsidR="00DF6C95" w:rsidRPr="00F54F89">
        <w:rPr>
          <w:i/>
          <w:sz w:val="20"/>
          <w:szCs w:val="20"/>
        </w:rPr>
        <w:t>in vitro</w:t>
      </w:r>
      <w:r w:rsidRPr="00F54F89">
        <w:rPr>
          <w:b/>
          <w:sz w:val="20"/>
          <w:szCs w:val="20"/>
        </w:rPr>
        <w:t xml:space="preserve"> </w:t>
      </w:r>
      <w:r w:rsidRPr="00F54F89">
        <w:rPr>
          <w:sz w:val="20"/>
          <w:szCs w:val="20"/>
        </w:rPr>
        <w:t>skin permeation profiles of CA (</w:t>
      </w:r>
      <w:r w:rsidRPr="00F54F89">
        <w:rPr>
          <w:b/>
          <w:sz w:val="20"/>
          <w:szCs w:val="20"/>
        </w:rPr>
        <w:t>C</w:t>
      </w:r>
      <w:r w:rsidRPr="00F54F89">
        <w:rPr>
          <w:sz w:val="20"/>
          <w:szCs w:val="20"/>
        </w:rPr>
        <w:t>), QU (</w:t>
      </w:r>
      <w:r w:rsidRPr="00F54F89">
        <w:rPr>
          <w:b/>
          <w:sz w:val="20"/>
          <w:szCs w:val="20"/>
        </w:rPr>
        <w:t>D</w:t>
      </w:r>
      <w:r w:rsidRPr="00F54F89">
        <w:rPr>
          <w:sz w:val="20"/>
          <w:szCs w:val="20"/>
        </w:rPr>
        <w:t>) and KP (</w:t>
      </w:r>
      <w:r w:rsidRPr="00F54F89">
        <w:rPr>
          <w:b/>
          <w:sz w:val="20"/>
          <w:szCs w:val="20"/>
        </w:rPr>
        <w:t>E</w:t>
      </w:r>
      <w:r w:rsidRPr="00F54F89">
        <w:rPr>
          <w:sz w:val="20"/>
          <w:szCs w:val="20"/>
        </w:rPr>
        <w:t>) in PE in comparison with different PEP formulations and skin drug retention profiles of CA, QU and KP after 24 h permeation study (</w:t>
      </w:r>
      <w:r w:rsidRPr="00F54F89">
        <w:rPr>
          <w:b/>
          <w:sz w:val="20"/>
          <w:szCs w:val="20"/>
        </w:rPr>
        <w:t>F</w:t>
      </w:r>
      <w:r w:rsidRPr="00F54F89">
        <w:rPr>
          <w:sz w:val="20"/>
          <w:szCs w:val="20"/>
        </w:rPr>
        <w:t xml:space="preserve">) (means ± SD, </w:t>
      </w:r>
      <w:r w:rsidRPr="00F54F89">
        <w:rPr>
          <w:i/>
          <w:iCs/>
          <w:sz w:val="20"/>
          <w:szCs w:val="20"/>
        </w:rPr>
        <w:t xml:space="preserve">n </w:t>
      </w:r>
      <w:r w:rsidRPr="00F54F89">
        <w:rPr>
          <w:sz w:val="20"/>
          <w:szCs w:val="20"/>
        </w:rPr>
        <w:t>= 3).</w:t>
      </w:r>
    </w:p>
    <w:p w14:paraId="7E87A2FF" w14:textId="77777777" w:rsidR="00DF6C95" w:rsidRPr="00F54F89" w:rsidRDefault="00DF6C95" w:rsidP="000C6856">
      <w:pPr>
        <w:jc w:val="both"/>
        <w:rPr>
          <w:b/>
          <w:sz w:val="20"/>
          <w:szCs w:val="20"/>
        </w:rPr>
      </w:pPr>
    </w:p>
    <w:p w14:paraId="5D610AE0" w14:textId="77777777" w:rsidR="000C6856" w:rsidRPr="00F54F89" w:rsidRDefault="00F606FB" w:rsidP="000C6856">
      <w:pPr>
        <w:spacing w:after="240" w:line="360" w:lineRule="auto"/>
        <w:jc w:val="both"/>
        <w:rPr>
          <w:i/>
        </w:rPr>
      </w:pPr>
      <w:r w:rsidRPr="00F54F89">
        <w:rPr>
          <w:i/>
        </w:rPr>
        <w:t xml:space="preserve">3.12. </w:t>
      </w:r>
      <w:r w:rsidR="000C6856" w:rsidRPr="00F54F89">
        <w:rPr>
          <w:i/>
        </w:rPr>
        <w:t>Skin permeation and retention studies</w:t>
      </w:r>
    </w:p>
    <w:p w14:paraId="6EEB1E4C" w14:textId="7BB8637F" w:rsidR="000C6856" w:rsidRPr="00F54F89" w:rsidRDefault="000C6856" w:rsidP="000C6856">
      <w:pPr>
        <w:spacing w:line="360" w:lineRule="auto"/>
        <w:jc w:val="both"/>
      </w:pPr>
      <w:r w:rsidRPr="00F54F89">
        <w:t xml:space="preserve">Permeation profiles of CA, QU and KP in rat skin after PE-loaded hydrogel administration in comparison with PEP-loaded hydrogel were then investigated. These three compounds are beneficial for the skin because of their capability to prevent skin aging </w:t>
      </w:r>
      <w:r w:rsidRPr="00F54F89">
        <w:fldChar w:fldCharType="begin" w:fldLock="1"/>
      </w:r>
      <w:r w:rsidR="007D0946" w:rsidRPr="00F54F89">
        <w:instrText>ADDIN CSL_CITATION {"citationItems":[{"id":"ITEM-1","itemData":{"ISSN":"17445116","abstract":"© 2016 Informa UK Limited, trading as Taylor &amp; Francis Group. ContextPhyllanthus emblica L. (Euphorbiaceae) (amla), Manilkara zapota L.P. Royen (Sapotaceae) (sapota) and silymarin are reported to contain antioxidant effects. However, information on other biological activities relating to the anti-aging properties is limited. Objective To compare in vitro antioxidants, anti-collagenase (MMP-1 and MMP-2) and anti-elastase properties as well as the phenolic and flavonoid contents of amla, sapota and silymarin as potential anti-aging ingredients. Materials and methods The ethanol amla and sapota fruit extracts were prepared by three cycles of maceration with 24 h duration each. The total phenolic (TPC) and flavonoid (TFC) contents were determined. The antioxidant capacity was evaluated by DPPH and ABTS assays. The effects of MMP-1, MMP-2 and elastase inhibitions were determined by using the EnzChek® assay kits (Molecular-Probes, Eugene, OR). Results Amla exhibited the highest in TPC (362.43 ± 11.2 mg GAE/g) while silymarin showed the highest in TFC (21.04 ± 0.67 mg QE/g). Results of antioxidant activity by DPPH and ABTS methods showed that amla possessed the most potent capacity with IC 50 values of 1.70 ± 0.07 and 4.45 ± 0.10 μg/mL, respectively. Highest inhibitions against MMP-1, MMP-2 and elastase were detected for sapota with IC 50 values of 89.61 ± 0.96, 86.47 ± 3.04 and 35.73 ± 0.61 μg/mL, respectively. Discussion and conclusion Test extracts offered anti-aging properties in different mechanisms. Amla showed the highest phenolic content and antioxidant property with moderate anti-collagenase. Silymarin exhibited measurable flavonoid content with anti-elastase effect. Sapota showed the highest collagenase and elastase inhibitions with moderate antioxidant effect. Thus, extracts might be added as a mixture to gain the overall anti-aging effects.","author":[{"dropping-particle":"","family":"Pientaweeratch","given":"Sirinya","non-dropping-particle":"","parse-names":false,"suffix":""},{"dropping-particle":"","family":"Panapisal","given":"Vipaporn","non-dropping-particle":"","parse-names":false,"suffix":""},{"dropping-particle":"","family":"Tansirikongkol","given":"Anyarporn","non-dropping-particle":"","parse-names":false,"suffix":""}],"container-title":"Pharmaceutical Biology","id":"ITEM-1","issue":"9","issued":{"date-parts":[["2016"]]},"page":"1865-1872","title":"Antioxidant, anti-collagenase and anti-elastase activities of Phyllanthus emblica, Manilkara zapota and silymarin: an in vitro comparative study for anti-aging applications","type":"article-journal","volume":"54"},"uris":["http://www.mendeley.com/documents/?uuid=c4d3a537-f80a-4778-8ac6-15980698be6c"]},{"id":"ITEM-2","itemData":{"ISSN":"17599679","abstract":"Besides powerful antioxidant activity, increasing collagen production and prevention of premature aging, caffeic acid has demonstrated antimicrobial activity and may be promising in the treatment of dermal diseases.Besides powerful antioxidant activity, increasing collagen production and prevention of premature aging, caffeic acid has demonstrated antimicrobial activity and may be promising in the treatment of dermal diseases. The relevance of this study is based on the use of caffeic acid that has become increasingly common in humans. Thus, studies that demonstrate and clarify the functions of this substance are very important.","author":[{"dropping-particle":"","family":"Magnani","given":"C.","non-dropping-particle":"","parse-names":false,"suffix":""},{"dropping-particle":"","family":"Isaac","given":"V. L.B.","non-dropping-particle":"","parse-names":false,"suffix":""},{"dropping-particle":"","family":"Correa","given":"M. A.","non-dropping-particle":"","parse-names":false,"suffix":""},{"dropping-particle":"","family":"Salgado","given":"H. R.N.","non-dropping-particle":"","parse-names":false,"suffix":""}],"container-title":"Analytical Methods","id":"ITEM-2","issue":"10","issued":{"date-parts":[["2014"]]},"page":"3203-3210","title":"Caffeic acid: A review of its potential use in medications and cosmetics","type":"article-journal","volume":"6"},"uris":["http://www.mendeley.com/documents/?uuid=a636e2af-f2c1-469d-94ff-54f7bc136ff7"]},{"id":"ITEM-3","itemData":{"ISSN":"17732247","abstract":"Skin aging might happen due to extrinsic and intrinsic factors that usually can induce the increase of free radicals and generate oxidative stress, which lead to skin alterations. Thus, there is a search for antioxidant substances that can control these effects. Quercetin (QT) is a flavonoid with antioxidant potential however presents poor percutaneous permeation, low stability and phototoxicity. Therefore, the encapsulation in nanoparticles is an interesting strategy to overcome these challenges. Nanostructured lipid carriers (NLC) is a promising type of vehicle that can improve drug penetration on skin and enhance the entrapment efficiency as well as improve the drug stability. These nanoparticles can be produced using natural lipids with biological properties resulting in a carrier with biological activities. The aim of this study was to produce NLC to load QT enhancing its permeation and obtaining an effective and safe topical formulation. The NLC were characterized regarding their size, zeta potential, entrapment efficiency, thermal behavior, morphology and evaluation of the biological properties using in vitro methods to analyze the antioxidant activity, skin permeation, antiallergic potential, cytotoxicity and phototoxicity potential on monolayer (HaCaT cells and 3T3 NRU PT) and on reconstructed human skin model (H3D-PT). The average size of QT-NLC was 130 nm with low polydispersity index (PdI) (~0.260), and negative zeta potential (around of −13 mV). Through the thermal behavior analysis, the nanoparticle exhibited a low recrystallization index (13.03%), which is important to obtain high entrapment efficiency (97.42%) and avoid drug expulsion during the storage time. The nanoparticles showed a homogeneous morphology and were very stable regarding to size and PdI over to 120 days. On terms of biological properties QT-NLC presented antioxidant activity, enhanced penetration of quercetin in the skin and showed an antiallergic potential. Furthermore, in the reconstructed human skin model that consider viable epidermis bioavailability due to the presence of stratum corneum, it was observed that the topical formulation of QT-NLC presented no phototoxic potential. Therefore, the developed nanostructure is a vehicle with potential for topical administration of quercetin.","author":[{"dropping-particle":"","family":"Pivetta","given":"Thais P.","non-dropping-particle":"","parse-names":false,"suffix":""},{"dropping-particle":"","family":"Silva","given":"Letícia B.","non-dropping-particle":"","parse-names":false,"suffix":""},{"dropping-particle":"","family":"Kawakami","given":"Camila M.","non-dropping-particle":"","parse-names":false,"suffix":""},{"dropping-particle":"","family":"Araújo","given":"Margarete M.","non-dropping-particle":"","parse-names":false,"suffix":""},{"dropping-particle":"","family":"Lama","given":"Maria Perpétua F.M.","non-dropping-particle":"Del","parse-names":false,"suffix":""},{"dropping-particle":"","family":"Naal","given":"Rose Mary Z.G.","non-dropping-particle":"","parse-names":false,"suffix":""},{"dropping-particle":"","family":"Maria-Engler","given":"Silvya S.","non-dropping-particle":"","parse-names":false,"suffix":""},{"dropping-particle":"","family":"Gaspar","given":"Lorena R.","non-dropping-particle":"","parse-names":false,"suffix":""},{"dropping-particle":"","family":"Marcato","given":"Priscyla D.","non-dropping-particle":"","parse-names":false,"suffix":""}],"container-title":"Journal of Drug Delivery Science and Technology","id":"ITEM-3","issued":{"date-parts":[["2019"]]},"page":"101148","publisher":"Elsevier","title":"Topical formulation of quercetin encapsulated in natural lipid nanocarriers: Evaluation of biological properties and phototoxic effect","type":"article-journal","volume":"53"},"uris":["http://www.mendeley.com/documents/?uuid=f0bfd944-478c-4d32-8783-3d834e021cf6"]}],"mendeley":{"formattedCitation":"[70–72]","plainTextFormattedCitation":"[70–72]","previouslyFormattedCitation":"[70–72]"},"properties":{"noteIndex":0},"schema":"https://github.com/citation-style-language/schema/raw/master/csl-citation.json"}</w:instrText>
      </w:r>
      <w:r w:rsidRPr="00F54F89">
        <w:fldChar w:fldCharType="separate"/>
      </w:r>
      <w:r w:rsidR="007D0946" w:rsidRPr="00F54F89">
        <w:rPr>
          <w:noProof/>
        </w:rPr>
        <w:t>[70–72]</w:t>
      </w:r>
      <w:r w:rsidRPr="00F54F89">
        <w:fldChar w:fldCharType="end"/>
      </w:r>
      <w:r w:rsidRPr="00F54F89">
        <w:t xml:space="preserve">. The results exhibited that only 4.65 ± 0.41% of CA, 4.98 ± 0.39% of QU and 5.16 ± 0.32 of KP were able to permeate the skin after the application of PE-loaded hydrogel, indicating poor skin permeation ability of these compounds. In contrast, approximately 4- to 8-fold </w:t>
      </w:r>
      <w:r w:rsidR="00DF6C95" w:rsidRPr="00F54F89">
        <w:t xml:space="preserve">higher </w:t>
      </w:r>
      <w:r w:rsidRPr="00F54F89">
        <w:t xml:space="preserve">of these compounds permeated through the skin following the administration of PEP-loaded hydrogel. In F3, 32.36 ± 2.98 %, 30.65 ± 2.61% and 32.78 ± 2.12% of CA, QU and KP, respectively, </w:t>
      </w:r>
      <w:r w:rsidRPr="00F54F89">
        <w:lastRenderedPageBreak/>
        <w:t xml:space="preserve">were found in the receptor compartments after 24 h study. In F5, a total permeation of 30.62 ± 2.12%, 28.43 ± 1.98% and 30.98 ± 1.22% were found in the receptor compartment after 24 h in the case of CA, QU and KP, respectively. With respect to the total permeation after F9 administration, 34.65 ± 3.21% of CA, 37.11 ± 3.08% of QU and 42.09 ± 3.56% of KP were able to permeate through the skin after 24 h. In F11, 31.87 ± 2.09% of CA, 35.11 ± 3.09% of QU and 39.11 ± 1.98% of KP were determined in the receptor compartments after 24 h study. </w:t>
      </w:r>
      <w:r w:rsidR="0078151A" w:rsidRPr="00F54F89">
        <w:t>Analysed</w:t>
      </w:r>
      <w:r w:rsidRPr="00F54F89">
        <w:t xml:space="preserve"> statistically, there were no significant differences (</w:t>
      </w:r>
      <w:r w:rsidRPr="00F54F89">
        <w:rPr>
          <w:i/>
        </w:rPr>
        <w:t xml:space="preserve">p </w:t>
      </w:r>
      <w:r w:rsidRPr="00F54F89">
        <w:t xml:space="preserve">&gt; 0.05) in </w:t>
      </w:r>
      <w:r w:rsidR="007861BE" w:rsidRPr="00F54F89">
        <w:t>the percentage of</w:t>
      </w:r>
      <w:r w:rsidRPr="00F54F89">
        <w:t xml:space="preserve"> drug permeated between F3 and F5 and between F9 and F11. As shown in Figure 8C, 8D and 8E, the permeation of all three compounds were very low in the case of PE-loaded hydrogel. This is might be due to the poor skin absorption of phenolic compounds in PE, resulting in poor permeation profiles. It has been reported that the active substances in PE possessed poor permeation characteristic in conventional semisolid preparation </w:t>
      </w:r>
      <w:r w:rsidRPr="00F54F89">
        <w:fldChar w:fldCharType="begin" w:fldLock="1"/>
      </w:r>
      <w:r w:rsidR="007D0946" w:rsidRPr="00F54F89">
        <w:instrText>ADDIN CSL_CITATION {"citationItems":[{"id":"ITEM-1","itemData":{"ISSN":"1741427X","abstract":"Antioxidant and free radical scavenging effects are attributed to phenolic compounds present in propolis, and when delivered to the skin surface and following penetration into epidermis and dermis, they can contribute to skin protection from damaging action of free radicals that are formed under UV and premature skin aging. This study was designed to determine the penetration of phenolic acids and vanillin into the human skin in vitro from experimentally designed vehicles. Results of the study demonstrated the ability of propolis phenolic acids (vanillic, coumaric, caffeic, and ferulic acids) and vanillin to penetrate into skin epidermis and dermis. The rate of penetration and distribution is affected both by physicochemical characteristics of active substances and physical structure and chemical composition of semisolid vehicle. Vanillin and vanillic acid demonstrated relatively high penetration through epidermis into dermis where these compounds were concentrated, coumaric and ferulic acids were uniformly distributed between epidermis and dermis, and caffeic acid slowly penetrated into epidermis and was not determined in dermis. Further studies are deemed relevant for the development of semisolid topically applied systems designed for efficient delivery of propolis antioxidants into the skin.","author":[{"dropping-particle":"","family":"Žilius","given":"Modestas","non-dropping-particle":"","parse-names":false,"suffix":""},{"dropping-particle":"","family":"Ramanauskiene","given":"Kristina","non-dropping-particle":"","parse-names":false,"suffix":""},{"dropping-particle":"","family":"Briedis","given":"Vitalis","non-dropping-particle":"","parse-names":false,"suffix":""}],"container-title":"Evidence-based Complementary and Alternative Medicine","id":"ITEM-1","issued":{"date-parts":[["2013"]]},"title":"Release of propolis phenolic acids from semisolid formulations and their penetration into the human skin in vitro","type":"article-journal","volume":"2013"},"uris":["http://www.mendeley.com/documents/?uuid=2371b62a-acc3-41f1-81fd-487b999dbe87"]}],"mendeley":{"formattedCitation":"[20]","plainTextFormattedCitation":"[20]","previouslyFormattedCitation":"[20]"},"properties":{"noteIndex":0},"schema":"https://github.com/citation-style-language/schema/raw/master/csl-citation.json"}</w:instrText>
      </w:r>
      <w:r w:rsidRPr="00F54F89">
        <w:fldChar w:fldCharType="separate"/>
      </w:r>
      <w:r w:rsidR="007D0946" w:rsidRPr="00F54F89">
        <w:rPr>
          <w:noProof/>
        </w:rPr>
        <w:t>[20]</w:t>
      </w:r>
      <w:r w:rsidRPr="00F54F89">
        <w:fldChar w:fldCharType="end"/>
      </w:r>
      <w:r w:rsidRPr="00F54F89">
        <w:t>. Essentially, the incorporation of PE into phytosome</w:t>
      </w:r>
      <w:r w:rsidR="00DF6C95" w:rsidRPr="00F54F89">
        <w:t>s</w:t>
      </w:r>
      <w:r w:rsidRPr="00F54F89">
        <w:t xml:space="preserve"> significantly enhance</w:t>
      </w:r>
      <w:r w:rsidR="00DF6C95" w:rsidRPr="00F54F89">
        <w:t>d</w:t>
      </w:r>
      <w:r w:rsidRPr="00F54F89">
        <w:t xml:space="preserve"> the permeation of active compounds through the skin. The increase in permeation might be caused by the strong hydrogen bond generated which could potentially increase the skin absorption of compounds </w:t>
      </w:r>
      <w:r w:rsidRPr="00F54F89">
        <w:fldChar w:fldCharType="begin" w:fldLock="1"/>
      </w:r>
      <w:r w:rsidR="007D0946" w:rsidRPr="00F54F89">
        <w:instrText>ADDIN CSL_CITATION {"citationItems":[{"id":"ITEM-1","itemData":{"ISSN":"09751505","author":[{"dropping-particle":"","family":"Surini","given":"Silvia","non-dropping-particle":"","parse-names":false,"suffix":""},{"dropping-particle":"","family":"Mubarak","given":"Helmy","non-dropping-particle":"","parse-names":false,"suffix":""},{"dropping-particle":"","family":"Ramadon","given":"Delly","non-dropping-particle":"","parse-names":false,"suffix":""}],"container-title":"Journal of Young Pharmacists","id":"ITEM-1","issue":"2","issued":{"date-parts":[["2018"]]},"page":"s51-s55","title":"Cosmetic serum containing grape (Vitis vinifera L.) seed extract phytosome: Formulation and in vitro penetration study","type":"article-journal","volume":"10"},"uris":["http://www.mendeley.com/documents/?uuid=b1f10b1c-8667-464c-b709-521cdc93d00e"]}],"mendeley":{"formattedCitation":"[33]","plainTextFormattedCitation":"[33]","previouslyFormattedCitation":"[33]"},"properties":{"noteIndex":0},"schema":"https://github.com/citation-style-language/schema/raw/master/csl-citation.json"}</w:instrText>
      </w:r>
      <w:r w:rsidRPr="00F54F89">
        <w:fldChar w:fldCharType="separate"/>
      </w:r>
      <w:r w:rsidR="007D0946" w:rsidRPr="00F54F89">
        <w:rPr>
          <w:noProof/>
        </w:rPr>
        <w:t>[33]</w:t>
      </w:r>
      <w:r w:rsidRPr="00F54F89">
        <w:fldChar w:fldCharType="end"/>
      </w:r>
      <w:r w:rsidRPr="00F54F89">
        <w:t xml:space="preserve">. Moreover, PC contained in the PEP held an important role in transporting the phenolic compounds </w:t>
      </w:r>
      <w:r w:rsidRPr="00F54F89">
        <w:rPr>
          <w:i/>
        </w:rPr>
        <w:t>via</w:t>
      </w:r>
      <w:r w:rsidRPr="00F54F89">
        <w:t xml:space="preserve"> the lipophilic </w:t>
      </w:r>
      <w:r w:rsidRPr="00F54F89">
        <w:rPr>
          <w:i/>
        </w:rPr>
        <w:t>stratum corneum</w:t>
      </w:r>
      <w:r w:rsidRPr="00F54F89">
        <w:t xml:space="preserve"> to epidermis and dermis area and passing the hydrophilic nature of viable dermis </w:t>
      </w:r>
      <w:r w:rsidRPr="00F54F89">
        <w:fldChar w:fldCharType="begin" w:fldLock="1"/>
      </w:r>
      <w:r w:rsidR="007D0946" w:rsidRPr="00F54F89">
        <w:instrText>ADDIN CSL_CITATION {"citationItems":[{"id":"ITEM-1","itemData":{"ISSN":"22313354","abstract":"The soil ecosystem has an enormous amount of microorganisms, and some of these microorganisms can potentially be useful to us. Bacillus and Actinomycetes are the most abundant microorganisms present in soil and both are known to produce antibiotics and inhibit the growth of other microorganisms. However, there are other potential microorganisms which may have such beneficial properties and are unknown to us. In this study, various microorganisms in the soil were screened to isolate an antibiotic producing microorganism. Soil was collected from VIT lake and serially diluted followed by crowded plate technique to screen for antibiotic producing colonies. The colony which was suspected to produce antibiotics was selected and sub-cultured by streaking. Antibiotic-sensitivity test was performed on Mueller-Hinton Agar and the inhibitory effect of the isolated microorganism towards the growth of bacteria was observed. The growth curve of the isolated microorganism was found out. Characterization was done by performing various biochemical tests and staining methods. Antibiotic production media was prepared, and the antibiotic production of the microorganism was plotted against time. From the antibiotic production curve, it was found that the 6 th day showed the maximum antibiotic productivity. © 2014 Prithwijit Sarkar et al.","author":[{"dropping-particle":"","family":"Das","given":"Malay K","non-dropping-particle":"","parse-names":false,"suffix":""},{"dropping-particle":"","family":"Kalita","given":"Bhupen","non-dropping-particle":"","parse-names":false,"suffix":""}],"container-title":"Journal of Applied Pharmaceutical Science","id":"ITEM-1","issue":"10","issued":{"date-parts":[["2014"]]},"page":"51-57","title":"Design and Evaluation of Phyto-Phospholipid Complexes (Phytosomes) of Rutin for Transdermal Application","type":"article-journal","volume":"4"},"uris":["http://www.mendeley.com/documents/?uuid=46f10f76-8ae6-44fd-a0c6-faf2bcb17b11"]}],"mendeley":{"formattedCitation":"[24]","plainTextFormattedCitation":"[24]","previouslyFormattedCitation":"[24]"},"properties":{"noteIndex":0},"schema":"https://github.com/citation-style-language/schema/raw/master/csl-citation.json"}</w:instrText>
      </w:r>
      <w:r w:rsidRPr="00F54F89">
        <w:fldChar w:fldCharType="separate"/>
      </w:r>
      <w:r w:rsidR="007D0946" w:rsidRPr="00F54F89">
        <w:rPr>
          <w:noProof/>
        </w:rPr>
        <w:t>[24]</w:t>
      </w:r>
      <w:r w:rsidRPr="00F54F89">
        <w:fldChar w:fldCharType="end"/>
      </w:r>
      <w:r w:rsidRPr="00F54F89">
        <w:t>.</w:t>
      </w:r>
    </w:p>
    <w:p w14:paraId="4CF62B2A" w14:textId="7381C062" w:rsidR="000C6856" w:rsidRPr="00F54F89" w:rsidRDefault="000C6856" w:rsidP="000C6856">
      <w:pPr>
        <w:spacing w:line="360" w:lineRule="auto"/>
        <w:jc w:val="both"/>
      </w:pPr>
      <w:r w:rsidRPr="00F54F89">
        <w:t xml:space="preserve">Skin drug retention is </w:t>
      </w:r>
      <w:r w:rsidR="00724B73" w:rsidRPr="00F54F89">
        <w:t xml:space="preserve">a </w:t>
      </w:r>
      <w:r w:rsidRPr="00F54F89">
        <w:t xml:space="preserve">critical factor affecting the efficacy of anti-aging product. The higher the dermal retention of the formulation, the higher the ability of the antioxidant compound to prevent lipoperoxidation in the skin </w:t>
      </w:r>
      <w:r w:rsidRPr="00F54F89">
        <w:fldChar w:fldCharType="begin" w:fldLock="1"/>
      </w:r>
      <w:r w:rsidR="007D0946" w:rsidRPr="00F54F89">
        <w:instrText>ADDIN CSL_CITATION {"citationItems":[{"id":"ITEM-1","itemData":{"ISSN":"00145793","abstract":"A new perspective is emerging indicating that mitochondria play a critical role in aging not only because they are the major source and the most proximal target of reactive oxygen species, but also because they regulate stress response and apoptosis. Recent literature indicates that, in response to stress, a variety of molecules translocate to and localise in mitochondria. These molecules are likely to interact with each other, in order to mediate mitochondria/nucleus cross-talk and to regulate apoptosis. We surmise that an integration of signals in multimolecular complexes occurs at mitochondrial level. These phenomena can be of critical importance for human aging and longevity. © 2001 Federation of European Biochemical Societies.","author":[{"dropping-particle":"","family":"Salvioli","given":"Stefano","non-dropping-particle":"","parse-names":false,"suffix":""},{"dropping-particle":"","family":"Bonafè","given":"Massimiliano","non-dropping-particle":"","parse-names":false,"suffix":""},{"dropping-particle":"","family":"Capri","given":"Miriam","non-dropping-particle":"","parse-names":false,"suffix":""},{"dropping-particle":"","family":"Monti","given":"Daniela","non-dropping-particle":"","parse-names":false,"suffix":""},{"dropping-particle":"","family":"Franceschi","given":"Claudio","non-dropping-particle":"","parse-names":false,"suffix":""}],"container-title":"FEBS Letters","id":"ITEM-1","issue":"1-2","issued":{"date-parts":[["2001"]]},"page":"9-13","title":"Mitochondria, aging and longevity - A new perspective","type":"article-journal","volume":"492"},"uris":["http://www.mendeley.com/documents/?uuid=a13ff7aa-7b38-4a1a-b59a-4eedfc1d5d98"]}],"mendeley":{"formattedCitation":"[11]","plainTextFormattedCitation":"[11]","previouslyFormattedCitation":"[11]"},"properties":{"noteIndex":0},"schema":"https://github.com/citation-style-language/schema/raw/master/csl-citation.json"}</w:instrText>
      </w:r>
      <w:r w:rsidRPr="00F54F89">
        <w:fldChar w:fldCharType="separate"/>
      </w:r>
      <w:r w:rsidR="007D0946" w:rsidRPr="00F54F89">
        <w:rPr>
          <w:noProof/>
        </w:rPr>
        <w:t>[11]</w:t>
      </w:r>
      <w:r w:rsidRPr="00F54F89">
        <w:fldChar w:fldCharType="end"/>
      </w:r>
      <w:r w:rsidRPr="00F54F89">
        <w:t xml:space="preserve">. As mentioned previously, the nature of CA, QU and KP resulted in low drug retention in the skin. After 24, only 3.56 ± 0.31% of CA, 4.98 ± 0.42% of QU and 6.51 ± 0.54% of KP were retained in the skin (Figure 8F). Essentially, the drug retention after 24 h following PEP-loaded hydrogel was varying between 12.65 ± 1.01% and 33.09 ± 2.98% in all formulations. The highest retention of drugs was achieved by F5 with 26.78 ± 1.12% of CA, 29.78 ± 2.19% of QU and 33.09 ± 2.91% of KP were retained after 24 h application of F5. </w:t>
      </w:r>
    </w:p>
    <w:p w14:paraId="32CD4CDC" w14:textId="77777777" w:rsidR="000B499B" w:rsidRPr="00F54F89" w:rsidRDefault="000B499B" w:rsidP="008C0CBD">
      <w:pPr>
        <w:spacing w:line="360" w:lineRule="auto"/>
        <w:jc w:val="both"/>
        <w:rPr>
          <w:i/>
        </w:rPr>
      </w:pPr>
    </w:p>
    <w:p w14:paraId="396592A9" w14:textId="7A33DDB4" w:rsidR="008C0CBD" w:rsidRPr="00F54F89" w:rsidRDefault="008C0CBD" w:rsidP="008C0CBD">
      <w:pPr>
        <w:spacing w:line="360" w:lineRule="auto"/>
        <w:jc w:val="both"/>
        <w:rPr>
          <w:i/>
        </w:rPr>
      </w:pPr>
      <w:r w:rsidRPr="00F54F89">
        <w:rPr>
          <w:i/>
        </w:rPr>
        <w:t xml:space="preserve">3.13. Antioxidant activity and </w:t>
      </w:r>
      <w:r w:rsidRPr="00F54F89">
        <w:rPr>
          <w:i/>
          <w:iCs/>
        </w:rPr>
        <w:t>sun protective factor (SPF)</w:t>
      </w:r>
      <w:r w:rsidRPr="00F54F89">
        <w:t xml:space="preserve"> </w:t>
      </w:r>
      <w:r w:rsidRPr="00F54F89">
        <w:rPr>
          <w:i/>
        </w:rPr>
        <w:t>of optimised formulation</w:t>
      </w:r>
    </w:p>
    <w:p w14:paraId="6EB7DD83" w14:textId="706FD405" w:rsidR="000C6856" w:rsidRPr="00F54F89" w:rsidRDefault="008C0CBD" w:rsidP="000C6856">
      <w:pPr>
        <w:spacing w:line="360" w:lineRule="auto"/>
        <w:jc w:val="both"/>
        <w:rPr>
          <w:color w:val="000000"/>
          <w:lang w:eastAsia="en-GB"/>
        </w:rPr>
      </w:pPr>
      <w:r w:rsidRPr="00F54F89">
        <w:t>The</w:t>
      </w:r>
      <w:r w:rsidR="000C6856" w:rsidRPr="00F54F89">
        <w:t xml:space="preserve"> antioxidant activit</w:t>
      </w:r>
      <w:r w:rsidR="001B577C" w:rsidRPr="00F54F89">
        <w:t>ies</w:t>
      </w:r>
      <w:r w:rsidR="000C6856" w:rsidRPr="00F54F89">
        <w:t xml:space="preserve"> of F3 and F5 of phytosome w</w:t>
      </w:r>
      <w:r w:rsidR="001B577C" w:rsidRPr="00F54F89">
        <w:t xml:space="preserve">ere </w:t>
      </w:r>
      <w:r w:rsidR="000C6856" w:rsidRPr="00F54F89">
        <w:t>evaluated. The IC</w:t>
      </w:r>
      <w:r w:rsidR="000C6856" w:rsidRPr="00F54F89">
        <w:rPr>
          <w:vertAlign w:val="subscript"/>
        </w:rPr>
        <w:t>50</w:t>
      </w:r>
      <w:r w:rsidR="000C6856" w:rsidRPr="00F54F89">
        <w:t xml:space="preserve"> against DPPH was found to be 46.65 </w:t>
      </w:r>
      <w:r w:rsidR="000C6856" w:rsidRPr="00F54F89">
        <w:rPr>
          <w:color w:val="000000"/>
          <w:lang w:eastAsia="en-GB"/>
        </w:rPr>
        <w:t xml:space="preserve">± 4.09 µg/mL and 47.76 ± 4.98 µg/mL for F3 and F5, respectively. The </w:t>
      </w:r>
      <w:r w:rsidR="000C6856" w:rsidRPr="00F54F89">
        <w:t>IC</w:t>
      </w:r>
      <w:r w:rsidR="000C6856" w:rsidRPr="00F54F89">
        <w:rPr>
          <w:vertAlign w:val="subscript"/>
        </w:rPr>
        <w:t>50</w:t>
      </w:r>
      <w:r w:rsidR="000C6856" w:rsidRPr="00F54F89">
        <w:t xml:space="preserve"> in lipid peroxidation inhibition were 68.43 </w:t>
      </w:r>
      <w:r w:rsidR="000C6856" w:rsidRPr="00F54F89">
        <w:rPr>
          <w:color w:val="000000"/>
          <w:lang w:eastAsia="en-GB"/>
        </w:rPr>
        <w:t xml:space="preserve">± 5.12 µg/mL for F3 and 67.19 ± 6.03 µg/mL.  </w:t>
      </w:r>
      <w:r w:rsidR="0078151A" w:rsidRPr="00F54F89">
        <w:rPr>
          <w:color w:val="000000"/>
          <w:lang w:eastAsia="en-GB"/>
        </w:rPr>
        <w:t>Analysed</w:t>
      </w:r>
      <w:r w:rsidR="000C6856" w:rsidRPr="00F54F89">
        <w:rPr>
          <w:color w:val="000000"/>
          <w:lang w:eastAsia="en-GB"/>
        </w:rPr>
        <w:t xml:space="preserve"> statistically, there was no significant difference (</w:t>
      </w:r>
      <w:r w:rsidR="000C6856" w:rsidRPr="00F54F89">
        <w:rPr>
          <w:i/>
          <w:color w:val="000000"/>
          <w:lang w:eastAsia="en-GB"/>
        </w:rPr>
        <w:t xml:space="preserve">p </w:t>
      </w:r>
      <w:r w:rsidR="000C6856" w:rsidRPr="00F54F89">
        <w:rPr>
          <w:color w:val="000000"/>
          <w:lang w:eastAsia="en-GB"/>
        </w:rPr>
        <w:t>= 0.0003) between the IC</w:t>
      </w:r>
      <w:r w:rsidR="000C6856" w:rsidRPr="00F54F89">
        <w:rPr>
          <w:color w:val="000000"/>
          <w:vertAlign w:val="subscript"/>
          <w:lang w:eastAsia="en-GB"/>
        </w:rPr>
        <w:t>50</w:t>
      </w:r>
      <w:r w:rsidR="000C6856" w:rsidRPr="00F54F89">
        <w:rPr>
          <w:color w:val="000000"/>
          <w:vertAlign w:val="subscript"/>
          <w:lang w:eastAsia="en-GB"/>
        </w:rPr>
        <w:softHyphen/>
      </w:r>
      <w:r w:rsidR="000C6856" w:rsidRPr="00F54F89">
        <w:rPr>
          <w:color w:val="000000"/>
          <w:lang w:eastAsia="en-GB"/>
        </w:rPr>
        <w:t xml:space="preserve"> of PE before and after the p</w:t>
      </w:r>
      <w:r w:rsidR="00EF1327" w:rsidRPr="00F54F89">
        <w:rPr>
          <w:color w:val="000000"/>
          <w:lang w:eastAsia="en-GB"/>
        </w:rPr>
        <w:t>h</w:t>
      </w:r>
      <w:r w:rsidR="000C6856" w:rsidRPr="00F54F89">
        <w:rPr>
          <w:color w:val="000000"/>
          <w:lang w:eastAsia="en-GB"/>
        </w:rPr>
        <w:t xml:space="preserve">ytosome formulations. Therefore, the formulation process did not affect </w:t>
      </w:r>
      <w:r w:rsidR="000C6856" w:rsidRPr="00F54F89">
        <w:rPr>
          <w:color w:val="000000"/>
          <w:lang w:eastAsia="en-GB"/>
        </w:rPr>
        <w:lastRenderedPageBreak/>
        <w:t>the antioxidant property of PE.</w:t>
      </w:r>
      <w:r w:rsidR="001B577C" w:rsidRPr="00F54F89">
        <w:rPr>
          <w:color w:val="000000"/>
          <w:lang w:eastAsia="en-GB"/>
        </w:rPr>
        <w:t xml:space="preserve"> Importantly, SPF values of PE, F3 and F5 formulation were found to be 17. 54 ± 2.09, 16.98 ± 1.88 and 17.03 ± 1.92, respectively. </w:t>
      </w:r>
      <w:r w:rsidR="003413B9" w:rsidRPr="00F54F89">
        <w:rPr>
          <w:color w:val="000000"/>
          <w:lang w:eastAsia="en-GB"/>
        </w:rPr>
        <w:t xml:space="preserve">It has been previously reported that the SPF values of 15 of higher is considered as broad spectrum </w:t>
      </w:r>
      <w:r w:rsidR="00BF6FF3" w:rsidRPr="00F54F89">
        <w:rPr>
          <w:color w:val="000000"/>
          <w:lang w:eastAsia="en-GB"/>
        </w:rPr>
        <w:fldChar w:fldCharType="begin" w:fldLock="1"/>
      </w:r>
      <w:r w:rsidR="007D0946" w:rsidRPr="00F54F89">
        <w:rPr>
          <w:color w:val="000000"/>
          <w:lang w:eastAsia="en-GB"/>
        </w:rPr>
        <w:instrText>ADDIN CSL_CITATION {"citationItems":[{"id":"ITEM-1","itemData":{"ISSN":"18732682","abstract":"Photooxidative damage affects cellular lipids, proteins and DNA in addition to being involved in the pathobiochemistry of erythema formation, premature skin aging, photodermatoses development and skin cancer. Phenolic compounds, flavonoids and hydroxycinnamic acid esters protect plant tissues against harmful UV-radiation. This study aimed to evaluate the sun protection factor of several Brazilian plant extracts in relation to UVB radiation absorption, which causes skin cancer, and to correlate the findings with their antioxidant activity, as well as with total phenol and flavonoid content. The antioxidant activity of the extracts were evaluated using the DPPH radical scavenging test. The photoprotective effect was evaluated using the methodology developed by Mansur. The antioxidant activity from the extracts showed IC50 values ranging from 4.91 to 132.24 μg/mL when compared to the standard quercetin with an IC50 of 5.01 μg/mL; the phenolic content varied from 3.77 to 57.14 mg GAE/g extract while flavonoid content varied from 1.80 to 5.89 mg EQ/g extract. Almost all extracts showed a potential for UVB radiation absorption in accordance with the ANVISA (Agência Nacional de Vigilância Sanitária) technical regulation for cosmetic sunscreens. The extracts with greater sun protection factors were those originating from Lippia microphylla (SPF = 26.82) and Dimorphandra gardneriana (SPF = 20.12). A sun protection factor of 15 or higher contributes to protect the skin, where the presence of sakuranetin flavonoids and quercetin glycosides contribute to this action.","author":[{"dropping-particle":"","family":"Nunes","given":"Alesandra Ricardo","non-dropping-particle":"","parse-names":false,"suffix":""},{"dropping-particle":"","family":"Rodrigues","given":"Ana Livya Moreira","non-dropping-particle":"","parse-names":false,"suffix":""},{"dropping-particle":"","family":"Queiróz","given":"Dinalva Brito","non-dropping-particle":"de","parse-names":false,"suffix":""},{"dropping-particle":"","family":"Vieira","given":"Icaro Gusmão Pinto","non-dropping-particle":"","parse-names":false,"suffix":""},{"dropping-particle":"","family":"Neto","given":"João Francisco Câmara","non-dropping-particle":"","parse-names":false,"suffix":""},{"dropping-particle":"","family":"Junior","given":"João Tavares Calixto","non-dropping-particle":"","parse-names":false,"suffix":""},{"dropping-particle":"","family":"Tintino","given":"Saulo Relison","non-dropping-particle":"","parse-names":false,"suffix":""},{"dropping-particle":"","family":"Morais","given":"Selene Maia","non-dropping-particle":"de","parse-names":false,"suffix":""},{"dropping-particle":"","family":"Coutinho","given":"Henrique Douglas Melo","non-dropping-particle":"","parse-names":false,"suffix":""}],"container-title":"Journal of Photochemistry and Photobiology B: Biology","id":"ITEM-1","issue":"October","issued":{"date-parts":[["2018"]]},"page":"119-123","publisher":"Elsevier","title":"Photoprotective potential of medicinal plants from Cerrado biome (Brazil) in relation to phenolic content and antioxidant activity","type":"article-journal","volume":"189"},"uris":["http://www.mendeley.com/documents/?uuid=b8282789-2bc5-48d7-94cc-74e6908c909b"]}],"mendeley":{"formattedCitation":"[73]","plainTextFormattedCitation":"[73]","previouslyFormattedCitation":"[73]"},"properties":{"noteIndex":0},"schema":"https://github.com/citation-style-language/schema/raw/master/csl-citation.json"}</w:instrText>
      </w:r>
      <w:r w:rsidR="00BF6FF3" w:rsidRPr="00F54F89">
        <w:rPr>
          <w:color w:val="000000"/>
          <w:lang w:eastAsia="en-GB"/>
        </w:rPr>
        <w:fldChar w:fldCharType="separate"/>
      </w:r>
      <w:r w:rsidR="007D0946" w:rsidRPr="00F54F89">
        <w:rPr>
          <w:noProof/>
          <w:color w:val="000000"/>
          <w:lang w:eastAsia="en-GB"/>
        </w:rPr>
        <w:t>[73]</w:t>
      </w:r>
      <w:r w:rsidR="00BF6FF3" w:rsidRPr="00F54F89">
        <w:rPr>
          <w:color w:val="000000"/>
          <w:lang w:eastAsia="en-GB"/>
        </w:rPr>
        <w:fldChar w:fldCharType="end"/>
      </w:r>
      <w:r w:rsidR="003413B9" w:rsidRPr="00F54F89">
        <w:rPr>
          <w:color w:val="000000"/>
          <w:lang w:eastAsia="en-GB"/>
        </w:rPr>
        <w:t xml:space="preserve">. </w:t>
      </w:r>
      <w:r w:rsidR="001B577C" w:rsidRPr="00F54F89">
        <w:rPr>
          <w:color w:val="000000"/>
          <w:lang w:eastAsia="en-GB"/>
        </w:rPr>
        <w:t xml:space="preserve">Additionally, PE, F3 and F5 showed radiation absorption in both UVA and UVB wavelength, indicating the high photoprotective of propolis. </w:t>
      </w:r>
    </w:p>
    <w:p w14:paraId="5B34D78E" w14:textId="2BFFF3ED" w:rsidR="000C6856" w:rsidRPr="00F54F89" w:rsidRDefault="000C6856" w:rsidP="00AF3C2C">
      <w:pPr>
        <w:spacing w:line="360" w:lineRule="auto"/>
        <w:jc w:val="both"/>
      </w:pPr>
      <w:r w:rsidRPr="00F54F89">
        <w:rPr>
          <w:color w:val="000000"/>
          <w:lang w:eastAsia="en-GB"/>
        </w:rPr>
        <w:t xml:space="preserve">Taken together, the findings presented in this study indicate that the phytosomal formulations of propolis lead to enhancement in both oral and dermal routes of the phenolic bioactive compounds, namely CA, QU and KP. These results have provided a new insight in the development of suitable delivery system for naturally-occurring antioxidant compounds contained in propolis. Enhanced dissolution profile and better stability were observed in </w:t>
      </w:r>
      <w:r w:rsidR="00DF6C95" w:rsidRPr="00F54F89">
        <w:rPr>
          <w:i/>
          <w:iCs/>
          <w:color w:val="000000"/>
          <w:lang w:eastAsia="en-GB"/>
        </w:rPr>
        <w:t>in vitro</w:t>
      </w:r>
      <w:r w:rsidRPr="00F54F89">
        <w:rPr>
          <w:i/>
          <w:iCs/>
          <w:color w:val="000000"/>
          <w:lang w:eastAsia="en-GB"/>
        </w:rPr>
        <w:t xml:space="preserve"> </w:t>
      </w:r>
      <w:r w:rsidRPr="00F54F89">
        <w:rPr>
          <w:color w:val="000000"/>
          <w:lang w:eastAsia="en-GB"/>
        </w:rPr>
        <w:t xml:space="preserve">assays for the oral route of administration of PEP. Likewise, for the dermal route, increased penetrability and higher skin retention were showed by the phytosomal formulations. </w:t>
      </w:r>
      <w:r w:rsidR="00D8255A" w:rsidRPr="00F54F89">
        <w:t xml:space="preserve">Moving </w:t>
      </w:r>
      <w:r w:rsidR="00AB7240" w:rsidRPr="00F54F89">
        <w:t>toward</w:t>
      </w:r>
      <w:r w:rsidR="00D8255A" w:rsidRPr="00F54F89">
        <w:t xml:space="preserve">, future </w:t>
      </w:r>
      <w:r w:rsidR="00AB7240" w:rsidRPr="00F54F89">
        <w:t>studies are</w:t>
      </w:r>
      <w:r w:rsidR="00DF6C95" w:rsidRPr="00F54F89">
        <w:t xml:space="preserve"> now</w:t>
      </w:r>
      <w:r w:rsidR="00AB7240" w:rsidRPr="00F54F89">
        <w:t xml:space="preserve"> warranted to evaluate </w:t>
      </w:r>
      <w:r w:rsidR="00934C1B" w:rsidRPr="00F54F89">
        <w:t xml:space="preserve">the long-term stability of this approach. In addition, </w:t>
      </w:r>
      <w:r w:rsidR="00AB7240" w:rsidRPr="00F54F89">
        <w:t xml:space="preserve">the </w:t>
      </w:r>
      <w:r w:rsidR="00DF6C95" w:rsidRPr="00F54F89">
        <w:rPr>
          <w:i/>
        </w:rPr>
        <w:t>in vivo</w:t>
      </w:r>
      <w:r w:rsidR="00AB7240" w:rsidRPr="00F54F89">
        <w:rPr>
          <w:i/>
        </w:rPr>
        <w:t xml:space="preserve"> </w:t>
      </w:r>
      <w:r w:rsidR="00AB7240" w:rsidRPr="00F54F89">
        <w:t>pharmacokinetic profiles of the antioxidant compounds of PE following the administration of this innovative approach</w:t>
      </w:r>
      <w:r w:rsidR="00934C1B" w:rsidRPr="00F54F89">
        <w:t xml:space="preserve"> should also be carried out</w:t>
      </w:r>
      <w:r w:rsidR="00AB7240" w:rsidRPr="00F54F89">
        <w:t>. Following this, the toxicity and pharmacodinamic studies in an appropriate system should also be carried out.</w:t>
      </w:r>
    </w:p>
    <w:p w14:paraId="11083BDF" w14:textId="77777777" w:rsidR="005E0336" w:rsidRPr="00F54F89" w:rsidRDefault="005E0336" w:rsidP="00AF3C2C">
      <w:pPr>
        <w:spacing w:line="360" w:lineRule="auto"/>
        <w:jc w:val="both"/>
        <w:rPr>
          <w:b/>
        </w:rPr>
      </w:pPr>
    </w:p>
    <w:p w14:paraId="153E5A66" w14:textId="77777777" w:rsidR="00AF3C2C" w:rsidRPr="00F54F89" w:rsidRDefault="00F606FB" w:rsidP="00AF3C2C">
      <w:pPr>
        <w:spacing w:line="360" w:lineRule="auto"/>
        <w:jc w:val="both"/>
        <w:rPr>
          <w:b/>
        </w:rPr>
      </w:pPr>
      <w:r w:rsidRPr="00F54F89">
        <w:rPr>
          <w:b/>
        </w:rPr>
        <w:t xml:space="preserve">4. </w:t>
      </w:r>
      <w:r w:rsidR="00AF3C2C" w:rsidRPr="00F54F89">
        <w:rPr>
          <w:b/>
        </w:rPr>
        <w:t>Conclusion</w:t>
      </w:r>
    </w:p>
    <w:p w14:paraId="141EBF8B" w14:textId="0053C58A" w:rsidR="00AF3C2C" w:rsidRPr="00F54F89" w:rsidRDefault="00AF3C2C" w:rsidP="008B0289">
      <w:pPr>
        <w:spacing w:line="360" w:lineRule="auto"/>
        <w:jc w:val="both"/>
      </w:pPr>
      <w:r w:rsidRPr="00F54F89">
        <w:t xml:space="preserve">This study investigated the potential of </w:t>
      </w:r>
      <w:r w:rsidR="00DF6C95" w:rsidRPr="00F54F89">
        <w:t xml:space="preserve">a novel </w:t>
      </w:r>
      <w:r w:rsidRPr="00F54F89">
        <w:t xml:space="preserve">phytosome delivery system to enhance the dissolution profile of three main bioactive compounds from propolis having </w:t>
      </w:r>
      <w:r w:rsidR="00CB6F8A" w:rsidRPr="00F54F89">
        <w:t xml:space="preserve">antioxidative </w:t>
      </w:r>
      <w:r w:rsidRPr="00F54F89">
        <w:t>activity, namely CA, QU and KP. Optimum TPC, TFC and antioxidant activity was achieved using 75% v/v ethanol as an extraction solvent. Importantly, using this solvent, the concentration of CA, QU and KP were higher compared to those from other solvents. Several optimi</w:t>
      </w:r>
      <w:r w:rsidR="00CE3FB2" w:rsidRPr="00F54F89">
        <w:t>sation</w:t>
      </w:r>
      <w:r w:rsidRPr="00F54F89">
        <w:t>s and characteri</w:t>
      </w:r>
      <w:r w:rsidR="00CE3FB2" w:rsidRPr="00F54F89">
        <w:t>sation</w:t>
      </w:r>
      <w:r w:rsidRPr="00F54F89">
        <w:t>s were then carried out to develop the PEP formulation. By using thin-film hydration method, and further homogeni</w:t>
      </w:r>
      <w:r w:rsidR="00CE3FB2" w:rsidRPr="00F54F89">
        <w:t>sation</w:t>
      </w:r>
      <w:r w:rsidRPr="00F54F89">
        <w:t xml:space="preserve"> process</w:t>
      </w:r>
      <w:r w:rsidR="008B0289" w:rsidRPr="00F54F89">
        <w:t xml:space="preserve"> </w:t>
      </w:r>
      <w:r w:rsidRPr="00F54F89">
        <w:t xml:space="preserve">for 10 min, the optimum </w:t>
      </w:r>
      <w:r w:rsidR="00D1284A" w:rsidRPr="00F54F89">
        <w:t xml:space="preserve">spherical </w:t>
      </w:r>
      <w:r w:rsidRPr="00F54F89">
        <w:t>PEP was achieved with a particle size, PDI and zeta potential of 364.82 ± 31.74 nm, 0.244 ± 0.02 and -34.09 ± 2.96 mV</w:t>
      </w:r>
      <w:r w:rsidR="008B0289" w:rsidRPr="00F54F89">
        <w:t xml:space="preserve"> for F3, and 473.97 ± 41.24 nm, 0.265 ± 0.02 and -37.41 ± 3.26 mV for F5</w:t>
      </w:r>
      <w:r w:rsidRPr="00F54F89">
        <w:t>, respectively. Essentially, the encapsulation</w:t>
      </w:r>
      <w:r w:rsidR="003F47D8" w:rsidRPr="00F54F89">
        <w:t>s</w:t>
      </w:r>
      <w:r w:rsidRPr="00F54F89">
        <w:t xml:space="preserve"> of CA, QU and KP in </w:t>
      </w:r>
      <w:r w:rsidR="0078151A" w:rsidRPr="00F54F89">
        <w:t>optimised</w:t>
      </w:r>
      <w:r w:rsidRPr="00F54F89">
        <w:t xml:space="preserve"> PEP formulation were </w:t>
      </w:r>
      <w:r w:rsidR="008B0289" w:rsidRPr="00F54F89">
        <w:t>more than 40%</w:t>
      </w:r>
      <w:r w:rsidRPr="00F54F89">
        <w:t xml:space="preserve">. </w:t>
      </w:r>
      <w:r w:rsidR="00D1284A" w:rsidRPr="00F54F89">
        <w:t>FTIR study confirmed the formation of phytosome by the appearance of new hydrogen bond</w:t>
      </w:r>
      <w:r w:rsidR="00724B73" w:rsidRPr="00F54F89">
        <w:t>s</w:t>
      </w:r>
      <w:r w:rsidR="00D1284A" w:rsidRPr="00F54F89">
        <w:t xml:space="preserve"> formed between bioactive compound in PE and PC. </w:t>
      </w:r>
      <w:r w:rsidRPr="00F54F89">
        <w:t xml:space="preserve">Furthermore, compared to unformulated extract, the solubility and dissolution </w:t>
      </w:r>
      <w:r w:rsidR="00EF1327" w:rsidRPr="00F54F89">
        <w:t>behaviour</w:t>
      </w:r>
      <w:r w:rsidR="008B0289" w:rsidRPr="00F54F89">
        <w:t xml:space="preserve"> of CA, QU and KP</w:t>
      </w:r>
      <w:r w:rsidRPr="00F54F89">
        <w:t xml:space="preserve"> in three different biorelevant media were significantly enhanced. </w:t>
      </w:r>
      <w:r w:rsidR="008B0289" w:rsidRPr="00F54F89">
        <w:t>Additionally, the skin retentions of three compounds were improve</w:t>
      </w:r>
      <w:r w:rsidR="00CD7060" w:rsidRPr="00F54F89">
        <w:t>d using th</w:t>
      </w:r>
      <w:r w:rsidR="00530BF7" w:rsidRPr="00F54F89">
        <w:t>is</w:t>
      </w:r>
      <w:r w:rsidR="00CD7060" w:rsidRPr="00F54F89">
        <w:t xml:space="preserve"> phytosomal approach. </w:t>
      </w:r>
      <w:r w:rsidRPr="00F54F89">
        <w:t xml:space="preserve">Finally, </w:t>
      </w:r>
      <w:r w:rsidRPr="00F54F89">
        <w:lastRenderedPageBreak/>
        <w:t xml:space="preserve">the physical characteristic of </w:t>
      </w:r>
      <w:r w:rsidR="0078151A" w:rsidRPr="00F54F89">
        <w:t>optimised</w:t>
      </w:r>
      <w:r w:rsidRPr="00F54F89">
        <w:t xml:space="preserve"> PEP and the antioxidant activity of PE in PEP formulation did not exhibited significant reduction, indicating that the successful approach has been achieved. The utili</w:t>
      </w:r>
      <w:r w:rsidR="00CE3FB2" w:rsidRPr="00F54F89">
        <w:t>sation</w:t>
      </w:r>
      <w:r w:rsidRPr="00F54F89">
        <w:t xml:space="preserve"> of phytosome delivery system provides proof of principle for the enhanced the stability of and dissolution </w:t>
      </w:r>
      <w:r w:rsidR="00EF1327" w:rsidRPr="00F54F89">
        <w:t>behaviour</w:t>
      </w:r>
      <w:r w:rsidRPr="00F54F89">
        <w:t xml:space="preserve"> of hydrophobic compounds in natural products which could, therefore, increase the bioavailability of these compounds. </w:t>
      </w:r>
      <w:r w:rsidR="00CD7060" w:rsidRPr="00F54F89">
        <w:t xml:space="preserve">In addition, the improved skin retention of these compounds following the administration of PEP demonstrated the high possibility of PE to inhibit the stress oxidative in the skin. </w:t>
      </w:r>
      <w:r w:rsidR="00236BD1" w:rsidRPr="00F54F89">
        <w:rPr>
          <w:color w:val="000000"/>
          <w:lang w:eastAsia="en-GB"/>
        </w:rPr>
        <w:t xml:space="preserve">Essentially, the optimised hydrogel formulations exhibited broad spectrum for for UVA and UVB radiation absorption, with the SPF values of &gt; 15. </w:t>
      </w:r>
      <w:r w:rsidRPr="00F54F89">
        <w:t xml:space="preserve">However, before investigating the effectiveness of this delivery approach, further broad studies are required, including </w:t>
      </w:r>
      <w:r w:rsidR="00DF6C95" w:rsidRPr="00F54F89">
        <w:rPr>
          <w:i/>
        </w:rPr>
        <w:t>in vivo</w:t>
      </w:r>
      <w:r w:rsidRPr="00F54F89">
        <w:t xml:space="preserve"> pharmacokinetic</w:t>
      </w:r>
      <w:r w:rsidR="00DF6C95" w:rsidRPr="00F54F89">
        <w:t>s</w:t>
      </w:r>
      <w:r w:rsidRPr="00F54F89">
        <w:t>, toxicity and pharmacodynamic studies in a suitable model system.</w:t>
      </w:r>
    </w:p>
    <w:p w14:paraId="610F9C8B" w14:textId="77777777" w:rsidR="00F606FB" w:rsidRPr="00F54F89" w:rsidRDefault="00F606FB" w:rsidP="00F606FB">
      <w:pPr>
        <w:autoSpaceDE w:val="0"/>
        <w:autoSpaceDN w:val="0"/>
        <w:adjustRightInd w:val="0"/>
        <w:spacing w:after="240" w:line="360" w:lineRule="auto"/>
        <w:rPr>
          <w:b/>
        </w:rPr>
      </w:pPr>
      <w:r w:rsidRPr="00F54F89">
        <w:rPr>
          <w:b/>
        </w:rPr>
        <w:t>Acknowledgements</w:t>
      </w:r>
    </w:p>
    <w:p w14:paraId="2EF5607B" w14:textId="5FBBE03F" w:rsidR="00F606FB" w:rsidRPr="00F54F89" w:rsidRDefault="00F606FB" w:rsidP="00F606FB">
      <w:pPr>
        <w:pStyle w:val="TDAcknowledgments"/>
        <w:spacing w:before="0" w:after="360" w:line="360" w:lineRule="auto"/>
        <w:ind w:firstLine="0"/>
        <w:rPr>
          <w:rFonts w:ascii="Times New Roman" w:hAnsi="Times New Roman"/>
          <w:szCs w:val="24"/>
          <w:lang w:val="en-GB"/>
        </w:rPr>
      </w:pPr>
      <w:r w:rsidRPr="00F54F89">
        <w:rPr>
          <w:rFonts w:ascii="Times New Roman" w:hAnsi="Times New Roman"/>
          <w:szCs w:val="24"/>
          <w:lang w:val="en-GB"/>
        </w:rPr>
        <w:t xml:space="preserve">The authors thank </w:t>
      </w:r>
      <w:r w:rsidR="007D4460" w:rsidRPr="00F54F89">
        <w:rPr>
          <w:rFonts w:ascii="Times New Roman" w:hAnsi="Times New Roman"/>
          <w:szCs w:val="24"/>
          <w:lang w:val="en-GB"/>
        </w:rPr>
        <w:t xml:space="preserve">the </w:t>
      </w:r>
      <w:r w:rsidRPr="00F54F89">
        <w:rPr>
          <w:rFonts w:ascii="Times New Roman" w:hAnsi="Times New Roman"/>
          <w:szCs w:val="24"/>
          <w:lang w:val="en-GB"/>
        </w:rPr>
        <w:t>Ministry of Education, Indonesia.</w:t>
      </w:r>
    </w:p>
    <w:p w14:paraId="21AC2535" w14:textId="77777777" w:rsidR="00927447" w:rsidRPr="00F54F89" w:rsidRDefault="00927447" w:rsidP="00927447">
      <w:pPr>
        <w:pStyle w:val="TDAcknowledgments"/>
        <w:spacing w:before="0" w:after="360" w:line="360" w:lineRule="auto"/>
        <w:ind w:firstLine="0"/>
        <w:rPr>
          <w:rFonts w:ascii="Times New Roman" w:hAnsi="Times New Roman"/>
          <w:b/>
          <w:szCs w:val="24"/>
        </w:rPr>
      </w:pPr>
      <w:r w:rsidRPr="00F54F89">
        <w:rPr>
          <w:rFonts w:ascii="Times New Roman" w:hAnsi="Times New Roman"/>
          <w:b/>
          <w:szCs w:val="24"/>
        </w:rPr>
        <w:t xml:space="preserve">Conflicts of Interest </w:t>
      </w:r>
    </w:p>
    <w:p w14:paraId="4596C8B2" w14:textId="3079B050" w:rsidR="00927447" w:rsidRPr="00F54F89" w:rsidRDefault="00927447" w:rsidP="00927447">
      <w:pPr>
        <w:pStyle w:val="TDAcknowledgments"/>
        <w:spacing w:before="0" w:after="360" w:line="360" w:lineRule="auto"/>
        <w:ind w:firstLine="0"/>
        <w:rPr>
          <w:rFonts w:ascii="Times New Roman" w:hAnsi="Times New Roman"/>
          <w:szCs w:val="24"/>
        </w:rPr>
      </w:pPr>
      <w:r w:rsidRPr="00F54F89">
        <w:rPr>
          <w:rFonts w:ascii="Times New Roman" w:hAnsi="Times New Roman"/>
          <w:szCs w:val="24"/>
        </w:rPr>
        <w:t>The authors declare no conflict of interest.</w:t>
      </w:r>
    </w:p>
    <w:p w14:paraId="16831C50" w14:textId="77777777" w:rsidR="00F606FB" w:rsidRPr="00F54F89" w:rsidRDefault="00F606FB" w:rsidP="00CD5B2C">
      <w:pPr>
        <w:pStyle w:val="TDAcknowledgments"/>
        <w:spacing w:before="0" w:after="360" w:line="360" w:lineRule="auto"/>
        <w:ind w:firstLine="0"/>
        <w:rPr>
          <w:rFonts w:ascii="Times New Roman" w:hAnsi="Times New Roman"/>
          <w:b/>
          <w:szCs w:val="24"/>
          <w:lang w:val="en-GB"/>
        </w:rPr>
      </w:pPr>
      <w:r w:rsidRPr="00F54F89">
        <w:rPr>
          <w:rFonts w:ascii="Times New Roman" w:hAnsi="Times New Roman"/>
          <w:b/>
          <w:szCs w:val="24"/>
          <w:lang w:val="en-GB"/>
        </w:rPr>
        <w:t>References</w:t>
      </w:r>
    </w:p>
    <w:p w14:paraId="226EBE32" w14:textId="546083E8" w:rsidR="007D0946" w:rsidRPr="00F54F89" w:rsidRDefault="00F606FB" w:rsidP="00CD5B2C">
      <w:pPr>
        <w:widowControl w:val="0"/>
        <w:autoSpaceDE w:val="0"/>
        <w:autoSpaceDN w:val="0"/>
        <w:adjustRightInd w:val="0"/>
        <w:spacing w:after="360" w:line="360" w:lineRule="auto"/>
        <w:ind w:left="640" w:hanging="640"/>
        <w:jc w:val="both"/>
        <w:rPr>
          <w:noProof/>
          <w:lang w:val="en-US"/>
        </w:rPr>
      </w:pPr>
      <w:r w:rsidRPr="00F54F89">
        <w:t xml:space="preserve"> </w:t>
      </w:r>
      <w:r w:rsidR="00FB5475" w:rsidRPr="00F54F89">
        <w:fldChar w:fldCharType="begin" w:fldLock="1"/>
      </w:r>
      <w:r w:rsidR="00FB5475" w:rsidRPr="00F54F89">
        <w:instrText xml:space="preserve">ADDIN Mendeley Bibliography CSL_BIBLIOGRAPHY </w:instrText>
      </w:r>
      <w:r w:rsidR="00FB5475" w:rsidRPr="00F54F89">
        <w:fldChar w:fldCharType="separate"/>
      </w:r>
      <w:r w:rsidR="007D0946" w:rsidRPr="00F54F89">
        <w:rPr>
          <w:noProof/>
          <w:lang w:val="en-US"/>
        </w:rPr>
        <w:t>[1]</w:t>
      </w:r>
      <w:r w:rsidR="007D0946" w:rsidRPr="00F54F89">
        <w:rPr>
          <w:noProof/>
          <w:lang w:val="en-US"/>
        </w:rPr>
        <w:tab/>
        <w:t>V. Lobo, A. Patil, A. Phatak, N. Chandra, Free radicals, antioxidants and functional foods: Impact on human health, Pharmacogn. Rev. 4 (2010) 118–126.</w:t>
      </w:r>
    </w:p>
    <w:p w14:paraId="0D83450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w:t>
      </w:r>
      <w:r w:rsidRPr="00F54F89">
        <w:rPr>
          <w:noProof/>
          <w:lang w:val="en-US"/>
        </w:rPr>
        <w:tab/>
        <w:t>A.H. Bhat, K.B. Dar, S. Anees, M.A. Zargar, A. Masood, M.A. Sofi, S.A. Ganie, Oxidative stress, mitochondrial dysfunction and neurodegenerative diseases; a mechanistic insight, Biomed. Pharmacother. 74 (2015) 101–110.</w:t>
      </w:r>
    </w:p>
    <w:p w14:paraId="7FFD001A"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w:t>
      </w:r>
      <w:r w:rsidRPr="00F54F89">
        <w:rPr>
          <w:noProof/>
          <w:lang w:val="en-US"/>
        </w:rPr>
        <w:tab/>
        <w:t>G. Ndrepepa, Myeloperoxidase – A bridge linking inflammation and oxidative stress with cardiovascular disease, Clin. Chim. Acta. 493 (2019) 36–51.</w:t>
      </w:r>
    </w:p>
    <w:p w14:paraId="27F9D35E"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w:t>
      </w:r>
      <w:r w:rsidRPr="00F54F89">
        <w:rPr>
          <w:noProof/>
          <w:lang w:val="en-US"/>
        </w:rPr>
        <w:tab/>
        <w:t>M.J. Smallwood, A. Nissim, A.R. Knight, M. Whiteman, R. Haigh, P.G. Winyard, Oxidative stress in autoimmune rheumatic diseases, Free Radic. Biol. Med. 125 (2018) 3–14.</w:t>
      </w:r>
    </w:p>
    <w:p w14:paraId="362E829C"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lastRenderedPageBreak/>
        <w:t>[5]</w:t>
      </w:r>
      <w:r w:rsidRPr="00F54F89">
        <w:rPr>
          <w:noProof/>
          <w:lang w:val="en-US"/>
        </w:rPr>
        <w:tab/>
        <w:t>D. Li, G. Liang, R. Calderone, J.A. Bellanti, Vitiligo and Hashimoto’s thyroiditis: Autoimmune diseases linked by clinical presentation, biochemical commonality, and autoimmune/oxidative stress-mediated toxicity pathogenesis, Med. Hypotheses. 128 (2019) 69–75.</w:t>
      </w:r>
    </w:p>
    <w:p w14:paraId="31555CC3"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w:t>
      </w:r>
      <w:r w:rsidRPr="00F54F89">
        <w:rPr>
          <w:noProof/>
          <w:lang w:val="en-US"/>
        </w:rPr>
        <w:tab/>
        <w:t>M. Hemmati-Dinarvand, S. Saedi, M. Valilo, A. Kalantary-Charvadeh, M. Alizadeh Sani, R. Kargar, H. Safari, N. Samadi, Oxidative stress and Parkinson’s disease: conflict of oxidant-antioxidant systems, Neurosci. Lett. 709 (2019) 134296.</w:t>
      </w:r>
    </w:p>
    <w:p w14:paraId="32D46042"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[7]</w:t>
      </w:r>
      <w:r w:rsidRPr="00F54F89">
        <w:rPr>
          <w:noProof/>
          <w:lang w:val="en-US"/>
        </w:rPr>
        <w:tab/>
        <w:t>T. Nakanishi, T. Kuragano, M. Nanami, Y. Nagasawa, Y. Hasuike, Misdistribution of iron and oxidative stress in chronic kidney disease, Free Radic. Biol. Med. 133 (2019) 248–253.</w:t>
      </w:r>
    </w:p>
    <w:p w14:paraId="187D9F64"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[8]</w:t>
      </w:r>
      <w:r w:rsidRPr="00F54F89">
        <w:rPr>
          <w:noProof/>
          <w:lang w:val="en-US"/>
        </w:rPr>
        <w:tab/>
        <w:t>B. Khambu, S. Yan, N. Huda, G. Liu, X.-M. Yin, Autophagy in non-alcoholic fatty liver disease and alcoholic liver disease, Liver Res. 2 (2018) 112–119.</w:t>
      </w:r>
    </w:p>
    <w:p w14:paraId="265889E2"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[9]</w:t>
      </w:r>
      <w:r w:rsidRPr="00F54F89">
        <w:rPr>
          <w:noProof/>
          <w:lang w:val="en-US"/>
        </w:rPr>
        <w:tab/>
        <w:t>Y. Lin, M. Jiang, W. Chen, T. Zhao, Y. Wei, Cancer and ER stress: Mutual crosstalk between autophagy, oxidative stress and inflammatory response, Biomed. Pharmacother. 118 (2019) 109249.</w:t>
      </w:r>
    </w:p>
    <w:p w14:paraId="2DAE72A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[10]</w:t>
      </w:r>
      <w:r w:rsidRPr="00F54F89">
        <w:rPr>
          <w:noProof/>
          <w:lang w:val="en-US"/>
        </w:rPr>
        <w:tab/>
        <w:t>F. Trautinger, Mechanisms of photodamage of the skin and its functional consequences for skin ageing, Clin. Exp. Dermatol. 26 (2001) 573–577.</w:t>
      </w:r>
    </w:p>
    <w:p w14:paraId="18722CF1"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[11]</w:t>
      </w:r>
      <w:r w:rsidRPr="00F54F89">
        <w:rPr>
          <w:noProof/>
          <w:lang w:val="en-US"/>
        </w:rPr>
        <w:tab/>
        <w:t>S. Salvioli, M. Bonafè, M. Capri, D. Monti, C. Franceschi, Mitochondria, aging and longevity - A new perspective, FEBS Lett. 492 (2001) 9–13.</w:t>
      </w:r>
    </w:p>
    <w:p w14:paraId="6F32E813"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[12]</w:t>
      </w:r>
      <w:r w:rsidRPr="00F54F89">
        <w:rPr>
          <w:noProof/>
          <w:lang w:val="en-US"/>
        </w:rPr>
        <w:tab/>
        <w:t>I. Zavodnik, V. Buko, O. Lukivskaya, E. Lapshina, T. Ilyich, E. Belonovskaya, S. Kirko, E. Naruta, I. Kuzmitskaya, G. Budryn, D. Zyzelevicz, J. Orach, A. Zakrzeska, L. Kiryukhina, Cranberry (Vaccinium macrocarpon) peel polyphenol-rich extract attenuates rat liver mitochondria impairments in alcoholic steatohepatitis in vivo and after oxidative treatment in vitro, J. Funct. Foods. 57 (2019) 83–94.</w:t>
      </w:r>
    </w:p>
    <w:p w14:paraId="0EFE0888"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[13]</w:t>
      </w:r>
      <w:r w:rsidRPr="00F54F89">
        <w:rPr>
          <w:noProof/>
          <w:lang w:val="en-US"/>
        </w:rPr>
        <w:tab/>
        <w:t xml:space="preserve">A.A. Thabet, F.S. Youssef, M. El-Shazly, H.A. El-Beshbishy, A.N.B. Singab, Validation of the antihyperglycaemic and hepatoprotective activity of the flavonoid rich fraction of Brachychiton rupestris using in vivo experimental models and molecular </w:t>
      </w:r>
      <w:r w:rsidRPr="00F54F89">
        <w:rPr>
          <w:noProof/>
          <w:lang w:val="en-US"/>
        </w:rPr>
        <w:lastRenderedPageBreak/>
        <w:t>modelling, Food Chem. Toxicol. 114 (2018) 302–310.</w:t>
      </w:r>
    </w:p>
    <w:p w14:paraId="429A04F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[14]</w:t>
      </w:r>
      <w:r w:rsidRPr="00F54F89">
        <w:rPr>
          <w:noProof/>
          <w:lang w:val="en-US"/>
        </w:rPr>
        <w:tab/>
        <w:t>J. Kocot, M. Kiełczykowska, D. Luchowska-Kocot, J. Kurzepa, I. Musik, Antioxidant potential of propolis, bee pollen, and royal jelly: Possible medical application, Oxid. Med. Cell. Longev. 2018 (2018) 1–29.</w:t>
      </w:r>
    </w:p>
    <w:p w14:paraId="29BDADC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[15]</w:t>
      </w:r>
      <w:r w:rsidRPr="00F54F89">
        <w:rPr>
          <w:noProof/>
          <w:lang w:val="en-US"/>
        </w:rPr>
        <w:tab/>
        <w:t>T. Ozdal, F.D. Ceylan, N. Eroglu, M. Kaplan, E.O. Olgun, E. Capanoglu, Investigation of antioxidant capacity, bioaccessibility and LC-MS/MS phenolic profile of Turkish propolis, Food Res. Int. 122 (2019) 528–536.</w:t>
      </w:r>
    </w:p>
    <w:p w14:paraId="6CC1A082"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[16]</w:t>
      </w:r>
      <w:r w:rsidRPr="00F54F89">
        <w:rPr>
          <w:noProof/>
          <w:lang w:val="en-US"/>
        </w:rPr>
        <w:tab/>
        <w:t>C.M. Spagnol, R.P. Assis, I.L. Brunetti, V.L.B. Isaac, H.R.N. Salgado, M.A. Corrêa, In vitro methods to determine the antioxidant activity of caffeic acid, Spectrochim. Acta - Part A Mol. Biomol. Spectrosc. 219 (2019) 358–366.</w:t>
      </w:r>
    </w:p>
    <w:p w14:paraId="5B3791E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[17]</w:t>
      </w:r>
      <w:r w:rsidRPr="00F54F89">
        <w:rPr>
          <w:noProof/>
          <w:lang w:val="en-US"/>
        </w:rPr>
        <w:tab/>
        <w:t>R.A. Dar, P.K. Brahman, N. Khurana, J.A. Wagay, Z.A. Lone, M.A. Ganaie, K.S. Pitre, Evaluation of antioxidant activity of crocin, podophyllotoxin and kaempferol by chemical, biochemical and electrochemical assays, Arab. J. Chem. 10 (2017) S1119–S1128.</w:t>
      </w:r>
    </w:p>
    <w:p w14:paraId="7DE58D0E"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[18]</w:t>
      </w:r>
      <w:r w:rsidRPr="00F54F89">
        <w:rPr>
          <w:noProof/>
          <w:lang w:val="en-US"/>
        </w:rPr>
        <w:tab/>
        <w:t>L. Simon, M. Vincent, S. Le Saux, V. Lapinte, N. Marcotte, M. Morille, C. Dorandeu, J.M. Devoisselle, S. Bégu, Polyoxazolines based mixed micelles as PEG free formulations for an effective quercetin antioxidant topical delivery, Int. J. Pharm. 570 (2019) 118516.</w:t>
      </w:r>
    </w:p>
    <w:p w14:paraId="6A614420"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[19]</w:t>
      </w:r>
      <w:r w:rsidRPr="00F54F89">
        <w:rPr>
          <w:noProof/>
          <w:lang w:val="en-US"/>
        </w:rPr>
        <w:tab/>
        <w:t>S. Uprit, R. Kumar Sahu, A. Roy, A. Pare, Preparation and characterization of minoxidil loaded nanostructured lipid carrier gel for effective treatment of alopecia, Saudi Pharm. J. 21 (2013) 379–385.</w:t>
      </w:r>
    </w:p>
    <w:p w14:paraId="307F6B26"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[20]</w:t>
      </w:r>
      <w:r w:rsidRPr="00F54F89">
        <w:rPr>
          <w:noProof/>
          <w:lang w:val="en-US"/>
        </w:rPr>
        <w:tab/>
        <w:t>M. Žilius, K. Ramanauskiene, V. Briedis, Release of propolis phenolic acids from semisolid formulations and their penetration into the human skin in vitro, Evidence-Based Complement. Altern. Med. 2013 (2013).</w:t>
      </w:r>
    </w:p>
    <w:p w14:paraId="233E5D62"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[21]</w:t>
      </w:r>
      <w:r w:rsidRPr="00F54F89">
        <w:rPr>
          <w:noProof/>
          <w:lang w:val="en-US"/>
        </w:rPr>
        <w:tab/>
        <w:t>M. Kfoury, C. Geagea, S. Ruellan, H. Greige-Gerges, S. Fourmentin, Effect of cyclodextrin and cosolvent on the solubility and antioxidant activity of caffeic acid, Food Chem. 278 (2019) 163–169.</w:t>
      </w:r>
    </w:p>
    <w:p w14:paraId="2A914481"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lastRenderedPageBreak/>
        <w:t>[22]</w:t>
      </w:r>
      <w:r w:rsidRPr="00F54F89">
        <w:rPr>
          <w:noProof/>
          <w:lang w:val="en-US"/>
        </w:rPr>
        <w:tab/>
        <w:t>H.T.H. Vu, S.M. Hook, S.D. Siqueira, A. Müllertz, T. Rades, A. McDowell, Are phytosomes a superior nanodelivery system for the antioxidant rutin?, Int. J. Pharm. 548 (2018) 82–91.</w:t>
      </w:r>
    </w:p>
    <w:p w14:paraId="21FDE2C8"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[23]</w:t>
      </w:r>
      <w:r w:rsidRPr="00F54F89">
        <w:rPr>
          <w:noProof/>
          <w:lang w:val="en-US"/>
        </w:rPr>
        <w:tab/>
        <w:t>D.R. Telange, A, ArunT.Patil, A, AnilM.Pethe, B, H. Fegade, A, S. Anand, C, Formulation and characterization of an apigenin-phospholipid phytosome (APLC) for improved solubility, in vivo bioavailability, and antioxidant potential, Eur. J. Pharm. Sci. 108 (2017) 36–49.</w:t>
      </w:r>
    </w:p>
    <w:p w14:paraId="23F1C4E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[24]</w:t>
      </w:r>
      <w:r w:rsidRPr="00F54F89">
        <w:rPr>
          <w:noProof/>
          <w:lang w:val="en-US"/>
        </w:rPr>
        <w:tab/>
        <w:t>M.K. Das, B. Kalita, Design and Evaluation of Phyto-Phospholipid Complexes (Phytosomes) of Rutin for Transdermal Application, J. Appl. Pharm. Sci. 4 (2014) 51–57.</w:t>
      </w:r>
    </w:p>
    <w:p w14:paraId="0D1CDA1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[25]</w:t>
      </w:r>
      <w:r w:rsidRPr="00F54F89">
        <w:rPr>
          <w:noProof/>
          <w:lang w:val="en-US"/>
        </w:rPr>
        <w:tab/>
        <w:t>M. Lu, Q. Qiu, X. Luo, X. Liu, J. Sun, C. Wang, X. Lin, Y. Deng, Y. Song, Phyto-phospholipid complexes (phytosomes): A novel strategy to improve the bioavailability of active constituents, Asian J. Pharm. Sci. 14 (2019) 265–274.</w:t>
      </w:r>
    </w:p>
    <w:p w14:paraId="26E79952"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[26]</w:t>
      </w:r>
      <w:r w:rsidRPr="00F54F89">
        <w:rPr>
          <w:noProof/>
          <w:lang w:val="en-US"/>
        </w:rPr>
        <w:tab/>
        <w:t>A. Shakeri, A. Sahebkar, Opinion Paper: Phytosome: A Fatty Solution for Efficient Formulation of Phytopharmaceuticals, Recent Pat. Drug Deliv. Formul. 10 (2016) 7–10.</w:t>
      </w:r>
    </w:p>
    <w:p w14:paraId="1DF1A706"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[27]</w:t>
      </w:r>
      <w:r w:rsidRPr="00F54F89">
        <w:rPr>
          <w:noProof/>
          <w:lang w:val="en-US"/>
        </w:rPr>
        <w:tab/>
        <w:t>S. Saraf, J. Khan, A. Alexander, Ajazuddin, S. Saraf, Recent advances and future prospects of phyto-phospholipid complexation technique for improving pharmacokinetic profile of plant actives, J. Control. Release. 168 (2013) 50–60.</w:t>
      </w:r>
    </w:p>
    <w:p w14:paraId="5AA1488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[28]</w:t>
      </w:r>
      <w:r w:rsidRPr="00F54F89">
        <w:rPr>
          <w:noProof/>
          <w:lang w:val="en-US"/>
        </w:rPr>
        <w:tab/>
        <w:t>E. Hammam, J. Basahi, I. Ismail, I. Hassan, T. Almeelbi, The role of hydrogen bonding in the fluorescence quenching of 2,6-bis((E)-2-(benzoxazol-2-yl)vinyl)naphthalene (BBVN) in methanol, Spectrochim. Acta - Part A Mol. Biomol. Spectrosc. 173 (2017) 681–686.</w:t>
      </w:r>
    </w:p>
    <w:p w14:paraId="78692BFA"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[29]</w:t>
      </w:r>
      <w:r w:rsidRPr="00F54F89">
        <w:rPr>
          <w:noProof/>
          <w:lang w:val="en-US"/>
        </w:rPr>
        <w:tab/>
        <w:t>J. Zhao, P. Song, Y. Cui, X. Liu, S. Sun, S. Hou, F. Ma, Effects of hydrogen bond on 2-aminopyridine and its derivatives complexes in methanol solvent, Spectrochim. Acta - Part A Mol. Biomol. Spectrosc. 131 (2014) 282–287.</w:t>
      </w:r>
    </w:p>
    <w:p w14:paraId="75C8FF1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[30]</w:t>
      </w:r>
      <w:r w:rsidRPr="00F54F89">
        <w:rPr>
          <w:noProof/>
          <w:lang w:val="en-US"/>
        </w:rPr>
        <w:tab/>
        <w:t xml:space="preserve">M.S. Freag, Y.S.R. Elnaggar, O.Y. Abdallah, Lyophilized phytosomal nanocarriers as platforms for enhanced diosmin delivery: Optimization and ex vivo permeation, Int. J. </w:t>
      </w:r>
      <w:r w:rsidRPr="00F54F89">
        <w:rPr>
          <w:noProof/>
          <w:lang w:val="en-US"/>
        </w:rPr>
        <w:lastRenderedPageBreak/>
        <w:t>Nanomedicine. 8 (2013) 2385–2397.</w:t>
      </w:r>
    </w:p>
    <w:p w14:paraId="3AEF1D80"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[31]</w:t>
      </w:r>
      <w:r w:rsidRPr="00F54F89">
        <w:rPr>
          <w:noProof/>
          <w:lang w:val="en-US"/>
        </w:rPr>
        <w:tab/>
        <w:t>R.P. Singh, H. V. Gangadharappa, K. Mruthunjaya, Phytosome complexed with chitosan for gingerol delivery in the treatment of respiratory infection: In vitro and in vivo evaluation, Eur. J. Pharm. Sci. 122 (2018) 214–229.</w:t>
      </w:r>
    </w:p>
    <w:p w14:paraId="024B92FE"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[32]</w:t>
      </w:r>
      <w:r w:rsidRPr="00F54F89">
        <w:rPr>
          <w:noProof/>
          <w:lang w:val="en-US"/>
        </w:rPr>
        <w:tab/>
        <w:t>P. Ju Ho, J. Jun Sung, K. Ki Cheon, H. Jin Tae, Anti-inflammatory effect of Centella asiatica phytosome in a mouse model of phthalic anhydride-induced atopic dermatitis, Phytomedicine. 43 (2018) 110–119.</w:t>
      </w:r>
    </w:p>
    <w:p w14:paraId="2852C56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[33]</w:t>
      </w:r>
      <w:r w:rsidRPr="00F54F89">
        <w:rPr>
          <w:noProof/>
          <w:lang w:val="en-US"/>
        </w:rPr>
        <w:tab/>
        <w:t>S. Surini, H. Mubarak, D. Ramadon, Cosmetic serum containing grape (Vitis vinifera L.) seed extract phytosome: Formulation and in vitro penetration study, J. Young Pharm. 10 (2018) s51–s55.</w:t>
      </w:r>
    </w:p>
    <w:p w14:paraId="0A6CFEC8"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[34]</w:t>
      </w:r>
      <w:r w:rsidRPr="00F54F89">
        <w:rPr>
          <w:noProof/>
          <w:lang w:val="en-US"/>
        </w:rPr>
        <w:tab/>
        <w:t>J. Chlopicka, P. Pasko, S. Gorinstein, A. Jedryas, P. Zagrodzki, Total phenolic and total flavonoid content, antioxidant activity and sensory evaluation of pseudocereal breads, LWT - Food Sci. Technol. 46 (2012) 548–555.</w:t>
      </w:r>
    </w:p>
    <w:p w14:paraId="127705C4"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[35]</w:t>
      </w:r>
      <w:r w:rsidRPr="00F54F89">
        <w:rPr>
          <w:noProof/>
          <w:lang w:val="en-US"/>
        </w:rPr>
        <w:tab/>
        <w:t>K. Thaipong, U. Boonprakob, K. Crosby, L. Cisneros-Zevallos, D. Hawkins Byrne, Comparison of ABTS, DPPH, FRAP, and ORAC assays for estimating antioxidant activity from guava fruit extracts, J. Food Compos. Anal. 19 (2006) 669–675.</w:t>
      </w:r>
    </w:p>
    <w:p w14:paraId="7B24F223"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[36]</w:t>
      </w:r>
      <w:r w:rsidRPr="00F54F89">
        <w:rPr>
          <w:noProof/>
          <w:lang w:val="en-US"/>
        </w:rPr>
        <w:tab/>
        <w:t>A. Meda, C.E. Lamien, M. Romito, J. Millogo, O.G. Nacoulma, Determination of the total phenolic, flavonoid and proline contents in Burkina Fasan honey, as well as their radical scavenging activity, Food Chem. 91 (2005) 571–577.</w:t>
      </w:r>
    </w:p>
    <w:p w14:paraId="536A22EC"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[37]</w:t>
      </w:r>
      <w:r w:rsidRPr="00F54F89">
        <w:rPr>
          <w:noProof/>
          <w:lang w:val="en-US"/>
        </w:rPr>
        <w:tab/>
        <w:t>Q.D. Do, A.E. Angkawijaya, P.L. Tran-Nguyen, L.H. Huynh, F.E. Soetaredjo, S. Ismadji, Y.H. Ju, Effect of extraction solvent on total phenol content, total flavonoid content, and antioxidant activity of Limnophila aromatica, J. Food Drug Anal. 22 (2014) 296–302.</w:t>
      </w:r>
    </w:p>
    <w:p w14:paraId="29CA9B7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[38]</w:t>
      </w:r>
      <w:r w:rsidRPr="00F54F89">
        <w:rPr>
          <w:noProof/>
          <w:lang w:val="en-US"/>
        </w:rPr>
        <w:tab/>
        <w:t>N. Turkmen, F. Sari, Y.S. Velioglu, The effect of cooking methods on total phenolics and antioxidant activity of selected green vegetables, Food Chem. 93 (2005) 713–718.</w:t>
      </w:r>
    </w:p>
    <w:p w14:paraId="5CBAF500"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[39]</w:t>
      </w:r>
      <w:r w:rsidRPr="00F54F89">
        <w:rPr>
          <w:noProof/>
          <w:lang w:val="en-US"/>
        </w:rPr>
        <w:tab/>
        <w:t xml:space="preserve">A.D. Permana, I.A. Tekko, H.O. McCarthy, R.F. Donnelly, New HPLC–MS method for </w:t>
      </w:r>
      <w:r w:rsidRPr="00F54F89">
        <w:rPr>
          <w:noProof/>
          <w:lang w:val="en-US"/>
        </w:rPr>
        <w:lastRenderedPageBreak/>
        <w:t>rapid and simultaneous quantification of doxycycline, diethylcarbamazine and albendazole metabolites in rat plasma and organs after concomitant oral administration, J. Pharm. Biomed. Anal. 170 (2019) 243–253.</w:t>
      </w:r>
    </w:p>
    <w:p w14:paraId="0B55F9D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[40]</w:t>
      </w:r>
      <w:r w:rsidRPr="00F54F89">
        <w:rPr>
          <w:noProof/>
          <w:lang w:val="en-US"/>
        </w:rPr>
        <w:tab/>
        <w:t>A.D. Permana, M.T.C. McCrudden, R.F. Donnelly, Enhanced intradermal delivery of nanosuspensions of antifilariasis drugs using dissolving microneedles: A proof of concept study, Pharmaceutics. 11 (2019) 346.</w:t>
      </w:r>
    </w:p>
    <w:p w14:paraId="7C5F463C"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[41]</w:t>
      </w:r>
      <w:r w:rsidRPr="00F54F89">
        <w:rPr>
          <w:noProof/>
          <w:lang w:val="en-US"/>
        </w:rPr>
        <w:tab/>
        <w:t>P. Costa, J.M.S. Lobo, Modeling and comparison of dissolution profiles, Eur. J. Pharm. Sci. 13 (2001) 123–133.</w:t>
      </w:r>
    </w:p>
    <w:p w14:paraId="6E16596A"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[42]</w:t>
      </w:r>
      <w:r w:rsidRPr="00F54F89">
        <w:rPr>
          <w:noProof/>
          <w:lang w:val="en-US"/>
        </w:rPr>
        <w:tab/>
        <w:t>S. Dash, P.N. Murthy, L. Nath, P. Chowdhury, Kinetic modelling on drug release from controlled drug delivery systems, Acta Pol. Pharm. - Drug Res. 67 (2010) 217–223.</w:t>
      </w:r>
    </w:p>
    <w:p w14:paraId="6A712DD1"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[43]</w:t>
      </w:r>
      <w:r w:rsidRPr="00F54F89">
        <w:rPr>
          <w:noProof/>
          <w:lang w:val="en-US"/>
        </w:rPr>
        <w:tab/>
        <w:t>Y. Zhang, M. Huo, J. Zhou, A. Zou, W. Li, C. Yao, S. Xie, DDSolver: An add-in program for modeling and comparison of drug dissolution profiles, AAPS J. 12 (2010) 263–271.</w:t>
      </w:r>
    </w:p>
    <w:p w14:paraId="12F7A3F0"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[44]</w:t>
      </w:r>
      <w:r w:rsidRPr="00F54F89">
        <w:rPr>
          <w:noProof/>
          <w:lang w:val="en-US"/>
        </w:rPr>
        <w:tab/>
        <w:t>D.S. Malik, G. Kaur, Nanostructured gel for topical delivery of azelaic acid: Designing, characterization, and in-vitro evaluation, J. Drug Deliv. Sci. Technol. 47 (2018) 123–136.</w:t>
      </w:r>
    </w:p>
    <w:p w14:paraId="4158EF13"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[45]</w:t>
      </w:r>
      <w:r w:rsidRPr="00F54F89">
        <w:rPr>
          <w:noProof/>
          <w:lang w:val="en-US"/>
        </w:rPr>
        <w:tab/>
        <w:t>J. de S. Mansur, M.N.R. Breder, M.C. d’Ascençäo Mansur, R.D. Azulay, Correlaçäo entre a determinaçäo do fator de proteçäo solar em seres humanos e por espectrofotometria, An. Bras. Dermatol. 61 (1986) 121–124.</w:t>
      </w:r>
    </w:p>
    <w:p w14:paraId="0BD8914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[46]</w:t>
      </w:r>
      <w:r w:rsidRPr="00F54F89">
        <w:rPr>
          <w:noProof/>
          <w:lang w:val="en-US"/>
        </w:rPr>
        <w:tab/>
        <w:t>S. Kalthoff, C.P. Strassburg, Contribution of human UDP-glucuronosyltransferases to the antioxidant effects of propolis, artichoke and silymarin, Phytomedicine. 56 (2019) 35–39.</w:t>
      </w:r>
    </w:p>
    <w:p w14:paraId="0E4A47C8"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[47]</w:t>
      </w:r>
      <w:r w:rsidRPr="00F54F89">
        <w:rPr>
          <w:noProof/>
          <w:lang w:val="en-US"/>
        </w:rPr>
        <w:tab/>
        <w:t>V. Tzankova, D. Aluani, Y. Yordanov, M. Kondeva-Burdina, P. Petrov, V. Bankova, R. Simeonova, V. Vitcheva, F. Odjakov, A. Apostolov, B. Tzankov, K. Yoncheva, Micellar propolis nanoformulation of high antioxidant and hepatoprotective activity, Brazilian J. Pharmacogn. 29 (2018) 364–372.</w:t>
      </w:r>
    </w:p>
    <w:p w14:paraId="52B0883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lastRenderedPageBreak/>
        <w:t>[48]</w:t>
      </w:r>
      <w:r w:rsidRPr="00F54F89">
        <w:rPr>
          <w:noProof/>
          <w:lang w:val="en-US"/>
        </w:rPr>
        <w:tab/>
        <w:t>B. King-Díaz, J. Granados-Pineda, M. Bah, J.F. Rivero-Cruz, B. Lotina-Hennsen, Mexican propolis flavonoids affect photosynthesis and seedling growth, J. Photochem. Photobiol. B Biol. 151 (2015) 213–220.</w:t>
      </w:r>
    </w:p>
    <w:p w14:paraId="5966878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[49]</w:t>
      </w:r>
      <w:r w:rsidRPr="00F54F89">
        <w:rPr>
          <w:noProof/>
          <w:lang w:val="en-US"/>
        </w:rPr>
        <w:tab/>
        <w:t>C. Sun, Z. Wu, Z. Wang, H. Zhang, Effect of ethanol/water solvents on phenolic profiles and antioxidant properties of Beijing propolis extracts, Evidence-Based Complement. Altern. Med. 2015 (2015) 1–9.</w:t>
      </w:r>
    </w:p>
    <w:p w14:paraId="4D6A7FA4"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[50]</w:t>
      </w:r>
      <w:r w:rsidRPr="00F54F89">
        <w:rPr>
          <w:noProof/>
          <w:lang w:val="en-US"/>
        </w:rPr>
        <w:tab/>
        <w:t>A. Mazumder, A. Dwivedi, J.L. Du Preez, J. Du Plessis, In vitro wound healing and cytotoxic effects of sinigrin-phytosome complex, Int. J. Pharm. 498 (2016) 283–293.</w:t>
      </w:r>
    </w:p>
    <w:p w14:paraId="09AF8D80"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[51]</w:t>
      </w:r>
      <w:r w:rsidRPr="00F54F89">
        <w:rPr>
          <w:noProof/>
          <w:lang w:val="en-US"/>
        </w:rPr>
        <w:tab/>
        <w:t>A.I. Abd El-Fattah, M.M. Fathy, Z.Y. Ali, A.E.R.A. El-Garawany, E.K. Mohamed, Enhanced therapeutic benefit of quercetin-loaded phytosome nanoparticles in ovariectomized rats, Chem. Biol. Interact. 271 (2017) 30–38.</w:t>
      </w:r>
    </w:p>
    <w:p w14:paraId="2ED40F9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[52]</w:t>
      </w:r>
      <w:r w:rsidRPr="00F54F89">
        <w:rPr>
          <w:noProof/>
          <w:lang w:val="en-US"/>
        </w:rPr>
        <w:tab/>
        <w:t>Y. Zu, W. Sun, X. Zhao, W. Wang, Y. Li, Y. Ge, Y. Liu, K. Wang, Preparation and characterization of amorphous amphotericin B nanoparticles for oral administration through liquid antisolvent precipitation, Eur. J. Pharm. Sci. 53 (2014) 109–117.</w:t>
      </w:r>
    </w:p>
    <w:p w14:paraId="1866CE2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[53]</w:t>
      </w:r>
      <w:r w:rsidRPr="00F54F89">
        <w:rPr>
          <w:noProof/>
          <w:lang w:val="en-US"/>
        </w:rPr>
        <w:tab/>
        <w:t>S. Das, W.K. Ng, P. Kanaujia, S. Kim, R.B.H. Tan, Formulation design, preparation and physicochemical characterizations of solid lipid nanoparticles containing a hydrophobic drug: Effects of process variables, Colloids Surfaces B Biointerfaces. 88 (2011) 483–489.</w:t>
      </w:r>
    </w:p>
    <w:p w14:paraId="3AFF6DC8"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[54]</w:t>
      </w:r>
      <w:r w:rsidRPr="00F54F89">
        <w:rPr>
          <w:noProof/>
          <w:lang w:val="en-US"/>
        </w:rPr>
        <w:tab/>
        <w:t>S.F. El-Menshawe, A.A. Ali, M.A. Rabeh, N.M. Khalil, Nanosized soy phytosome-based thermogel as topical anti-obesity formulation: An approach for acceptable level of evidence of an effective novel herbal weight loss product, Int. J. Nanomedicine. 13 (2018) 307–318.</w:t>
      </w:r>
    </w:p>
    <w:p w14:paraId="742373A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[55]</w:t>
      </w:r>
      <w:r w:rsidRPr="00F54F89">
        <w:rPr>
          <w:noProof/>
          <w:lang w:val="en-US"/>
        </w:rPr>
        <w:tab/>
        <w:t>B. Demir, F.B. Barlas, E. Guler, P.Z. Gumus, M. Can, M. Yavuz, H. Coskunol, S. Timur, Gold nanoparticle loaded phytosomal systems: Synthesis, characterization and in vitro investigations, RSC Adv. 4 (2014) 34687–34695.</w:t>
      </w:r>
    </w:p>
    <w:p w14:paraId="0F190AB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[56]</w:t>
      </w:r>
      <w:r w:rsidRPr="00F54F89">
        <w:rPr>
          <w:noProof/>
          <w:lang w:val="en-US"/>
        </w:rPr>
        <w:tab/>
        <w:t>National Center for Biotechnology Information, Quercetin, PubChem Database. (2019) 1. https://pubchem.ncbi.nlm.nih.gov/compound/Quercetin (accessed August 3, 2019).</w:t>
      </w:r>
    </w:p>
    <w:p w14:paraId="4EBCCCB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lastRenderedPageBreak/>
        <w:t>[57]</w:t>
      </w:r>
      <w:r w:rsidRPr="00F54F89">
        <w:rPr>
          <w:noProof/>
          <w:lang w:val="en-US"/>
        </w:rPr>
        <w:tab/>
        <w:t>National Center for Biotechnology Information, Caffeic acid, PubChem Database. (2019) 1. https://pubchem.ncbi.nlm.nih.gov/compound/Caffeic-acid (accessed August 3, 2019).</w:t>
      </w:r>
    </w:p>
    <w:p w14:paraId="3C07930E"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[58]</w:t>
      </w:r>
      <w:r w:rsidRPr="00F54F89">
        <w:rPr>
          <w:noProof/>
          <w:lang w:val="en-US"/>
        </w:rPr>
        <w:tab/>
        <w:t>National Center for Biotechnology Information, Kaempferol, PubChem Database. (2019) 1. https://pubchem.ncbi.nlm.nih.gov/compound/Kaempferol (accessed August 3, 2019).</w:t>
      </w:r>
    </w:p>
    <w:p w14:paraId="09A1477F"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[59]</w:t>
      </w:r>
      <w:r w:rsidRPr="00F54F89">
        <w:rPr>
          <w:noProof/>
          <w:lang w:val="en-US"/>
        </w:rPr>
        <w:tab/>
        <w:t>A.R. Machado, L.M. Assis, J.A.V. V. Costa, E. Badiale-Furlong, A.S. Motta, Y.M.S.S. Micheletto, L.A. Souza-Soares, Application of sonication and mixing for nanoencapsulation of the cyanobacterium Spirulina platensis in liposomes, Int. Food Res. J. 21 (2014) 2201–2206.</w:t>
      </w:r>
    </w:p>
    <w:p w14:paraId="0B408A96"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[60]</w:t>
      </w:r>
      <w:r w:rsidRPr="00F54F89">
        <w:rPr>
          <w:noProof/>
          <w:lang w:val="en-US"/>
        </w:rPr>
        <w:tab/>
        <w:t>F. Kesisoglou, M. Wang, K. Galipeau, P. Harmon, G. Okoh, W. Xu, Effect of Amorphous Nanoparticle Size on Bioavailability of Anacetrapib in Dogs, J. Pharm. Sci. (2019) 1–9.</w:t>
      </w:r>
    </w:p>
    <w:p w14:paraId="46115FDA"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[61]</w:t>
      </w:r>
      <w:r w:rsidRPr="00F54F89">
        <w:rPr>
          <w:noProof/>
          <w:lang w:val="en-US"/>
        </w:rPr>
        <w:tab/>
        <w:t>M. Sharma, R. Sharma, D.K. Jain, A. Saraf, Enhancement of oral bioavailability of poorly water soluble carvedilol by chitosan nanoparticles: Optimization and pharmacokinetic study, Int. J. Biol. Macromol. 135 (2019) 246–260.</w:t>
      </w:r>
    </w:p>
    <w:p w14:paraId="2397135A"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[62]</w:t>
      </w:r>
      <w:r w:rsidRPr="00F54F89">
        <w:rPr>
          <w:noProof/>
          <w:lang w:val="en-US"/>
        </w:rPr>
        <w:tab/>
        <w:t>B. Albertini, S. Bertoni, B. Perissutti, N. Passerini, An investigation into the release behavior of solid lipid microparticles in different simulated gastrointestinal fluids, Colloids Surfaces B Biointerfaces. 173 (2019) 276–285.</w:t>
      </w:r>
    </w:p>
    <w:p w14:paraId="75CE1F69"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[63]</w:t>
      </w:r>
      <w:r w:rsidRPr="00F54F89">
        <w:rPr>
          <w:noProof/>
          <w:lang w:val="en-US"/>
        </w:rPr>
        <w:tab/>
        <w:t>N. Borkar, D. Xia, R. Holm, Y. Gan, A. Müllertz, M. Yang, H. Mu, Investigating the correlation between in vivo absorption and in vitro release of fenofibrate from lipid matrix particles in biorelevant medium, Eur. J. Pharm. Sci. 51 (2014) 204–210.</w:t>
      </w:r>
    </w:p>
    <w:p w14:paraId="7F97F66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[64]</w:t>
      </w:r>
      <w:r w:rsidRPr="00F54F89">
        <w:rPr>
          <w:noProof/>
          <w:lang w:val="en-US"/>
        </w:rPr>
        <w:tab/>
        <w:t>F. Jung, L. Nothnagel, F. Gao, M. Thurn, V. Vogel, M.G. Wacker, A comparison of two biorelevant in vitro drug release methods for nanotherapeutics based on advanced physiologically-based pharmacokinetic modelling, Eur. J. Pharm. Biopharm. 127 (2018) 462–470.</w:t>
      </w:r>
    </w:p>
    <w:p w14:paraId="03D5BA66"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[65]</w:t>
      </w:r>
      <w:r w:rsidRPr="00F54F89">
        <w:rPr>
          <w:noProof/>
          <w:lang w:val="en-US"/>
        </w:rPr>
        <w:tab/>
        <w:t xml:space="preserve">C.J. Andreas, Y.C. Chen, C. Markopoulos, C. Reppas, J. Dressman, In vitro biorelevant </w:t>
      </w:r>
      <w:r w:rsidRPr="00F54F89">
        <w:rPr>
          <w:noProof/>
          <w:lang w:val="en-US"/>
        </w:rPr>
        <w:lastRenderedPageBreak/>
        <w:t>models for evaluating modified release mesalamine products to forecast the effect of formulation and meal intake on drug release, Eur. J. Pharm. Biopharm. 97 (2015) 39–50.</w:t>
      </w:r>
    </w:p>
    <w:p w14:paraId="395C85D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[66]</w:t>
      </w:r>
      <w:r w:rsidRPr="00F54F89">
        <w:rPr>
          <w:noProof/>
          <w:lang w:val="en-US"/>
        </w:rPr>
        <w:tab/>
        <w:t>Y. Gao, J. Zuo, N. Bou-Chacra, T. de J.A. Pinto, S.-D. Clas, R.B. Walker, R. Löbenberg, In vitro release kinetics of antituberculosis drugs from nanoparticles assessed using a modified dissolution apparatus, Biomed Res. Int. 2013 (2013) 1–9.</w:t>
      </w:r>
    </w:p>
    <w:p w14:paraId="2D875815"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[67]</w:t>
      </w:r>
      <w:r w:rsidRPr="00F54F89">
        <w:rPr>
          <w:noProof/>
          <w:lang w:val="en-US"/>
        </w:rPr>
        <w:tab/>
        <w:t>M.A. Elsheikh, Y.S.R. Elnaggar, E.Y. Gohar, O.Y. Abdallah, Nanoemulsion liquid preconcentrates for raloxifene hydrochloride: Optimization and in vivo appraisal, Int. J. Nanomedicine. 7 (2012) 3787–3802.</w:t>
      </w:r>
    </w:p>
    <w:p w14:paraId="3C4AE257"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[68]</w:t>
      </w:r>
      <w:r w:rsidRPr="00F54F89">
        <w:rPr>
          <w:noProof/>
          <w:lang w:val="en-US"/>
        </w:rPr>
        <w:tab/>
        <w:t>A. Seweryn, T. Bujak, Application of Anionic Phosphorus Derivatives of Alkyl Polyglucosides for the Production of Sustainable and Mild Body Wash Cosmetics, ACS Sustain. Chem. Eng. 6 (2018) 17294–17301.</w:t>
      </w:r>
    </w:p>
    <w:p w14:paraId="1FD9ECB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[69]</w:t>
      </w:r>
      <w:r w:rsidRPr="00F54F89">
        <w:rPr>
          <w:noProof/>
          <w:lang w:val="en-US"/>
        </w:rPr>
        <w:tab/>
        <w:t>H.O. Ammar, M.M. Ghorab, D.M. Mostafa, E.S. Ibrahim, Folic acid loaded lipid nanocarriers with promoted skin antiaging and antioxidant efficacy, J. Drug Deliv. Sci. Technol. 31 (2016) 72–82.</w:t>
      </w:r>
    </w:p>
    <w:p w14:paraId="065BCCEE"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[70]</w:t>
      </w:r>
      <w:r w:rsidRPr="00F54F89">
        <w:rPr>
          <w:noProof/>
          <w:lang w:val="en-US"/>
        </w:rPr>
        <w:tab/>
        <w:t>S. Pientaweeratch, V. Panapisal, A. Tansirikongkol, Antioxidant, anti-collagenase and anti-elastase activities of Phyllanthus emblica, Manilkara zapota and silymarin: an in vitro comparative study for anti-aging applications, Pharm. Biol. 54 (2016) 1865–1872.</w:t>
      </w:r>
    </w:p>
    <w:p w14:paraId="0AD177C4"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[71]</w:t>
      </w:r>
      <w:r w:rsidRPr="00F54F89">
        <w:rPr>
          <w:noProof/>
          <w:lang w:val="en-US"/>
        </w:rPr>
        <w:tab/>
        <w:t>C. Magnani, V.L.B. Isaac, M.A. Correa, H.R.N. Salgado, Caffeic acid: A review of its potential use in medications and cosmetics, Anal. Methods. 6 (2014) 3203–3210.</w:t>
      </w:r>
    </w:p>
    <w:p w14:paraId="20EC619D" w14:textId="77777777" w:rsidR="007D0946" w:rsidRPr="00F54F89" w:rsidRDefault="007D0946" w:rsidP="00CD5B2C">
      <w:pPr>
        <w:widowControl w:val="0"/>
        <w:autoSpaceDE w:val="0"/>
        <w:autoSpaceDN w:val="0"/>
        <w:adjustRightInd w:val="0"/>
        <w:spacing w:after="360" w:line="360" w:lineRule="auto"/>
        <w:ind w:left="640" w:hanging="640"/>
        <w:jc w:val="both"/>
        <w:rPr>
          <w:noProof/>
          <w:lang w:val="en-US"/>
        </w:rPr>
      </w:pPr>
      <w:r w:rsidRPr="00F54F89">
        <w:rPr>
          <w:noProof/>
          <w:lang w:val="en-US"/>
        </w:rPr>
        <w:t>[72]</w:t>
      </w:r>
      <w:r w:rsidRPr="00F54F89">
        <w:rPr>
          <w:noProof/>
          <w:lang w:val="en-US"/>
        </w:rPr>
        <w:tab/>
        <w:t>T.P. Pivetta, L.B. Silva, C.M. Kawakami, M.M. Araújo, M.P.F.M. Del Lama, R.M.Z.G. Naal, S.S. Maria-Engler, L.R. Gaspar, P.D. Marcato, Topical formulation of quercetin encapsulated in natural lipid nanocarriers: Evaluation of biological properties and phototoxic effect, J. Drug Deliv. Sci. Technol. 53 (2019) 101148.</w:t>
      </w:r>
    </w:p>
    <w:p w14:paraId="27697B7C" w14:textId="77777777" w:rsidR="007D0946" w:rsidRPr="00F54F89" w:rsidRDefault="007D0946" w:rsidP="00CD5B2C">
      <w:pPr>
        <w:widowControl w:val="0"/>
        <w:autoSpaceDE w:val="0"/>
        <w:autoSpaceDN w:val="0"/>
        <w:adjustRightInd w:val="0"/>
        <w:spacing w:after="360" w:line="360" w:lineRule="auto"/>
        <w:ind w:left="640" w:hanging="640"/>
        <w:jc w:val="both"/>
        <w:rPr>
          <w:noProof/>
        </w:rPr>
      </w:pPr>
      <w:r w:rsidRPr="00F54F89">
        <w:rPr>
          <w:noProof/>
          <w:lang w:val="en-US"/>
        </w:rPr>
        <w:t>[73]</w:t>
      </w:r>
      <w:r w:rsidRPr="00F54F89">
        <w:rPr>
          <w:noProof/>
          <w:lang w:val="en-US"/>
        </w:rPr>
        <w:tab/>
        <w:t xml:space="preserve">A.R. Nunes, A.L.M. Rodrigues, D.B. de Queiróz, I.G.P. Vieira, J.F.C. Neto, J.T.C. Junior, S.R. Tintino, S.M. de Morais, H.D.M. Coutinho, Photoprotective potential of medicinal plants from Cerrado biome (Brazil) in relation to phenolic content and </w:t>
      </w:r>
      <w:r w:rsidRPr="00F54F89">
        <w:rPr>
          <w:noProof/>
          <w:lang w:val="en-US"/>
        </w:rPr>
        <w:lastRenderedPageBreak/>
        <w:t>antioxidant activity, J. Photochem. Photobiol. B Biol. 189 (2018) 119–123.</w:t>
      </w:r>
    </w:p>
    <w:p w14:paraId="537E0F64" w14:textId="14B30769" w:rsidR="00F606FB" w:rsidRPr="007D0946" w:rsidRDefault="00FB5475" w:rsidP="00CD5B2C">
      <w:pPr>
        <w:widowControl w:val="0"/>
        <w:autoSpaceDE w:val="0"/>
        <w:autoSpaceDN w:val="0"/>
        <w:adjustRightInd w:val="0"/>
        <w:spacing w:after="360" w:line="360" w:lineRule="auto"/>
        <w:ind w:left="640" w:hanging="640"/>
        <w:jc w:val="both"/>
      </w:pPr>
      <w:r w:rsidRPr="00F54F89">
        <w:fldChar w:fldCharType="end"/>
      </w:r>
      <w:bookmarkStart w:id="2" w:name="_GoBack"/>
      <w:bookmarkEnd w:id="2"/>
    </w:p>
    <w:p w14:paraId="262158D4" w14:textId="77777777" w:rsidR="00F606FB" w:rsidRPr="007D0946" w:rsidRDefault="00F606FB" w:rsidP="00FB5475">
      <w:pPr>
        <w:spacing w:line="360" w:lineRule="auto"/>
        <w:jc w:val="both"/>
      </w:pPr>
    </w:p>
    <w:p w14:paraId="68598D43" w14:textId="77777777" w:rsidR="00AF3C2C" w:rsidRPr="007D0946" w:rsidRDefault="00AF3C2C" w:rsidP="00AF3C2C">
      <w:pPr>
        <w:spacing w:line="360" w:lineRule="auto"/>
        <w:jc w:val="both"/>
        <w:rPr>
          <w:b/>
        </w:rPr>
      </w:pPr>
    </w:p>
    <w:p w14:paraId="4E8D31C9" w14:textId="77777777" w:rsidR="00AB2710" w:rsidRPr="007D0946" w:rsidRDefault="00AB2710"/>
    <w:sectPr w:rsidR="00AB2710" w:rsidRPr="007D0946" w:rsidSect="00A31545">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F736C" w14:textId="77777777" w:rsidR="00A01F59" w:rsidRDefault="00A01F59">
      <w:r>
        <w:separator/>
      </w:r>
    </w:p>
  </w:endnote>
  <w:endnote w:type="continuationSeparator" w:id="0">
    <w:p w14:paraId="5E017BC1" w14:textId="77777777" w:rsidR="00A01F59" w:rsidRDefault="00A0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00500000000000000"/>
    <w:charset w:val="00"/>
    <w:family w:val="auto"/>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671DC" w14:textId="77777777" w:rsidR="00A01F59" w:rsidRDefault="00A01F59">
      <w:r>
        <w:separator/>
      </w:r>
    </w:p>
  </w:footnote>
  <w:footnote w:type="continuationSeparator" w:id="0">
    <w:p w14:paraId="10902DFC" w14:textId="77777777" w:rsidR="00A01F59" w:rsidRDefault="00A01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50C96"/>
    <w:multiLevelType w:val="hybridMultilevel"/>
    <w:tmpl w:val="0B7E4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xNDC2NLc0NjWxNDFW0lEKTi0uzszPAykwNKoFAHKhYp8tAAAA"/>
  </w:docVars>
  <w:rsids>
    <w:rsidRoot w:val="00AF3C2C"/>
    <w:rsid w:val="000301E8"/>
    <w:rsid w:val="0003160D"/>
    <w:rsid w:val="0004304C"/>
    <w:rsid w:val="000B499B"/>
    <w:rsid w:val="000C6856"/>
    <w:rsid w:val="000D585E"/>
    <w:rsid w:val="000E6EBE"/>
    <w:rsid w:val="00102500"/>
    <w:rsid w:val="00105C8C"/>
    <w:rsid w:val="00137FB9"/>
    <w:rsid w:val="001A2E62"/>
    <w:rsid w:val="001A3AF3"/>
    <w:rsid w:val="001A4E63"/>
    <w:rsid w:val="001B577C"/>
    <w:rsid w:val="001B7A4D"/>
    <w:rsid w:val="001D3277"/>
    <w:rsid w:val="001D54B8"/>
    <w:rsid w:val="001E2300"/>
    <w:rsid w:val="002231AD"/>
    <w:rsid w:val="00236BD1"/>
    <w:rsid w:val="00237D85"/>
    <w:rsid w:val="00243348"/>
    <w:rsid w:val="002638D2"/>
    <w:rsid w:val="002723A2"/>
    <w:rsid w:val="00281B2E"/>
    <w:rsid w:val="002853DE"/>
    <w:rsid w:val="002A5C9A"/>
    <w:rsid w:val="002B7DFD"/>
    <w:rsid w:val="002C1167"/>
    <w:rsid w:val="0031360F"/>
    <w:rsid w:val="00314308"/>
    <w:rsid w:val="00331540"/>
    <w:rsid w:val="0033615A"/>
    <w:rsid w:val="003413B9"/>
    <w:rsid w:val="003455CE"/>
    <w:rsid w:val="00362434"/>
    <w:rsid w:val="00396031"/>
    <w:rsid w:val="003A0A9C"/>
    <w:rsid w:val="003D1CFC"/>
    <w:rsid w:val="003F2B66"/>
    <w:rsid w:val="003F47D8"/>
    <w:rsid w:val="00444600"/>
    <w:rsid w:val="004559FF"/>
    <w:rsid w:val="0049206B"/>
    <w:rsid w:val="004B2E12"/>
    <w:rsid w:val="00530BF7"/>
    <w:rsid w:val="0054028D"/>
    <w:rsid w:val="0054546C"/>
    <w:rsid w:val="00567707"/>
    <w:rsid w:val="005708DB"/>
    <w:rsid w:val="005A75C4"/>
    <w:rsid w:val="005C026D"/>
    <w:rsid w:val="005E0336"/>
    <w:rsid w:val="005E247B"/>
    <w:rsid w:val="00602A28"/>
    <w:rsid w:val="00680131"/>
    <w:rsid w:val="0068331E"/>
    <w:rsid w:val="00683913"/>
    <w:rsid w:val="006D6CB1"/>
    <w:rsid w:val="006E11EA"/>
    <w:rsid w:val="006F4D24"/>
    <w:rsid w:val="006F6C04"/>
    <w:rsid w:val="00724B73"/>
    <w:rsid w:val="007368CB"/>
    <w:rsid w:val="007477F3"/>
    <w:rsid w:val="00751645"/>
    <w:rsid w:val="00766D10"/>
    <w:rsid w:val="007753B6"/>
    <w:rsid w:val="0078151A"/>
    <w:rsid w:val="007861BE"/>
    <w:rsid w:val="00793E74"/>
    <w:rsid w:val="007A36BF"/>
    <w:rsid w:val="007B0CCB"/>
    <w:rsid w:val="007C5618"/>
    <w:rsid w:val="007D0946"/>
    <w:rsid w:val="007D4460"/>
    <w:rsid w:val="007E20F0"/>
    <w:rsid w:val="00800362"/>
    <w:rsid w:val="00821A22"/>
    <w:rsid w:val="00841821"/>
    <w:rsid w:val="00843DAF"/>
    <w:rsid w:val="008461C6"/>
    <w:rsid w:val="00880C91"/>
    <w:rsid w:val="008A7570"/>
    <w:rsid w:val="008B0289"/>
    <w:rsid w:val="008C0CBD"/>
    <w:rsid w:val="008C429B"/>
    <w:rsid w:val="008F016F"/>
    <w:rsid w:val="00927447"/>
    <w:rsid w:val="00930ADA"/>
    <w:rsid w:val="0093342E"/>
    <w:rsid w:val="00934C1B"/>
    <w:rsid w:val="00986877"/>
    <w:rsid w:val="009D2CE4"/>
    <w:rsid w:val="009E056A"/>
    <w:rsid w:val="00A01F59"/>
    <w:rsid w:val="00A12486"/>
    <w:rsid w:val="00A21861"/>
    <w:rsid w:val="00A31545"/>
    <w:rsid w:val="00A32AAA"/>
    <w:rsid w:val="00A67401"/>
    <w:rsid w:val="00AA1B89"/>
    <w:rsid w:val="00AB2710"/>
    <w:rsid w:val="00AB7240"/>
    <w:rsid w:val="00AB7B32"/>
    <w:rsid w:val="00AC369F"/>
    <w:rsid w:val="00AE3818"/>
    <w:rsid w:val="00AE5DE9"/>
    <w:rsid w:val="00AF3C2C"/>
    <w:rsid w:val="00B16B5C"/>
    <w:rsid w:val="00B22A6C"/>
    <w:rsid w:val="00B404B8"/>
    <w:rsid w:val="00B5037F"/>
    <w:rsid w:val="00B52909"/>
    <w:rsid w:val="00B64A70"/>
    <w:rsid w:val="00B92F16"/>
    <w:rsid w:val="00BB31F0"/>
    <w:rsid w:val="00BB4CF2"/>
    <w:rsid w:val="00BF4807"/>
    <w:rsid w:val="00BF6FF3"/>
    <w:rsid w:val="00C40E75"/>
    <w:rsid w:val="00C67FDF"/>
    <w:rsid w:val="00C927B0"/>
    <w:rsid w:val="00C9657D"/>
    <w:rsid w:val="00CA3AEC"/>
    <w:rsid w:val="00CB6F8A"/>
    <w:rsid w:val="00CD5B2C"/>
    <w:rsid w:val="00CD7060"/>
    <w:rsid w:val="00CE3FB2"/>
    <w:rsid w:val="00CF42AD"/>
    <w:rsid w:val="00CF474C"/>
    <w:rsid w:val="00D04AA2"/>
    <w:rsid w:val="00D0668C"/>
    <w:rsid w:val="00D10A6E"/>
    <w:rsid w:val="00D1284A"/>
    <w:rsid w:val="00D359D5"/>
    <w:rsid w:val="00D41701"/>
    <w:rsid w:val="00D71130"/>
    <w:rsid w:val="00D751AB"/>
    <w:rsid w:val="00D8255A"/>
    <w:rsid w:val="00DA3C48"/>
    <w:rsid w:val="00DC0C9E"/>
    <w:rsid w:val="00DE42C1"/>
    <w:rsid w:val="00DF6C95"/>
    <w:rsid w:val="00E0623B"/>
    <w:rsid w:val="00E148A1"/>
    <w:rsid w:val="00E378F2"/>
    <w:rsid w:val="00E40AA4"/>
    <w:rsid w:val="00E40D5F"/>
    <w:rsid w:val="00E8261F"/>
    <w:rsid w:val="00E91A53"/>
    <w:rsid w:val="00EA5ACF"/>
    <w:rsid w:val="00EA64E3"/>
    <w:rsid w:val="00EC0585"/>
    <w:rsid w:val="00ED4C25"/>
    <w:rsid w:val="00ED502D"/>
    <w:rsid w:val="00EF0912"/>
    <w:rsid w:val="00EF1327"/>
    <w:rsid w:val="00F36484"/>
    <w:rsid w:val="00F42B43"/>
    <w:rsid w:val="00F46100"/>
    <w:rsid w:val="00F50063"/>
    <w:rsid w:val="00F54F89"/>
    <w:rsid w:val="00F606FB"/>
    <w:rsid w:val="00F90113"/>
    <w:rsid w:val="00FA7F8D"/>
    <w:rsid w:val="00FB5475"/>
    <w:rsid w:val="00FF7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FAF6A"/>
  <w15:chartTrackingRefBased/>
  <w15:docId w15:val="{523D2D02-F9D4-4E61-A894-5072C5B7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818"/>
    <w:pPr>
      <w:spacing w:after="0" w:line="240" w:lineRule="auto"/>
    </w:pPr>
    <w:rPr>
      <w:rFonts w:ascii="Times New Roman" w:eastAsia="Times New Roman" w:hAnsi="Times New Roman" w:cs="Times New Roman"/>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B52909"/>
    <w:pPr>
      <w:spacing w:before="720" w:after="360" w:line="480" w:lineRule="auto"/>
      <w:jc w:val="center"/>
    </w:pPr>
    <w:rPr>
      <w:sz w:val="44"/>
      <w:szCs w:val="20"/>
      <w:lang w:val="en-US"/>
    </w:rPr>
  </w:style>
  <w:style w:type="paragraph" w:customStyle="1" w:styleId="BBAuthorName">
    <w:name w:val="BB_Author_Name"/>
    <w:basedOn w:val="Normal"/>
    <w:next w:val="BCAuthorAddress"/>
    <w:rsid w:val="00B52909"/>
    <w:pPr>
      <w:spacing w:after="240" w:line="480" w:lineRule="auto"/>
      <w:jc w:val="center"/>
    </w:pPr>
    <w:rPr>
      <w:rFonts w:ascii="Times" w:hAnsi="Times"/>
      <w:i/>
      <w:szCs w:val="20"/>
      <w:lang w:val="en-US"/>
    </w:rPr>
  </w:style>
  <w:style w:type="paragraph" w:customStyle="1" w:styleId="BCAuthorAddress">
    <w:name w:val="BC_Author_Address"/>
    <w:basedOn w:val="Normal"/>
    <w:next w:val="Normal"/>
    <w:rsid w:val="00B52909"/>
    <w:pPr>
      <w:spacing w:after="240" w:line="480" w:lineRule="auto"/>
      <w:jc w:val="center"/>
    </w:pPr>
    <w:rPr>
      <w:rFonts w:ascii="Times" w:hAnsi="Times"/>
      <w:szCs w:val="20"/>
      <w:lang w:val="en-US"/>
    </w:rPr>
  </w:style>
  <w:style w:type="character" w:customStyle="1" w:styleId="text">
    <w:name w:val="text"/>
    <w:basedOn w:val="DefaultParagraphFont"/>
    <w:rsid w:val="00B52909"/>
  </w:style>
  <w:style w:type="paragraph" w:customStyle="1" w:styleId="TAMainText">
    <w:name w:val="TA_Main_Text"/>
    <w:basedOn w:val="Normal"/>
    <w:rsid w:val="000C6856"/>
    <w:pPr>
      <w:spacing w:line="480" w:lineRule="auto"/>
      <w:ind w:firstLine="202"/>
      <w:jc w:val="both"/>
    </w:pPr>
    <w:rPr>
      <w:rFonts w:ascii="Times" w:hAnsi="Times"/>
      <w:szCs w:val="20"/>
      <w:lang w:val="en-US"/>
    </w:rPr>
  </w:style>
  <w:style w:type="character" w:styleId="Emphasis">
    <w:name w:val="Emphasis"/>
    <w:basedOn w:val="DefaultParagraphFont"/>
    <w:uiPriority w:val="20"/>
    <w:qFormat/>
    <w:rsid w:val="000C6856"/>
    <w:rPr>
      <w:i/>
      <w:iCs/>
    </w:rPr>
  </w:style>
  <w:style w:type="paragraph" w:customStyle="1" w:styleId="VDTableTitle">
    <w:name w:val="VD_Table_Title"/>
    <w:basedOn w:val="Normal"/>
    <w:next w:val="Normal"/>
    <w:rsid w:val="000C6856"/>
    <w:pPr>
      <w:spacing w:after="200" w:line="480" w:lineRule="auto"/>
      <w:jc w:val="both"/>
    </w:pPr>
    <w:rPr>
      <w:rFonts w:ascii="Times" w:hAnsi="Times"/>
      <w:szCs w:val="20"/>
      <w:lang w:val="en-US"/>
    </w:rPr>
  </w:style>
  <w:style w:type="character" w:customStyle="1" w:styleId="label">
    <w:name w:val="label"/>
    <w:basedOn w:val="DefaultParagraphFont"/>
    <w:rsid w:val="000C6856"/>
  </w:style>
  <w:style w:type="character" w:customStyle="1" w:styleId="CommentTextChar">
    <w:name w:val="Comment Text Char"/>
    <w:basedOn w:val="DefaultParagraphFont"/>
    <w:link w:val="CommentText"/>
    <w:uiPriority w:val="99"/>
    <w:semiHidden/>
    <w:rsid w:val="000C6856"/>
    <w:rPr>
      <w:sz w:val="20"/>
      <w:szCs w:val="20"/>
    </w:rPr>
  </w:style>
  <w:style w:type="paragraph" w:styleId="CommentText">
    <w:name w:val="annotation text"/>
    <w:basedOn w:val="Normal"/>
    <w:link w:val="CommentTextChar"/>
    <w:uiPriority w:val="99"/>
    <w:semiHidden/>
    <w:unhideWhenUsed/>
    <w:rsid w:val="000C6856"/>
    <w:pPr>
      <w:spacing w:after="160"/>
    </w:pPr>
    <w:rPr>
      <w:rFonts w:asciiTheme="minorHAnsi" w:eastAsiaTheme="minorHAnsi" w:hAnsiTheme="minorHAnsi" w:cstheme="minorBidi"/>
      <w:sz w:val="20"/>
      <w:szCs w:val="20"/>
      <w:lang w:val="en-GB"/>
    </w:rPr>
  </w:style>
  <w:style w:type="character" w:customStyle="1" w:styleId="CommentSubjectChar">
    <w:name w:val="Comment Subject Char"/>
    <w:basedOn w:val="CommentTextChar"/>
    <w:link w:val="CommentSubject"/>
    <w:uiPriority w:val="99"/>
    <w:semiHidden/>
    <w:rsid w:val="000C6856"/>
    <w:rPr>
      <w:b/>
      <w:bCs/>
      <w:sz w:val="20"/>
      <w:szCs w:val="20"/>
    </w:rPr>
  </w:style>
  <w:style w:type="paragraph" w:styleId="CommentSubject">
    <w:name w:val="annotation subject"/>
    <w:basedOn w:val="CommentText"/>
    <w:next w:val="CommentText"/>
    <w:link w:val="CommentSubjectChar"/>
    <w:uiPriority w:val="99"/>
    <w:semiHidden/>
    <w:unhideWhenUsed/>
    <w:rsid w:val="000C6856"/>
    <w:rPr>
      <w:b/>
      <w:bCs/>
    </w:rPr>
  </w:style>
  <w:style w:type="character" w:customStyle="1" w:styleId="BalloonTextChar">
    <w:name w:val="Balloon Text Char"/>
    <w:basedOn w:val="DefaultParagraphFont"/>
    <w:link w:val="BalloonText"/>
    <w:uiPriority w:val="99"/>
    <w:semiHidden/>
    <w:rsid w:val="000C6856"/>
    <w:rPr>
      <w:rFonts w:ascii="Segoe UI" w:hAnsi="Segoe UI" w:cs="Segoe UI"/>
      <w:sz w:val="18"/>
      <w:szCs w:val="18"/>
    </w:rPr>
  </w:style>
  <w:style w:type="paragraph" w:styleId="BalloonText">
    <w:name w:val="Balloon Text"/>
    <w:basedOn w:val="Normal"/>
    <w:link w:val="BalloonTextChar"/>
    <w:uiPriority w:val="99"/>
    <w:semiHidden/>
    <w:unhideWhenUsed/>
    <w:rsid w:val="000C6856"/>
    <w:rPr>
      <w:rFonts w:ascii="Segoe UI" w:hAnsi="Segoe UI" w:cs="Segoe UI"/>
      <w:sz w:val="18"/>
      <w:szCs w:val="18"/>
    </w:rPr>
  </w:style>
  <w:style w:type="paragraph" w:customStyle="1" w:styleId="EndNoteBibliographyTitle">
    <w:name w:val="EndNote Bibliography Title"/>
    <w:basedOn w:val="Normal"/>
    <w:link w:val="EndNoteBibliographyTitleChar"/>
    <w:rsid w:val="000C6856"/>
    <w:pPr>
      <w:spacing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0C6856"/>
    <w:rPr>
      <w:rFonts w:ascii="Calibri" w:hAnsi="Calibri" w:cs="Calibri"/>
      <w:noProof/>
      <w:lang w:val="en-US"/>
    </w:rPr>
  </w:style>
  <w:style w:type="paragraph" w:customStyle="1" w:styleId="EndNoteBibliography">
    <w:name w:val="EndNote Bibliography"/>
    <w:basedOn w:val="Normal"/>
    <w:link w:val="EndNoteBibliographyChar"/>
    <w:rsid w:val="000C6856"/>
    <w:pPr>
      <w:spacing w:after="160"/>
      <w:jc w:val="both"/>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0C6856"/>
    <w:rPr>
      <w:rFonts w:ascii="Calibri" w:hAnsi="Calibri" w:cs="Calibri"/>
      <w:noProof/>
      <w:lang w:val="en-US"/>
    </w:rPr>
  </w:style>
  <w:style w:type="character" w:customStyle="1" w:styleId="EndnoteTextChar">
    <w:name w:val="Endnote Text Char"/>
    <w:basedOn w:val="DefaultParagraphFont"/>
    <w:link w:val="EndnoteText"/>
    <w:uiPriority w:val="99"/>
    <w:semiHidden/>
    <w:rsid w:val="000C6856"/>
    <w:rPr>
      <w:sz w:val="20"/>
      <w:szCs w:val="20"/>
    </w:rPr>
  </w:style>
  <w:style w:type="paragraph" w:styleId="EndnoteText">
    <w:name w:val="endnote text"/>
    <w:basedOn w:val="Normal"/>
    <w:link w:val="EndnoteTextChar"/>
    <w:uiPriority w:val="99"/>
    <w:semiHidden/>
    <w:unhideWhenUsed/>
    <w:rsid w:val="000C6856"/>
    <w:rPr>
      <w:sz w:val="20"/>
      <w:szCs w:val="20"/>
    </w:rPr>
  </w:style>
  <w:style w:type="paragraph" w:styleId="ListParagraph">
    <w:name w:val="List Paragraph"/>
    <w:basedOn w:val="Normal"/>
    <w:uiPriority w:val="34"/>
    <w:qFormat/>
    <w:rsid w:val="004B2E12"/>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TDAcknowledgments">
    <w:name w:val="TD_Acknowledgments"/>
    <w:basedOn w:val="Normal"/>
    <w:next w:val="Normal"/>
    <w:rsid w:val="00F606FB"/>
    <w:pPr>
      <w:spacing w:before="200" w:after="200" w:line="480" w:lineRule="auto"/>
      <w:ind w:firstLine="202"/>
      <w:jc w:val="both"/>
    </w:pPr>
    <w:rPr>
      <w:rFonts w:ascii="Times" w:hAnsi="Times"/>
      <w:szCs w:val="20"/>
      <w:lang w:val="en-US"/>
    </w:rPr>
  </w:style>
  <w:style w:type="character" w:styleId="CommentReference">
    <w:name w:val="annotation reference"/>
    <w:basedOn w:val="DefaultParagraphFont"/>
    <w:uiPriority w:val="99"/>
    <w:semiHidden/>
    <w:unhideWhenUsed/>
    <w:rsid w:val="002231AD"/>
    <w:rPr>
      <w:sz w:val="16"/>
      <w:szCs w:val="16"/>
    </w:rPr>
  </w:style>
  <w:style w:type="character" w:styleId="Hyperlink">
    <w:name w:val="Hyperlink"/>
    <w:basedOn w:val="DefaultParagraphFont"/>
    <w:uiPriority w:val="99"/>
    <w:unhideWhenUsed/>
    <w:rsid w:val="00680131"/>
    <w:rPr>
      <w:color w:val="0563C1" w:themeColor="hyperlink"/>
      <w:u w:val="single"/>
    </w:rPr>
  </w:style>
  <w:style w:type="character" w:styleId="LineNumber">
    <w:name w:val="line number"/>
    <w:basedOn w:val="DefaultParagraphFont"/>
    <w:uiPriority w:val="99"/>
    <w:semiHidden/>
    <w:unhideWhenUsed/>
    <w:rsid w:val="001B7A4D"/>
  </w:style>
  <w:style w:type="character" w:styleId="PlaceholderText">
    <w:name w:val="Placeholder Text"/>
    <w:basedOn w:val="DefaultParagraphFont"/>
    <w:uiPriority w:val="99"/>
    <w:semiHidden/>
    <w:rsid w:val="008C0C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3384">
      <w:bodyDiv w:val="1"/>
      <w:marLeft w:val="0"/>
      <w:marRight w:val="0"/>
      <w:marTop w:val="0"/>
      <w:marBottom w:val="0"/>
      <w:divBdr>
        <w:top w:val="none" w:sz="0" w:space="0" w:color="auto"/>
        <w:left w:val="none" w:sz="0" w:space="0" w:color="auto"/>
        <w:bottom w:val="none" w:sz="0" w:space="0" w:color="auto"/>
        <w:right w:val="none" w:sz="0" w:space="0" w:color="auto"/>
      </w:divBdr>
    </w:div>
    <w:div w:id="1058017607">
      <w:bodyDiv w:val="1"/>
      <w:marLeft w:val="0"/>
      <w:marRight w:val="0"/>
      <w:marTop w:val="0"/>
      <w:marBottom w:val="0"/>
      <w:divBdr>
        <w:top w:val="none" w:sz="0" w:space="0" w:color="auto"/>
        <w:left w:val="none" w:sz="0" w:space="0" w:color="auto"/>
        <w:bottom w:val="none" w:sz="0" w:space="0" w:color="auto"/>
        <w:right w:val="none" w:sz="0" w:space="0" w:color="auto"/>
      </w:divBdr>
    </w:div>
    <w:div w:id="2007585991">
      <w:bodyDiv w:val="1"/>
      <w:marLeft w:val="0"/>
      <w:marRight w:val="0"/>
      <w:marTop w:val="0"/>
      <w:marBottom w:val="0"/>
      <w:divBdr>
        <w:top w:val="none" w:sz="0" w:space="0" w:color="auto"/>
        <w:left w:val="none" w:sz="0" w:space="0" w:color="auto"/>
        <w:bottom w:val="none" w:sz="0" w:space="0" w:color="auto"/>
        <w:right w:val="none" w:sz="0" w:space="0" w:color="auto"/>
      </w:divBdr>
    </w:div>
    <w:div w:id="205377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5D2FA-0D0B-B54A-ACE8-84478134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49803</Words>
  <Characters>283881</Characters>
  <Application>Microsoft Office Word</Application>
  <DocSecurity>0</DocSecurity>
  <Lines>2365</Lines>
  <Paragraphs>666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333018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Andi Permana</cp:lastModifiedBy>
  <cp:revision>2</cp:revision>
  <cp:lastPrinted>2019-09-16T09:12:00Z</cp:lastPrinted>
  <dcterms:created xsi:type="dcterms:W3CDTF">2020-03-12T01:44:00Z</dcterms:created>
  <dcterms:modified xsi:type="dcterms:W3CDTF">2020-03-12T01:44:00Z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http://www.zotero.org/styles/elsevier-harvard2</vt:lpwstr>
  </property>
  <property fmtid="{D5CDD505-2E9C-101B-9397-08002B2CF9AE}" pid="11" name="Mendeley Recent Style Name 4_1">
    <vt:lpwstr>Elsevier - Harvard 2</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http://www.zotero.org/styles/journal-of-photochemistry-and-photobiology-b-biology</vt:lpwstr>
  </property>
  <property fmtid="{D5CDD505-2E9C-101B-9397-08002B2CF9AE}" pid="15" name="Mendeley Recent Style Name 6_1">
    <vt:lpwstr>Journal of Photochemistry &amp; Photobiology, B: Biology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http://www.zotero.org/styles/pharmaceutical-research</vt:lpwstr>
  </property>
  <property fmtid="{D5CDD505-2E9C-101B-9397-08002B2CF9AE}" pid="19" name="Mendeley Recent Style Name 8_1">
    <vt:lpwstr>Pharmaceutical Research</vt:lpwstr>
  </property>
  <property fmtid="{D5CDD505-2E9C-101B-9397-08002B2CF9AE}" pid="20" name="Mendeley Recent Style Id 9_1">
    <vt:lpwstr>http://www.zotero.org/styles/pharmaceutics</vt:lpwstr>
  </property>
  <property fmtid="{D5CDD505-2E9C-101B-9397-08002B2CF9AE}" pid="21" name="Mendeley Recent Style Name 9_1">
    <vt:lpwstr>Pharmaceutics</vt:lpwstr>
  </property>
  <property fmtid="{D5CDD505-2E9C-101B-9397-08002B2CF9AE}" pid="22" name="Mendeley Document_1">
    <vt:lpwstr>True</vt:lpwstr>
  </property>
  <property fmtid="{D5CDD505-2E9C-101B-9397-08002B2CF9AE}" pid="23" name="Mendeley Unique User Id_1">
    <vt:lpwstr>e9d2f243-b310-38d9-ad30-f4bb8d2d2fb7</vt:lpwstr>
  </property>
  <property fmtid="{D5CDD505-2E9C-101B-9397-08002B2CF9AE}" pid="24" name="Mendeley Citation Style_1">
    <vt:lpwstr>http://www.zotero.org/styles/journal-of-photochemistry-and-photobiology-b-biology</vt:lpwstr>
  </property>
</Properties>
</file>