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08EC" w14:textId="0B583B31" w:rsidR="001D13AE" w:rsidRPr="009A74DB" w:rsidRDefault="001D13AE" w:rsidP="009C4263">
      <w:pPr>
        <w:spacing w:line="480" w:lineRule="auto"/>
        <w:rPr>
          <w:rFonts w:ascii="Arial" w:hAnsi="Arial" w:cs="Arial"/>
          <w:b/>
          <w:color w:val="000000" w:themeColor="text1"/>
        </w:rPr>
      </w:pPr>
      <w:r w:rsidRPr="009A74DB">
        <w:rPr>
          <w:rFonts w:ascii="Arial" w:hAnsi="Arial" w:cs="Arial"/>
          <w:b/>
          <w:color w:val="000000" w:themeColor="text1"/>
        </w:rPr>
        <w:t xml:space="preserve">In-vivo </w:t>
      </w:r>
      <w:r w:rsidR="000413A9" w:rsidRPr="009A74DB">
        <w:rPr>
          <w:rFonts w:ascii="Arial" w:hAnsi="Arial" w:cs="Arial"/>
          <w:b/>
          <w:color w:val="000000" w:themeColor="text1"/>
        </w:rPr>
        <w:t xml:space="preserve">anterior segment </w:t>
      </w:r>
      <w:r w:rsidRPr="009A74DB">
        <w:rPr>
          <w:rFonts w:ascii="Arial" w:hAnsi="Arial" w:cs="Arial"/>
          <w:b/>
          <w:color w:val="000000" w:themeColor="text1"/>
        </w:rPr>
        <w:t xml:space="preserve">OCT </w:t>
      </w:r>
      <w:r w:rsidR="000413A9" w:rsidRPr="009A74DB">
        <w:rPr>
          <w:rFonts w:ascii="Arial" w:hAnsi="Arial" w:cs="Arial"/>
          <w:b/>
          <w:color w:val="000000" w:themeColor="text1"/>
        </w:rPr>
        <w:t xml:space="preserve">imaging </w:t>
      </w:r>
      <w:r w:rsidRPr="009A74DB">
        <w:rPr>
          <w:rFonts w:ascii="Arial" w:hAnsi="Arial" w:cs="Arial"/>
          <w:b/>
          <w:color w:val="000000" w:themeColor="text1"/>
        </w:rPr>
        <w:t xml:space="preserve">provides </w:t>
      </w:r>
      <w:r w:rsidR="000413A9" w:rsidRPr="009A74DB">
        <w:rPr>
          <w:rFonts w:ascii="Arial" w:hAnsi="Arial" w:cs="Arial"/>
          <w:b/>
          <w:color w:val="000000" w:themeColor="text1"/>
        </w:rPr>
        <w:t>unique insight into</w:t>
      </w:r>
      <w:r w:rsidRPr="009A74DB">
        <w:rPr>
          <w:rFonts w:ascii="Arial" w:hAnsi="Arial" w:cs="Arial"/>
          <w:b/>
          <w:color w:val="000000" w:themeColor="text1"/>
        </w:rPr>
        <w:t xml:space="preserve"> cerulean blue-dot opacities</w:t>
      </w:r>
      <w:r w:rsidR="000413A9" w:rsidRPr="009A74DB">
        <w:rPr>
          <w:rFonts w:ascii="Arial" w:hAnsi="Arial" w:cs="Arial"/>
          <w:b/>
          <w:color w:val="000000" w:themeColor="text1"/>
        </w:rPr>
        <w:t xml:space="preserve"> and cataracts</w:t>
      </w:r>
      <w:r w:rsidRPr="009A74DB">
        <w:rPr>
          <w:rFonts w:ascii="Arial" w:hAnsi="Arial" w:cs="Arial"/>
          <w:b/>
          <w:color w:val="000000" w:themeColor="text1"/>
        </w:rPr>
        <w:t xml:space="preserve"> in Down syndrome</w:t>
      </w:r>
    </w:p>
    <w:p w14:paraId="6026F073" w14:textId="0DDFD4ED" w:rsidR="001D7DA7" w:rsidRPr="009A74DB" w:rsidRDefault="001D7DA7" w:rsidP="009C4263">
      <w:pPr>
        <w:spacing w:line="480" w:lineRule="auto"/>
        <w:rPr>
          <w:rFonts w:ascii="Arial" w:hAnsi="Arial" w:cs="Arial"/>
          <w:color w:val="000000" w:themeColor="text1"/>
        </w:rPr>
      </w:pPr>
    </w:p>
    <w:p w14:paraId="35202A89" w14:textId="77777777" w:rsidR="00097500" w:rsidRPr="009A74DB" w:rsidRDefault="00097500" w:rsidP="009C4263">
      <w:pPr>
        <w:spacing w:line="480" w:lineRule="auto"/>
        <w:rPr>
          <w:rFonts w:ascii="Arial" w:hAnsi="Arial" w:cs="Arial"/>
          <w:color w:val="000000" w:themeColor="text1"/>
        </w:rPr>
      </w:pPr>
    </w:p>
    <w:p w14:paraId="7F47EEF9" w14:textId="51964B9E" w:rsidR="00097500" w:rsidRPr="009A74DB" w:rsidRDefault="00097500" w:rsidP="009C4263">
      <w:pPr>
        <w:spacing w:line="480" w:lineRule="auto"/>
        <w:rPr>
          <w:rFonts w:ascii="Arial" w:hAnsi="Arial" w:cs="Arial"/>
          <w:color w:val="000000" w:themeColor="text1"/>
        </w:rPr>
      </w:pPr>
      <w:r w:rsidRPr="009A74DB">
        <w:rPr>
          <w:rFonts w:ascii="Arial" w:hAnsi="Arial" w:cs="Arial"/>
          <w:color w:val="000000" w:themeColor="text1"/>
        </w:rPr>
        <w:t>Authors:</w:t>
      </w:r>
    </w:p>
    <w:p w14:paraId="410F27EF" w14:textId="27AEDDC4" w:rsidR="00AD20D4" w:rsidRPr="009A74DB" w:rsidRDefault="00875CE9" w:rsidP="009C4263">
      <w:pPr>
        <w:spacing w:line="480" w:lineRule="auto"/>
        <w:rPr>
          <w:rFonts w:ascii="Arial" w:hAnsi="Arial" w:cs="Arial"/>
          <w:color w:val="000000" w:themeColor="text1"/>
        </w:rPr>
      </w:pPr>
      <w:r w:rsidRPr="009A74DB">
        <w:rPr>
          <w:rFonts w:ascii="Arial" w:hAnsi="Arial" w:cs="Arial"/>
          <w:color w:val="000000" w:themeColor="text1"/>
        </w:rPr>
        <w:t>*</w:t>
      </w:r>
      <w:r w:rsidR="00484E9C" w:rsidRPr="009A74DB">
        <w:rPr>
          <w:rFonts w:ascii="Arial" w:hAnsi="Arial" w:cs="Arial"/>
          <w:color w:val="000000" w:themeColor="text1"/>
        </w:rPr>
        <w:t xml:space="preserve">Dr </w:t>
      </w:r>
      <w:r w:rsidR="00AD20D4" w:rsidRPr="009A74DB">
        <w:rPr>
          <w:rFonts w:ascii="Arial" w:hAnsi="Arial" w:cs="Arial"/>
          <w:color w:val="000000" w:themeColor="text1"/>
        </w:rPr>
        <w:t>Julie-Anne Little</w:t>
      </w:r>
      <w:r w:rsidR="00484E9C" w:rsidRPr="009A74DB">
        <w:rPr>
          <w:rFonts w:ascii="Arial" w:hAnsi="Arial" w:cs="Arial"/>
          <w:color w:val="000000" w:themeColor="text1"/>
        </w:rPr>
        <w:t xml:space="preserve">, Centre for Optometry and Vision Science, Biomedical Sciences Research Institute, Ulster University, United Kingdom </w:t>
      </w:r>
      <w:r w:rsidR="00AD20D4" w:rsidRPr="009A74DB">
        <w:rPr>
          <w:rFonts w:ascii="Arial" w:hAnsi="Arial" w:cs="Arial"/>
          <w:color w:val="000000" w:themeColor="text1"/>
        </w:rPr>
        <w:t xml:space="preserve"> </w:t>
      </w:r>
    </w:p>
    <w:p w14:paraId="5EF75078" w14:textId="48BFA3D7" w:rsidR="003E77D5" w:rsidRPr="009A74DB" w:rsidRDefault="00484E9C" w:rsidP="009C4263">
      <w:pPr>
        <w:spacing w:line="480" w:lineRule="auto"/>
        <w:rPr>
          <w:rFonts w:ascii="Arial" w:hAnsi="Arial" w:cs="Arial"/>
          <w:color w:val="000000" w:themeColor="text1"/>
        </w:rPr>
      </w:pPr>
      <w:r w:rsidRPr="009A74DB">
        <w:rPr>
          <w:rFonts w:ascii="Arial" w:hAnsi="Arial" w:cs="Arial"/>
          <w:color w:val="000000" w:themeColor="text1"/>
        </w:rPr>
        <w:t xml:space="preserve">Dr </w:t>
      </w:r>
      <w:r w:rsidR="00AD20D4" w:rsidRPr="009A74DB">
        <w:rPr>
          <w:rFonts w:ascii="Arial" w:hAnsi="Arial" w:cs="Arial"/>
          <w:color w:val="000000" w:themeColor="text1"/>
        </w:rPr>
        <w:t>Aman-Deep S Mahil</w:t>
      </w:r>
      <w:r w:rsidRPr="009A74DB">
        <w:rPr>
          <w:rFonts w:ascii="Arial" w:hAnsi="Arial" w:cs="Arial"/>
          <w:color w:val="000000" w:themeColor="text1"/>
        </w:rPr>
        <w:t xml:space="preserve">, </w:t>
      </w:r>
      <w:r w:rsidR="003E77D5" w:rsidRPr="009A74DB">
        <w:rPr>
          <w:rFonts w:ascii="Arial" w:hAnsi="Arial" w:cs="Arial"/>
          <w:color w:val="000000" w:themeColor="text1"/>
        </w:rPr>
        <w:t>Centre for Optometry and Vision Science, Biomedical Sciences Research Institute, Ulster University, United Kingdom</w:t>
      </w:r>
      <w:r w:rsidR="003E77D5" w:rsidRPr="009A74DB" w:rsidDel="003E77D5">
        <w:rPr>
          <w:rFonts w:ascii="Arial" w:hAnsi="Arial" w:cs="Arial"/>
          <w:color w:val="000000" w:themeColor="text1"/>
        </w:rPr>
        <w:t xml:space="preserve"> </w:t>
      </w:r>
    </w:p>
    <w:p w14:paraId="3011709A" w14:textId="729AF182" w:rsidR="00AD20D4" w:rsidRPr="009A74DB" w:rsidRDefault="00484E9C" w:rsidP="009C4263">
      <w:pPr>
        <w:spacing w:line="480" w:lineRule="auto"/>
        <w:rPr>
          <w:rFonts w:ascii="Arial" w:hAnsi="Arial" w:cs="Arial"/>
          <w:color w:val="000000" w:themeColor="text1"/>
        </w:rPr>
      </w:pPr>
      <w:r w:rsidRPr="009A74DB">
        <w:rPr>
          <w:rFonts w:ascii="Arial" w:hAnsi="Arial" w:cs="Arial"/>
          <w:color w:val="000000" w:themeColor="text1"/>
        </w:rPr>
        <w:t xml:space="preserve">Mr </w:t>
      </w:r>
      <w:r w:rsidR="00AD20D4" w:rsidRPr="009A74DB">
        <w:rPr>
          <w:rFonts w:ascii="Arial" w:hAnsi="Arial" w:cs="Arial"/>
          <w:color w:val="000000" w:themeColor="text1"/>
        </w:rPr>
        <w:t>Patrick Richardson</w:t>
      </w:r>
      <w:r w:rsidRPr="009A74DB">
        <w:rPr>
          <w:rFonts w:ascii="Arial" w:hAnsi="Arial" w:cs="Arial"/>
          <w:color w:val="000000" w:themeColor="text1"/>
        </w:rPr>
        <w:t xml:space="preserve">, Centre for Optometry and Vision Science, Biomedical Sciences Research Institute, Ulster University, United Kingdom  </w:t>
      </w:r>
    </w:p>
    <w:p w14:paraId="320E402E" w14:textId="643ACB1A" w:rsidR="0026144E" w:rsidRPr="009A74DB" w:rsidRDefault="006E7AEF" w:rsidP="009C4263">
      <w:pPr>
        <w:spacing w:line="480" w:lineRule="auto"/>
        <w:rPr>
          <w:rFonts w:ascii="Arial" w:hAnsi="Arial" w:cs="Arial"/>
          <w:color w:val="000000" w:themeColor="text1"/>
        </w:rPr>
      </w:pPr>
      <w:r w:rsidRPr="009A74DB">
        <w:rPr>
          <w:rFonts w:ascii="Arial" w:hAnsi="Arial" w:cs="Arial"/>
          <w:color w:val="000000" w:themeColor="text1"/>
        </w:rPr>
        <w:t xml:space="preserve">Dr </w:t>
      </w:r>
      <w:r w:rsidR="002B0342" w:rsidRPr="009A74DB">
        <w:rPr>
          <w:rFonts w:ascii="Arial" w:hAnsi="Arial" w:cs="Arial"/>
          <w:color w:val="000000" w:themeColor="text1"/>
        </w:rPr>
        <w:t>Margaret</w:t>
      </w:r>
      <w:r w:rsidRPr="009A74DB">
        <w:rPr>
          <w:rFonts w:ascii="Arial" w:hAnsi="Arial" w:cs="Arial"/>
          <w:color w:val="000000" w:themeColor="text1"/>
        </w:rPr>
        <w:t xml:space="preserve"> Woodhouse, </w:t>
      </w:r>
      <w:r w:rsidR="00C97906" w:rsidRPr="009A74DB">
        <w:rPr>
          <w:rFonts w:ascii="Arial" w:hAnsi="Arial" w:cs="Arial"/>
          <w:color w:val="000000" w:themeColor="text1"/>
        </w:rPr>
        <w:t>School of Optometry and Vision Sciences, Cardiff University</w:t>
      </w:r>
      <w:r w:rsidR="0026144E" w:rsidRPr="009A74DB">
        <w:rPr>
          <w:rFonts w:ascii="Arial" w:hAnsi="Arial" w:cs="Arial"/>
          <w:color w:val="000000" w:themeColor="text1"/>
        </w:rPr>
        <w:t>, United Kingdom</w:t>
      </w:r>
    </w:p>
    <w:p w14:paraId="5A86AD06" w14:textId="69E0E0D9" w:rsidR="006E3C98" w:rsidRPr="009A74DB" w:rsidRDefault="006E3C98" w:rsidP="009C4263">
      <w:pPr>
        <w:spacing w:line="480" w:lineRule="auto"/>
        <w:rPr>
          <w:rFonts w:ascii="Arial" w:hAnsi="Arial" w:cs="Arial"/>
          <w:color w:val="000000" w:themeColor="text1"/>
        </w:rPr>
      </w:pPr>
      <w:r w:rsidRPr="009A74DB">
        <w:rPr>
          <w:rFonts w:ascii="Arial" w:hAnsi="Arial" w:cs="Arial"/>
          <w:color w:val="000000" w:themeColor="text1"/>
        </w:rPr>
        <w:t xml:space="preserve">Dr </w:t>
      </w:r>
      <w:proofErr w:type="spellStart"/>
      <w:r w:rsidRPr="009A74DB">
        <w:rPr>
          <w:rFonts w:ascii="Arial" w:hAnsi="Arial" w:cs="Arial"/>
          <w:color w:val="000000" w:themeColor="text1"/>
        </w:rPr>
        <w:t>Valldeflors</w:t>
      </w:r>
      <w:proofErr w:type="spellEnd"/>
      <w:r w:rsidRPr="009A74DB">
        <w:rPr>
          <w:rFonts w:ascii="Arial" w:hAnsi="Arial" w:cs="Arial"/>
          <w:color w:val="000000" w:themeColor="text1"/>
        </w:rPr>
        <w:t xml:space="preserve"> </w:t>
      </w:r>
      <w:proofErr w:type="spellStart"/>
      <w:r w:rsidRPr="009A74DB">
        <w:rPr>
          <w:rFonts w:ascii="Arial" w:hAnsi="Arial" w:cs="Arial"/>
          <w:color w:val="000000" w:themeColor="text1"/>
        </w:rPr>
        <w:t>Vinuela</w:t>
      </w:r>
      <w:proofErr w:type="spellEnd"/>
      <w:r w:rsidRPr="009A74DB">
        <w:rPr>
          <w:rFonts w:ascii="Arial" w:hAnsi="Arial" w:cs="Arial"/>
          <w:color w:val="000000" w:themeColor="text1"/>
        </w:rPr>
        <w:t>-Navarro, School of Optometry and Vision Sciences, Cardiff University, United Kingdom</w:t>
      </w:r>
      <w:r w:rsidR="001C4043" w:rsidRPr="009A74DB">
        <w:rPr>
          <w:rFonts w:ascii="Arial" w:hAnsi="Arial" w:cs="Arial"/>
          <w:color w:val="000000" w:themeColor="text1"/>
        </w:rPr>
        <w:t>, Aston Optometry School, Aston University, Birmingham</w:t>
      </w:r>
    </w:p>
    <w:p w14:paraId="7792B90B" w14:textId="7E3A7D56" w:rsidR="00AD20D4" w:rsidRPr="009A74DB" w:rsidRDefault="00484E9C" w:rsidP="009C4263">
      <w:pPr>
        <w:spacing w:line="480" w:lineRule="auto"/>
        <w:rPr>
          <w:rFonts w:ascii="Arial" w:hAnsi="Arial" w:cs="Arial"/>
          <w:color w:val="000000" w:themeColor="text1"/>
        </w:rPr>
      </w:pPr>
      <w:r w:rsidRPr="009A74DB">
        <w:rPr>
          <w:rFonts w:ascii="Arial" w:hAnsi="Arial" w:cs="Arial"/>
          <w:color w:val="000000" w:themeColor="text1"/>
        </w:rPr>
        <w:t xml:space="preserve">Prof </w:t>
      </w:r>
      <w:r w:rsidR="00AD20D4" w:rsidRPr="009A74DB">
        <w:rPr>
          <w:rFonts w:ascii="Arial" w:hAnsi="Arial" w:cs="Arial"/>
          <w:color w:val="000000" w:themeColor="text1"/>
        </w:rPr>
        <w:t>Kathryn J Saunders</w:t>
      </w:r>
      <w:r w:rsidRPr="009A74DB">
        <w:rPr>
          <w:rFonts w:ascii="Arial" w:hAnsi="Arial" w:cs="Arial"/>
          <w:color w:val="000000" w:themeColor="text1"/>
        </w:rPr>
        <w:t xml:space="preserve">, Centre for Optometry and Vision Science, Biomedical Sciences Research Institute, Ulster University, United Kingdom  </w:t>
      </w:r>
      <w:r w:rsidR="00AD20D4" w:rsidRPr="009A74DB">
        <w:rPr>
          <w:rFonts w:ascii="Arial" w:hAnsi="Arial" w:cs="Arial"/>
          <w:color w:val="000000" w:themeColor="text1"/>
        </w:rPr>
        <w:t xml:space="preserve"> </w:t>
      </w:r>
    </w:p>
    <w:p w14:paraId="66F8A856" w14:textId="77777777" w:rsidR="00097500" w:rsidRPr="009A74DB" w:rsidRDefault="00097500" w:rsidP="009C4263">
      <w:pPr>
        <w:spacing w:line="480" w:lineRule="auto"/>
        <w:rPr>
          <w:rFonts w:ascii="Arial" w:hAnsi="Arial" w:cs="Arial"/>
          <w:color w:val="000000" w:themeColor="text1"/>
        </w:rPr>
      </w:pPr>
    </w:p>
    <w:p w14:paraId="31777987" w14:textId="7567431E" w:rsidR="00240B3A" w:rsidRPr="009A74DB" w:rsidRDefault="00875CE9" w:rsidP="009C4263">
      <w:pPr>
        <w:spacing w:line="480" w:lineRule="auto"/>
        <w:rPr>
          <w:rFonts w:ascii="Arial" w:hAnsi="Arial" w:cs="Arial"/>
          <w:color w:val="000000" w:themeColor="text1"/>
        </w:rPr>
      </w:pPr>
      <w:r w:rsidRPr="009A74DB">
        <w:rPr>
          <w:rFonts w:ascii="Arial" w:hAnsi="Arial" w:cs="Arial"/>
          <w:color w:val="000000" w:themeColor="text1"/>
        </w:rPr>
        <w:t>*</w:t>
      </w:r>
      <w:r w:rsidR="00AD20D4" w:rsidRPr="009A74DB">
        <w:rPr>
          <w:rFonts w:ascii="Arial" w:hAnsi="Arial" w:cs="Arial"/>
          <w:color w:val="000000" w:themeColor="text1"/>
        </w:rPr>
        <w:t xml:space="preserve">Corresponding author: Julie-Anne Little  </w:t>
      </w:r>
    </w:p>
    <w:p w14:paraId="6B11AB67" w14:textId="2FCF3116" w:rsidR="00AD20D4" w:rsidRPr="009A74DB" w:rsidRDefault="00240B3A" w:rsidP="009C4263">
      <w:pPr>
        <w:spacing w:line="480" w:lineRule="auto"/>
        <w:rPr>
          <w:rFonts w:ascii="Arial" w:hAnsi="Arial" w:cs="Arial"/>
          <w:color w:val="000000" w:themeColor="text1"/>
        </w:rPr>
      </w:pPr>
      <w:r w:rsidRPr="009A74DB">
        <w:rPr>
          <w:rFonts w:ascii="Arial" w:hAnsi="Arial" w:cs="Arial"/>
          <w:color w:val="000000" w:themeColor="text1"/>
        </w:rPr>
        <w:t xml:space="preserve">Email: </w:t>
      </w:r>
      <w:hyperlink r:id="rId11" w:history="1">
        <w:r w:rsidRPr="009A74DB">
          <w:rPr>
            <w:rStyle w:val="Hyperlink"/>
            <w:rFonts w:ascii="Arial" w:hAnsi="Arial" w:cs="Arial"/>
            <w:color w:val="000000" w:themeColor="text1"/>
          </w:rPr>
          <w:t>ja.little@ulster.ac.uk</w:t>
        </w:r>
      </w:hyperlink>
    </w:p>
    <w:p w14:paraId="3A9AE7AB" w14:textId="4A5DA0F2" w:rsidR="00240B3A" w:rsidRPr="009A74DB" w:rsidRDefault="00240B3A" w:rsidP="009C4263">
      <w:pPr>
        <w:spacing w:line="480" w:lineRule="auto"/>
        <w:rPr>
          <w:rFonts w:ascii="Arial" w:hAnsi="Arial" w:cs="Arial"/>
          <w:color w:val="000000" w:themeColor="text1"/>
        </w:rPr>
      </w:pPr>
      <w:r w:rsidRPr="009A74DB">
        <w:rPr>
          <w:rFonts w:ascii="Arial" w:hAnsi="Arial" w:cs="Arial"/>
          <w:color w:val="000000" w:themeColor="text1"/>
        </w:rPr>
        <w:t>Telephone +44 (0) 2870124374</w:t>
      </w:r>
    </w:p>
    <w:p w14:paraId="6828E122" w14:textId="77777777" w:rsidR="00DF152A" w:rsidRPr="009A74DB" w:rsidRDefault="00DF152A" w:rsidP="009C4263">
      <w:pPr>
        <w:spacing w:line="480" w:lineRule="auto"/>
        <w:rPr>
          <w:rFonts w:ascii="Arial" w:hAnsi="Arial" w:cs="Arial"/>
          <w:color w:val="000000" w:themeColor="text1"/>
        </w:rPr>
      </w:pPr>
    </w:p>
    <w:p w14:paraId="2D8FE29D" w14:textId="76AAF15F" w:rsidR="00AD20D4" w:rsidRPr="009A74DB" w:rsidRDefault="00484E9C" w:rsidP="009C4263">
      <w:pPr>
        <w:spacing w:line="480" w:lineRule="auto"/>
        <w:rPr>
          <w:rFonts w:ascii="Arial" w:hAnsi="Arial" w:cs="Arial"/>
          <w:color w:val="000000" w:themeColor="text1"/>
        </w:rPr>
      </w:pPr>
      <w:r w:rsidRPr="009A74DB">
        <w:rPr>
          <w:rFonts w:ascii="Arial" w:hAnsi="Arial" w:cs="Arial"/>
          <w:color w:val="000000" w:themeColor="text1"/>
        </w:rPr>
        <w:t>Word Count manuscript body text: 3</w:t>
      </w:r>
      <w:r w:rsidR="005D0373" w:rsidRPr="009A74DB">
        <w:rPr>
          <w:rFonts w:ascii="Arial" w:hAnsi="Arial" w:cs="Arial"/>
          <w:color w:val="000000" w:themeColor="text1"/>
        </w:rPr>
        <w:t>3</w:t>
      </w:r>
      <w:r w:rsidR="006E3C98" w:rsidRPr="009A74DB">
        <w:rPr>
          <w:rFonts w:ascii="Arial" w:hAnsi="Arial" w:cs="Arial"/>
          <w:color w:val="000000" w:themeColor="text1"/>
        </w:rPr>
        <w:t>06</w:t>
      </w:r>
    </w:p>
    <w:p w14:paraId="589F3372" w14:textId="77777777" w:rsidR="00DF152A" w:rsidRPr="009A74DB" w:rsidRDefault="00DF152A" w:rsidP="009C4263">
      <w:pPr>
        <w:spacing w:line="480" w:lineRule="auto"/>
        <w:rPr>
          <w:rFonts w:ascii="Arial" w:hAnsi="Arial" w:cs="Arial"/>
          <w:color w:val="000000" w:themeColor="text1"/>
        </w:rPr>
      </w:pPr>
    </w:p>
    <w:p w14:paraId="32B96369" w14:textId="2D3EADD3" w:rsidR="00DF152A" w:rsidRPr="009A74DB" w:rsidRDefault="00DF152A" w:rsidP="009C4263">
      <w:pPr>
        <w:spacing w:line="480" w:lineRule="auto"/>
        <w:rPr>
          <w:rFonts w:ascii="Arial" w:hAnsi="Arial" w:cs="Arial"/>
          <w:color w:val="000000" w:themeColor="text1"/>
        </w:rPr>
      </w:pPr>
      <w:r w:rsidRPr="009A74DB">
        <w:rPr>
          <w:rFonts w:ascii="Arial" w:hAnsi="Arial" w:cs="Arial"/>
          <w:color w:val="000000" w:themeColor="text1"/>
        </w:rPr>
        <w:t>Keywords: Down syndrome, cataract, OCT imaging, Alzheimer’s disease</w:t>
      </w:r>
    </w:p>
    <w:p w14:paraId="078C5971" w14:textId="27D0AA3C" w:rsidR="002D06B1" w:rsidRPr="009A74DB" w:rsidRDefault="001D7DA7" w:rsidP="009C4263">
      <w:pPr>
        <w:spacing w:line="480" w:lineRule="auto"/>
        <w:rPr>
          <w:rFonts w:ascii="Arial" w:hAnsi="Arial" w:cs="Arial"/>
          <w:b/>
          <w:color w:val="000000" w:themeColor="text1"/>
        </w:rPr>
      </w:pPr>
      <w:r w:rsidRPr="009A74DB">
        <w:rPr>
          <w:rFonts w:ascii="Arial" w:hAnsi="Arial" w:cs="Arial"/>
          <w:b/>
          <w:color w:val="000000" w:themeColor="text1"/>
        </w:rPr>
        <w:lastRenderedPageBreak/>
        <w:t>A</w:t>
      </w:r>
      <w:r w:rsidR="00F50C19" w:rsidRPr="009A74DB">
        <w:rPr>
          <w:rFonts w:ascii="Arial" w:hAnsi="Arial" w:cs="Arial"/>
          <w:b/>
          <w:color w:val="000000" w:themeColor="text1"/>
        </w:rPr>
        <w:t>BSTRACT</w:t>
      </w:r>
      <w:r w:rsidRPr="009A74DB">
        <w:rPr>
          <w:rFonts w:ascii="Arial" w:hAnsi="Arial" w:cs="Arial"/>
          <w:b/>
          <w:color w:val="000000" w:themeColor="text1"/>
        </w:rPr>
        <w:t xml:space="preserve"> </w:t>
      </w:r>
    </w:p>
    <w:p w14:paraId="639C0EEE" w14:textId="77777777" w:rsidR="00DF152A" w:rsidRPr="009A74DB" w:rsidRDefault="00DF152A" w:rsidP="009C4263">
      <w:pPr>
        <w:spacing w:line="480" w:lineRule="auto"/>
        <w:rPr>
          <w:rFonts w:ascii="Arial" w:hAnsi="Arial" w:cs="Arial"/>
          <w:b/>
          <w:bCs/>
          <w:color w:val="000000" w:themeColor="text1"/>
          <w:sz w:val="22"/>
          <w:szCs w:val="22"/>
        </w:rPr>
      </w:pPr>
      <w:bookmarkStart w:id="0" w:name="_Hlk27748260"/>
    </w:p>
    <w:p w14:paraId="09C038EE" w14:textId="6C848362" w:rsidR="008F22A3" w:rsidRPr="009A74DB" w:rsidRDefault="00624B6A" w:rsidP="009C4263">
      <w:pPr>
        <w:spacing w:line="480" w:lineRule="auto"/>
        <w:rPr>
          <w:rFonts w:ascii="Arial" w:hAnsi="Arial" w:cs="Arial"/>
          <w:color w:val="000000" w:themeColor="text1"/>
          <w:sz w:val="22"/>
          <w:szCs w:val="22"/>
        </w:rPr>
      </w:pPr>
      <w:r w:rsidRPr="009A74DB">
        <w:rPr>
          <w:rFonts w:ascii="Arial" w:hAnsi="Arial" w:cs="Arial"/>
          <w:color w:val="000000" w:themeColor="text1"/>
          <w:sz w:val="22"/>
          <w:szCs w:val="22"/>
        </w:rPr>
        <w:t xml:space="preserve">Down syndrome (DS) is frequently associated with cataract, but there remains scant information about </w:t>
      </w:r>
      <w:r w:rsidR="009C4263" w:rsidRPr="009A74DB">
        <w:rPr>
          <w:rFonts w:ascii="Arial" w:hAnsi="Arial" w:cs="Arial"/>
          <w:color w:val="000000" w:themeColor="text1"/>
          <w:sz w:val="22"/>
          <w:szCs w:val="22"/>
        </w:rPr>
        <w:t xml:space="preserve">DS </w:t>
      </w:r>
      <w:r w:rsidRPr="009A74DB">
        <w:rPr>
          <w:rFonts w:ascii="Arial" w:hAnsi="Arial" w:cs="Arial"/>
          <w:color w:val="000000" w:themeColor="text1"/>
          <w:sz w:val="22"/>
          <w:szCs w:val="22"/>
        </w:rPr>
        <w:t xml:space="preserve">cataract morphology.  Supra-nuclear cataracts in DS have been proposed as indicative of beta-amyloid </w:t>
      </w:r>
      <w:r w:rsidR="009C4263" w:rsidRPr="009A74DB">
        <w:rPr>
          <w:rFonts w:ascii="Arial" w:hAnsi="Arial" w:cs="Arial"/>
          <w:color w:val="000000" w:themeColor="text1"/>
          <w:sz w:val="22"/>
          <w:szCs w:val="22"/>
        </w:rPr>
        <w:t xml:space="preserve">(Aβ) </w:t>
      </w:r>
      <w:r w:rsidRPr="009A74DB">
        <w:rPr>
          <w:rFonts w:ascii="Arial" w:hAnsi="Arial" w:cs="Arial"/>
          <w:color w:val="000000" w:themeColor="text1"/>
          <w:sz w:val="22"/>
          <w:szCs w:val="22"/>
        </w:rPr>
        <w:t>aggregation and thus potential biomarkers for Alzheimer’s (AD). This study employed anterior</w:t>
      </w:r>
      <w:r w:rsidR="009C4263" w:rsidRPr="009A74DB">
        <w:rPr>
          <w:rFonts w:ascii="Arial" w:hAnsi="Arial" w:cs="Arial"/>
          <w:color w:val="000000" w:themeColor="text1"/>
          <w:sz w:val="22"/>
          <w:szCs w:val="22"/>
        </w:rPr>
        <w:t xml:space="preserve"> </w:t>
      </w:r>
      <w:r w:rsidRPr="009A74DB">
        <w:rPr>
          <w:rFonts w:ascii="Arial" w:hAnsi="Arial" w:cs="Arial"/>
          <w:color w:val="000000" w:themeColor="text1"/>
          <w:sz w:val="22"/>
          <w:szCs w:val="22"/>
        </w:rPr>
        <w:t>segment OCT (AS-OCT) and slit-lamp (SL) photography to image the crystalline lens in DS, compared with adult controls.  Lens images were obtained post</w:t>
      </w:r>
      <w:r w:rsidR="006D3FBA" w:rsidRPr="009A74DB">
        <w:rPr>
          <w:rFonts w:ascii="Arial" w:hAnsi="Arial" w:cs="Arial"/>
          <w:color w:val="000000" w:themeColor="text1"/>
          <w:sz w:val="22"/>
          <w:szCs w:val="22"/>
        </w:rPr>
        <w:t>-</w:t>
      </w:r>
      <w:r w:rsidRPr="009A74DB">
        <w:rPr>
          <w:rFonts w:ascii="Arial" w:hAnsi="Arial" w:cs="Arial"/>
          <w:color w:val="000000" w:themeColor="text1"/>
          <w:sz w:val="22"/>
          <w:szCs w:val="22"/>
        </w:rPr>
        <w:t>dilation. Using MATLAB, AS-OCT images were analysed and lens opacities calculated as pixel intensity and area ratios. SL images were classified using LOCS III. Subjects were n=28 DS (</w:t>
      </w:r>
      <w:proofErr w:type="spellStart"/>
      <w:r w:rsidRPr="009A74DB">
        <w:rPr>
          <w:rFonts w:ascii="Arial" w:hAnsi="Arial" w:cs="Arial"/>
          <w:color w:val="000000" w:themeColor="text1"/>
          <w:sz w:val="22"/>
          <w:szCs w:val="22"/>
        </w:rPr>
        <w:t>mean±SD</w:t>
      </w:r>
      <w:proofErr w:type="spellEnd"/>
      <w:r w:rsidRPr="009A74DB">
        <w:rPr>
          <w:rFonts w:ascii="Arial" w:hAnsi="Arial" w:cs="Arial"/>
          <w:color w:val="000000" w:themeColor="text1"/>
          <w:sz w:val="22"/>
          <w:szCs w:val="22"/>
        </w:rPr>
        <w:t xml:space="preserve"> 24.1±14.3years), and n=36 controls (54.0±3.4years).</w:t>
      </w:r>
      <w:r w:rsidR="00715F41" w:rsidRPr="009A74DB">
        <w:rPr>
          <w:rFonts w:ascii="Arial" w:hAnsi="Arial" w:cs="Arial"/>
          <w:color w:val="000000" w:themeColor="text1"/>
          <w:sz w:val="22"/>
          <w:szCs w:val="22"/>
        </w:rPr>
        <w:t xml:space="preserve">  </w:t>
      </w:r>
      <w:r w:rsidRPr="009A74DB">
        <w:rPr>
          <w:rFonts w:ascii="Arial" w:hAnsi="Arial" w:cs="Arial"/>
          <w:color w:val="000000" w:themeColor="text1"/>
          <w:sz w:val="22"/>
          <w:szCs w:val="22"/>
        </w:rPr>
        <w:t xml:space="preserve">For the DS group, AS-OCT imaging revealed the frequent presence of small dot opacities (27 eyes, 50%) in the cortex and nucleus of the lens, covering an area ranging from 0.2-14%. There was no relation with age or </w:t>
      </w:r>
      <w:r w:rsidR="008E3F0A" w:rsidRPr="009A74DB">
        <w:rPr>
          <w:rFonts w:ascii="Arial" w:hAnsi="Arial" w:cs="Arial"/>
          <w:color w:val="000000" w:themeColor="text1"/>
          <w:sz w:val="22"/>
          <w:szCs w:val="22"/>
        </w:rPr>
        <w:t xml:space="preserve">visual acuity </w:t>
      </w:r>
      <w:r w:rsidRPr="009A74DB">
        <w:rPr>
          <w:rFonts w:ascii="Arial" w:hAnsi="Arial" w:cs="Arial"/>
          <w:color w:val="000000" w:themeColor="text1"/>
          <w:sz w:val="22"/>
          <w:szCs w:val="22"/>
        </w:rPr>
        <w:t xml:space="preserve">and these dot opacities (p&gt;0.5) and they were not present in any control lenses. </w:t>
      </w:r>
      <w:r w:rsidR="008423E4" w:rsidRPr="009A74DB">
        <w:rPr>
          <w:rFonts w:ascii="Arial" w:hAnsi="Arial" w:cs="Arial"/>
          <w:color w:val="000000" w:themeColor="text1"/>
          <w:sz w:val="22"/>
          <w:szCs w:val="22"/>
        </w:rPr>
        <w:t xml:space="preserve">However, their location and morphology does not coincide with previous reports linking these opacities with Aβ accumulation and AD. </w:t>
      </w:r>
      <w:r w:rsidRPr="009A74DB">
        <w:rPr>
          <w:rFonts w:ascii="Arial" w:hAnsi="Arial" w:cs="Arial"/>
          <w:color w:val="000000" w:themeColor="text1"/>
          <w:sz w:val="22"/>
          <w:szCs w:val="22"/>
        </w:rPr>
        <w:t>Four participants (14%) in the DS group had clinically significant age-related cataracts</w:t>
      </w:r>
      <w:r w:rsidR="00807F39" w:rsidRPr="009A74DB">
        <w:rPr>
          <w:rFonts w:ascii="Arial" w:hAnsi="Arial" w:cs="Arial"/>
          <w:color w:val="000000" w:themeColor="text1"/>
          <w:sz w:val="22"/>
          <w:szCs w:val="22"/>
        </w:rPr>
        <w:t>, but there was</w:t>
      </w:r>
      <w:r w:rsidRPr="009A74DB">
        <w:rPr>
          <w:rFonts w:ascii="Arial" w:hAnsi="Arial" w:cs="Arial"/>
          <w:color w:val="000000" w:themeColor="text1"/>
          <w:sz w:val="22"/>
          <w:szCs w:val="22"/>
        </w:rPr>
        <w:t xml:space="preserve"> no evidence of early onset of age-related cataracts in DS. </w:t>
      </w:r>
      <w:bookmarkEnd w:id="0"/>
      <w:r w:rsidR="008F22A3" w:rsidRPr="009A74DB">
        <w:rPr>
          <w:rFonts w:ascii="Arial" w:hAnsi="Arial" w:cs="Arial"/>
          <w:b/>
          <w:color w:val="000000" w:themeColor="text1"/>
        </w:rPr>
        <w:br w:type="page"/>
      </w:r>
    </w:p>
    <w:p w14:paraId="3DF80E40" w14:textId="5BBD5705" w:rsidR="001D7DA7" w:rsidRPr="009A74DB" w:rsidRDefault="001D7DA7" w:rsidP="009C4263">
      <w:pPr>
        <w:spacing w:line="480" w:lineRule="auto"/>
        <w:rPr>
          <w:rFonts w:ascii="Arial" w:hAnsi="Arial" w:cs="Arial"/>
          <w:b/>
          <w:color w:val="000000" w:themeColor="text1"/>
        </w:rPr>
      </w:pPr>
      <w:r w:rsidRPr="009A74DB">
        <w:rPr>
          <w:rFonts w:ascii="Arial" w:hAnsi="Arial" w:cs="Arial"/>
          <w:b/>
          <w:color w:val="000000" w:themeColor="text1"/>
        </w:rPr>
        <w:lastRenderedPageBreak/>
        <w:t>I</w:t>
      </w:r>
      <w:r w:rsidR="00F50C19" w:rsidRPr="009A74DB">
        <w:rPr>
          <w:rFonts w:ascii="Arial" w:hAnsi="Arial" w:cs="Arial"/>
          <w:b/>
          <w:color w:val="000000" w:themeColor="text1"/>
        </w:rPr>
        <w:t>NTRODUCTION</w:t>
      </w:r>
      <w:r w:rsidRPr="009A74DB">
        <w:rPr>
          <w:rFonts w:ascii="Arial" w:hAnsi="Arial" w:cs="Arial"/>
          <w:b/>
          <w:color w:val="000000" w:themeColor="text1"/>
        </w:rPr>
        <w:t xml:space="preserve"> </w:t>
      </w:r>
    </w:p>
    <w:p w14:paraId="76960515" w14:textId="77777777" w:rsidR="001D7DA7" w:rsidRPr="009A74DB" w:rsidRDefault="001D7DA7" w:rsidP="009C4263">
      <w:pPr>
        <w:spacing w:line="480" w:lineRule="auto"/>
        <w:rPr>
          <w:rFonts w:ascii="Arial" w:hAnsi="Arial" w:cs="Arial"/>
          <w:color w:val="000000" w:themeColor="text1"/>
        </w:rPr>
      </w:pPr>
    </w:p>
    <w:p w14:paraId="5789A852" w14:textId="45FD66F8" w:rsidR="005615E7" w:rsidRPr="009A74DB" w:rsidRDefault="002D06B1" w:rsidP="009C4263">
      <w:pPr>
        <w:tabs>
          <w:tab w:val="left" w:pos="3828"/>
        </w:tabs>
        <w:spacing w:line="480" w:lineRule="auto"/>
        <w:rPr>
          <w:rFonts w:ascii="Arial" w:hAnsi="Arial" w:cs="Arial"/>
          <w:color w:val="000000" w:themeColor="text1"/>
        </w:rPr>
      </w:pPr>
      <w:r w:rsidRPr="009A74DB">
        <w:rPr>
          <w:rFonts w:ascii="Arial" w:hAnsi="Arial" w:cs="Arial"/>
          <w:color w:val="000000" w:themeColor="text1"/>
        </w:rPr>
        <w:t>Down syndrome</w:t>
      </w:r>
      <w:r w:rsidR="001B3DAF" w:rsidRPr="009A74DB">
        <w:rPr>
          <w:rFonts w:ascii="Arial" w:hAnsi="Arial" w:cs="Arial"/>
          <w:color w:val="000000" w:themeColor="text1"/>
        </w:rPr>
        <w:t>, caused by a full or partial copy of the 21</w:t>
      </w:r>
      <w:r w:rsidR="001B3DAF" w:rsidRPr="009A74DB">
        <w:rPr>
          <w:rFonts w:ascii="Arial" w:hAnsi="Arial" w:cs="Arial"/>
          <w:color w:val="000000" w:themeColor="text1"/>
          <w:vertAlign w:val="superscript"/>
        </w:rPr>
        <w:t>st</w:t>
      </w:r>
      <w:r w:rsidR="001B3DAF" w:rsidRPr="009A74DB">
        <w:rPr>
          <w:rFonts w:ascii="Arial" w:hAnsi="Arial" w:cs="Arial"/>
          <w:color w:val="000000" w:themeColor="text1"/>
        </w:rPr>
        <w:t xml:space="preserve"> chromosome,</w:t>
      </w:r>
      <w:r w:rsidRPr="009A74DB">
        <w:rPr>
          <w:rFonts w:ascii="Arial" w:hAnsi="Arial" w:cs="Arial"/>
          <w:color w:val="000000" w:themeColor="text1"/>
        </w:rPr>
        <w:t xml:space="preserve"> </w:t>
      </w:r>
      <w:r w:rsidR="008413BE" w:rsidRPr="009A74DB">
        <w:rPr>
          <w:rFonts w:ascii="Arial" w:hAnsi="Arial" w:cs="Arial"/>
          <w:color w:val="000000" w:themeColor="text1"/>
        </w:rPr>
        <w:t xml:space="preserve">is the most </w:t>
      </w:r>
      <w:r w:rsidRPr="009A74DB">
        <w:rPr>
          <w:rFonts w:ascii="Arial" w:hAnsi="Arial" w:cs="Arial"/>
          <w:color w:val="000000" w:themeColor="text1"/>
        </w:rPr>
        <w:t xml:space="preserve">common </w:t>
      </w:r>
      <w:r w:rsidR="002C7B88" w:rsidRPr="009A74DB">
        <w:rPr>
          <w:rFonts w:ascii="Arial" w:hAnsi="Arial" w:cs="Arial"/>
          <w:color w:val="000000" w:themeColor="text1"/>
        </w:rPr>
        <w:t xml:space="preserve">chromosomal </w:t>
      </w:r>
      <w:r w:rsidR="00FF1940" w:rsidRPr="009A74DB">
        <w:rPr>
          <w:rFonts w:ascii="Arial" w:hAnsi="Arial" w:cs="Arial"/>
          <w:color w:val="000000" w:themeColor="text1"/>
        </w:rPr>
        <w:t xml:space="preserve">aneuploidy </w:t>
      </w:r>
      <w:r w:rsidR="002C7B88" w:rsidRPr="009A74DB">
        <w:rPr>
          <w:rFonts w:ascii="Arial" w:hAnsi="Arial" w:cs="Arial"/>
          <w:color w:val="000000" w:themeColor="text1"/>
        </w:rPr>
        <w:t>in humans</w:t>
      </w:r>
      <w:r w:rsidR="00234E57" w:rsidRPr="009A74DB">
        <w:rPr>
          <w:rFonts w:ascii="Arial" w:hAnsi="Arial" w:cs="Arial"/>
          <w:color w:val="000000" w:themeColor="text1"/>
        </w:rPr>
        <w:t>.</w:t>
      </w:r>
      <w:r w:rsidR="00CD4241" w:rsidRPr="009A74DB">
        <w:rPr>
          <w:rFonts w:ascii="Arial" w:hAnsi="Arial" w:cs="Arial"/>
          <w:color w:val="000000" w:themeColor="text1"/>
          <w:vertAlign w:val="superscript"/>
        </w:rPr>
        <w:t>1</w:t>
      </w:r>
      <w:r w:rsidR="007F5BE6" w:rsidRPr="009A74DB">
        <w:rPr>
          <w:rFonts w:ascii="Arial" w:hAnsi="Arial" w:cs="Arial"/>
          <w:color w:val="000000" w:themeColor="text1"/>
        </w:rPr>
        <w:t xml:space="preserve"> </w:t>
      </w:r>
      <w:r w:rsidR="00FF1940" w:rsidRPr="009A74DB">
        <w:rPr>
          <w:rFonts w:ascii="Arial" w:hAnsi="Arial" w:cs="Arial"/>
          <w:color w:val="000000" w:themeColor="text1"/>
        </w:rPr>
        <w:t xml:space="preserve">Individuals </w:t>
      </w:r>
      <w:r w:rsidR="00F312D6" w:rsidRPr="009A74DB">
        <w:rPr>
          <w:rFonts w:ascii="Arial" w:hAnsi="Arial" w:cs="Arial"/>
          <w:color w:val="000000" w:themeColor="text1"/>
        </w:rPr>
        <w:t xml:space="preserve">with DS have an increased </w:t>
      </w:r>
      <w:r w:rsidR="00FF1940" w:rsidRPr="009A74DB">
        <w:rPr>
          <w:rFonts w:ascii="Arial" w:hAnsi="Arial" w:cs="Arial"/>
          <w:color w:val="000000" w:themeColor="text1"/>
        </w:rPr>
        <w:t>prevalence o</w:t>
      </w:r>
      <w:r w:rsidR="00F312D6" w:rsidRPr="009A74DB">
        <w:rPr>
          <w:rFonts w:ascii="Arial" w:hAnsi="Arial" w:cs="Arial"/>
          <w:color w:val="000000" w:themeColor="text1"/>
        </w:rPr>
        <w:t xml:space="preserve">f ocular </w:t>
      </w:r>
      <w:r w:rsidR="00FF1940" w:rsidRPr="009A74DB">
        <w:rPr>
          <w:rFonts w:ascii="Arial" w:hAnsi="Arial" w:cs="Arial"/>
          <w:color w:val="000000" w:themeColor="text1"/>
        </w:rPr>
        <w:t>sequalae</w:t>
      </w:r>
      <w:r w:rsidR="00F312D6" w:rsidRPr="009A74DB">
        <w:rPr>
          <w:rFonts w:ascii="Arial" w:hAnsi="Arial" w:cs="Arial"/>
          <w:color w:val="000000" w:themeColor="text1"/>
        </w:rPr>
        <w:t xml:space="preserve">, including refractive errors, poor vision, strabismus, </w:t>
      </w:r>
      <w:r w:rsidR="00FB40FF" w:rsidRPr="009A74DB">
        <w:rPr>
          <w:rFonts w:ascii="Arial" w:hAnsi="Arial" w:cs="Arial"/>
          <w:color w:val="000000" w:themeColor="text1"/>
        </w:rPr>
        <w:t>keratoconus and cataract</w:t>
      </w:r>
      <w:r w:rsidR="00911B48" w:rsidRPr="009A74DB">
        <w:rPr>
          <w:rFonts w:ascii="Arial" w:hAnsi="Arial" w:cs="Arial"/>
          <w:color w:val="000000" w:themeColor="text1"/>
        </w:rPr>
        <w:t>.</w:t>
      </w:r>
      <w:r w:rsidR="00CD4241" w:rsidRPr="009A74DB">
        <w:rPr>
          <w:rFonts w:ascii="Arial" w:hAnsi="Arial" w:cs="Arial"/>
          <w:color w:val="000000" w:themeColor="text1"/>
          <w:vertAlign w:val="superscript"/>
        </w:rPr>
        <w:t>2-1</w:t>
      </w:r>
      <w:r w:rsidR="009726D6" w:rsidRPr="009A74DB">
        <w:rPr>
          <w:rFonts w:ascii="Arial" w:hAnsi="Arial" w:cs="Arial"/>
          <w:color w:val="000000" w:themeColor="text1"/>
          <w:vertAlign w:val="superscript"/>
        </w:rPr>
        <w:t>3</w:t>
      </w:r>
      <w:r w:rsidR="00807A92" w:rsidRPr="009A74DB">
        <w:rPr>
          <w:rFonts w:ascii="Arial" w:hAnsi="Arial" w:cs="Arial"/>
          <w:color w:val="000000" w:themeColor="text1"/>
        </w:rPr>
        <w:t xml:space="preserve"> Life expectancy for those with Down syndrome has significantly increased in recent decades, and thus management of age-related chronic healthcare conditions is </w:t>
      </w:r>
      <w:r w:rsidR="00DD03E5" w:rsidRPr="009A74DB">
        <w:rPr>
          <w:rFonts w:ascii="Arial" w:hAnsi="Arial" w:cs="Arial"/>
          <w:color w:val="000000" w:themeColor="text1"/>
        </w:rPr>
        <w:t xml:space="preserve">ever more </w:t>
      </w:r>
      <w:r w:rsidR="00807A92" w:rsidRPr="009A74DB">
        <w:rPr>
          <w:rFonts w:ascii="Arial" w:hAnsi="Arial" w:cs="Arial"/>
          <w:color w:val="000000" w:themeColor="text1"/>
        </w:rPr>
        <w:t>important.</w:t>
      </w:r>
      <w:r w:rsidR="007F5BE6"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4</w:t>
      </w:r>
      <w:r w:rsidR="00807A92" w:rsidRPr="009A74DB">
        <w:rPr>
          <w:rFonts w:ascii="Arial" w:hAnsi="Arial" w:cs="Arial"/>
          <w:color w:val="000000" w:themeColor="text1"/>
        </w:rPr>
        <w:t xml:space="preserve">  Cataract is the most common </w:t>
      </w:r>
      <w:r w:rsidR="00C853BA" w:rsidRPr="009A74DB">
        <w:rPr>
          <w:rFonts w:ascii="Arial" w:hAnsi="Arial" w:cs="Arial"/>
          <w:color w:val="000000" w:themeColor="text1"/>
        </w:rPr>
        <w:t xml:space="preserve">age-related </w:t>
      </w:r>
      <w:r w:rsidR="00807A92" w:rsidRPr="009A74DB">
        <w:rPr>
          <w:rFonts w:ascii="Arial" w:hAnsi="Arial" w:cs="Arial"/>
          <w:color w:val="000000" w:themeColor="text1"/>
        </w:rPr>
        <w:t>ocular disease</w:t>
      </w:r>
      <w:r w:rsidR="003A6A5B" w:rsidRPr="009A74DB">
        <w:rPr>
          <w:rFonts w:ascii="Arial" w:hAnsi="Arial" w:cs="Arial"/>
          <w:color w:val="000000" w:themeColor="text1"/>
        </w:rPr>
        <w:t>, and is</w:t>
      </w:r>
      <w:r w:rsidRPr="009A74DB">
        <w:rPr>
          <w:rFonts w:ascii="Arial" w:hAnsi="Arial" w:cs="Arial"/>
          <w:color w:val="000000" w:themeColor="text1"/>
        </w:rPr>
        <w:t xml:space="preserve"> reported</w:t>
      </w:r>
      <w:r w:rsidR="00807A92" w:rsidRPr="009A74DB">
        <w:rPr>
          <w:rFonts w:ascii="Arial" w:hAnsi="Arial" w:cs="Arial"/>
          <w:color w:val="000000" w:themeColor="text1"/>
        </w:rPr>
        <w:t xml:space="preserve"> with increased frequency in DS. </w:t>
      </w:r>
      <w:r w:rsidR="00C853BA" w:rsidRPr="009A74DB">
        <w:rPr>
          <w:rFonts w:ascii="Arial" w:hAnsi="Arial" w:cs="Arial"/>
          <w:color w:val="000000" w:themeColor="text1"/>
        </w:rPr>
        <w:t>P</w:t>
      </w:r>
      <w:r w:rsidR="00807A92" w:rsidRPr="009A74DB">
        <w:rPr>
          <w:rFonts w:ascii="Arial" w:hAnsi="Arial" w:cs="Arial"/>
          <w:color w:val="000000" w:themeColor="text1"/>
        </w:rPr>
        <w:t xml:space="preserve">revalence </w:t>
      </w:r>
      <w:r w:rsidR="008420B8" w:rsidRPr="009A74DB">
        <w:rPr>
          <w:rFonts w:ascii="Arial" w:hAnsi="Arial" w:cs="Arial"/>
          <w:color w:val="000000" w:themeColor="text1"/>
        </w:rPr>
        <w:t xml:space="preserve">rates </w:t>
      </w:r>
      <w:r w:rsidR="00C853BA" w:rsidRPr="009A74DB">
        <w:rPr>
          <w:rFonts w:ascii="Arial" w:hAnsi="Arial" w:cs="Arial"/>
          <w:color w:val="000000" w:themeColor="text1"/>
        </w:rPr>
        <w:t xml:space="preserve">for cataract in DS </w:t>
      </w:r>
      <w:r w:rsidR="008420B8" w:rsidRPr="009A74DB">
        <w:rPr>
          <w:rFonts w:ascii="Arial" w:hAnsi="Arial" w:cs="Arial"/>
          <w:color w:val="000000" w:themeColor="text1"/>
        </w:rPr>
        <w:t xml:space="preserve">vary </w:t>
      </w:r>
      <w:r w:rsidR="00FF1940" w:rsidRPr="009A74DB">
        <w:rPr>
          <w:rFonts w:ascii="Arial" w:hAnsi="Arial" w:cs="Arial"/>
          <w:color w:val="000000" w:themeColor="text1"/>
        </w:rPr>
        <w:t xml:space="preserve">greatly </w:t>
      </w:r>
      <w:r w:rsidR="00807A92" w:rsidRPr="009A74DB">
        <w:rPr>
          <w:rFonts w:ascii="Arial" w:hAnsi="Arial" w:cs="Arial"/>
          <w:color w:val="000000" w:themeColor="text1"/>
        </w:rPr>
        <w:t>from 4-72% depending on the profile of the cohort assessed</w:t>
      </w:r>
      <w:r w:rsidR="00C853BA" w:rsidRPr="009A74DB">
        <w:rPr>
          <w:rFonts w:ascii="Arial" w:hAnsi="Arial" w:cs="Arial"/>
          <w:color w:val="000000" w:themeColor="text1"/>
        </w:rPr>
        <w:t>.</w:t>
      </w:r>
      <w:r w:rsidR="007F5BE6" w:rsidRPr="009A74DB">
        <w:rPr>
          <w:rFonts w:ascii="Arial" w:hAnsi="Arial" w:cs="Arial"/>
          <w:color w:val="000000" w:themeColor="text1"/>
          <w:vertAlign w:val="superscript"/>
        </w:rPr>
        <w:t>8-1</w:t>
      </w:r>
      <w:r w:rsidR="009726D6" w:rsidRPr="009A74DB">
        <w:rPr>
          <w:rFonts w:ascii="Arial" w:hAnsi="Arial" w:cs="Arial"/>
          <w:color w:val="000000" w:themeColor="text1"/>
          <w:vertAlign w:val="superscript"/>
        </w:rPr>
        <w:t>3</w:t>
      </w:r>
      <w:r w:rsidR="00C853BA" w:rsidRPr="009A74DB">
        <w:rPr>
          <w:rFonts w:ascii="Arial" w:hAnsi="Arial" w:cs="Arial"/>
          <w:color w:val="000000" w:themeColor="text1"/>
        </w:rPr>
        <w:t xml:space="preserve"> Previous reports have</w:t>
      </w:r>
      <w:r w:rsidR="00807A92" w:rsidRPr="009A74DB">
        <w:rPr>
          <w:rFonts w:ascii="Arial" w:hAnsi="Arial" w:cs="Arial"/>
          <w:color w:val="000000" w:themeColor="text1"/>
        </w:rPr>
        <w:t xml:space="preserve"> </w:t>
      </w:r>
      <w:r w:rsidR="00FF1940" w:rsidRPr="009A74DB">
        <w:rPr>
          <w:rFonts w:ascii="Arial" w:hAnsi="Arial" w:cs="Arial"/>
          <w:color w:val="000000" w:themeColor="text1"/>
        </w:rPr>
        <w:t xml:space="preserve">often </w:t>
      </w:r>
      <w:r w:rsidR="008420B8" w:rsidRPr="009A74DB">
        <w:rPr>
          <w:rFonts w:ascii="Arial" w:hAnsi="Arial" w:cs="Arial"/>
          <w:color w:val="000000" w:themeColor="text1"/>
        </w:rPr>
        <w:t xml:space="preserve">recruited participants from </w:t>
      </w:r>
      <w:r w:rsidR="00741CAA" w:rsidRPr="009A74DB">
        <w:rPr>
          <w:rFonts w:ascii="Arial" w:hAnsi="Arial" w:cs="Arial"/>
          <w:color w:val="000000" w:themeColor="text1"/>
        </w:rPr>
        <w:t>institutionalised</w:t>
      </w:r>
      <w:r w:rsidR="00807A92" w:rsidRPr="009A74DB">
        <w:rPr>
          <w:rFonts w:ascii="Arial" w:hAnsi="Arial" w:cs="Arial"/>
          <w:color w:val="000000" w:themeColor="text1"/>
        </w:rPr>
        <w:t xml:space="preserve"> o</w:t>
      </w:r>
      <w:r w:rsidR="00675A7C" w:rsidRPr="009A74DB">
        <w:rPr>
          <w:rFonts w:ascii="Arial" w:hAnsi="Arial" w:cs="Arial"/>
          <w:color w:val="000000" w:themeColor="text1"/>
        </w:rPr>
        <w:t xml:space="preserve">r </w:t>
      </w:r>
      <w:r w:rsidR="00C853BA" w:rsidRPr="009A74DB">
        <w:rPr>
          <w:rFonts w:ascii="Arial" w:hAnsi="Arial" w:cs="Arial"/>
          <w:color w:val="000000" w:themeColor="text1"/>
        </w:rPr>
        <w:t xml:space="preserve">clinical </w:t>
      </w:r>
      <w:r w:rsidR="00675A7C" w:rsidRPr="009A74DB">
        <w:rPr>
          <w:rFonts w:ascii="Arial" w:hAnsi="Arial" w:cs="Arial"/>
          <w:color w:val="000000" w:themeColor="text1"/>
        </w:rPr>
        <w:t>population</w:t>
      </w:r>
      <w:r w:rsidR="00FF1940" w:rsidRPr="009A74DB">
        <w:rPr>
          <w:rFonts w:ascii="Arial" w:hAnsi="Arial" w:cs="Arial"/>
          <w:color w:val="000000" w:themeColor="text1"/>
        </w:rPr>
        <w:t>s</w:t>
      </w:r>
      <w:r w:rsidR="00C853BA" w:rsidRPr="009A74DB">
        <w:rPr>
          <w:rFonts w:ascii="Arial" w:hAnsi="Arial" w:cs="Arial"/>
          <w:color w:val="000000" w:themeColor="text1"/>
        </w:rPr>
        <w:t xml:space="preserve"> and have utilised a variety of methods to examine the </w:t>
      </w:r>
      <w:r w:rsidR="00FF1940" w:rsidRPr="009A74DB">
        <w:rPr>
          <w:rFonts w:ascii="Arial" w:hAnsi="Arial" w:cs="Arial"/>
          <w:color w:val="000000" w:themeColor="text1"/>
        </w:rPr>
        <w:t>crystalline lens</w:t>
      </w:r>
      <w:r w:rsidR="00C853BA" w:rsidRPr="009A74DB">
        <w:rPr>
          <w:rFonts w:ascii="Arial" w:hAnsi="Arial" w:cs="Arial"/>
          <w:color w:val="000000" w:themeColor="text1"/>
        </w:rPr>
        <w:t xml:space="preserve">; ranging from a cursory, </w:t>
      </w:r>
      <w:proofErr w:type="spellStart"/>
      <w:r w:rsidR="00C853BA" w:rsidRPr="009A74DB">
        <w:rPr>
          <w:rFonts w:ascii="Arial" w:hAnsi="Arial" w:cs="Arial"/>
          <w:color w:val="000000" w:themeColor="text1"/>
        </w:rPr>
        <w:t>undilated</w:t>
      </w:r>
      <w:proofErr w:type="spellEnd"/>
      <w:r w:rsidR="00C853BA" w:rsidRPr="009A74DB">
        <w:rPr>
          <w:rFonts w:ascii="Arial" w:hAnsi="Arial" w:cs="Arial"/>
          <w:color w:val="000000" w:themeColor="text1"/>
        </w:rPr>
        <w:t xml:space="preserve"> examination to more in-depth mydriatic assessments</w:t>
      </w:r>
      <w:r w:rsidR="00675A7C" w:rsidRPr="009A74DB">
        <w:rPr>
          <w:rFonts w:ascii="Arial" w:hAnsi="Arial" w:cs="Arial"/>
          <w:color w:val="000000" w:themeColor="text1"/>
        </w:rPr>
        <w:t>.</w:t>
      </w:r>
      <w:r w:rsidR="00807A92" w:rsidRPr="009A74DB">
        <w:rPr>
          <w:rFonts w:ascii="Arial" w:hAnsi="Arial" w:cs="Arial"/>
          <w:color w:val="000000" w:themeColor="text1"/>
        </w:rPr>
        <w:t xml:space="preserve"> </w:t>
      </w:r>
      <w:r w:rsidR="008420B8" w:rsidRPr="009A74DB">
        <w:rPr>
          <w:rFonts w:ascii="Arial" w:hAnsi="Arial" w:cs="Arial"/>
          <w:color w:val="000000" w:themeColor="text1"/>
        </w:rPr>
        <w:t xml:space="preserve">The age of participants </w:t>
      </w:r>
      <w:r w:rsidR="00FF1940" w:rsidRPr="009A74DB">
        <w:rPr>
          <w:rFonts w:ascii="Arial" w:hAnsi="Arial" w:cs="Arial"/>
          <w:color w:val="000000" w:themeColor="text1"/>
        </w:rPr>
        <w:t>has</w:t>
      </w:r>
      <w:r w:rsidR="008420B8" w:rsidRPr="009A74DB">
        <w:rPr>
          <w:rFonts w:ascii="Arial" w:hAnsi="Arial" w:cs="Arial"/>
          <w:color w:val="000000" w:themeColor="text1"/>
        </w:rPr>
        <w:t xml:space="preserve"> also varied across studies</w:t>
      </w:r>
      <w:r w:rsidR="00C853BA" w:rsidRPr="009A74DB">
        <w:rPr>
          <w:rFonts w:ascii="Arial" w:hAnsi="Arial" w:cs="Arial"/>
          <w:color w:val="000000" w:themeColor="text1"/>
        </w:rPr>
        <w:t xml:space="preserve"> and</w:t>
      </w:r>
      <w:r w:rsidR="00807A92" w:rsidRPr="009A74DB">
        <w:rPr>
          <w:rFonts w:ascii="Arial" w:hAnsi="Arial" w:cs="Arial"/>
          <w:color w:val="000000" w:themeColor="text1"/>
        </w:rPr>
        <w:t xml:space="preserve"> there is scant </w:t>
      </w:r>
      <w:r w:rsidR="00C853BA" w:rsidRPr="009A74DB">
        <w:rPr>
          <w:rFonts w:ascii="Arial" w:hAnsi="Arial" w:cs="Arial"/>
          <w:color w:val="000000" w:themeColor="text1"/>
        </w:rPr>
        <w:t xml:space="preserve">published </w:t>
      </w:r>
      <w:r w:rsidR="00807A92" w:rsidRPr="009A74DB">
        <w:rPr>
          <w:rFonts w:ascii="Arial" w:hAnsi="Arial" w:cs="Arial"/>
          <w:color w:val="000000" w:themeColor="text1"/>
        </w:rPr>
        <w:t xml:space="preserve">information describing the </w:t>
      </w:r>
      <w:r w:rsidR="00C853BA" w:rsidRPr="009A74DB">
        <w:rPr>
          <w:rFonts w:ascii="Arial" w:hAnsi="Arial" w:cs="Arial"/>
          <w:color w:val="000000" w:themeColor="text1"/>
        </w:rPr>
        <w:t xml:space="preserve">features </w:t>
      </w:r>
      <w:r w:rsidR="00807A92" w:rsidRPr="009A74DB">
        <w:rPr>
          <w:rFonts w:ascii="Arial" w:hAnsi="Arial" w:cs="Arial"/>
          <w:color w:val="000000" w:themeColor="text1"/>
        </w:rPr>
        <w:t xml:space="preserve">of cataract </w:t>
      </w:r>
      <w:r w:rsidR="00C853BA" w:rsidRPr="009A74DB">
        <w:rPr>
          <w:rFonts w:ascii="Arial" w:hAnsi="Arial" w:cs="Arial"/>
          <w:color w:val="000000" w:themeColor="text1"/>
        </w:rPr>
        <w:t xml:space="preserve">found </w:t>
      </w:r>
      <w:r w:rsidR="00807A92" w:rsidRPr="009A74DB">
        <w:rPr>
          <w:rFonts w:ascii="Arial" w:hAnsi="Arial" w:cs="Arial"/>
          <w:color w:val="000000" w:themeColor="text1"/>
        </w:rPr>
        <w:t xml:space="preserve">in Down syndrome, </w:t>
      </w:r>
      <w:r w:rsidR="00C853BA" w:rsidRPr="009A74DB">
        <w:rPr>
          <w:rFonts w:ascii="Arial" w:hAnsi="Arial" w:cs="Arial"/>
          <w:color w:val="000000" w:themeColor="text1"/>
        </w:rPr>
        <w:t xml:space="preserve">particularly the aetiology and type of cataracts. </w:t>
      </w:r>
      <w:r w:rsidR="005615E7" w:rsidRPr="009A74DB">
        <w:rPr>
          <w:rFonts w:ascii="Arial" w:hAnsi="Arial" w:cs="Arial"/>
          <w:color w:val="000000" w:themeColor="text1"/>
        </w:rPr>
        <w:t>Congenital cataract is reported in 1.4% cases with DS</w:t>
      </w:r>
      <w:r w:rsidR="00962F44" w:rsidRPr="009A74DB">
        <w:rPr>
          <w:rFonts w:ascii="Arial" w:hAnsi="Arial" w:cs="Arial"/>
          <w:color w:val="000000" w:themeColor="text1"/>
        </w:rPr>
        <w:t>,</w:t>
      </w:r>
      <w:r w:rsidR="007F5BE6"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5</w:t>
      </w:r>
      <w:r w:rsidR="00962F44" w:rsidRPr="009A74DB">
        <w:rPr>
          <w:rFonts w:ascii="Arial" w:hAnsi="Arial" w:cs="Arial"/>
          <w:color w:val="000000" w:themeColor="text1"/>
          <w:vertAlign w:val="superscript"/>
        </w:rPr>
        <w:t xml:space="preserve"> </w:t>
      </w:r>
      <w:r w:rsidR="00962F44" w:rsidRPr="009A74DB">
        <w:rPr>
          <w:rFonts w:ascii="Arial" w:hAnsi="Arial" w:cs="Arial"/>
          <w:color w:val="000000" w:themeColor="text1"/>
        </w:rPr>
        <w:t>while other report</w:t>
      </w:r>
      <w:r w:rsidR="00C853BA" w:rsidRPr="009A74DB">
        <w:rPr>
          <w:rFonts w:ascii="Arial" w:hAnsi="Arial" w:cs="Arial"/>
          <w:color w:val="000000" w:themeColor="text1"/>
        </w:rPr>
        <w:t>s identify</w:t>
      </w:r>
      <w:r w:rsidR="00962F44" w:rsidRPr="009A74DB">
        <w:rPr>
          <w:rFonts w:ascii="Arial" w:hAnsi="Arial" w:cs="Arial"/>
          <w:color w:val="000000" w:themeColor="text1"/>
        </w:rPr>
        <w:t xml:space="preserve"> cataracts similar to those seen in the ageing eye.</w:t>
      </w:r>
    </w:p>
    <w:p w14:paraId="0D4D3270" w14:textId="489A6785" w:rsidR="00512A32" w:rsidRPr="009A74DB" w:rsidRDefault="00512A32" w:rsidP="009C4263">
      <w:pPr>
        <w:spacing w:line="480" w:lineRule="auto"/>
        <w:rPr>
          <w:rFonts w:ascii="Arial" w:hAnsi="Arial" w:cs="Arial"/>
          <w:color w:val="000000" w:themeColor="text1"/>
        </w:rPr>
      </w:pPr>
    </w:p>
    <w:p w14:paraId="4B4F2868" w14:textId="593C0F40" w:rsidR="006B77C0" w:rsidRPr="009A74DB" w:rsidRDefault="005B6E91" w:rsidP="009C4263">
      <w:pPr>
        <w:spacing w:line="480" w:lineRule="auto"/>
        <w:rPr>
          <w:rFonts w:ascii="Arial" w:hAnsi="Arial" w:cs="Arial"/>
          <w:color w:val="000000" w:themeColor="text1"/>
        </w:rPr>
      </w:pPr>
      <w:r w:rsidRPr="009A74DB">
        <w:rPr>
          <w:rFonts w:ascii="Arial" w:hAnsi="Arial" w:cs="Arial"/>
          <w:color w:val="000000" w:themeColor="text1"/>
        </w:rPr>
        <w:t>Due to the triplicate of chromosome 21</w:t>
      </w:r>
      <w:r w:rsidR="00FF1940" w:rsidRPr="009A74DB">
        <w:rPr>
          <w:rFonts w:ascii="Arial" w:hAnsi="Arial" w:cs="Arial"/>
          <w:color w:val="000000" w:themeColor="text1"/>
        </w:rPr>
        <w:t xml:space="preserve"> and subsequent overexpression of the amyloid precursor protein</w:t>
      </w:r>
      <w:r w:rsidRPr="009A74DB">
        <w:rPr>
          <w:rFonts w:ascii="Arial" w:hAnsi="Arial" w:cs="Arial"/>
          <w:color w:val="000000" w:themeColor="text1"/>
        </w:rPr>
        <w:t>, Down syndrome</w:t>
      </w:r>
      <w:r w:rsidR="00FF1940" w:rsidRPr="009A74DB">
        <w:rPr>
          <w:rFonts w:ascii="Arial" w:hAnsi="Arial" w:cs="Arial"/>
          <w:color w:val="000000" w:themeColor="text1"/>
        </w:rPr>
        <w:t xml:space="preserve"> </w:t>
      </w:r>
      <w:r w:rsidRPr="009A74DB">
        <w:rPr>
          <w:rFonts w:ascii="Arial" w:hAnsi="Arial" w:cs="Arial"/>
          <w:color w:val="000000" w:themeColor="text1"/>
        </w:rPr>
        <w:t xml:space="preserve">is associated with </w:t>
      </w:r>
      <w:r w:rsidR="00C853BA" w:rsidRPr="009A74DB">
        <w:rPr>
          <w:rFonts w:ascii="Arial" w:hAnsi="Arial" w:cs="Arial"/>
          <w:color w:val="000000" w:themeColor="text1"/>
        </w:rPr>
        <w:t xml:space="preserve">increased risk of </w:t>
      </w:r>
      <w:r w:rsidRPr="009A74DB">
        <w:rPr>
          <w:rFonts w:ascii="Arial" w:hAnsi="Arial" w:cs="Arial"/>
          <w:color w:val="000000" w:themeColor="text1"/>
        </w:rPr>
        <w:t>Alzheimer’s disease</w:t>
      </w:r>
      <w:r w:rsidR="005E7680" w:rsidRPr="009A74DB">
        <w:rPr>
          <w:rFonts w:ascii="Arial" w:hAnsi="Arial" w:cs="Arial"/>
          <w:color w:val="000000" w:themeColor="text1"/>
        </w:rPr>
        <w:t xml:space="preserve"> (AD)</w:t>
      </w:r>
      <w:r w:rsidRPr="009A74DB">
        <w:rPr>
          <w:rFonts w:ascii="Arial" w:hAnsi="Arial" w:cs="Arial"/>
          <w:color w:val="000000" w:themeColor="text1"/>
        </w:rPr>
        <w:t xml:space="preserve">.  </w:t>
      </w:r>
      <w:r w:rsidR="00DD5F33" w:rsidRPr="009A74DB">
        <w:rPr>
          <w:rFonts w:ascii="Arial" w:hAnsi="Arial" w:cs="Arial"/>
          <w:color w:val="000000" w:themeColor="text1"/>
        </w:rPr>
        <w:t>S</w:t>
      </w:r>
      <w:proofErr w:type="spellStart"/>
      <w:r w:rsidRPr="009A74DB">
        <w:rPr>
          <w:rFonts w:ascii="Arial" w:eastAsiaTheme="minorEastAsia" w:hAnsi="Arial" w:cs="Arial"/>
          <w:color w:val="000000" w:themeColor="text1"/>
          <w:lang w:val="en-US"/>
        </w:rPr>
        <w:t>enile</w:t>
      </w:r>
      <w:proofErr w:type="spellEnd"/>
      <w:r w:rsidRPr="009A74DB">
        <w:rPr>
          <w:rFonts w:ascii="Arial" w:eastAsiaTheme="minorEastAsia" w:hAnsi="Arial" w:cs="Arial"/>
          <w:color w:val="000000" w:themeColor="text1"/>
          <w:lang w:val="en-US"/>
        </w:rPr>
        <w:t xml:space="preserve"> </w:t>
      </w:r>
      <w:r w:rsidRPr="009A74DB">
        <w:rPr>
          <w:rFonts w:ascii="Arial" w:hAnsi="Arial" w:cs="Arial"/>
          <w:color w:val="000000" w:themeColor="text1"/>
        </w:rPr>
        <w:t>Aβ</w:t>
      </w:r>
      <w:r w:rsidRPr="009A74DB">
        <w:rPr>
          <w:rFonts w:ascii="Arial" w:eastAsiaTheme="minorEastAsia" w:hAnsi="Arial" w:cs="Arial"/>
          <w:color w:val="000000" w:themeColor="text1"/>
          <w:lang w:val="en-US"/>
        </w:rPr>
        <w:t xml:space="preserve"> plaques and neurofibrillary tangles in the brain of DS adults aged 35 to 40 years and older</w:t>
      </w:r>
      <w:r w:rsidR="00DD5F33" w:rsidRPr="009A74DB">
        <w:rPr>
          <w:rFonts w:ascii="Arial" w:eastAsiaTheme="minorEastAsia" w:hAnsi="Arial" w:cs="Arial"/>
          <w:color w:val="000000" w:themeColor="text1"/>
          <w:lang w:val="en-US"/>
        </w:rPr>
        <w:t xml:space="preserve"> have been reported</w:t>
      </w:r>
      <w:r w:rsidR="00A35490" w:rsidRPr="009A74DB">
        <w:rPr>
          <w:rFonts w:ascii="Arial" w:eastAsiaTheme="minorEastAsia" w:hAnsi="Arial" w:cs="Arial"/>
          <w:color w:val="000000" w:themeColor="text1"/>
          <w:lang w:val="en-US"/>
        </w:rPr>
        <w:t>.</w:t>
      </w:r>
      <w:r w:rsidR="007F5BE6" w:rsidRPr="009A74DB">
        <w:rPr>
          <w:rFonts w:ascii="Arial" w:eastAsiaTheme="minorEastAsia" w:hAnsi="Arial" w:cs="Arial"/>
          <w:color w:val="000000" w:themeColor="text1"/>
          <w:vertAlign w:val="superscript"/>
          <w:lang w:val="en-US"/>
        </w:rPr>
        <w:t>1</w:t>
      </w:r>
      <w:r w:rsidR="009726D6" w:rsidRPr="009A74DB">
        <w:rPr>
          <w:rFonts w:ascii="Arial" w:eastAsiaTheme="minorEastAsia" w:hAnsi="Arial" w:cs="Arial"/>
          <w:color w:val="000000" w:themeColor="text1"/>
          <w:vertAlign w:val="superscript"/>
          <w:lang w:val="en-US"/>
        </w:rPr>
        <w:t>6</w:t>
      </w:r>
      <w:r w:rsidR="007F5BE6" w:rsidRPr="009A74DB">
        <w:rPr>
          <w:rFonts w:ascii="Arial" w:eastAsiaTheme="minorEastAsia" w:hAnsi="Arial" w:cs="Arial"/>
          <w:color w:val="000000" w:themeColor="text1"/>
          <w:vertAlign w:val="superscript"/>
          <w:lang w:val="en-US"/>
        </w:rPr>
        <w:t>,1</w:t>
      </w:r>
      <w:r w:rsidR="009726D6" w:rsidRPr="009A74DB">
        <w:rPr>
          <w:rFonts w:ascii="Arial" w:eastAsiaTheme="minorEastAsia" w:hAnsi="Arial" w:cs="Arial"/>
          <w:color w:val="000000" w:themeColor="text1"/>
          <w:vertAlign w:val="superscript"/>
          <w:lang w:val="en-US"/>
        </w:rPr>
        <w:t>7</w:t>
      </w:r>
      <w:r w:rsidR="00CD4241" w:rsidRPr="009A74DB">
        <w:rPr>
          <w:rFonts w:ascii="Arial" w:eastAsiaTheme="minorEastAsia" w:hAnsi="Arial" w:cs="Arial"/>
          <w:color w:val="000000" w:themeColor="text1"/>
          <w:vertAlign w:val="superscript"/>
          <w:lang w:val="en-US"/>
        </w:rPr>
        <w:t xml:space="preserve"> </w:t>
      </w:r>
      <w:r w:rsidRPr="009A74DB">
        <w:rPr>
          <w:rFonts w:ascii="Arial" w:eastAsiaTheme="minorEastAsia" w:hAnsi="Arial" w:cs="Arial"/>
          <w:color w:val="000000" w:themeColor="text1"/>
          <w:lang w:val="en-US"/>
        </w:rPr>
        <w:t xml:space="preserve"> </w:t>
      </w:r>
      <w:r w:rsidR="00CD4241" w:rsidRPr="009A74DB">
        <w:rPr>
          <w:rFonts w:ascii="Arial" w:eastAsiaTheme="minorEastAsia" w:hAnsi="Arial" w:cs="Arial"/>
          <w:color w:val="000000" w:themeColor="text1"/>
          <w:lang w:val="en-US"/>
        </w:rPr>
        <w:t xml:space="preserve"> </w:t>
      </w:r>
      <w:r w:rsidRPr="009A74DB">
        <w:rPr>
          <w:rFonts w:ascii="Arial" w:eastAsiaTheme="minorEastAsia" w:hAnsi="Arial" w:cs="Arial"/>
          <w:color w:val="000000" w:themeColor="text1"/>
          <w:lang w:val="en-US"/>
        </w:rPr>
        <w:t>Zana et al.</w:t>
      </w:r>
      <w:r w:rsidR="007F5BE6" w:rsidRPr="009A74DB">
        <w:rPr>
          <w:rFonts w:ascii="Arial" w:eastAsiaTheme="minorEastAsia" w:hAnsi="Arial" w:cs="Arial"/>
          <w:color w:val="000000" w:themeColor="text1"/>
          <w:vertAlign w:val="superscript"/>
          <w:lang w:val="en-US"/>
        </w:rPr>
        <w:t>1</w:t>
      </w:r>
      <w:r w:rsidR="009726D6" w:rsidRPr="009A74DB">
        <w:rPr>
          <w:rFonts w:ascii="Arial" w:eastAsiaTheme="minorEastAsia" w:hAnsi="Arial" w:cs="Arial"/>
          <w:color w:val="000000" w:themeColor="text1"/>
          <w:vertAlign w:val="superscript"/>
          <w:lang w:val="en-US"/>
        </w:rPr>
        <w:t>6</w:t>
      </w:r>
      <w:r w:rsidRPr="009A74DB">
        <w:rPr>
          <w:rFonts w:ascii="Arial" w:eastAsiaTheme="minorEastAsia" w:hAnsi="Arial" w:cs="Arial"/>
          <w:color w:val="000000" w:themeColor="text1"/>
          <w:lang w:val="en-US"/>
        </w:rPr>
        <w:t xml:space="preserve"> report the </w:t>
      </w:r>
      <w:r w:rsidR="00FF1940" w:rsidRPr="009A74DB">
        <w:rPr>
          <w:rFonts w:ascii="Arial" w:eastAsiaTheme="minorEastAsia" w:hAnsi="Arial" w:cs="Arial"/>
          <w:color w:val="000000" w:themeColor="text1"/>
          <w:lang w:val="en-US"/>
        </w:rPr>
        <w:t xml:space="preserve">rates </w:t>
      </w:r>
      <w:r w:rsidRPr="009A74DB">
        <w:rPr>
          <w:rFonts w:ascii="Arial" w:eastAsiaTheme="minorEastAsia" w:hAnsi="Arial" w:cs="Arial"/>
          <w:color w:val="000000" w:themeColor="text1"/>
          <w:lang w:val="en-US"/>
        </w:rPr>
        <w:t xml:space="preserve">of dementia in Down syndrome </w:t>
      </w:r>
      <w:r w:rsidR="00FF1940" w:rsidRPr="009A74DB">
        <w:rPr>
          <w:rFonts w:ascii="Arial" w:eastAsiaTheme="minorEastAsia" w:hAnsi="Arial" w:cs="Arial"/>
          <w:color w:val="000000" w:themeColor="text1"/>
          <w:lang w:val="en-US"/>
        </w:rPr>
        <w:t>at</w:t>
      </w:r>
      <w:r w:rsidRPr="009A74DB">
        <w:rPr>
          <w:rFonts w:ascii="Arial" w:eastAsiaTheme="minorEastAsia" w:hAnsi="Arial" w:cs="Arial"/>
          <w:color w:val="000000" w:themeColor="text1"/>
          <w:lang w:val="en-US"/>
        </w:rPr>
        <w:t xml:space="preserve"> 8%</w:t>
      </w:r>
      <w:r w:rsidR="00FF1940" w:rsidRPr="009A74DB">
        <w:rPr>
          <w:rFonts w:ascii="Arial" w:eastAsiaTheme="minorEastAsia" w:hAnsi="Arial" w:cs="Arial"/>
          <w:color w:val="000000" w:themeColor="text1"/>
          <w:lang w:val="en-US"/>
        </w:rPr>
        <w:t xml:space="preserve">, 55% and 75% </w:t>
      </w:r>
      <w:r w:rsidRPr="009A74DB">
        <w:rPr>
          <w:rFonts w:ascii="Arial" w:eastAsiaTheme="minorEastAsia" w:hAnsi="Arial" w:cs="Arial"/>
          <w:color w:val="000000" w:themeColor="text1"/>
          <w:lang w:val="en-US"/>
        </w:rPr>
        <w:t xml:space="preserve">in those aged 35-49, </w:t>
      </w:r>
      <w:r w:rsidR="005E7680" w:rsidRPr="009A74DB">
        <w:rPr>
          <w:rFonts w:ascii="Arial" w:eastAsiaTheme="minorEastAsia" w:hAnsi="Arial" w:cs="Arial"/>
          <w:color w:val="000000" w:themeColor="text1"/>
          <w:lang w:val="en-US"/>
        </w:rPr>
        <w:t xml:space="preserve">50-59 and over </w:t>
      </w:r>
      <w:r w:rsidRPr="009A74DB">
        <w:rPr>
          <w:rFonts w:ascii="Arial" w:eastAsiaTheme="minorEastAsia" w:hAnsi="Arial" w:cs="Arial"/>
          <w:color w:val="000000" w:themeColor="text1"/>
          <w:lang w:val="en-US"/>
        </w:rPr>
        <w:t>60 years</w:t>
      </w:r>
      <w:r w:rsidR="00F77CBD" w:rsidRPr="009A74DB">
        <w:rPr>
          <w:rFonts w:ascii="Arial" w:eastAsiaTheme="minorEastAsia" w:hAnsi="Arial" w:cs="Arial"/>
          <w:color w:val="000000" w:themeColor="text1"/>
          <w:lang w:val="en-US"/>
        </w:rPr>
        <w:t xml:space="preserve"> respectively</w:t>
      </w:r>
      <w:r w:rsidRPr="009A74DB">
        <w:rPr>
          <w:rFonts w:ascii="Arial" w:eastAsiaTheme="minorEastAsia" w:hAnsi="Arial" w:cs="Arial"/>
          <w:color w:val="000000" w:themeColor="text1"/>
          <w:lang w:val="en-US"/>
        </w:rPr>
        <w:t xml:space="preserve">. </w:t>
      </w:r>
      <w:r w:rsidR="005A6A17" w:rsidRPr="009A74DB">
        <w:rPr>
          <w:rFonts w:ascii="Arial" w:eastAsiaTheme="minorEastAsia" w:hAnsi="Arial" w:cs="Arial"/>
          <w:color w:val="000000" w:themeColor="text1"/>
          <w:lang w:val="en-US"/>
        </w:rPr>
        <w:t xml:space="preserve">Clinical diagnosis of AD often relies on </w:t>
      </w:r>
      <w:r w:rsidRPr="009A74DB">
        <w:rPr>
          <w:rFonts w:ascii="Arial" w:eastAsiaTheme="minorEastAsia" w:hAnsi="Arial" w:cs="Arial"/>
          <w:color w:val="000000" w:themeColor="text1"/>
          <w:lang w:val="en-US"/>
        </w:rPr>
        <w:lastRenderedPageBreak/>
        <w:t xml:space="preserve">communication and </w:t>
      </w:r>
      <w:r w:rsidR="005A6A17" w:rsidRPr="009A74DB">
        <w:rPr>
          <w:rFonts w:ascii="Arial" w:eastAsiaTheme="minorEastAsia" w:hAnsi="Arial" w:cs="Arial"/>
          <w:color w:val="000000" w:themeColor="text1"/>
          <w:lang w:val="en-US"/>
        </w:rPr>
        <w:t xml:space="preserve">an assessment of </w:t>
      </w:r>
      <w:r w:rsidR="00FF1940" w:rsidRPr="009A74DB">
        <w:rPr>
          <w:rFonts w:ascii="Arial" w:eastAsiaTheme="minorEastAsia" w:hAnsi="Arial" w:cs="Arial"/>
          <w:color w:val="000000" w:themeColor="text1"/>
          <w:lang w:val="en-US"/>
        </w:rPr>
        <w:t xml:space="preserve">a </w:t>
      </w:r>
      <w:r w:rsidR="005A6A17" w:rsidRPr="009A74DB">
        <w:rPr>
          <w:rFonts w:ascii="Arial" w:eastAsiaTheme="minorEastAsia" w:hAnsi="Arial" w:cs="Arial"/>
          <w:color w:val="000000" w:themeColor="text1"/>
          <w:lang w:val="en-US"/>
        </w:rPr>
        <w:t xml:space="preserve">patient’s </w:t>
      </w:r>
      <w:r w:rsidRPr="009A74DB">
        <w:rPr>
          <w:rFonts w:ascii="Arial" w:eastAsiaTheme="minorEastAsia" w:hAnsi="Arial" w:cs="Arial"/>
          <w:color w:val="000000" w:themeColor="text1"/>
          <w:lang w:val="en-US"/>
        </w:rPr>
        <w:t>ability to perform cognitive tests</w:t>
      </w:r>
      <w:r w:rsidR="005A6A17" w:rsidRPr="009A74DB">
        <w:rPr>
          <w:rFonts w:ascii="Arial" w:eastAsiaTheme="minorEastAsia" w:hAnsi="Arial" w:cs="Arial"/>
          <w:color w:val="000000" w:themeColor="text1"/>
          <w:lang w:val="en-US"/>
        </w:rPr>
        <w:t xml:space="preserve">. Thus, while AD diagnosis is complex in typically developed adults, </w:t>
      </w:r>
      <w:r w:rsidR="00FF1940" w:rsidRPr="009A74DB">
        <w:rPr>
          <w:rFonts w:ascii="Arial" w:eastAsiaTheme="minorEastAsia" w:hAnsi="Arial" w:cs="Arial"/>
          <w:color w:val="000000" w:themeColor="text1"/>
          <w:lang w:val="en-US"/>
        </w:rPr>
        <w:t>it</w:t>
      </w:r>
      <w:r w:rsidR="005A6A17" w:rsidRPr="009A74DB">
        <w:rPr>
          <w:rFonts w:ascii="Arial" w:eastAsiaTheme="minorEastAsia" w:hAnsi="Arial" w:cs="Arial"/>
          <w:color w:val="000000" w:themeColor="text1"/>
          <w:lang w:val="en-US"/>
        </w:rPr>
        <w:t xml:space="preserve"> poses even greater challenges in those with a learning disability</w:t>
      </w:r>
      <w:r w:rsidRPr="009A74DB">
        <w:rPr>
          <w:rFonts w:ascii="Arial" w:eastAsiaTheme="minorEastAsia" w:hAnsi="Arial" w:cs="Arial"/>
          <w:color w:val="000000" w:themeColor="text1"/>
          <w:lang w:val="en-US"/>
        </w:rPr>
        <w:t xml:space="preserve">. </w:t>
      </w:r>
      <w:r w:rsidR="005A6A17" w:rsidRPr="009A74DB">
        <w:rPr>
          <w:rFonts w:ascii="Arial" w:eastAsiaTheme="minorEastAsia" w:hAnsi="Arial" w:cs="Arial"/>
          <w:color w:val="000000" w:themeColor="text1"/>
          <w:lang w:val="en-US"/>
        </w:rPr>
        <w:t>There is a</w:t>
      </w:r>
      <w:r w:rsidRPr="009A74DB">
        <w:rPr>
          <w:rFonts w:ascii="Arial" w:eastAsiaTheme="minorEastAsia" w:hAnsi="Arial" w:cs="Arial"/>
          <w:color w:val="000000" w:themeColor="text1"/>
          <w:lang w:val="en-US"/>
        </w:rPr>
        <w:t xml:space="preserve"> need for </w:t>
      </w:r>
      <w:r w:rsidR="005A6A17" w:rsidRPr="009A74DB">
        <w:rPr>
          <w:rFonts w:ascii="Arial" w:eastAsiaTheme="minorEastAsia" w:hAnsi="Arial" w:cs="Arial"/>
          <w:color w:val="000000" w:themeColor="text1"/>
          <w:lang w:val="en-US"/>
        </w:rPr>
        <w:t xml:space="preserve">alternative, </w:t>
      </w:r>
      <w:r w:rsidR="005E7680" w:rsidRPr="009A74DB">
        <w:rPr>
          <w:rFonts w:ascii="Arial" w:eastAsiaTheme="minorEastAsia" w:hAnsi="Arial" w:cs="Arial"/>
          <w:color w:val="000000" w:themeColor="text1"/>
          <w:lang w:val="en-US"/>
        </w:rPr>
        <w:t xml:space="preserve">objective </w:t>
      </w:r>
      <w:r w:rsidR="00FF1940" w:rsidRPr="009A74DB">
        <w:rPr>
          <w:rFonts w:ascii="Arial" w:eastAsiaTheme="minorEastAsia" w:hAnsi="Arial" w:cs="Arial"/>
          <w:color w:val="000000" w:themeColor="text1"/>
          <w:lang w:val="en-US"/>
        </w:rPr>
        <w:t xml:space="preserve">and non-invasive </w:t>
      </w:r>
      <w:r w:rsidR="005E7680" w:rsidRPr="009A74DB">
        <w:rPr>
          <w:rFonts w:ascii="Arial" w:eastAsiaTheme="minorEastAsia" w:hAnsi="Arial" w:cs="Arial"/>
          <w:color w:val="000000" w:themeColor="text1"/>
          <w:lang w:val="en-US"/>
        </w:rPr>
        <w:t xml:space="preserve">methods </w:t>
      </w:r>
      <w:r w:rsidR="00FF1940" w:rsidRPr="009A74DB">
        <w:rPr>
          <w:rFonts w:ascii="Arial" w:eastAsiaTheme="minorEastAsia" w:hAnsi="Arial" w:cs="Arial"/>
          <w:color w:val="000000" w:themeColor="text1"/>
          <w:lang w:val="en-US"/>
        </w:rPr>
        <w:t>of</w:t>
      </w:r>
      <w:r w:rsidR="005A6A17" w:rsidRPr="009A74DB">
        <w:rPr>
          <w:rFonts w:ascii="Arial" w:eastAsiaTheme="minorEastAsia" w:hAnsi="Arial" w:cs="Arial"/>
          <w:color w:val="000000" w:themeColor="text1"/>
          <w:lang w:val="en-US"/>
        </w:rPr>
        <w:t xml:space="preserve"> </w:t>
      </w:r>
      <w:r w:rsidR="005E7680" w:rsidRPr="009A74DB">
        <w:rPr>
          <w:rFonts w:ascii="Arial" w:eastAsiaTheme="minorEastAsia" w:hAnsi="Arial" w:cs="Arial"/>
          <w:color w:val="000000" w:themeColor="text1"/>
          <w:lang w:val="en-US"/>
        </w:rPr>
        <w:t>detecting</w:t>
      </w:r>
      <w:r w:rsidRPr="009A74DB">
        <w:rPr>
          <w:rFonts w:ascii="Arial" w:eastAsiaTheme="minorEastAsia" w:hAnsi="Arial" w:cs="Arial"/>
          <w:color w:val="000000" w:themeColor="text1"/>
          <w:lang w:val="en-US"/>
        </w:rPr>
        <w:t xml:space="preserve"> the presence of </w:t>
      </w:r>
      <w:r w:rsidR="005A6A17" w:rsidRPr="009A74DB">
        <w:rPr>
          <w:rFonts w:ascii="Arial" w:eastAsiaTheme="minorEastAsia" w:hAnsi="Arial" w:cs="Arial"/>
          <w:color w:val="000000" w:themeColor="text1"/>
          <w:lang w:val="en-US"/>
        </w:rPr>
        <w:t>AD</w:t>
      </w:r>
      <w:r w:rsidRPr="009A74DB">
        <w:rPr>
          <w:rFonts w:ascii="Arial" w:eastAsiaTheme="minorEastAsia" w:hAnsi="Arial" w:cs="Arial"/>
          <w:color w:val="000000" w:themeColor="text1"/>
          <w:lang w:val="en-US"/>
        </w:rPr>
        <w:t xml:space="preserve">.  </w:t>
      </w:r>
      <w:r w:rsidR="00216B6A" w:rsidRPr="009A74DB">
        <w:rPr>
          <w:rFonts w:ascii="Arial" w:eastAsiaTheme="minorEastAsia" w:hAnsi="Arial" w:cs="Arial"/>
          <w:color w:val="000000" w:themeColor="text1"/>
          <w:lang w:val="en-US"/>
        </w:rPr>
        <w:t>I</w:t>
      </w:r>
      <w:r w:rsidR="008420B8" w:rsidRPr="009A74DB">
        <w:rPr>
          <w:rFonts w:ascii="Arial" w:hAnsi="Arial" w:cs="Arial"/>
          <w:color w:val="000000" w:themeColor="text1"/>
        </w:rPr>
        <w:t>t has been proposed that supra-nuclear cataracts in DS are indicative of beta-amyloid aggregation and thus could be a biomarker for Alzheimer’s disease.</w:t>
      </w:r>
      <w:r w:rsidR="007F5BE6"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8</w:t>
      </w:r>
      <w:r w:rsidR="007F5BE6" w:rsidRPr="009A74DB">
        <w:rPr>
          <w:rFonts w:ascii="Arial" w:hAnsi="Arial" w:cs="Arial"/>
          <w:color w:val="000000" w:themeColor="text1"/>
          <w:vertAlign w:val="superscript"/>
        </w:rPr>
        <w:t>,</w:t>
      </w:r>
      <w:r w:rsidR="009726D6" w:rsidRPr="009A74DB">
        <w:rPr>
          <w:rFonts w:ascii="Arial" w:hAnsi="Arial" w:cs="Arial"/>
          <w:color w:val="000000" w:themeColor="text1"/>
          <w:vertAlign w:val="superscript"/>
        </w:rPr>
        <w:t>19</w:t>
      </w:r>
      <w:r w:rsidR="00CD4241" w:rsidRPr="009A74DB">
        <w:rPr>
          <w:rFonts w:ascii="Arial" w:hAnsi="Arial" w:cs="Arial"/>
          <w:color w:val="000000" w:themeColor="text1"/>
          <w:vertAlign w:val="superscript"/>
        </w:rPr>
        <w:t xml:space="preserve"> </w:t>
      </w:r>
      <w:r w:rsidR="008420B8" w:rsidRPr="009A74DB">
        <w:rPr>
          <w:rFonts w:ascii="Arial" w:hAnsi="Arial" w:cs="Arial"/>
          <w:color w:val="000000" w:themeColor="text1"/>
        </w:rPr>
        <w:t xml:space="preserve"> However, given </w:t>
      </w:r>
      <w:r w:rsidR="005A6A17" w:rsidRPr="009A74DB">
        <w:rPr>
          <w:rFonts w:ascii="Arial" w:hAnsi="Arial" w:cs="Arial"/>
          <w:color w:val="000000" w:themeColor="text1"/>
        </w:rPr>
        <w:t>the minimal</w:t>
      </w:r>
      <w:r w:rsidR="008420B8" w:rsidRPr="009A74DB">
        <w:rPr>
          <w:rFonts w:ascii="Arial" w:hAnsi="Arial" w:cs="Arial"/>
          <w:color w:val="000000" w:themeColor="text1"/>
        </w:rPr>
        <w:t xml:space="preserve"> information </w:t>
      </w:r>
      <w:r w:rsidR="005A6A17" w:rsidRPr="009A74DB">
        <w:rPr>
          <w:rFonts w:ascii="Arial" w:hAnsi="Arial" w:cs="Arial"/>
          <w:color w:val="000000" w:themeColor="text1"/>
        </w:rPr>
        <w:t xml:space="preserve">currently available regarding the </w:t>
      </w:r>
      <w:r w:rsidR="008420B8" w:rsidRPr="009A74DB">
        <w:rPr>
          <w:rFonts w:ascii="Arial" w:hAnsi="Arial" w:cs="Arial"/>
          <w:color w:val="000000" w:themeColor="text1"/>
        </w:rPr>
        <w:t xml:space="preserve">morphology and frequency of cataract in DS, particularly </w:t>
      </w:r>
      <w:r w:rsidR="005A6A17" w:rsidRPr="009A74DB">
        <w:rPr>
          <w:rFonts w:ascii="Arial" w:hAnsi="Arial" w:cs="Arial"/>
          <w:color w:val="000000" w:themeColor="text1"/>
        </w:rPr>
        <w:t>in</w:t>
      </w:r>
      <w:r w:rsidR="008420B8" w:rsidRPr="009A74DB">
        <w:rPr>
          <w:rFonts w:ascii="Arial" w:hAnsi="Arial" w:cs="Arial"/>
          <w:color w:val="000000" w:themeColor="text1"/>
        </w:rPr>
        <w:t xml:space="preserve"> non-clinical DS populations, </w:t>
      </w:r>
      <w:r w:rsidR="005A6A17" w:rsidRPr="009A74DB">
        <w:rPr>
          <w:rFonts w:ascii="Arial" w:hAnsi="Arial" w:cs="Arial"/>
          <w:color w:val="000000" w:themeColor="text1"/>
        </w:rPr>
        <w:t xml:space="preserve">a better </w:t>
      </w:r>
      <w:r w:rsidR="00FF1940" w:rsidRPr="009A74DB">
        <w:rPr>
          <w:rFonts w:ascii="Arial" w:hAnsi="Arial" w:cs="Arial"/>
          <w:color w:val="000000" w:themeColor="text1"/>
        </w:rPr>
        <w:t xml:space="preserve">understanding </w:t>
      </w:r>
      <w:r w:rsidR="005A6A17" w:rsidRPr="009A74DB">
        <w:rPr>
          <w:rFonts w:ascii="Arial" w:hAnsi="Arial" w:cs="Arial"/>
          <w:color w:val="000000" w:themeColor="text1"/>
        </w:rPr>
        <w:t xml:space="preserve">of </w:t>
      </w:r>
      <w:r w:rsidR="00FF1940" w:rsidRPr="009A74DB">
        <w:rPr>
          <w:rFonts w:ascii="Arial" w:hAnsi="Arial" w:cs="Arial"/>
          <w:color w:val="000000" w:themeColor="text1"/>
        </w:rPr>
        <w:t xml:space="preserve">its </w:t>
      </w:r>
      <w:r w:rsidR="005A6A17" w:rsidRPr="009A74DB">
        <w:rPr>
          <w:rFonts w:ascii="Arial" w:hAnsi="Arial" w:cs="Arial"/>
          <w:color w:val="000000" w:themeColor="text1"/>
        </w:rPr>
        <w:t xml:space="preserve">prevalence, </w:t>
      </w:r>
      <w:r w:rsidR="00FF1940" w:rsidRPr="009A74DB">
        <w:rPr>
          <w:rFonts w:ascii="Arial" w:hAnsi="Arial" w:cs="Arial"/>
          <w:color w:val="000000" w:themeColor="text1"/>
        </w:rPr>
        <w:t xml:space="preserve">severity and </w:t>
      </w:r>
      <w:r w:rsidR="005A6A17" w:rsidRPr="009A74DB">
        <w:rPr>
          <w:rFonts w:ascii="Arial" w:hAnsi="Arial" w:cs="Arial"/>
          <w:color w:val="000000" w:themeColor="text1"/>
        </w:rPr>
        <w:t>morphology</w:t>
      </w:r>
      <w:r w:rsidR="008420B8" w:rsidRPr="009A74DB">
        <w:rPr>
          <w:rFonts w:ascii="Arial" w:hAnsi="Arial" w:cs="Arial"/>
          <w:color w:val="000000" w:themeColor="text1"/>
        </w:rPr>
        <w:t xml:space="preserve"> </w:t>
      </w:r>
      <w:r w:rsidR="005A6A17" w:rsidRPr="009A74DB">
        <w:rPr>
          <w:rFonts w:ascii="Arial" w:hAnsi="Arial" w:cs="Arial"/>
          <w:color w:val="000000" w:themeColor="text1"/>
        </w:rPr>
        <w:t>is required</w:t>
      </w:r>
      <w:r w:rsidR="00303847" w:rsidRPr="009A74DB">
        <w:rPr>
          <w:rFonts w:ascii="Arial" w:hAnsi="Arial" w:cs="Arial"/>
          <w:color w:val="000000" w:themeColor="text1"/>
        </w:rPr>
        <w:t xml:space="preserve">.  </w:t>
      </w:r>
    </w:p>
    <w:p w14:paraId="0338E292" w14:textId="77777777" w:rsidR="00303847" w:rsidRPr="009A74DB" w:rsidRDefault="00303847" w:rsidP="009C4263">
      <w:pPr>
        <w:spacing w:line="480" w:lineRule="auto"/>
        <w:rPr>
          <w:rFonts w:ascii="Arial" w:hAnsi="Arial" w:cs="Arial"/>
          <w:color w:val="000000" w:themeColor="text1"/>
        </w:rPr>
      </w:pPr>
    </w:p>
    <w:p w14:paraId="196F081E" w14:textId="2031CF74" w:rsidR="002D06B1" w:rsidRPr="009A74DB" w:rsidRDefault="00303847" w:rsidP="009C4263">
      <w:pPr>
        <w:spacing w:line="480" w:lineRule="auto"/>
        <w:rPr>
          <w:rFonts w:ascii="Arial" w:hAnsi="Arial" w:cs="Arial"/>
          <w:color w:val="000000" w:themeColor="text1"/>
        </w:rPr>
      </w:pPr>
      <w:r w:rsidRPr="009A74DB">
        <w:rPr>
          <w:rFonts w:ascii="Arial" w:hAnsi="Arial" w:cs="Arial"/>
          <w:color w:val="000000" w:themeColor="text1"/>
        </w:rPr>
        <w:t>Slit lamp examination</w:t>
      </w:r>
      <w:r w:rsidR="005A6A17" w:rsidRPr="009A74DB">
        <w:rPr>
          <w:rFonts w:ascii="Arial" w:hAnsi="Arial" w:cs="Arial"/>
          <w:color w:val="000000" w:themeColor="text1"/>
        </w:rPr>
        <w:t xml:space="preserve"> </w:t>
      </w:r>
      <w:r w:rsidRPr="009A74DB">
        <w:rPr>
          <w:rFonts w:ascii="Arial" w:hAnsi="Arial" w:cs="Arial"/>
          <w:color w:val="000000" w:themeColor="text1"/>
        </w:rPr>
        <w:t>is the</w:t>
      </w:r>
      <w:r w:rsidR="006E45C7" w:rsidRPr="009A74DB">
        <w:rPr>
          <w:rFonts w:ascii="Arial" w:hAnsi="Arial" w:cs="Arial"/>
          <w:color w:val="000000" w:themeColor="text1"/>
        </w:rPr>
        <w:t xml:space="preserve"> conventional </w:t>
      </w:r>
      <w:r w:rsidR="005A6A17" w:rsidRPr="009A74DB">
        <w:rPr>
          <w:rFonts w:ascii="Arial" w:hAnsi="Arial" w:cs="Arial"/>
          <w:color w:val="000000" w:themeColor="text1"/>
        </w:rPr>
        <w:t xml:space="preserve">method used </w:t>
      </w:r>
      <w:r w:rsidR="006E45C7" w:rsidRPr="009A74DB">
        <w:rPr>
          <w:rFonts w:ascii="Arial" w:hAnsi="Arial" w:cs="Arial"/>
          <w:color w:val="000000" w:themeColor="text1"/>
        </w:rPr>
        <w:t xml:space="preserve">to examine cataract </w:t>
      </w:r>
      <w:r w:rsidRPr="009A74DB">
        <w:rPr>
          <w:rFonts w:ascii="Arial" w:hAnsi="Arial" w:cs="Arial"/>
          <w:color w:val="000000" w:themeColor="text1"/>
        </w:rPr>
        <w:t xml:space="preserve">and </w:t>
      </w:r>
      <w:r w:rsidR="006E45C7" w:rsidRPr="009A74DB">
        <w:rPr>
          <w:rFonts w:ascii="Arial" w:hAnsi="Arial" w:cs="Arial"/>
          <w:color w:val="000000" w:themeColor="text1"/>
        </w:rPr>
        <w:t>SL photogra</w:t>
      </w:r>
      <w:r w:rsidRPr="009A74DB">
        <w:rPr>
          <w:rFonts w:ascii="Arial" w:hAnsi="Arial" w:cs="Arial"/>
          <w:color w:val="000000" w:themeColor="text1"/>
        </w:rPr>
        <w:t>p</w:t>
      </w:r>
      <w:r w:rsidR="006E45C7" w:rsidRPr="009A74DB">
        <w:rPr>
          <w:rFonts w:ascii="Arial" w:hAnsi="Arial" w:cs="Arial"/>
          <w:color w:val="000000" w:themeColor="text1"/>
        </w:rPr>
        <w:t>h</w:t>
      </w:r>
      <w:r w:rsidRPr="009A74DB">
        <w:rPr>
          <w:rFonts w:ascii="Arial" w:hAnsi="Arial" w:cs="Arial"/>
          <w:color w:val="000000" w:themeColor="text1"/>
        </w:rPr>
        <w:t xml:space="preserve">y </w:t>
      </w:r>
      <w:r w:rsidR="006E45C7" w:rsidRPr="009A74DB">
        <w:rPr>
          <w:rFonts w:ascii="Arial" w:hAnsi="Arial" w:cs="Arial"/>
          <w:color w:val="000000" w:themeColor="text1"/>
        </w:rPr>
        <w:t>enable</w:t>
      </w:r>
      <w:r w:rsidR="005A6A17" w:rsidRPr="009A74DB">
        <w:rPr>
          <w:rFonts w:ascii="Arial" w:hAnsi="Arial" w:cs="Arial"/>
          <w:color w:val="000000" w:themeColor="text1"/>
        </w:rPr>
        <w:t>s</w:t>
      </w:r>
      <w:r w:rsidR="006E45C7" w:rsidRPr="009A74DB">
        <w:rPr>
          <w:rFonts w:ascii="Arial" w:hAnsi="Arial" w:cs="Arial"/>
          <w:color w:val="000000" w:themeColor="text1"/>
        </w:rPr>
        <w:t xml:space="preserve"> </w:t>
      </w:r>
      <w:proofErr w:type="spellStart"/>
      <w:r w:rsidR="006E45C7" w:rsidRPr="009A74DB">
        <w:rPr>
          <w:rFonts w:ascii="Arial" w:hAnsi="Arial" w:cs="Arial"/>
          <w:color w:val="000000" w:themeColor="text1"/>
        </w:rPr>
        <w:t>photograding</w:t>
      </w:r>
      <w:proofErr w:type="spellEnd"/>
      <w:r w:rsidR="006E45C7" w:rsidRPr="009A74DB">
        <w:rPr>
          <w:rFonts w:ascii="Arial" w:hAnsi="Arial" w:cs="Arial"/>
          <w:color w:val="000000" w:themeColor="text1"/>
        </w:rPr>
        <w:t xml:space="preserve"> of images.  LOCS III is the most commonly used classification system for age-related cataract and requires optic section and retro-illumined images</w:t>
      </w:r>
      <w:r w:rsidR="005E7680" w:rsidRPr="009A74DB">
        <w:rPr>
          <w:rFonts w:ascii="Arial" w:hAnsi="Arial" w:cs="Arial"/>
          <w:color w:val="000000" w:themeColor="text1"/>
        </w:rPr>
        <w:t xml:space="preserve"> of the </w:t>
      </w:r>
      <w:r w:rsidR="009B68DE" w:rsidRPr="009A74DB">
        <w:rPr>
          <w:rFonts w:ascii="Arial" w:hAnsi="Arial" w:cs="Arial"/>
          <w:color w:val="000000" w:themeColor="text1"/>
        </w:rPr>
        <w:t xml:space="preserve">crystalline </w:t>
      </w:r>
      <w:r w:rsidR="005E7680" w:rsidRPr="009A74DB">
        <w:rPr>
          <w:rFonts w:ascii="Arial" w:hAnsi="Arial" w:cs="Arial"/>
          <w:color w:val="000000" w:themeColor="text1"/>
        </w:rPr>
        <w:t>lens</w:t>
      </w:r>
      <w:r w:rsidR="006E45C7" w:rsidRPr="009A74DB">
        <w:rPr>
          <w:rFonts w:ascii="Arial" w:hAnsi="Arial" w:cs="Arial"/>
          <w:color w:val="000000" w:themeColor="text1"/>
        </w:rPr>
        <w:t xml:space="preserve">. </w:t>
      </w:r>
      <w:r w:rsidR="00292361" w:rsidRPr="009A74DB">
        <w:rPr>
          <w:rFonts w:ascii="Arial" w:hAnsi="Arial" w:cs="Arial"/>
          <w:color w:val="000000" w:themeColor="text1"/>
        </w:rPr>
        <w:t>However, a</w:t>
      </w:r>
      <w:r w:rsidRPr="009A74DB">
        <w:rPr>
          <w:rFonts w:ascii="Arial" w:hAnsi="Arial" w:cs="Arial"/>
          <w:color w:val="000000" w:themeColor="text1"/>
        </w:rPr>
        <w:t xml:space="preserve">nterior segment </w:t>
      </w:r>
      <w:r w:rsidR="005A6A17" w:rsidRPr="009A74DB">
        <w:rPr>
          <w:rFonts w:ascii="Arial" w:hAnsi="Arial" w:cs="Arial"/>
          <w:color w:val="000000" w:themeColor="text1"/>
        </w:rPr>
        <w:t>o</w:t>
      </w:r>
      <w:r w:rsidRPr="009A74DB">
        <w:rPr>
          <w:rFonts w:ascii="Arial" w:hAnsi="Arial" w:cs="Arial"/>
          <w:color w:val="000000" w:themeColor="text1"/>
        </w:rPr>
        <w:t xml:space="preserve">cular coherence tomography (AS-OCT) </w:t>
      </w:r>
      <w:r w:rsidR="004D0E38" w:rsidRPr="009A74DB">
        <w:rPr>
          <w:rFonts w:ascii="Arial" w:hAnsi="Arial" w:cs="Arial"/>
          <w:color w:val="000000" w:themeColor="text1"/>
        </w:rPr>
        <w:t>is emerging as a</w:t>
      </w:r>
      <w:r w:rsidR="00380566" w:rsidRPr="009A74DB">
        <w:rPr>
          <w:rFonts w:ascii="Arial" w:hAnsi="Arial" w:cs="Arial"/>
          <w:color w:val="000000" w:themeColor="text1"/>
        </w:rPr>
        <w:t>n alternative means of</w:t>
      </w:r>
      <w:r w:rsidR="005A6A17" w:rsidRPr="009A74DB">
        <w:rPr>
          <w:rFonts w:ascii="Arial" w:hAnsi="Arial" w:cs="Arial"/>
          <w:color w:val="000000" w:themeColor="text1"/>
        </w:rPr>
        <w:t xml:space="preserve"> examin</w:t>
      </w:r>
      <w:r w:rsidR="00380566" w:rsidRPr="009A74DB">
        <w:rPr>
          <w:rFonts w:ascii="Arial" w:hAnsi="Arial" w:cs="Arial"/>
          <w:color w:val="000000" w:themeColor="text1"/>
        </w:rPr>
        <w:t xml:space="preserve">ing </w:t>
      </w:r>
      <w:r w:rsidR="005A6A17" w:rsidRPr="009A74DB">
        <w:rPr>
          <w:rFonts w:ascii="Arial" w:hAnsi="Arial" w:cs="Arial"/>
          <w:color w:val="000000" w:themeColor="text1"/>
        </w:rPr>
        <w:t>cataract. This technology uses infra-red light to deliver</w:t>
      </w:r>
      <w:r w:rsidR="006E45C7" w:rsidRPr="009A74DB">
        <w:rPr>
          <w:rFonts w:ascii="Arial" w:hAnsi="Arial" w:cs="Arial"/>
          <w:color w:val="000000" w:themeColor="text1"/>
        </w:rPr>
        <w:t xml:space="preserve"> cross-sectional structural imaging of the </w:t>
      </w:r>
      <w:r w:rsidR="005E7680" w:rsidRPr="009A74DB">
        <w:rPr>
          <w:rFonts w:ascii="Arial" w:hAnsi="Arial" w:cs="Arial"/>
          <w:color w:val="000000" w:themeColor="text1"/>
        </w:rPr>
        <w:t>lens</w:t>
      </w:r>
      <w:r w:rsidR="00E94816" w:rsidRPr="009A74DB">
        <w:rPr>
          <w:rFonts w:ascii="Arial" w:hAnsi="Arial" w:cs="Arial"/>
          <w:color w:val="000000" w:themeColor="text1"/>
        </w:rPr>
        <w:t>, and</w:t>
      </w:r>
      <w:r w:rsidR="005A6A17" w:rsidRPr="009A74DB">
        <w:rPr>
          <w:rFonts w:ascii="Arial" w:hAnsi="Arial" w:cs="Arial"/>
          <w:color w:val="000000" w:themeColor="text1"/>
        </w:rPr>
        <w:t xml:space="preserve"> lens opacities appear</w:t>
      </w:r>
      <w:r w:rsidR="00E94816" w:rsidRPr="009A74DB">
        <w:rPr>
          <w:rFonts w:ascii="Arial" w:hAnsi="Arial" w:cs="Arial"/>
          <w:color w:val="000000" w:themeColor="text1"/>
        </w:rPr>
        <w:t xml:space="preserve"> </w:t>
      </w:r>
      <w:r w:rsidR="005A6A17" w:rsidRPr="009A74DB">
        <w:rPr>
          <w:rFonts w:ascii="Arial" w:hAnsi="Arial" w:cs="Arial"/>
          <w:color w:val="000000" w:themeColor="text1"/>
        </w:rPr>
        <w:t>as hyper-reflective surfaces</w:t>
      </w:r>
      <w:r w:rsidR="003005CF" w:rsidRPr="009A74DB">
        <w:rPr>
          <w:rFonts w:ascii="Arial" w:hAnsi="Arial" w:cs="Arial"/>
          <w:color w:val="000000" w:themeColor="text1"/>
        </w:rPr>
        <w:t>.</w:t>
      </w:r>
      <w:r w:rsidR="007F5BE6"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0</w:t>
      </w:r>
      <w:r w:rsidR="00A972C6" w:rsidRPr="009A74DB">
        <w:rPr>
          <w:rFonts w:ascii="Arial" w:hAnsi="Arial" w:cs="Arial"/>
          <w:color w:val="000000" w:themeColor="text1"/>
        </w:rPr>
        <w:t xml:space="preserve"> </w:t>
      </w:r>
      <w:r w:rsidR="005A6A17" w:rsidRPr="009A74DB">
        <w:rPr>
          <w:rFonts w:ascii="Arial" w:hAnsi="Arial" w:cs="Arial"/>
          <w:color w:val="000000" w:themeColor="text1"/>
        </w:rPr>
        <w:t>G</w:t>
      </w:r>
      <w:r w:rsidR="006E45C7" w:rsidRPr="009A74DB">
        <w:rPr>
          <w:rFonts w:ascii="Arial" w:hAnsi="Arial" w:cs="Arial"/>
          <w:color w:val="000000" w:themeColor="text1"/>
        </w:rPr>
        <w:t xml:space="preserve">ood agreement </w:t>
      </w:r>
      <w:r w:rsidR="005A6A17" w:rsidRPr="009A74DB">
        <w:rPr>
          <w:rFonts w:ascii="Arial" w:hAnsi="Arial" w:cs="Arial"/>
          <w:color w:val="000000" w:themeColor="text1"/>
        </w:rPr>
        <w:t xml:space="preserve">has </w:t>
      </w:r>
      <w:r w:rsidR="001E2112" w:rsidRPr="009A74DB">
        <w:rPr>
          <w:rFonts w:ascii="Arial" w:hAnsi="Arial" w:cs="Arial"/>
          <w:color w:val="000000" w:themeColor="text1"/>
        </w:rPr>
        <w:t xml:space="preserve">recently </w:t>
      </w:r>
      <w:r w:rsidR="005A6A17" w:rsidRPr="009A74DB">
        <w:rPr>
          <w:rFonts w:ascii="Arial" w:hAnsi="Arial" w:cs="Arial"/>
          <w:color w:val="000000" w:themeColor="text1"/>
        </w:rPr>
        <w:t xml:space="preserve">been reported </w:t>
      </w:r>
      <w:r w:rsidR="006E45C7" w:rsidRPr="009A74DB">
        <w:rPr>
          <w:rFonts w:ascii="Arial" w:hAnsi="Arial" w:cs="Arial"/>
          <w:color w:val="000000" w:themeColor="text1"/>
        </w:rPr>
        <w:t xml:space="preserve">between </w:t>
      </w:r>
      <w:r w:rsidR="005A6A17" w:rsidRPr="009A74DB">
        <w:rPr>
          <w:rFonts w:ascii="Arial" w:hAnsi="Arial" w:cs="Arial"/>
          <w:color w:val="000000" w:themeColor="text1"/>
        </w:rPr>
        <w:t>traditional methods of visualising cataractous changes and OCT imaging</w:t>
      </w:r>
      <w:r w:rsidR="009C5E9E" w:rsidRPr="009A74DB">
        <w:rPr>
          <w:rFonts w:ascii="Arial" w:hAnsi="Arial" w:cs="Arial"/>
          <w:color w:val="000000" w:themeColor="text1"/>
        </w:rPr>
        <w:t xml:space="preserve"> of the lens</w:t>
      </w:r>
      <w:r w:rsidR="00E94816" w:rsidRPr="009A74DB">
        <w:rPr>
          <w:rFonts w:ascii="Arial" w:hAnsi="Arial" w:cs="Arial"/>
          <w:color w:val="000000" w:themeColor="text1"/>
        </w:rPr>
        <w:t xml:space="preserve">. </w:t>
      </w:r>
      <w:r w:rsidR="006E45C7" w:rsidRPr="009A74DB">
        <w:rPr>
          <w:rFonts w:ascii="Arial" w:hAnsi="Arial" w:cs="Arial"/>
          <w:color w:val="000000" w:themeColor="text1"/>
        </w:rPr>
        <w:t>AS-OCT also offers the opportunity to accurately examine the structure of the lens</w:t>
      </w:r>
      <w:r w:rsidR="005E7680" w:rsidRPr="009A74DB">
        <w:rPr>
          <w:rFonts w:ascii="Arial" w:hAnsi="Arial" w:cs="Arial"/>
          <w:color w:val="000000" w:themeColor="text1"/>
        </w:rPr>
        <w:t>,</w:t>
      </w:r>
      <w:r w:rsidR="006E45C7" w:rsidRPr="009A74DB">
        <w:rPr>
          <w:rFonts w:ascii="Arial" w:hAnsi="Arial" w:cs="Arial"/>
          <w:color w:val="000000" w:themeColor="text1"/>
        </w:rPr>
        <w:t xml:space="preserve"> as</w:t>
      </w:r>
      <w:r w:rsidR="008B7AA5" w:rsidRPr="009A74DB">
        <w:rPr>
          <w:rFonts w:ascii="Arial" w:hAnsi="Arial" w:cs="Arial"/>
          <w:color w:val="000000" w:themeColor="text1"/>
        </w:rPr>
        <w:t>,</w:t>
      </w:r>
      <w:r w:rsidR="006E45C7" w:rsidRPr="009A74DB">
        <w:rPr>
          <w:rFonts w:ascii="Arial" w:hAnsi="Arial" w:cs="Arial"/>
          <w:color w:val="000000" w:themeColor="text1"/>
        </w:rPr>
        <w:t xml:space="preserve"> unlike photographic optic sections on SL, where the angle of observation can vary, AS-OCT imaging is centred on the</w:t>
      </w:r>
      <w:r w:rsidR="005E7680" w:rsidRPr="009A74DB">
        <w:rPr>
          <w:rFonts w:ascii="Arial" w:hAnsi="Arial" w:cs="Arial"/>
          <w:color w:val="000000" w:themeColor="text1"/>
        </w:rPr>
        <w:t xml:space="preserve"> visual axis. </w:t>
      </w:r>
      <w:r w:rsidR="00E94816" w:rsidRPr="009A74DB">
        <w:rPr>
          <w:rFonts w:ascii="Arial" w:hAnsi="Arial" w:cs="Arial"/>
          <w:color w:val="000000" w:themeColor="text1"/>
        </w:rPr>
        <w:t>AS-OCT</w:t>
      </w:r>
      <w:r w:rsidR="002A6D61" w:rsidRPr="009A74DB">
        <w:rPr>
          <w:rFonts w:ascii="Arial" w:hAnsi="Arial" w:cs="Arial"/>
          <w:color w:val="000000" w:themeColor="text1"/>
        </w:rPr>
        <w:t xml:space="preserve"> also </w:t>
      </w:r>
      <w:r w:rsidR="00E94816" w:rsidRPr="009A74DB">
        <w:rPr>
          <w:rFonts w:ascii="Arial" w:hAnsi="Arial" w:cs="Arial"/>
          <w:color w:val="000000" w:themeColor="text1"/>
        </w:rPr>
        <w:t>allows</w:t>
      </w:r>
      <w:r w:rsidR="002A6D61" w:rsidRPr="009A74DB">
        <w:rPr>
          <w:rFonts w:ascii="Arial" w:hAnsi="Arial" w:cs="Arial"/>
          <w:color w:val="000000" w:themeColor="text1"/>
        </w:rPr>
        <w:t xml:space="preserve"> quantif</w:t>
      </w:r>
      <w:r w:rsidR="00E94816" w:rsidRPr="009A74DB">
        <w:rPr>
          <w:rFonts w:ascii="Arial" w:hAnsi="Arial" w:cs="Arial"/>
          <w:color w:val="000000" w:themeColor="text1"/>
        </w:rPr>
        <w:t>ication of</w:t>
      </w:r>
      <w:r w:rsidR="002A6D61" w:rsidRPr="009A74DB">
        <w:rPr>
          <w:rFonts w:ascii="Arial" w:hAnsi="Arial" w:cs="Arial"/>
          <w:color w:val="000000" w:themeColor="text1"/>
        </w:rPr>
        <w:t xml:space="preserve"> the location and extent of lens opacities through image analysis.</w:t>
      </w:r>
      <w:r w:rsidR="001C6ECD"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1</w:t>
      </w:r>
      <w:r w:rsidR="001C6ECD"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2</w:t>
      </w:r>
      <w:r w:rsidR="002A6D61" w:rsidRPr="009A74DB">
        <w:rPr>
          <w:rFonts w:ascii="Arial" w:hAnsi="Arial" w:cs="Arial"/>
          <w:color w:val="000000" w:themeColor="text1"/>
        </w:rPr>
        <w:t xml:space="preserve">  </w:t>
      </w:r>
    </w:p>
    <w:p w14:paraId="787CADE8" w14:textId="77777777" w:rsidR="002D06B1" w:rsidRPr="009A74DB" w:rsidRDefault="002D06B1" w:rsidP="009C4263">
      <w:pPr>
        <w:spacing w:line="480" w:lineRule="auto"/>
        <w:rPr>
          <w:rFonts w:ascii="Arial" w:hAnsi="Arial" w:cs="Arial"/>
          <w:color w:val="000000" w:themeColor="text1"/>
        </w:rPr>
      </w:pPr>
    </w:p>
    <w:p w14:paraId="1470BAAA" w14:textId="143AE0B3" w:rsidR="002A6D61" w:rsidRPr="009A74DB" w:rsidRDefault="002D06B1" w:rsidP="009C4263">
      <w:pPr>
        <w:spacing w:line="480" w:lineRule="auto"/>
        <w:rPr>
          <w:rFonts w:ascii="Arial" w:hAnsi="Arial" w:cs="Arial"/>
          <w:color w:val="000000" w:themeColor="text1"/>
        </w:rPr>
      </w:pPr>
      <w:r w:rsidRPr="009A74DB">
        <w:rPr>
          <w:rFonts w:ascii="Arial" w:hAnsi="Arial" w:cs="Arial"/>
          <w:color w:val="000000" w:themeColor="text1"/>
        </w:rPr>
        <w:lastRenderedPageBreak/>
        <w:t>Th</w:t>
      </w:r>
      <w:r w:rsidR="00E94816" w:rsidRPr="009A74DB">
        <w:rPr>
          <w:rFonts w:ascii="Arial" w:hAnsi="Arial" w:cs="Arial"/>
          <w:color w:val="000000" w:themeColor="text1"/>
        </w:rPr>
        <w:t>e present</w:t>
      </w:r>
      <w:r w:rsidRPr="009A74DB">
        <w:rPr>
          <w:rFonts w:ascii="Arial" w:hAnsi="Arial" w:cs="Arial"/>
          <w:color w:val="000000" w:themeColor="text1"/>
        </w:rPr>
        <w:t xml:space="preserve"> study</w:t>
      </w:r>
      <w:r w:rsidR="002A6D61" w:rsidRPr="009A74DB">
        <w:rPr>
          <w:rFonts w:ascii="Arial" w:hAnsi="Arial" w:cs="Arial"/>
          <w:color w:val="000000" w:themeColor="text1"/>
        </w:rPr>
        <w:t xml:space="preserve"> will </w:t>
      </w:r>
      <w:r w:rsidR="005E7680" w:rsidRPr="009A74DB">
        <w:rPr>
          <w:rFonts w:ascii="Arial" w:hAnsi="Arial" w:cs="Arial"/>
          <w:color w:val="000000" w:themeColor="text1"/>
        </w:rPr>
        <w:t xml:space="preserve">investigate the morphology </w:t>
      </w:r>
      <w:r w:rsidR="002A6D61" w:rsidRPr="009A74DB">
        <w:rPr>
          <w:rFonts w:ascii="Arial" w:hAnsi="Arial" w:cs="Arial"/>
          <w:color w:val="000000" w:themeColor="text1"/>
        </w:rPr>
        <w:t>of cataract in a non-ophthalmological sample of participants with DS,</w:t>
      </w:r>
      <w:r w:rsidR="005E7680" w:rsidRPr="009A74DB">
        <w:rPr>
          <w:rFonts w:ascii="Arial" w:hAnsi="Arial" w:cs="Arial"/>
          <w:color w:val="000000" w:themeColor="text1"/>
        </w:rPr>
        <w:t xml:space="preserve"> and </w:t>
      </w:r>
      <w:r w:rsidR="00E94816" w:rsidRPr="009A74DB">
        <w:rPr>
          <w:rFonts w:ascii="Arial" w:hAnsi="Arial" w:cs="Arial"/>
          <w:color w:val="000000" w:themeColor="text1"/>
        </w:rPr>
        <w:t xml:space="preserve">explore </w:t>
      </w:r>
      <w:r w:rsidR="005E7680" w:rsidRPr="009A74DB">
        <w:rPr>
          <w:rFonts w:ascii="Arial" w:hAnsi="Arial" w:cs="Arial"/>
          <w:color w:val="000000" w:themeColor="text1"/>
        </w:rPr>
        <w:t>the feasibility of</w:t>
      </w:r>
      <w:r w:rsidR="002A6D61" w:rsidRPr="009A74DB">
        <w:rPr>
          <w:rFonts w:ascii="Arial" w:hAnsi="Arial" w:cs="Arial"/>
          <w:color w:val="000000" w:themeColor="text1"/>
        </w:rPr>
        <w:t xml:space="preserve"> utilising SL examination, </w:t>
      </w:r>
      <w:r w:rsidR="00256353" w:rsidRPr="009A74DB">
        <w:rPr>
          <w:rFonts w:ascii="Arial" w:hAnsi="Arial" w:cs="Arial"/>
          <w:color w:val="000000" w:themeColor="text1"/>
        </w:rPr>
        <w:t xml:space="preserve">SL </w:t>
      </w:r>
      <w:r w:rsidR="002A6D61" w:rsidRPr="009A74DB">
        <w:rPr>
          <w:rFonts w:ascii="Arial" w:hAnsi="Arial" w:cs="Arial"/>
          <w:color w:val="000000" w:themeColor="text1"/>
        </w:rPr>
        <w:t xml:space="preserve">photography and AS-OCT imaging </w:t>
      </w:r>
      <w:r w:rsidR="0036605B" w:rsidRPr="009A74DB">
        <w:rPr>
          <w:rFonts w:ascii="Arial" w:hAnsi="Arial" w:cs="Arial"/>
          <w:color w:val="000000" w:themeColor="text1"/>
        </w:rPr>
        <w:t>for examining</w:t>
      </w:r>
      <w:r w:rsidR="00E94816" w:rsidRPr="009A74DB">
        <w:rPr>
          <w:rFonts w:ascii="Arial" w:hAnsi="Arial" w:cs="Arial"/>
          <w:color w:val="000000" w:themeColor="text1"/>
        </w:rPr>
        <w:t xml:space="preserve"> the</w:t>
      </w:r>
      <w:r w:rsidR="005E7680" w:rsidRPr="009A74DB">
        <w:rPr>
          <w:rFonts w:ascii="Arial" w:hAnsi="Arial" w:cs="Arial"/>
          <w:color w:val="000000" w:themeColor="text1"/>
        </w:rPr>
        <w:t xml:space="preserve"> DS lens</w:t>
      </w:r>
      <w:r w:rsidR="00256353" w:rsidRPr="009A74DB">
        <w:rPr>
          <w:rFonts w:ascii="Arial" w:hAnsi="Arial" w:cs="Arial"/>
          <w:color w:val="000000" w:themeColor="text1"/>
        </w:rPr>
        <w:t xml:space="preserve">.  </w:t>
      </w:r>
    </w:p>
    <w:p w14:paraId="57B1AE8D" w14:textId="02D991FE" w:rsidR="002D06B1" w:rsidRPr="009A74DB" w:rsidRDefault="002D06B1" w:rsidP="009C4263">
      <w:pPr>
        <w:spacing w:line="480" w:lineRule="auto"/>
        <w:rPr>
          <w:rFonts w:ascii="Arial" w:hAnsi="Arial" w:cs="Arial"/>
          <w:color w:val="000000" w:themeColor="text1"/>
        </w:rPr>
      </w:pPr>
    </w:p>
    <w:p w14:paraId="27832288" w14:textId="77777777" w:rsidR="00E31A52" w:rsidRPr="009A74DB" w:rsidRDefault="00E31A52" w:rsidP="009C4263">
      <w:pPr>
        <w:spacing w:line="480" w:lineRule="auto"/>
        <w:rPr>
          <w:rFonts w:ascii="Arial" w:hAnsi="Arial" w:cs="Arial"/>
          <w:color w:val="000000" w:themeColor="text1"/>
        </w:rPr>
      </w:pPr>
    </w:p>
    <w:p w14:paraId="0DDF8DBA" w14:textId="3F6CBBAD" w:rsidR="002D06B1" w:rsidRPr="009A74DB" w:rsidRDefault="002D06B1" w:rsidP="009C4263">
      <w:pPr>
        <w:spacing w:line="480" w:lineRule="auto"/>
        <w:rPr>
          <w:rFonts w:ascii="Arial" w:hAnsi="Arial" w:cs="Arial"/>
          <w:b/>
          <w:color w:val="000000" w:themeColor="text1"/>
        </w:rPr>
      </w:pPr>
      <w:r w:rsidRPr="009A74DB">
        <w:rPr>
          <w:rFonts w:ascii="Arial" w:hAnsi="Arial" w:cs="Arial"/>
          <w:b/>
          <w:color w:val="000000" w:themeColor="text1"/>
        </w:rPr>
        <w:t>R</w:t>
      </w:r>
      <w:r w:rsidR="00F50C19" w:rsidRPr="009A74DB">
        <w:rPr>
          <w:rFonts w:ascii="Arial" w:hAnsi="Arial" w:cs="Arial"/>
          <w:b/>
          <w:color w:val="000000" w:themeColor="text1"/>
        </w:rPr>
        <w:t>ESULTS</w:t>
      </w:r>
    </w:p>
    <w:p w14:paraId="577F0088" w14:textId="0183051C" w:rsidR="00156A93" w:rsidRPr="009A74DB" w:rsidRDefault="00156A93" w:rsidP="009C4263">
      <w:pPr>
        <w:spacing w:line="480" w:lineRule="auto"/>
        <w:rPr>
          <w:rFonts w:ascii="Arial" w:hAnsi="Arial" w:cs="Arial"/>
          <w:color w:val="000000" w:themeColor="text1"/>
        </w:rPr>
      </w:pPr>
    </w:p>
    <w:p w14:paraId="1A67C124" w14:textId="49A3D577" w:rsidR="00E12DFC" w:rsidRPr="009A74DB" w:rsidRDefault="00B727F2" w:rsidP="009C4263">
      <w:pPr>
        <w:spacing w:line="480" w:lineRule="auto"/>
        <w:rPr>
          <w:rFonts w:ascii="Arial" w:hAnsi="Arial" w:cs="Arial"/>
          <w:color w:val="000000" w:themeColor="text1"/>
        </w:rPr>
      </w:pPr>
      <w:r w:rsidRPr="009A74DB">
        <w:rPr>
          <w:rFonts w:ascii="Arial" w:hAnsi="Arial" w:cs="Arial"/>
          <w:color w:val="000000" w:themeColor="text1"/>
        </w:rPr>
        <w:t>From the 30 participants recruited with DS, t</w:t>
      </w:r>
      <w:r w:rsidR="00E12DFC" w:rsidRPr="009A74DB">
        <w:rPr>
          <w:rFonts w:ascii="Arial" w:hAnsi="Arial" w:cs="Arial"/>
          <w:color w:val="000000" w:themeColor="text1"/>
        </w:rPr>
        <w:t xml:space="preserve">wo participants were excluded during preliminary testing: one </w:t>
      </w:r>
      <w:r w:rsidR="00F614F2" w:rsidRPr="009A74DB">
        <w:rPr>
          <w:rFonts w:ascii="Arial" w:hAnsi="Arial" w:cs="Arial"/>
          <w:color w:val="000000" w:themeColor="text1"/>
        </w:rPr>
        <w:t>d</w:t>
      </w:r>
      <w:r w:rsidR="00DC4186" w:rsidRPr="009A74DB">
        <w:rPr>
          <w:rFonts w:ascii="Arial" w:hAnsi="Arial" w:cs="Arial"/>
          <w:color w:val="000000" w:themeColor="text1"/>
        </w:rPr>
        <w:t>u</w:t>
      </w:r>
      <w:r w:rsidR="00F614F2" w:rsidRPr="009A74DB">
        <w:rPr>
          <w:rFonts w:ascii="Arial" w:hAnsi="Arial" w:cs="Arial"/>
          <w:color w:val="000000" w:themeColor="text1"/>
        </w:rPr>
        <w:t xml:space="preserve">e to a recent brain tumour </w:t>
      </w:r>
      <w:r w:rsidR="00E12DFC" w:rsidRPr="009A74DB">
        <w:rPr>
          <w:rFonts w:ascii="Arial" w:hAnsi="Arial" w:cs="Arial"/>
          <w:color w:val="000000" w:themeColor="text1"/>
        </w:rPr>
        <w:t>diagnos</w:t>
      </w:r>
      <w:r w:rsidR="00F614F2" w:rsidRPr="009A74DB">
        <w:rPr>
          <w:rFonts w:ascii="Arial" w:hAnsi="Arial" w:cs="Arial"/>
          <w:color w:val="000000" w:themeColor="text1"/>
        </w:rPr>
        <w:t>is</w:t>
      </w:r>
      <w:r w:rsidR="00E12DFC" w:rsidRPr="009A74DB">
        <w:rPr>
          <w:rFonts w:ascii="Arial" w:hAnsi="Arial" w:cs="Arial"/>
          <w:color w:val="000000" w:themeColor="text1"/>
        </w:rPr>
        <w:t xml:space="preserve"> and the other </w:t>
      </w:r>
      <w:r w:rsidR="00F614F2" w:rsidRPr="009A74DB">
        <w:rPr>
          <w:rFonts w:ascii="Arial" w:hAnsi="Arial" w:cs="Arial"/>
          <w:color w:val="000000" w:themeColor="text1"/>
        </w:rPr>
        <w:t xml:space="preserve">because </w:t>
      </w:r>
      <w:r w:rsidR="00E12DFC" w:rsidRPr="009A74DB">
        <w:rPr>
          <w:rFonts w:ascii="Arial" w:hAnsi="Arial" w:cs="Arial"/>
          <w:color w:val="000000" w:themeColor="text1"/>
        </w:rPr>
        <w:t xml:space="preserve">it was not possible to position their </w:t>
      </w:r>
      <w:r w:rsidR="00F614F2" w:rsidRPr="009A74DB">
        <w:rPr>
          <w:rFonts w:ascii="Arial" w:hAnsi="Arial" w:cs="Arial"/>
          <w:color w:val="000000" w:themeColor="text1"/>
        </w:rPr>
        <w:t>wheel</w:t>
      </w:r>
      <w:r w:rsidR="00E12DFC" w:rsidRPr="009A74DB">
        <w:rPr>
          <w:rFonts w:ascii="Arial" w:hAnsi="Arial" w:cs="Arial"/>
          <w:color w:val="000000" w:themeColor="text1"/>
        </w:rPr>
        <w:t>chair appropriately for imaging assessment.   Attempts were made to image both eyes of all participants</w:t>
      </w:r>
      <w:r w:rsidR="00F614F2" w:rsidRPr="009A74DB">
        <w:rPr>
          <w:rFonts w:ascii="Arial" w:hAnsi="Arial" w:cs="Arial"/>
          <w:color w:val="000000" w:themeColor="text1"/>
        </w:rPr>
        <w:t>,</w:t>
      </w:r>
      <w:r w:rsidR="00E12DFC" w:rsidRPr="009A74DB">
        <w:rPr>
          <w:rFonts w:ascii="Arial" w:hAnsi="Arial" w:cs="Arial"/>
          <w:color w:val="000000" w:themeColor="text1"/>
        </w:rPr>
        <w:t xml:space="preserve"> however</w:t>
      </w:r>
      <w:r w:rsidR="00F614F2" w:rsidRPr="009A74DB">
        <w:rPr>
          <w:rFonts w:ascii="Arial" w:hAnsi="Arial" w:cs="Arial"/>
          <w:color w:val="000000" w:themeColor="text1"/>
        </w:rPr>
        <w:t>,</w:t>
      </w:r>
      <w:r w:rsidR="00E12DFC" w:rsidRPr="009A74DB">
        <w:rPr>
          <w:rFonts w:ascii="Arial" w:hAnsi="Arial" w:cs="Arial"/>
          <w:color w:val="000000" w:themeColor="text1"/>
        </w:rPr>
        <w:t xml:space="preserve"> in two participants one eye was excluded due to the presence </w:t>
      </w:r>
      <w:r w:rsidR="00F614F2" w:rsidRPr="009A74DB">
        <w:rPr>
          <w:rFonts w:ascii="Arial" w:hAnsi="Arial" w:cs="Arial"/>
          <w:color w:val="000000" w:themeColor="text1"/>
        </w:rPr>
        <w:t xml:space="preserve">of </w:t>
      </w:r>
      <w:r w:rsidR="00E12DFC" w:rsidRPr="009A74DB">
        <w:rPr>
          <w:rFonts w:ascii="Arial" w:hAnsi="Arial" w:cs="Arial"/>
          <w:color w:val="000000" w:themeColor="text1"/>
        </w:rPr>
        <w:t>a uniocular corneal degenerative disease with neovascularisation, and a significant esotropia with poor fixation. Accordingly</w:t>
      </w:r>
      <w:r w:rsidR="00F614F2" w:rsidRPr="009A74DB">
        <w:rPr>
          <w:rFonts w:ascii="Arial" w:hAnsi="Arial" w:cs="Arial"/>
          <w:color w:val="000000" w:themeColor="text1"/>
        </w:rPr>
        <w:t>,</w:t>
      </w:r>
      <w:r w:rsidR="00E12DFC" w:rsidRPr="009A74DB">
        <w:rPr>
          <w:rFonts w:ascii="Arial" w:hAnsi="Arial" w:cs="Arial"/>
          <w:color w:val="000000" w:themeColor="text1"/>
        </w:rPr>
        <w:t xml:space="preserve"> SL examination and imaging of 54 eyes from 28 participants </w:t>
      </w:r>
      <w:r w:rsidR="00F614F2" w:rsidRPr="009A74DB">
        <w:rPr>
          <w:rFonts w:ascii="Arial" w:hAnsi="Arial" w:cs="Arial"/>
          <w:color w:val="000000" w:themeColor="text1"/>
        </w:rPr>
        <w:t xml:space="preserve">with DS </w:t>
      </w:r>
      <w:r w:rsidR="00E12DFC" w:rsidRPr="009A74DB">
        <w:rPr>
          <w:rFonts w:ascii="Arial" w:hAnsi="Arial" w:cs="Arial"/>
          <w:color w:val="000000" w:themeColor="text1"/>
        </w:rPr>
        <w:t>were conducted.  The mean age of participants was 24.10</w:t>
      </w:r>
      <w:r w:rsidR="00E12DFC" w:rsidRPr="009A74DB">
        <w:rPr>
          <w:rFonts w:ascii="Arial" w:hAnsi="Arial" w:cs="Arial"/>
          <w:color w:val="000000" w:themeColor="text1"/>
        </w:rPr>
        <w:sym w:font="Symbol" w:char="F0B1"/>
      </w:r>
      <w:r w:rsidR="00E12DFC" w:rsidRPr="009A74DB">
        <w:rPr>
          <w:rFonts w:ascii="Arial" w:hAnsi="Arial" w:cs="Arial"/>
          <w:color w:val="000000" w:themeColor="text1"/>
        </w:rPr>
        <w:t>14.20 (standard deviation, SD) with a range of 6 to 55 years, and 17 participants were male.</w:t>
      </w:r>
      <w:r w:rsidRPr="009A74DB">
        <w:rPr>
          <w:rFonts w:ascii="Arial" w:hAnsi="Arial" w:cs="Arial"/>
          <w:color w:val="000000" w:themeColor="text1"/>
        </w:rPr>
        <w:t xml:space="preserve"> Dilated pupil diameter was measured at 8-9mm for all participants.  </w:t>
      </w:r>
    </w:p>
    <w:p w14:paraId="168612A7" w14:textId="77777777" w:rsidR="00E12DFC" w:rsidRPr="009A74DB" w:rsidRDefault="00E12DFC" w:rsidP="009C4263">
      <w:pPr>
        <w:spacing w:line="480" w:lineRule="auto"/>
        <w:rPr>
          <w:rFonts w:ascii="Arial" w:hAnsi="Arial" w:cs="Arial"/>
          <w:color w:val="000000" w:themeColor="text1"/>
        </w:rPr>
      </w:pPr>
    </w:p>
    <w:p w14:paraId="2A97C56C" w14:textId="78E37FFF" w:rsidR="008F1AFF" w:rsidRPr="009A74DB" w:rsidRDefault="00E867C3" w:rsidP="009C4263">
      <w:pPr>
        <w:spacing w:line="480" w:lineRule="auto"/>
        <w:rPr>
          <w:rFonts w:ascii="Arial" w:hAnsi="Arial" w:cs="Arial"/>
          <w:color w:val="000000" w:themeColor="text1"/>
        </w:rPr>
      </w:pPr>
      <w:r w:rsidRPr="009A74DB">
        <w:rPr>
          <w:rFonts w:ascii="Arial" w:hAnsi="Arial" w:cs="Arial"/>
          <w:color w:val="000000" w:themeColor="text1"/>
        </w:rPr>
        <w:t xml:space="preserve">SL </w:t>
      </w:r>
      <w:r w:rsidR="00B82D72" w:rsidRPr="009A74DB">
        <w:rPr>
          <w:rFonts w:ascii="Arial" w:hAnsi="Arial" w:cs="Arial"/>
          <w:color w:val="000000" w:themeColor="text1"/>
        </w:rPr>
        <w:t>examination was successful</w:t>
      </w:r>
      <w:r w:rsidR="00A22EBE" w:rsidRPr="009A74DB">
        <w:rPr>
          <w:rFonts w:ascii="Arial" w:hAnsi="Arial" w:cs="Arial"/>
          <w:color w:val="000000" w:themeColor="text1"/>
        </w:rPr>
        <w:t>ly completed</w:t>
      </w:r>
      <w:r w:rsidR="00B82D72" w:rsidRPr="009A74DB">
        <w:rPr>
          <w:rFonts w:ascii="Arial" w:hAnsi="Arial" w:cs="Arial"/>
          <w:color w:val="000000" w:themeColor="text1"/>
        </w:rPr>
        <w:t xml:space="preserve"> in 96%</w:t>
      </w:r>
      <w:r w:rsidRPr="009A74DB">
        <w:rPr>
          <w:rFonts w:ascii="Arial" w:hAnsi="Arial" w:cs="Arial"/>
          <w:color w:val="000000" w:themeColor="text1"/>
        </w:rPr>
        <w:t xml:space="preserve"> </w:t>
      </w:r>
      <w:r w:rsidR="007E388B" w:rsidRPr="009A74DB">
        <w:rPr>
          <w:rFonts w:ascii="Arial" w:hAnsi="Arial" w:cs="Arial"/>
          <w:color w:val="000000" w:themeColor="text1"/>
        </w:rPr>
        <w:t>(n=5</w:t>
      </w:r>
      <w:r w:rsidR="00222A41" w:rsidRPr="009A74DB">
        <w:rPr>
          <w:rFonts w:ascii="Arial" w:hAnsi="Arial" w:cs="Arial"/>
          <w:color w:val="000000" w:themeColor="text1"/>
        </w:rPr>
        <w:t>2</w:t>
      </w:r>
      <w:r w:rsidR="007E388B" w:rsidRPr="009A74DB">
        <w:rPr>
          <w:rFonts w:ascii="Arial" w:hAnsi="Arial" w:cs="Arial"/>
          <w:color w:val="000000" w:themeColor="text1"/>
        </w:rPr>
        <w:t xml:space="preserve">) </w:t>
      </w:r>
      <w:r w:rsidRPr="009A74DB">
        <w:rPr>
          <w:rFonts w:ascii="Arial" w:hAnsi="Arial" w:cs="Arial"/>
          <w:color w:val="000000" w:themeColor="text1"/>
        </w:rPr>
        <w:t xml:space="preserve">DS and 100% </w:t>
      </w:r>
      <w:r w:rsidR="00F614F2" w:rsidRPr="009A74DB">
        <w:rPr>
          <w:rFonts w:ascii="Arial" w:hAnsi="Arial" w:cs="Arial"/>
          <w:color w:val="000000" w:themeColor="text1"/>
        </w:rPr>
        <w:t xml:space="preserve">of </w:t>
      </w:r>
      <w:r w:rsidRPr="009A74DB">
        <w:rPr>
          <w:rFonts w:ascii="Arial" w:hAnsi="Arial" w:cs="Arial"/>
          <w:color w:val="000000" w:themeColor="text1"/>
        </w:rPr>
        <w:t xml:space="preserve">control eyes.  </w:t>
      </w:r>
      <w:r w:rsidR="00E16EF3" w:rsidRPr="009A74DB">
        <w:rPr>
          <w:rFonts w:ascii="Arial" w:hAnsi="Arial" w:cs="Arial"/>
          <w:color w:val="000000" w:themeColor="text1"/>
        </w:rPr>
        <w:t xml:space="preserve">Optic section </w:t>
      </w:r>
      <w:r w:rsidR="00E82778" w:rsidRPr="009A74DB">
        <w:rPr>
          <w:rFonts w:ascii="Arial" w:hAnsi="Arial" w:cs="Arial"/>
          <w:color w:val="000000" w:themeColor="text1"/>
        </w:rPr>
        <w:t>SL imaging was successful</w:t>
      </w:r>
      <w:r w:rsidR="00A22EBE" w:rsidRPr="009A74DB">
        <w:rPr>
          <w:rFonts w:ascii="Arial" w:hAnsi="Arial" w:cs="Arial"/>
          <w:color w:val="000000" w:themeColor="text1"/>
        </w:rPr>
        <w:t>ly obtained</w:t>
      </w:r>
      <w:r w:rsidR="00E82778" w:rsidRPr="009A74DB">
        <w:rPr>
          <w:rFonts w:ascii="Arial" w:hAnsi="Arial" w:cs="Arial"/>
          <w:color w:val="000000" w:themeColor="text1"/>
        </w:rPr>
        <w:t xml:space="preserve"> in 39 (72%) DS and all control eyes</w:t>
      </w:r>
      <w:r w:rsidR="00553B1C" w:rsidRPr="009A74DB">
        <w:rPr>
          <w:rFonts w:ascii="Arial" w:hAnsi="Arial" w:cs="Arial"/>
          <w:color w:val="000000" w:themeColor="text1"/>
        </w:rPr>
        <w:t>.</w:t>
      </w:r>
      <w:r w:rsidR="006565A1" w:rsidRPr="009A74DB">
        <w:rPr>
          <w:rFonts w:ascii="Arial" w:hAnsi="Arial" w:cs="Arial"/>
          <w:color w:val="000000" w:themeColor="text1"/>
        </w:rPr>
        <w:t xml:space="preserve"> </w:t>
      </w:r>
      <w:proofErr w:type="spellStart"/>
      <w:r w:rsidR="00E16EF3" w:rsidRPr="009A74DB">
        <w:rPr>
          <w:rFonts w:ascii="Arial" w:hAnsi="Arial" w:cs="Arial"/>
          <w:color w:val="000000" w:themeColor="text1"/>
        </w:rPr>
        <w:t>R</w:t>
      </w:r>
      <w:r w:rsidR="006565A1" w:rsidRPr="009A74DB">
        <w:rPr>
          <w:rFonts w:ascii="Arial" w:hAnsi="Arial" w:cs="Arial"/>
          <w:color w:val="000000" w:themeColor="text1"/>
        </w:rPr>
        <w:t>etroilluminat</w:t>
      </w:r>
      <w:r w:rsidR="00F614F2" w:rsidRPr="009A74DB">
        <w:rPr>
          <w:rFonts w:ascii="Arial" w:hAnsi="Arial" w:cs="Arial"/>
          <w:color w:val="000000" w:themeColor="text1"/>
        </w:rPr>
        <w:t>ion</w:t>
      </w:r>
      <w:proofErr w:type="spellEnd"/>
      <w:r w:rsidR="006565A1" w:rsidRPr="009A74DB">
        <w:rPr>
          <w:rFonts w:ascii="Arial" w:hAnsi="Arial" w:cs="Arial"/>
          <w:color w:val="000000" w:themeColor="text1"/>
        </w:rPr>
        <w:t xml:space="preserve"> </w:t>
      </w:r>
      <w:r w:rsidR="00E16EF3" w:rsidRPr="009A74DB">
        <w:rPr>
          <w:rFonts w:ascii="Arial" w:hAnsi="Arial" w:cs="Arial"/>
          <w:color w:val="000000" w:themeColor="text1"/>
        </w:rPr>
        <w:t xml:space="preserve">SL </w:t>
      </w:r>
      <w:r w:rsidR="006565A1" w:rsidRPr="009A74DB">
        <w:rPr>
          <w:rFonts w:ascii="Arial" w:hAnsi="Arial" w:cs="Arial"/>
          <w:color w:val="000000" w:themeColor="text1"/>
        </w:rPr>
        <w:t xml:space="preserve">images were more difficult to capture </w:t>
      </w:r>
      <w:r w:rsidR="00F614F2" w:rsidRPr="009A74DB">
        <w:rPr>
          <w:rFonts w:ascii="Arial" w:hAnsi="Arial" w:cs="Arial"/>
          <w:color w:val="000000" w:themeColor="text1"/>
        </w:rPr>
        <w:t xml:space="preserve">in </w:t>
      </w:r>
      <w:r w:rsidR="00E16EF3" w:rsidRPr="009A74DB">
        <w:rPr>
          <w:rFonts w:ascii="Arial" w:hAnsi="Arial" w:cs="Arial"/>
          <w:color w:val="000000" w:themeColor="text1"/>
        </w:rPr>
        <w:t xml:space="preserve">the DS group </w:t>
      </w:r>
      <w:r w:rsidR="006565A1" w:rsidRPr="009A74DB">
        <w:rPr>
          <w:rFonts w:ascii="Arial" w:hAnsi="Arial" w:cs="Arial"/>
          <w:color w:val="000000" w:themeColor="text1"/>
        </w:rPr>
        <w:t xml:space="preserve">and </w:t>
      </w:r>
      <w:r w:rsidR="00F614F2" w:rsidRPr="009A74DB">
        <w:rPr>
          <w:rFonts w:ascii="Arial" w:hAnsi="Arial" w:cs="Arial"/>
          <w:color w:val="000000" w:themeColor="text1"/>
        </w:rPr>
        <w:t xml:space="preserve">the </w:t>
      </w:r>
      <w:r w:rsidR="006565A1" w:rsidRPr="009A74DB">
        <w:rPr>
          <w:rFonts w:ascii="Arial" w:hAnsi="Arial" w:cs="Arial"/>
          <w:color w:val="000000" w:themeColor="text1"/>
        </w:rPr>
        <w:t>success rate dropped to 28% (n=15)</w:t>
      </w:r>
      <w:r w:rsidR="00E82778" w:rsidRPr="009A74DB">
        <w:rPr>
          <w:rFonts w:ascii="Arial" w:hAnsi="Arial" w:cs="Arial"/>
          <w:color w:val="000000" w:themeColor="text1"/>
        </w:rPr>
        <w:t xml:space="preserve">. </w:t>
      </w:r>
      <w:r w:rsidR="00E16EF3" w:rsidRPr="009A74DB">
        <w:rPr>
          <w:rFonts w:ascii="Arial" w:hAnsi="Arial" w:cs="Arial"/>
          <w:color w:val="000000" w:themeColor="text1"/>
        </w:rPr>
        <w:t>AS-</w:t>
      </w:r>
      <w:r w:rsidR="00E82778" w:rsidRPr="009A74DB">
        <w:rPr>
          <w:rFonts w:ascii="Arial" w:hAnsi="Arial" w:cs="Arial"/>
          <w:color w:val="000000" w:themeColor="text1"/>
        </w:rPr>
        <w:t xml:space="preserve">OCT images were obtained </w:t>
      </w:r>
      <w:r w:rsidR="00A22EBE" w:rsidRPr="009A74DB">
        <w:rPr>
          <w:rFonts w:ascii="Arial" w:hAnsi="Arial" w:cs="Arial"/>
          <w:color w:val="000000" w:themeColor="text1"/>
        </w:rPr>
        <w:t>from</w:t>
      </w:r>
      <w:r w:rsidR="00E82778" w:rsidRPr="009A74DB">
        <w:rPr>
          <w:rFonts w:ascii="Arial" w:hAnsi="Arial" w:cs="Arial"/>
          <w:color w:val="000000" w:themeColor="text1"/>
        </w:rPr>
        <w:t xml:space="preserve"> 33 (61%) DS and 46 (82%) control eyes.  </w:t>
      </w:r>
      <w:r w:rsidR="000C6B7A" w:rsidRPr="009A74DB">
        <w:rPr>
          <w:rFonts w:ascii="Arial" w:hAnsi="Arial" w:cs="Arial"/>
          <w:color w:val="000000" w:themeColor="text1"/>
        </w:rPr>
        <w:t xml:space="preserve">Table 1 presents data from LOCS III </w:t>
      </w:r>
      <w:proofErr w:type="spellStart"/>
      <w:r w:rsidR="000C6B7A" w:rsidRPr="009A74DB">
        <w:rPr>
          <w:rFonts w:ascii="Arial" w:hAnsi="Arial" w:cs="Arial"/>
          <w:color w:val="000000" w:themeColor="text1"/>
        </w:rPr>
        <w:t>photograding</w:t>
      </w:r>
      <w:proofErr w:type="spellEnd"/>
      <w:r w:rsidR="00EC5294" w:rsidRPr="009A74DB">
        <w:rPr>
          <w:rFonts w:ascii="Arial" w:hAnsi="Arial" w:cs="Arial"/>
          <w:color w:val="000000" w:themeColor="text1"/>
        </w:rPr>
        <w:t xml:space="preserve">, </w:t>
      </w:r>
      <w:r w:rsidR="000C6B7A" w:rsidRPr="009A74DB">
        <w:rPr>
          <w:rFonts w:ascii="Arial" w:hAnsi="Arial" w:cs="Arial"/>
          <w:color w:val="000000" w:themeColor="text1"/>
        </w:rPr>
        <w:t xml:space="preserve">AS-OCT </w:t>
      </w:r>
      <w:r w:rsidR="00EC5294" w:rsidRPr="009A74DB">
        <w:rPr>
          <w:rFonts w:ascii="Arial" w:hAnsi="Arial" w:cs="Arial"/>
          <w:color w:val="000000" w:themeColor="text1"/>
        </w:rPr>
        <w:t xml:space="preserve">image analysis, and visual acuity of participants. </w:t>
      </w:r>
    </w:p>
    <w:p w14:paraId="06349299" w14:textId="77777777" w:rsidR="00BB653B" w:rsidRPr="009A74DB" w:rsidRDefault="00BB653B" w:rsidP="009C4263">
      <w:pPr>
        <w:spacing w:line="480" w:lineRule="auto"/>
        <w:rPr>
          <w:rFonts w:ascii="Arial" w:hAnsi="Arial" w:cs="Arial"/>
          <w:color w:val="000000" w:themeColor="text1"/>
        </w:rPr>
      </w:pPr>
    </w:p>
    <w:p w14:paraId="382B3A5A" w14:textId="07D1CBE0" w:rsidR="008F1AFF" w:rsidRPr="009A74DB" w:rsidRDefault="00A22EBE" w:rsidP="009C4263">
      <w:pPr>
        <w:spacing w:line="480" w:lineRule="auto"/>
        <w:rPr>
          <w:rFonts w:ascii="Arial" w:hAnsi="Arial" w:cs="Arial"/>
          <w:color w:val="000000" w:themeColor="text1"/>
        </w:rPr>
      </w:pPr>
      <w:r w:rsidRPr="009A74DB">
        <w:rPr>
          <w:rFonts w:ascii="Arial" w:hAnsi="Arial" w:cs="Arial"/>
          <w:color w:val="000000" w:themeColor="text1"/>
        </w:rPr>
        <w:t xml:space="preserve">In </w:t>
      </w:r>
      <w:r w:rsidR="00E82778" w:rsidRPr="009A74DB">
        <w:rPr>
          <w:rFonts w:ascii="Arial" w:hAnsi="Arial" w:cs="Arial"/>
          <w:color w:val="000000" w:themeColor="text1"/>
        </w:rPr>
        <w:t>the DS group</w:t>
      </w:r>
      <w:r w:rsidR="00EC5294" w:rsidRPr="009A74DB">
        <w:rPr>
          <w:rFonts w:ascii="Arial" w:hAnsi="Arial" w:cs="Arial"/>
          <w:color w:val="000000" w:themeColor="text1"/>
        </w:rPr>
        <w:t xml:space="preserve">, using LOCS IIII </w:t>
      </w:r>
      <w:proofErr w:type="spellStart"/>
      <w:r w:rsidR="00EC5294" w:rsidRPr="009A74DB">
        <w:rPr>
          <w:rFonts w:ascii="Arial" w:hAnsi="Arial" w:cs="Arial"/>
          <w:color w:val="000000" w:themeColor="text1"/>
        </w:rPr>
        <w:t>photograding</w:t>
      </w:r>
      <w:proofErr w:type="spellEnd"/>
      <w:r w:rsidR="00EC5294" w:rsidRPr="009A74DB">
        <w:rPr>
          <w:rFonts w:ascii="Arial" w:hAnsi="Arial" w:cs="Arial"/>
          <w:color w:val="000000" w:themeColor="text1"/>
        </w:rPr>
        <w:t>,</w:t>
      </w:r>
      <w:r w:rsidR="008F1AFF" w:rsidRPr="009A74DB">
        <w:rPr>
          <w:rFonts w:ascii="Arial" w:hAnsi="Arial" w:cs="Arial"/>
          <w:color w:val="000000" w:themeColor="text1"/>
        </w:rPr>
        <w:t xml:space="preserve"> </w:t>
      </w:r>
      <w:r w:rsidR="008868D7" w:rsidRPr="009A74DB">
        <w:rPr>
          <w:rFonts w:ascii="Arial" w:hAnsi="Arial" w:cs="Arial"/>
          <w:color w:val="000000" w:themeColor="text1"/>
        </w:rPr>
        <w:t>four</w:t>
      </w:r>
      <w:r w:rsidR="00E82778" w:rsidRPr="009A74DB">
        <w:rPr>
          <w:rFonts w:ascii="Arial" w:hAnsi="Arial" w:cs="Arial"/>
          <w:color w:val="000000" w:themeColor="text1"/>
        </w:rPr>
        <w:t xml:space="preserve"> eyes </w:t>
      </w:r>
      <w:r w:rsidR="00F614F2" w:rsidRPr="009A74DB">
        <w:rPr>
          <w:rFonts w:ascii="Arial" w:hAnsi="Arial" w:cs="Arial"/>
          <w:color w:val="000000" w:themeColor="text1"/>
        </w:rPr>
        <w:t xml:space="preserve">from </w:t>
      </w:r>
      <w:r w:rsidR="008868D7" w:rsidRPr="009A74DB">
        <w:rPr>
          <w:rFonts w:ascii="Arial" w:hAnsi="Arial" w:cs="Arial"/>
          <w:color w:val="000000" w:themeColor="text1"/>
        </w:rPr>
        <w:t xml:space="preserve">four individuals </w:t>
      </w:r>
      <w:r w:rsidR="00F614F2" w:rsidRPr="009A74DB">
        <w:rPr>
          <w:rFonts w:ascii="Arial" w:hAnsi="Arial" w:cs="Arial"/>
          <w:color w:val="000000" w:themeColor="text1"/>
        </w:rPr>
        <w:t>(</w:t>
      </w:r>
      <w:r w:rsidR="00B02024" w:rsidRPr="009A74DB">
        <w:rPr>
          <w:rFonts w:ascii="Arial" w:hAnsi="Arial" w:cs="Arial"/>
          <w:color w:val="000000" w:themeColor="text1"/>
        </w:rPr>
        <w:t>14</w:t>
      </w:r>
      <w:r w:rsidR="005C0FBD" w:rsidRPr="009A74DB">
        <w:rPr>
          <w:rFonts w:ascii="Arial" w:hAnsi="Arial" w:cs="Arial"/>
          <w:color w:val="000000" w:themeColor="text1"/>
        </w:rPr>
        <w:t>.3</w:t>
      </w:r>
      <w:r w:rsidR="00B02024" w:rsidRPr="009A74DB">
        <w:rPr>
          <w:rFonts w:ascii="Arial" w:hAnsi="Arial" w:cs="Arial"/>
          <w:color w:val="000000" w:themeColor="text1"/>
        </w:rPr>
        <w:t>%</w:t>
      </w:r>
      <w:r w:rsidR="00E82778" w:rsidRPr="009A74DB">
        <w:rPr>
          <w:rFonts w:ascii="Arial" w:hAnsi="Arial" w:cs="Arial"/>
          <w:color w:val="000000" w:themeColor="text1"/>
        </w:rPr>
        <w:t>) had clinically significant age-related cataracts</w:t>
      </w:r>
      <w:r w:rsidR="00903430" w:rsidRPr="009A74DB">
        <w:rPr>
          <w:rFonts w:ascii="Arial" w:hAnsi="Arial" w:cs="Arial"/>
          <w:color w:val="000000" w:themeColor="text1"/>
        </w:rPr>
        <w:t xml:space="preserve"> (n=1 cortical, n=2 posterior sub-capsular, n=1 nuclear sclerotic).  These were seen on SL examination, and all </w:t>
      </w:r>
      <w:r w:rsidRPr="009A74DB">
        <w:rPr>
          <w:rFonts w:ascii="Arial" w:hAnsi="Arial" w:cs="Arial"/>
          <w:color w:val="000000" w:themeColor="text1"/>
        </w:rPr>
        <w:t xml:space="preserve">were successfully imaged </w:t>
      </w:r>
      <w:r w:rsidR="00557B77" w:rsidRPr="009A74DB">
        <w:rPr>
          <w:rFonts w:ascii="Arial" w:hAnsi="Arial" w:cs="Arial"/>
          <w:color w:val="000000" w:themeColor="text1"/>
        </w:rPr>
        <w:t xml:space="preserve">for </w:t>
      </w:r>
      <w:proofErr w:type="spellStart"/>
      <w:r w:rsidR="00557B77" w:rsidRPr="009A74DB">
        <w:rPr>
          <w:rFonts w:ascii="Arial" w:hAnsi="Arial" w:cs="Arial"/>
          <w:color w:val="000000" w:themeColor="text1"/>
        </w:rPr>
        <w:t>photograding</w:t>
      </w:r>
      <w:proofErr w:type="spellEnd"/>
      <w:r w:rsidR="00557B77" w:rsidRPr="009A74DB">
        <w:rPr>
          <w:rFonts w:ascii="Arial" w:hAnsi="Arial" w:cs="Arial"/>
          <w:color w:val="000000" w:themeColor="text1"/>
        </w:rPr>
        <w:t>. C</w:t>
      </w:r>
      <w:r w:rsidR="00903430" w:rsidRPr="009A74DB">
        <w:rPr>
          <w:rFonts w:ascii="Arial" w:hAnsi="Arial" w:cs="Arial"/>
          <w:color w:val="000000" w:themeColor="text1"/>
        </w:rPr>
        <w:t xml:space="preserve">linically significant cataracts were </w:t>
      </w:r>
      <w:r w:rsidR="008F1AFF" w:rsidRPr="009A74DB">
        <w:rPr>
          <w:rFonts w:ascii="Arial" w:hAnsi="Arial" w:cs="Arial"/>
          <w:color w:val="000000" w:themeColor="text1"/>
        </w:rPr>
        <w:t xml:space="preserve">defined as </w:t>
      </w:r>
      <w:r w:rsidR="00B02024" w:rsidRPr="009A74DB">
        <w:rPr>
          <w:rFonts w:ascii="Arial" w:hAnsi="Arial" w:cs="Arial"/>
          <w:color w:val="000000" w:themeColor="text1"/>
        </w:rPr>
        <w:t xml:space="preserve">a </w:t>
      </w:r>
      <w:r w:rsidR="008F1AFF" w:rsidRPr="009A74DB">
        <w:rPr>
          <w:rFonts w:ascii="Arial" w:hAnsi="Arial" w:cs="Arial"/>
          <w:color w:val="000000" w:themeColor="text1"/>
        </w:rPr>
        <w:t>LOCS</w:t>
      </w:r>
      <w:r w:rsidR="003005CF" w:rsidRPr="009A74DB">
        <w:rPr>
          <w:rFonts w:ascii="Arial" w:hAnsi="Arial" w:cs="Arial"/>
          <w:color w:val="000000" w:themeColor="text1"/>
        </w:rPr>
        <w:t xml:space="preserve"> </w:t>
      </w:r>
      <w:r w:rsidR="008F1AFF" w:rsidRPr="009A74DB">
        <w:rPr>
          <w:rFonts w:ascii="Arial" w:hAnsi="Arial" w:cs="Arial"/>
          <w:color w:val="000000" w:themeColor="text1"/>
        </w:rPr>
        <w:t>III</w:t>
      </w:r>
      <w:r w:rsidR="00B02024" w:rsidRPr="009A74DB">
        <w:rPr>
          <w:rFonts w:ascii="Arial" w:hAnsi="Arial" w:cs="Arial"/>
          <w:color w:val="000000" w:themeColor="text1"/>
        </w:rPr>
        <w:t xml:space="preserve"> score</w:t>
      </w:r>
      <w:r w:rsidR="00EE602F"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3</w:t>
      </w:r>
      <w:r w:rsidR="00466E33"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4</w:t>
      </w:r>
      <w:r w:rsidR="00B02024" w:rsidRPr="009A74DB">
        <w:rPr>
          <w:rFonts w:ascii="Arial" w:hAnsi="Arial" w:cs="Arial"/>
          <w:color w:val="000000" w:themeColor="text1"/>
        </w:rPr>
        <w:t xml:space="preserve"> of </w:t>
      </w:r>
      <w:r w:rsidR="007B1277" w:rsidRPr="009A74DB">
        <w:rPr>
          <w:rFonts w:ascii="Arial" w:hAnsi="Arial" w:cs="Arial"/>
          <w:color w:val="000000" w:themeColor="text1"/>
        </w:rPr>
        <w:t>C</w:t>
      </w:r>
      <w:r w:rsidR="001C4043" w:rsidRPr="009A74DB">
        <w:rPr>
          <w:rFonts w:ascii="Arial" w:hAnsi="Arial" w:cs="Arial"/>
          <w:color w:val="000000" w:themeColor="text1"/>
        </w:rPr>
        <w:t xml:space="preserve">ortical (C) </w:t>
      </w:r>
      <w:r w:rsidR="007B1277" w:rsidRPr="009A74DB">
        <w:rPr>
          <w:rFonts w:ascii="Arial" w:hAnsi="Arial" w:cs="Arial"/>
          <w:color w:val="000000" w:themeColor="text1"/>
        </w:rPr>
        <w:t>&gt;/=</w:t>
      </w:r>
      <w:r w:rsidR="00B02024" w:rsidRPr="009A74DB">
        <w:rPr>
          <w:rFonts w:ascii="Arial" w:hAnsi="Arial" w:cs="Arial"/>
          <w:color w:val="000000" w:themeColor="text1"/>
        </w:rPr>
        <w:t>2.0</w:t>
      </w:r>
      <w:r w:rsidR="007B1277" w:rsidRPr="009A74DB">
        <w:rPr>
          <w:rFonts w:ascii="Arial" w:hAnsi="Arial" w:cs="Arial"/>
          <w:color w:val="000000" w:themeColor="text1"/>
        </w:rPr>
        <w:t xml:space="preserve">, </w:t>
      </w:r>
      <w:r w:rsidR="00B02024" w:rsidRPr="009A74DB">
        <w:rPr>
          <w:rFonts w:ascii="Arial" w:hAnsi="Arial" w:cs="Arial"/>
          <w:color w:val="000000" w:themeColor="text1"/>
        </w:rPr>
        <w:t>P</w:t>
      </w:r>
      <w:r w:rsidR="001C4043" w:rsidRPr="009A74DB">
        <w:rPr>
          <w:rFonts w:ascii="Arial" w:hAnsi="Arial" w:cs="Arial"/>
          <w:color w:val="000000" w:themeColor="text1"/>
        </w:rPr>
        <w:t xml:space="preserve">osterior sub-capsular (P) </w:t>
      </w:r>
      <w:r w:rsidR="007B1277" w:rsidRPr="009A74DB">
        <w:rPr>
          <w:rFonts w:ascii="Arial" w:hAnsi="Arial" w:cs="Arial"/>
          <w:color w:val="000000" w:themeColor="text1"/>
        </w:rPr>
        <w:t>&gt;/=2.0 and N</w:t>
      </w:r>
      <w:r w:rsidR="001C4043" w:rsidRPr="009A74DB">
        <w:rPr>
          <w:rFonts w:ascii="Arial" w:hAnsi="Arial" w:cs="Arial"/>
          <w:color w:val="000000" w:themeColor="text1"/>
        </w:rPr>
        <w:t xml:space="preserve">uclear </w:t>
      </w:r>
      <w:r w:rsidR="007B1277" w:rsidRPr="009A74DB">
        <w:rPr>
          <w:rFonts w:ascii="Arial" w:hAnsi="Arial" w:cs="Arial"/>
          <w:color w:val="000000" w:themeColor="text1"/>
        </w:rPr>
        <w:t>C</w:t>
      </w:r>
      <w:r w:rsidR="001C4043" w:rsidRPr="009A74DB">
        <w:rPr>
          <w:rFonts w:ascii="Arial" w:hAnsi="Arial" w:cs="Arial"/>
          <w:color w:val="000000" w:themeColor="text1"/>
        </w:rPr>
        <w:t>olour (NC)</w:t>
      </w:r>
      <w:r w:rsidR="007B1277" w:rsidRPr="009A74DB">
        <w:rPr>
          <w:rFonts w:ascii="Arial" w:hAnsi="Arial" w:cs="Arial"/>
          <w:color w:val="000000" w:themeColor="text1"/>
        </w:rPr>
        <w:t xml:space="preserve"> or N</w:t>
      </w:r>
      <w:r w:rsidR="001C4043" w:rsidRPr="009A74DB">
        <w:rPr>
          <w:rFonts w:ascii="Arial" w:hAnsi="Arial" w:cs="Arial"/>
          <w:color w:val="000000" w:themeColor="text1"/>
        </w:rPr>
        <w:t xml:space="preserve">uclear </w:t>
      </w:r>
      <w:r w:rsidR="007B1277" w:rsidRPr="009A74DB">
        <w:rPr>
          <w:rFonts w:ascii="Arial" w:hAnsi="Arial" w:cs="Arial"/>
          <w:color w:val="000000" w:themeColor="text1"/>
        </w:rPr>
        <w:t>O</w:t>
      </w:r>
      <w:r w:rsidR="001C4043" w:rsidRPr="009A74DB">
        <w:rPr>
          <w:rFonts w:ascii="Arial" w:hAnsi="Arial" w:cs="Arial"/>
          <w:color w:val="000000" w:themeColor="text1"/>
        </w:rPr>
        <w:t>palescence (NO)</w:t>
      </w:r>
      <w:r w:rsidR="007B1277" w:rsidRPr="009A74DB">
        <w:rPr>
          <w:rFonts w:ascii="Arial" w:hAnsi="Arial" w:cs="Arial"/>
          <w:color w:val="000000" w:themeColor="text1"/>
        </w:rPr>
        <w:t>&gt;/=2.5</w:t>
      </w:r>
      <w:r w:rsidR="000E0C05" w:rsidRPr="009A74DB">
        <w:rPr>
          <w:rFonts w:ascii="Arial" w:hAnsi="Arial" w:cs="Arial"/>
          <w:color w:val="000000" w:themeColor="text1"/>
        </w:rPr>
        <w:t xml:space="preserve">.  </w:t>
      </w:r>
      <w:r w:rsidRPr="009A74DB">
        <w:rPr>
          <w:rFonts w:ascii="Arial" w:hAnsi="Arial" w:cs="Arial"/>
          <w:color w:val="000000" w:themeColor="text1"/>
        </w:rPr>
        <w:t>Six c</w:t>
      </w:r>
      <w:r w:rsidR="00E92542" w:rsidRPr="009A74DB">
        <w:rPr>
          <w:rFonts w:ascii="Arial" w:hAnsi="Arial" w:cs="Arial"/>
          <w:color w:val="000000" w:themeColor="text1"/>
        </w:rPr>
        <w:t>ontrol</w:t>
      </w:r>
      <w:r w:rsidR="00BC0823" w:rsidRPr="009A74DB">
        <w:rPr>
          <w:rFonts w:ascii="Arial" w:hAnsi="Arial" w:cs="Arial"/>
          <w:color w:val="000000" w:themeColor="text1"/>
        </w:rPr>
        <w:t xml:space="preserve"> eyes </w:t>
      </w:r>
      <w:r w:rsidRPr="009A74DB">
        <w:rPr>
          <w:rFonts w:ascii="Arial" w:hAnsi="Arial" w:cs="Arial"/>
          <w:color w:val="000000" w:themeColor="text1"/>
        </w:rPr>
        <w:t xml:space="preserve">presented with </w:t>
      </w:r>
      <w:r w:rsidR="00BC0823" w:rsidRPr="009A74DB">
        <w:rPr>
          <w:rFonts w:ascii="Arial" w:hAnsi="Arial" w:cs="Arial"/>
          <w:color w:val="000000" w:themeColor="text1"/>
        </w:rPr>
        <w:t>significant nuclear cataract, and cortical cataract</w:t>
      </w:r>
      <w:r w:rsidR="00B52D69" w:rsidRPr="009A74DB">
        <w:rPr>
          <w:rFonts w:ascii="Arial" w:hAnsi="Arial" w:cs="Arial"/>
          <w:color w:val="000000" w:themeColor="text1"/>
        </w:rPr>
        <w:t xml:space="preserve"> was identified in one control eye</w:t>
      </w:r>
      <w:r w:rsidR="00BC1FB4" w:rsidRPr="009A74DB">
        <w:rPr>
          <w:rFonts w:ascii="Arial" w:hAnsi="Arial" w:cs="Arial"/>
          <w:color w:val="000000" w:themeColor="text1"/>
        </w:rPr>
        <w:t xml:space="preserve"> (n=7</w:t>
      </w:r>
      <w:r w:rsidR="00CF3D97" w:rsidRPr="009A74DB">
        <w:rPr>
          <w:rFonts w:ascii="Arial" w:hAnsi="Arial" w:cs="Arial"/>
          <w:color w:val="000000" w:themeColor="text1"/>
        </w:rPr>
        <w:t xml:space="preserve"> indiv</w:t>
      </w:r>
      <w:r w:rsidR="001B463C" w:rsidRPr="009A74DB">
        <w:rPr>
          <w:rFonts w:ascii="Arial" w:hAnsi="Arial" w:cs="Arial"/>
          <w:color w:val="000000" w:themeColor="text1"/>
        </w:rPr>
        <w:t>id</w:t>
      </w:r>
      <w:r w:rsidR="00CF3D97" w:rsidRPr="009A74DB">
        <w:rPr>
          <w:rFonts w:ascii="Arial" w:hAnsi="Arial" w:cs="Arial"/>
          <w:color w:val="000000" w:themeColor="text1"/>
        </w:rPr>
        <w:t>uals,</w:t>
      </w:r>
      <w:r w:rsidR="00D860C5" w:rsidRPr="009A74DB">
        <w:rPr>
          <w:rFonts w:ascii="Arial" w:hAnsi="Arial" w:cs="Arial"/>
          <w:color w:val="000000" w:themeColor="text1"/>
        </w:rPr>
        <w:t xml:space="preserve"> </w:t>
      </w:r>
      <w:r w:rsidR="00BC1FB4" w:rsidRPr="009A74DB">
        <w:rPr>
          <w:rFonts w:ascii="Arial" w:hAnsi="Arial" w:cs="Arial"/>
          <w:color w:val="000000" w:themeColor="text1"/>
        </w:rPr>
        <w:t>19</w:t>
      </w:r>
      <w:r w:rsidR="00CF3D97" w:rsidRPr="009A74DB">
        <w:rPr>
          <w:rFonts w:ascii="Arial" w:hAnsi="Arial" w:cs="Arial"/>
          <w:color w:val="000000" w:themeColor="text1"/>
        </w:rPr>
        <w:t>.</w:t>
      </w:r>
      <w:r w:rsidR="00BC1FB4" w:rsidRPr="009A74DB">
        <w:rPr>
          <w:rFonts w:ascii="Arial" w:hAnsi="Arial" w:cs="Arial"/>
          <w:color w:val="000000" w:themeColor="text1"/>
        </w:rPr>
        <w:t>4</w:t>
      </w:r>
      <w:r w:rsidR="005C0FBD" w:rsidRPr="009A74DB">
        <w:rPr>
          <w:rFonts w:ascii="Arial" w:hAnsi="Arial" w:cs="Arial"/>
          <w:color w:val="000000" w:themeColor="text1"/>
        </w:rPr>
        <w:t>%)</w:t>
      </w:r>
      <w:r w:rsidR="00BC0823" w:rsidRPr="009A74DB">
        <w:rPr>
          <w:rFonts w:ascii="Arial" w:hAnsi="Arial" w:cs="Arial"/>
          <w:color w:val="000000" w:themeColor="text1"/>
        </w:rPr>
        <w:t xml:space="preserve">.  </w:t>
      </w:r>
    </w:p>
    <w:p w14:paraId="29C2FB30" w14:textId="3972A194" w:rsidR="008F1AFF" w:rsidRPr="009A74DB" w:rsidRDefault="008F1AFF" w:rsidP="009C4263">
      <w:pPr>
        <w:spacing w:line="480" w:lineRule="auto"/>
        <w:rPr>
          <w:rFonts w:ascii="Arial" w:hAnsi="Arial" w:cs="Arial"/>
          <w:color w:val="000000" w:themeColor="text1"/>
        </w:rPr>
      </w:pPr>
    </w:p>
    <w:p w14:paraId="345AE7E1" w14:textId="4D34F95F" w:rsidR="00757064" w:rsidRPr="009A74DB" w:rsidRDefault="005C0FBD" w:rsidP="009C4263">
      <w:pPr>
        <w:spacing w:line="480" w:lineRule="auto"/>
        <w:rPr>
          <w:rFonts w:ascii="Arial" w:hAnsi="Arial" w:cs="Arial"/>
          <w:color w:val="000000" w:themeColor="text1"/>
        </w:rPr>
      </w:pPr>
      <w:r w:rsidRPr="009A74DB">
        <w:rPr>
          <w:rFonts w:ascii="Arial" w:hAnsi="Arial" w:cs="Arial"/>
          <w:color w:val="000000" w:themeColor="text1"/>
        </w:rPr>
        <w:t>Comparing all LOCS</w:t>
      </w:r>
      <w:r w:rsidR="003005CF" w:rsidRPr="009A74DB">
        <w:rPr>
          <w:rFonts w:ascii="Arial" w:hAnsi="Arial" w:cs="Arial"/>
          <w:color w:val="000000" w:themeColor="text1"/>
        </w:rPr>
        <w:t xml:space="preserve"> </w:t>
      </w:r>
      <w:r w:rsidRPr="009A74DB">
        <w:rPr>
          <w:rFonts w:ascii="Arial" w:hAnsi="Arial" w:cs="Arial"/>
          <w:color w:val="000000" w:themeColor="text1"/>
        </w:rPr>
        <w:t>III values, th</w:t>
      </w:r>
      <w:r w:rsidR="00842765" w:rsidRPr="009A74DB">
        <w:rPr>
          <w:rFonts w:ascii="Arial" w:hAnsi="Arial" w:cs="Arial"/>
          <w:color w:val="000000" w:themeColor="text1"/>
        </w:rPr>
        <w:t xml:space="preserve">e control group had significantly greater amounts of </w:t>
      </w:r>
      <w:r w:rsidR="00A45611" w:rsidRPr="009A74DB">
        <w:rPr>
          <w:rFonts w:ascii="Arial" w:hAnsi="Arial" w:cs="Arial"/>
          <w:color w:val="000000" w:themeColor="text1"/>
        </w:rPr>
        <w:t>NO and NC</w:t>
      </w:r>
      <w:r w:rsidR="00842765" w:rsidRPr="009A74DB">
        <w:rPr>
          <w:rFonts w:ascii="Arial" w:hAnsi="Arial" w:cs="Arial"/>
          <w:color w:val="000000" w:themeColor="text1"/>
        </w:rPr>
        <w:t xml:space="preserve"> compared to th</w:t>
      </w:r>
      <w:r w:rsidR="00B52D69" w:rsidRPr="009A74DB">
        <w:rPr>
          <w:rFonts w:ascii="Arial" w:hAnsi="Arial" w:cs="Arial"/>
          <w:color w:val="000000" w:themeColor="text1"/>
        </w:rPr>
        <w:t>e</w:t>
      </w:r>
      <w:r w:rsidR="00842765" w:rsidRPr="009A74DB">
        <w:rPr>
          <w:rFonts w:ascii="Arial" w:hAnsi="Arial" w:cs="Arial"/>
          <w:color w:val="000000" w:themeColor="text1"/>
        </w:rPr>
        <w:t xml:space="preserve"> DS</w:t>
      </w:r>
      <w:r w:rsidR="00B52D69" w:rsidRPr="009A74DB">
        <w:rPr>
          <w:rFonts w:ascii="Arial" w:hAnsi="Arial" w:cs="Arial"/>
          <w:color w:val="000000" w:themeColor="text1"/>
        </w:rPr>
        <w:t xml:space="preserve"> group</w:t>
      </w:r>
      <w:r w:rsidR="00842765" w:rsidRPr="009A74DB">
        <w:rPr>
          <w:rFonts w:ascii="Arial" w:hAnsi="Arial" w:cs="Arial"/>
          <w:color w:val="000000" w:themeColor="text1"/>
        </w:rPr>
        <w:t xml:space="preserve"> (</w:t>
      </w:r>
      <w:r w:rsidR="00F6609A" w:rsidRPr="009A74DB">
        <w:rPr>
          <w:rFonts w:ascii="Arial" w:hAnsi="Arial" w:cs="Arial"/>
          <w:color w:val="000000" w:themeColor="text1"/>
        </w:rPr>
        <w:t xml:space="preserve">z=-7.4, p&lt;0.00001, and </w:t>
      </w:r>
      <w:r w:rsidR="00D548A3" w:rsidRPr="009A74DB">
        <w:rPr>
          <w:rFonts w:ascii="Arial" w:hAnsi="Arial" w:cs="Arial"/>
          <w:color w:val="000000" w:themeColor="text1"/>
        </w:rPr>
        <w:t xml:space="preserve">z=-7.1, p&lt;0.00001 respectively).  </w:t>
      </w:r>
      <w:r w:rsidR="000F05F8" w:rsidRPr="009A74DB">
        <w:rPr>
          <w:rFonts w:ascii="Arial" w:hAnsi="Arial" w:cs="Arial"/>
          <w:color w:val="000000" w:themeColor="text1"/>
        </w:rPr>
        <w:t xml:space="preserve">Conversely, the DS group demonstrated greater magnitude of </w:t>
      </w:r>
      <w:r w:rsidR="00B95583" w:rsidRPr="009A74DB">
        <w:rPr>
          <w:rFonts w:ascii="Arial" w:hAnsi="Arial" w:cs="Arial"/>
          <w:color w:val="000000" w:themeColor="text1"/>
        </w:rPr>
        <w:t>C and P LOCS</w:t>
      </w:r>
      <w:r w:rsidR="003005CF" w:rsidRPr="009A74DB">
        <w:rPr>
          <w:rFonts w:ascii="Arial" w:hAnsi="Arial" w:cs="Arial"/>
          <w:color w:val="000000" w:themeColor="text1"/>
        </w:rPr>
        <w:t xml:space="preserve"> </w:t>
      </w:r>
      <w:r w:rsidR="00B95583" w:rsidRPr="009A74DB">
        <w:rPr>
          <w:rFonts w:ascii="Arial" w:hAnsi="Arial" w:cs="Arial"/>
          <w:color w:val="000000" w:themeColor="text1"/>
        </w:rPr>
        <w:t>III scores compared to controls (z=6.</w:t>
      </w:r>
      <w:r w:rsidR="00941020" w:rsidRPr="009A74DB">
        <w:rPr>
          <w:rFonts w:ascii="Arial" w:hAnsi="Arial" w:cs="Arial"/>
          <w:color w:val="000000" w:themeColor="text1"/>
        </w:rPr>
        <w:t>1</w:t>
      </w:r>
      <w:r w:rsidR="00B95583" w:rsidRPr="009A74DB">
        <w:rPr>
          <w:rFonts w:ascii="Arial" w:hAnsi="Arial" w:cs="Arial"/>
          <w:color w:val="000000" w:themeColor="text1"/>
        </w:rPr>
        <w:t>, p&lt;0.00001, and z=</w:t>
      </w:r>
      <w:r w:rsidR="00941020" w:rsidRPr="009A74DB">
        <w:rPr>
          <w:rFonts w:ascii="Arial" w:hAnsi="Arial" w:cs="Arial"/>
          <w:color w:val="000000" w:themeColor="text1"/>
        </w:rPr>
        <w:t>2</w:t>
      </w:r>
      <w:r w:rsidR="00B95583" w:rsidRPr="009A74DB">
        <w:rPr>
          <w:rFonts w:ascii="Arial" w:hAnsi="Arial" w:cs="Arial"/>
          <w:color w:val="000000" w:themeColor="text1"/>
        </w:rPr>
        <w:t>.</w:t>
      </w:r>
      <w:r w:rsidR="00941020" w:rsidRPr="009A74DB">
        <w:rPr>
          <w:rFonts w:ascii="Arial" w:hAnsi="Arial" w:cs="Arial"/>
          <w:color w:val="000000" w:themeColor="text1"/>
        </w:rPr>
        <w:t>8</w:t>
      </w:r>
      <w:r w:rsidR="00B95583" w:rsidRPr="009A74DB">
        <w:rPr>
          <w:rFonts w:ascii="Arial" w:hAnsi="Arial" w:cs="Arial"/>
          <w:color w:val="000000" w:themeColor="text1"/>
        </w:rPr>
        <w:t>, p&lt;0.00</w:t>
      </w:r>
      <w:r w:rsidR="00941020" w:rsidRPr="009A74DB">
        <w:rPr>
          <w:rFonts w:ascii="Arial" w:hAnsi="Arial" w:cs="Arial"/>
          <w:color w:val="000000" w:themeColor="text1"/>
        </w:rPr>
        <w:t>6</w:t>
      </w:r>
      <w:r w:rsidR="00B95583" w:rsidRPr="009A74DB">
        <w:rPr>
          <w:rFonts w:ascii="Arial" w:hAnsi="Arial" w:cs="Arial"/>
          <w:color w:val="000000" w:themeColor="text1"/>
        </w:rPr>
        <w:t xml:space="preserve"> respectively).</w:t>
      </w:r>
    </w:p>
    <w:p w14:paraId="51EA9B11" w14:textId="75987BE1" w:rsidR="007565AA" w:rsidRPr="009A74DB" w:rsidRDefault="007565AA" w:rsidP="009C4263">
      <w:pPr>
        <w:spacing w:line="480" w:lineRule="auto"/>
        <w:rPr>
          <w:rFonts w:ascii="Arial" w:hAnsi="Arial" w:cs="Arial"/>
          <w:color w:val="000000" w:themeColor="text1"/>
        </w:rPr>
      </w:pPr>
    </w:p>
    <w:p w14:paraId="75D557A7" w14:textId="541490A1" w:rsidR="00757064" w:rsidRPr="009A74DB" w:rsidRDefault="00C57782" w:rsidP="009C4263">
      <w:pPr>
        <w:spacing w:line="480" w:lineRule="auto"/>
        <w:rPr>
          <w:rFonts w:ascii="Arial" w:hAnsi="Arial" w:cs="Arial"/>
          <w:b/>
          <w:bCs/>
          <w:color w:val="000000" w:themeColor="text1"/>
        </w:rPr>
      </w:pPr>
      <w:r w:rsidRPr="009A74DB">
        <w:rPr>
          <w:rFonts w:ascii="Arial" w:hAnsi="Arial" w:cs="Arial"/>
          <w:b/>
          <w:bCs/>
          <w:color w:val="000000" w:themeColor="text1"/>
        </w:rPr>
        <w:t>TABLE 1 ABOUT HERE</w:t>
      </w:r>
    </w:p>
    <w:p w14:paraId="33FD4070" w14:textId="77777777" w:rsidR="00C57782" w:rsidRPr="009A74DB" w:rsidRDefault="00C57782" w:rsidP="009C4263">
      <w:pPr>
        <w:spacing w:line="480" w:lineRule="auto"/>
        <w:rPr>
          <w:rFonts w:ascii="Arial" w:hAnsi="Arial" w:cs="Arial"/>
          <w:b/>
          <w:bCs/>
          <w:color w:val="000000" w:themeColor="text1"/>
        </w:rPr>
      </w:pPr>
    </w:p>
    <w:p w14:paraId="0DCE19DE" w14:textId="103B80C6" w:rsidR="009756E4" w:rsidRPr="009A74DB" w:rsidRDefault="00CF4173" w:rsidP="009C4263">
      <w:pPr>
        <w:spacing w:line="480" w:lineRule="auto"/>
        <w:rPr>
          <w:rFonts w:ascii="Arial" w:hAnsi="Arial" w:cs="Arial"/>
          <w:color w:val="000000" w:themeColor="text1"/>
        </w:rPr>
      </w:pPr>
      <w:r w:rsidRPr="009A74DB">
        <w:rPr>
          <w:rFonts w:ascii="Arial" w:hAnsi="Arial" w:cs="Arial"/>
          <w:color w:val="000000" w:themeColor="text1"/>
        </w:rPr>
        <w:t xml:space="preserve">For the </w:t>
      </w:r>
      <w:r w:rsidR="00701BED" w:rsidRPr="009A74DB">
        <w:rPr>
          <w:rFonts w:ascii="Arial" w:hAnsi="Arial" w:cs="Arial"/>
          <w:color w:val="000000" w:themeColor="text1"/>
        </w:rPr>
        <w:t xml:space="preserve">AS-OCT quantification of lens opacities by pixel intensity and pixel area ratios, Table </w:t>
      </w:r>
      <w:r w:rsidR="00E97D1E" w:rsidRPr="009A74DB">
        <w:rPr>
          <w:rFonts w:ascii="Arial" w:hAnsi="Arial" w:cs="Arial"/>
          <w:color w:val="000000" w:themeColor="text1"/>
        </w:rPr>
        <w:t>1</w:t>
      </w:r>
      <w:r w:rsidR="00701BED" w:rsidRPr="009A74DB">
        <w:rPr>
          <w:rFonts w:ascii="Arial" w:hAnsi="Arial" w:cs="Arial"/>
          <w:color w:val="000000" w:themeColor="text1"/>
        </w:rPr>
        <w:t xml:space="preserve"> summarises the </w:t>
      </w:r>
      <w:r w:rsidR="00301C09" w:rsidRPr="009A74DB">
        <w:rPr>
          <w:rFonts w:ascii="Arial" w:hAnsi="Arial" w:cs="Arial"/>
          <w:color w:val="000000" w:themeColor="text1"/>
        </w:rPr>
        <w:t xml:space="preserve">values for both </w:t>
      </w:r>
      <w:r w:rsidR="00B52D69" w:rsidRPr="009A74DB">
        <w:rPr>
          <w:rFonts w:ascii="Arial" w:hAnsi="Arial" w:cs="Arial"/>
          <w:color w:val="000000" w:themeColor="text1"/>
        </w:rPr>
        <w:t xml:space="preserve">study </w:t>
      </w:r>
      <w:r w:rsidR="00301C09" w:rsidRPr="009A74DB">
        <w:rPr>
          <w:rFonts w:ascii="Arial" w:hAnsi="Arial" w:cs="Arial"/>
          <w:color w:val="000000" w:themeColor="text1"/>
        </w:rPr>
        <w:t xml:space="preserve">groups.  </w:t>
      </w:r>
      <w:r w:rsidR="007E0426" w:rsidRPr="009A74DB">
        <w:rPr>
          <w:rFonts w:ascii="Arial" w:hAnsi="Arial" w:cs="Arial"/>
          <w:color w:val="000000" w:themeColor="text1"/>
        </w:rPr>
        <w:t>Note that</w:t>
      </w:r>
      <w:r w:rsidR="00B52D69" w:rsidRPr="009A74DB">
        <w:rPr>
          <w:rFonts w:ascii="Arial" w:hAnsi="Arial" w:cs="Arial"/>
          <w:color w:val="000000" w:themeColor="text1"/>
        </w:rPr>
        <w:t xml:space="preserve"> none of the control participants </w:t>
      </w:r>
      <w:r w:rsidR="007E0426" w:rsidRPr="009A74DB">
        <w:rPr>
          <w:rFonts w:ascii="Arial" w:hAnsi="Arial" w:cs="Arial"/>
          <w:color w:val="000000" w:themeColor="text1"/>
        </w:rPr>
        <w:t>display</w:t>
      </w:r>
      <w:r w:rsidR="00B52D69" w:rsidRPr="009A74DB">
        <w:rPr>
          <w:rFonts w:ascii="Arial" w:hAnsi="Arial" w:cs="Arial"/>
          <w:color w:val="000000" w:themeColor="text1"/>
        </w:rPr>
        <w:t>ed</w:t>
      </w:r>
      <w:r w:rsidR="007E0426" w:rsidRPr="009A74DB">
        <w:rPr>
          <w:rFonts w:ascii="Arial" w:hAnsi="Arial" w:cs="Arial"/>
          <w:color w:val="000000" w:themeColor="text1"/>
        </w:rPr>
        <w:t xml:space="preserve"> </w:t>
      </w:r>
      <w:r w:rsidR="00B52D69" w:rsidRPr="009A74DB">
        <w:rPr>
          <w:rFonts w:ascii="Arial" w:hAnsi="Arial" w:cs="Arial"/>
          <w:color w:val="000000" w:themeColor="text1"/>
        </w:rPr>
        <w:t xml:space="preserve">quantifiable </w:t>
      </w:r>
      <w:r w:rsidR="007E0426" w:rsidRPr="009A74DB">
        <w:rPr>
          <w:rFonts w:ascii="Arial" w:hAnsi="Arial" w:cs="Arial"/>
          <w:color w:val="000000" w:themeColor="text1"/>
        </w:rPr>
        <w:t>eviden</w:t>
      </w:r>
      <w:r w:rsidR="00B52D69" w:rsidRPr="009A74DB">
        <w:rPr>
          <w:rFonts w:ascii="Arial" w:hAnsi="Arial" w:cs="Arial"/>
          <w:color w:val="000000" w:themeColor="text1"/>
        </w:rPr>
        <w:t>ce</w:t>
      </w:r>
      <w:r w:rsidR="007E0426" w:rsidRPr="009A74DB">
        <w:rPr>
          <w:rFonts w:ascii="Arial" w:hAnsi="Arial" w:cs="Arial"/>
          <w:color w:val="000000" w:themeColor="text1"/>
        </w:rPr>
        <w:t xml:space="preserve"> </w:t>
      </w:r>
      <w:r w:rsidR="00B52D69" w:rsidRPr="009A74DB">
        <w:rPr>
          <w:rFonts w:ascii="Arial" w:hAnsi="Arial" w:cs="Arial"/>
          <w:color w:val="000000" w:themeColor="text1"/>
        </w:rPr>
        <w:t>of p</w:t>
      </w:r>
      <w:r w:rsidR="007E0426" w:rsidRPr="009A74DB">
        <w:rPr>
          <w:rFonts w:ascii="Arial" w:hAnsi="Arial" w:cs="Arial"/>
          <w:color w:val="000000" w:themeColor="text1"/>
        </w:rPr>
        <w:t>osterior sub-capsular or cortical changes</w:t>
      </w:r>
      <w:r w:rsidR="00222A41" w:rsidRPr="009A74DB">
        <w:rPr>
          <w:rFonts w:ascii="Arial" w:hAnsi="Arial" w:cs="Arial"/>
          <w:color w:val="000000" w:themeColor="text1"/>
        </w:rPr>
        <w:t xml:space="preserve">. </w:t>
      </w:r>
      <w:r w:rsidR="00466E33" w:rsidRPr="009A74DB">
        <w:rPr>
          <w:rFonts w:ascii="Arial" w:hAnsi="Arial" w:cs="Arial"/>
          <w:color w:val="000000" w:themeColor="text1"/>
        </w:rPr>
        <w:t>Therefore,</w:t>
      </w:r>
      <w:r w:rsidR="00557B77" w:rsidRPr="009A74DB">
        <w:rPr>
          <w:rFonts w:ascii="Arial" w:hAnsi="Arial" w:cs="Arial"/>
          <w:color w:val="000000" w:themeColor="text1"/>
        </w:rPr>
        <w:t xml:space="preserve"> statistical analysis was conducted </w:t>
      </w:r>
      <w:r w:rsidR="00B52D69" w:rsidRPr="009A74DB">
        <w:rPr>
          <w:rFonts w:ascii="Arial" w:hAnsi="Arial" w:cs="Arial"/>
          <w:color w:val="000000" w:themeColor="text1"/>
        </w:rPr>
        <w:t xml:space="preserve">only </w:t>
      </w:r>
      <w:r w:rsidR="00557B77" w:rsidRPr="009A74DB">
        <w:rPr>
          <w:rFonts w:ascii="Arial" w:hAnsi="Arial" w:cs="Arial"/>
          <w:color w:val="000000" w:themeColor="text1"/>
        </w:rPr>
        <w:t>for nuclear PIR</w:t>
      </w:r>
      <w:r w:rsidR="00B52D69" w:rsidRPr="009A74DB">
        <w:rPr>
          <w:rFonts w:ascii="Arial" w:hAnsi="Arial" w:cs="Arial"/>
          <w:color w:val="000000" w:themeColor="text1"/>
        </w:rPr>
        <w:t>. Participants</w:t>
      </w:r>
      <w:r w:rsidR="00B5679F" w:rsidRPr="009A74DB">
        <w:rPr>
          <w:rFonts w:ascii="Arial" w:hAnsi="Arial" w:cs="Arial"/>
          <w:color w:val="000000" w:themeColor="text1"/>
        </w:rPr>
        <w:t xml:space="preserve"> with DS had </w:t>
      </w:r>
      <w:r w:rsidR="00DE47A2" w:rsidRPr="009A74DB">
        <w:rPr>
          <w:rFonts w:ascii="Arial" w:hAnsi="Arial" w:cs="Arial"/>
          <w:color w:val="000000" w:themeColor="text1"/>
        </w:rPr>
        <w:t>significant</w:t>
      </w:r>
      <w:r w:rsidR="00B5679F" w:rsidRPr="009A74DB">
        <w:rPr>
          <w:rFonts w:ascii="Arial" w:hAnsi="Arial" w:cs="Arial"/>
          <w:color w:val="000000" w:themeColor="text1"/>
        </w:rPr>
        <w:t xml:space="preserve">ly lower </w:t>
      </w:r>
      <w:r w:rsidR="00E529A0" w:rsidRPr="009A74DB">
        <w:rPr>
          <w:rFonts w:ascii="Arial" w:hAnsi="Arial" w:cs="Arial"/>
          <w:color w:val="000000" w:themeColor="text1"/>
        </w:rPr>
        <w:t xml:space="preserve">nuclear PIR </w:t>
      </w:r>
      <w:r w:rsidR="00B5679F" w:rsidRPr="009A74DB">
        <w:rPr>
          <w:rFonts w:ascii="Arial" w:hAnsi="Arial" w:cs="Arial"/>
          <w:color w:val="000000" w:themeColor="text1"/>
        </w:rPr>
        <w:t xml:space="preserve">compared to </w:t>
      </w:r>
      <w:r w:rsidR="00E529A0" w:rsidRPr="009A74DB">
        <w:rPr>
          <w:rFonts w:ascii="Arial" w:hAnsi="Arial" w:cs="Arial"/>
          <w:color w:val="000000" w:themeColor="text1"/>
        </w:rPr>
        <w:t>control</w:t>
      </w:r>
      <w:r w:rsidR="00B5679F" w:rsidRPr="009A74DB">
        <w:rPr>
          <w:rFonts w:ascii="Arial" w:hAnsi="Arial" w:cs="Arial"/>
          <w:color w:val="000000" w:themeColor="text1"/>
        </w:rPr>
        <w:t>s</w:t>
      </w:r>
      <w:r w:rsidR="00E529A0" w:rsidRPr="009A74DB">
        <w:rPr>
          <w:rFonts w:ascii="Arial" w:hAnsi="Arial" w:cs="Arial"/>
          <w:color w:val="000000" w:themeColor="text1"/>
        </w:rPr>
        <w:t xml:space="preserve">.  </w:t>
      </w:r>
    </w:p>
    <w:p w14:paraId="74DE0AA8" w14:textId="77777777" w:rsidR="009756E4" w:rsidRPr="009A74DB" w:rsidRDefault="009756E4" w:rsidP="009C4263">
      <w:pPr>
        <w:spacing w:line="480" w:lineRule="auto"/>
        <w:rPr>
          <w:rFonts w:ascii="Arial" w:hAnsi="Arial" w:cs="Arial"/>
          <w:color w:val="000000" w:themeColor="text1"/>
        </w:rPr>
      </w:pPr>
    </w:p>
    <w:p w14:paraId="59E1603E" w14:textId="08AFEC02" w:rsidR="00C02320" w:rsidRPr="009A74DB" w:rsidRDefault="00C02320" w:rsidP="009C4263">
      <w:pPr>
        <w:spacing w:line="480" w:lineRule="auto"/>
        <w:rPr>
          <w:rFonts w:ascii="Arial" w:hAnsi="Arial" w:cs="Arial"/>
          <w:color w:val="000000" w:themeColor="text1"/>
        </w:rPr>
      </w:pPr>
      <w:r w:rsidRPr="009A74DB">
        <w:rPr>
          <w:rFonts w:ascii="Arial" w:hAnsi="Arial" w:cs="Arial"/>
          <w:color w:val="000000" w:themeColor="text1"/>
        </w:rPr>
        <w:lastRenderedPageBreak/>
        <w:t>Comparing LOCS</w:t>
      </w:r>
      <w:r w:rsidR="003005CF" w:rsidRPr="009A74DB">
        <w:rPr>
          <w:rFonts w:ascii="Arial" w:hAnsi="Arial" w:cs="Arial"/>
          <w:color w:val="000000" w:themeColor="text1"/>
        </w:rPr>
        <w:t xml:space="preserve"> </w:t>
      </w:r>
      <w:r w:rsidRPr="009A74DB">
        <w:rPr>
          <w:rFonts w:ascii="Arial" w:hAnsi="Arial" w:cs="Arial"/>
          <w:color w:val="000000" w:themeColor="text1"/>
        </w:rPr>
        <w:t xml:space="preserve">III </w:t>
      </w:r>
      <w:r w:rsidR="00B63E0B" w:rsidRPr="009A74DB">
        <w:rPr>
          <w:rFonts w:ascii="Arial" w:hAnsi="Arial" w:cs="Arial"/>
          <w:color w:val="000000" w:themeColor="text1"/>
        </w:rPr>
        <w:t xml:space="preserve">NO and NC </w:t>
      </w:r>
      <w:r w:rsidRPr="009A74DB">
        <w:rPr>
          <w:rFonts w:ascii="Arial" w:hAnsi="Arial" w:cs="Arial"/>
          <w:color w:val="000000" w:themeColor="text1"/>
        </w:rPr>
        <w:t xml:space="preserve">grading with </w:t>
      </w:r>
      <w:r w:rsidR="00B57401" w:rsidRPr="009A74DB">
        <w:rPr>
          <w:rFonts w:ascii="Arial" w:hAnsi="Arial" w:cs="Arial"/>
          <w:color w:val="000000" w:themeColor="text1"/>
        </w:rPr>
        <w:t>AS-OCT quantification of Nuclear PIR there was a significant relation for both DS and control group</w:t>
      </w:r>
      <w:r w:rsidR="002A7BAA" w:rsidRPr="009A74DB">
        <w:rPr>
          <w:rFonts w:ascii="Arial" w:hAnsi="Arial" w:cs="Arial"/>
          <w:color w:val="000000" w:themeColor="text1"/>
        </w:rPr>
        <w:t>s (</w:t>
      </w:r>
      <w:r w:rsidR="00D810DF" w:rsidRPr="009A74DB">
        <w:rPr>
          <w:rFonts w:ascii="Arial" w:hAnsi="Arial" w:cs="Arial"/>
          <w:color w:val="000000" w:themeColor="text1"/>
        </w:rPr>
        <w:t xml:space="preserve">Spearman rank analysis, </w:t>
      </w:r>
      <w:r w:rsidR="002A7BAA" w:rsidRPr="009A74DB">
        <w:rPr>
          <w:rFonts w:ascii="Arial" w:hAnsi="Arial" w:cs="Arial"/>
          <w:color w:val="000000" w:themeColor="text1"/>
        </w:rPr>
        <w:t>NO: DS</w:t>
      </w:r>
      <w:r w:rsidR="00BC422F" w:rsidRPr="009A74DB">
        <w:rPr>
          <w:rFonts w:ascii="Arial" w:hAnsi="Arial" w:cs="Arial"/>
          <w:color w:val="000000" w:themeColor="text1"/>
        </w:rPr>
        <w:t xml:space="preserve"> group</w:t>
      </w:r>
      <w:r w:rsidR="00B57401" w:rsidRPr="009A74DB">
        <w:rPr>
          <w:rFonts w:ascii="Arial" w:hAnsi="Arial" w:cs="Arial"/>
          <w:color w:val="000000" w:themeColor="text1"/>
        </w:rPr>
        <w:t xml:space="preserve"> </w:t>
      </w:r>
      <w:r w:rsidR="00877D1F" w:rsidRPr="009A74DB">
        <w:rPr>
          <w:rFonts w:ascii="Arial" w:hAnsi="Arial" w:cs="Arial"/>
          <w:color w:val="000000" w:themeColor="text1"/>
        </w:rPr>
        <w:t>ρ</w:t>
      </w:r>
      <w:r w:rsidR="00BC422F" w:rsidRPr="009A74DB">
        <w:rPr>
          <w:rFonts w:ascii="Arial" w:hAnsi="Arial" w:cs="Arial"/>
          <w:color w:val="000000" w:themeColor="text1"/>
        </w:rPr>
        <w:t>=</w:t>
      </w:r>
      <w:r w:rsidR="002A63DF" w:rsidRPr="009A74DB">
        <w:rPr>
          <w:rFonts w:ascii="Arial" w:hAnsi="Arial" w:cs="Arial"/>
          <w:color w:val="000000" w:themeColor="text1"/>
        </w:rPr>
        <w:t>0.36</w:t>
      </w:r>
      <w:r w:rsidR="00BC422F" w:rsidRPr="009A74DB">
        <w:rPr>
          <w:rFonts w:ascii="Arial" w:hAnsi="Arial" w:cs="Arial"/>
          <w:color w:val="000000" w:themeColor="text1"/>
        </w:rPr>
        <w:t>, p</w:t>
      </w:r>
      <w:r w:rsidR="00A537F1" w:rsidRPr="009A74DB">
        <w:rPr>
          <w:rFonts w:ascii="Arial" w:hAnsi="Arial" w:cs="Arial"/>
          <w:color w:val="000000" w:themeColor="text1"/>
        </w:rPr>
        <w:t>=</w:t>
      </w:r>
      <w:r w:rsidR="00BC422F" w:rsidRPr="009A74DB">
        <w:rPr>
          <w:rFonts w:ascii="Arial" w:hAnsi="Arial" w:cs="Arial"/>
          <w:color w:val="000000" w:themeColor="text1"/>
        </w:rPr>
        <w:t>0.0</w:t>
      </w:r>
      <w:r w:rsidR="00A537F1" w:rsidRPr="009A74DB">
        <w:rPr>
          <w:rFonts w:ascii="Arial" w:hAnsi="Arial" w:cs="Arial"/>
          <w:color w:val="000000" w:themeColor="text1"/>
        </w:rPr>
        <w:t>4</w:t>
      </w:r>
      <w:r w:rsidR="005A306A" w:rsidRPr="009A74DB">
        <w:rPr>
          <w:rFonts w:ascii="Arial" w:hAnsi="Arial" w:cs="Arial"/>
          <w:color w:val="000000" w:themeColor="text1"/>
        </w:rPr>
        <w:t>;</w:t>
      </w:r>
      <w:r w:rsidR="00BC422F" w:rsidRPr="009A74DB">
        <w:rPr>
          <w:rFonts w:ascii="Arial" w:hAnsi="Arial" w:cs="Arial"/>
          <w:color w:val="000000" w:themeColor="text1"/>
        </w:rPr>
        <w:t xml:space="preserve"> Control</w:t>
      </w:r>
      <w:r w:rsidR="005A306A" w:rsidRPr="009A74DB">
        <w:rPr>
          <w:rFonts w:ascii="Arial" w:hAnsi="Arial" w:cs="Arial"/>
          <w:color w:val="000000" w:themeColor="text1"/>
        </w:rPr>
        <w:t xml:space="preserve"> group</w:t>
      </w:r>
      <w:r w:rsidR="00BC422F" w:rsidRPr="009A74DB">
        <w:rPr>
          <w:rFonts w:ascii="Arial" w:hAnsi="Arial" w:cs="Arial"/>
          <w:color w:val="000000" w:themeColor="text1"/>
        </w:rPr>
        <w:t xml:space="preserve"> </w:t>
      </w:r>
      <w:r w:rsidR="002A63DF" w:rsidRPr="009A74DB">
        <w:rPr>
          <w:rFonts w:ascii="Arial" w:hAnsi="Arial" w:cs="Arial"/>
          <w:color w:val="000000" w:themeColor="text1"/>
        </w:rPr>
        <w:t>ρ</w:t>
      </w:r>
      <w:r w:rsidR="00BC422F" w:rsidRPr="009A74DB">
        <w:rPr>
          <w:rFonts w:ascii="Arial" w:hAnsi="Arial" w:cs="Arial"/>
          <w:color w:val="000000" w:themeColor="text1"/>
        </w:rPr>
        <w:t>=0.</w:t>
      </w:r>
      <w:r w:rsidR="002A63DF" w:rsidRPr="009A74DB">
        <w:rPr>
          <w:rFonts w:ascii="Arial" w:hAnsi="Arial" w:cs="Arial"/>
          <w:color w:val="000000" w:themeColor="text1"/>
        </w:rPr>
        <w:t>42</w:t>
      </w:r>
      <w:r w:rsidR="00BC422F" w:rsidRPr="009A74DB">
        <w:rPr>
          <w:rFonts w:ascii="Arial" w:hAnsi="Arial" w:cs="Arial"/>
          <w:color w:val="000000" w:themeColor="text1"/>
        </w:rPr>
        <w:t>, p</w:t>
      </w:r>
      <w:r w:rsidR="00A537F1" w:rsidRPr="009A74DB">
        <w:rPr>
          <w:rFonts w:ascii="Arial" w:hAnsi="Arial" w:cs="Arial"/>
          <w:color w:val="000000" w:themeColor="text1"/>
        </w:rPr>
        <w:t>=</w:t>
      </w:r>
      <w:r w:rsidR="00BC422F" w:rsidRPr="009A74DB">
        <w:rPr>
          <w:rFonts w:ascii="Arial" w:hAnsi="Arial" w:cs="Arial"/>
          <w:color w:val="000000" w:themeColor="text1"/>
        </w:rPr>
        <w:t>0.00</w:t>
      </w:r>
      <w:r w:rsidR="00A537F1" w:rsidRPr="009A74DB">
        <w:rPr>
          <w:rFonts w:ascii="Arial" w:hAnsi="Arial" w:cs="Arial"/>
          <w:color w:val="000000" w:themeColor="text1"/>
        </w:rPr>
        <w:t>4</w:t>
      </w:r>
      <w:r w:rsidR="00B63E0B" w:rsidRPr="009A74DB">
        <w:rPr>
          <w:rFonts w:ascii="Arial" w:hAnsi="Arial" w:cs="Arial"/>
          <w:color w:val="000000" w:themeColor="text1"/>
        </w:rPr>
        <w:t>.</w:t>
      </w:r>
      <w:r w:rsidR="00B45A67" w:rsidRPr="009A74DB">
        <w:rPr>
          <w:rFonts w:ascii="Arial" w:hAnsi="Arial" w:cs="Arial"/>
          <w:color w:val="000000" w:themeColor="text1"/>
        </w:rPr>
        <w:t xml:space="preserve"> NC: DS group </w:t>
      </w:r>
      <w:r w:rsidR="00AF5214" w:rsidRPr="009A74DB">
        <w:rPr>
          <w:rFonts w:ascii="Arial" w:hAnsi="Arial" w:cs="Arial"/>
          <w:color w:val="000000" w:themeColor="text1"/>
        </w:rPr>
        <w:t>ρ</w:t>
      </w:r>
      <w:r w:rsidR="00B45A67" w:rsidRPr="009A74DB">
        <w:rPr>
          <w:rFonts w:ascii="Arial" w:hAnsi="Arial" w:cs="Arial"/>
          <w:color w:val="000000" w:themeColor="text1"/>
        </w:rPr>
        <w:t>=0.4</w:t>
      </w:r>
      <w:r w:rsidR="00AF5214" w:rsidRPr="009A74DB">
        <w:rPr>
          <w:rFonts w:ascii="Arial" w:hAnsi="Arial" w:cs="Arial"/>
          <w:color w:val="000000" w:themeColor="text1"/>
        </w:rPr>
        <w:t>4</w:t>
      </w:r>
      <w:r w:rsidR="00B45A67" w:rsidRPr="009A74DB">
        <w:rPr>
          <w:rFonts w:ascii="Arial" w:hAnsi="Arial" w:cs="Arial"/>
          <w:color w:val="000000" w:themeColor="text1"/>
        </w:rPr>
        <w:t>, p</w:t>
      </w:r>
      <w:r w:rsidR="00C43F8F" w:rsidRPr="009A74DB">
        <w:rPr>
          <w:rFonts w:ascii="Arial" w:hAnsi="Arial" w:cs="Arial"/>
          <w:color w:val="000000" w:themeColor="text1"/>
        </w:rPr>
        <w:t>=</w:t>
      </w:r>
      <w:r w:rsidR="00B45A67" w:rsidRPr="009A74DB">
        <w:rPr>
          <w:rFonts w:ascii="Arial" w:hAnsi="Arial" w:cs="Arial"/>
          <w:color w:val="000000" w:themeColor="text1"/>
        </w:rPr>
        <w:t>0.0</w:t>
      </w:r>
      <w:r w:rsidR="00C43F8F" w:rsidRPr="009A74DB">
        <w:rPr>
          <w:rFonts w:ascii="Arial" w:hAnsi="Arial" w:cs="Arial"/>
          <w:color w:val="000000" w:themeColor="text1"/>
        </w:rPr>
        <w:t>1</w:t>
      </w:r>
      <w:r w:rsidR="00B45A67" w:rsidRPr="009A74DB">
        <w:rPr>
          <w:rFonts w:ascii="Arial" w:hAnsi="Arial" w:cs="Arial"/>
          <w:color w:val="000000" w:themeColor="text1"/>
        </w:rPr>
        <w:t xml:space="preserve">; Control group </w:t>
      </w:r>
      <w:r w:rsidR="00AF5214" w:rsidRPr="009A74DB">
        <w:rPr>
          <w:rFonts w:ascii="Arial" w:hAnsi="Arial" w:cs="Arial"/>
          <w:color w:val="000000" w:themeColor="text1"/>
        </w:rPr>
        <w:t>ρ</w:t>
      </w:r>
      <w:r w:rsidR="00B45A67" w:rsidRPr="009A74DB">
        <w:rPr>
          <w:rFonts w:ascii="Arial" w:hAnsi="Arial" w:cs="Arial"/>
          <w:color w:val="000000" w:themeColor="text1"/>
        </w:rPr>
        <w:t>=0.</w:t>
      </w:r>
      <w:r w:rsidR="00C43F8F" w:rsidRPr="009A74DB">
        <w:rPr>
          <w:rFonts w:ascii="Arial" w:hAnsi="Arial" w:cs="Arial"/>
          <w:color w:val="000000" w:themeColor="text1"/>
        </w:rPr>
        <w:t>43</w:t>
      </w:r>
      <w:r w:rsidR="00B45A67" w:rsidRPr="009A74DB">
        <w:rPr>
          <w:rFonts w:ascii="Arial" w:hAnsi="Arial" w:cs="Arial"/>
          <w:color w:val="000000" w:themeColor="text1"/>
        </w:rPr>
        <w:t>, p</w:t>
      </w:r>
      <w:r w:rsidR="00C43F8F" w:rsidRPr="009A74DB">
        <w:rPr>
          <w:rFonts w:ascii="Arial" w:hAnsi="Arial" w:cs="Arial"/>
          <w:color w:val="000000" w:themeColor="text1"/>
        </w:rPr>
        <w:t>=</w:t>
      </w:r>
      <w:r w:rsidR="00B45A67" w:rsidRPr="009A74DB">
        <w:rPr>
          <w:rFonts w:ascii="Arial" w:hAnsi="Arial" w:cs="Arial"/>
          <w:color w:val="000000" w:themeColor="text1"/>
        </w:rPr>
        <w:t>0.00</w:t>
      </w:r>
      <w:r w:rsidR="00C43F8F" w:rsidRPr="009A74DB">
        <w:rPr>
          <w:rFonts w:ascii="Arial" w:hAnsi="Arial" w:cs="Arial"/>
          <w:color w:val="000000" w:themeColor="text1"/>
        </w:rPr>
        <w:t>3</w:t>
      </w:r>
      <w:r w:rsidR="00B45A67" w:rsidRPr="009A74DB">
        <w:rPr>
          <w:rFonts w:ascii="Arial" w:hAnsi="Arial" w:cs="Arial"/>
          <w:color w:val="000000" w:themeColor="text1"/>
        </w:rPr>
        <w:t>)</w:t>
      </w:r>
      <w:r w:rsidR="00CE3216" w:rsidRPr="009A74DB">
        <w:rPr>
          <w:rFonts w:ascii="Arial" w:hAnsi="Arial" w:cs="Arial"/>
          <w:color w:val="000000" w:themeColor="text1"/>
        </w:rPr>
        <w:t>.</w:t>
      </w:r>
    </w:p>
    <w:p w14:paraId="42F0FE38" w14:textId="77777777" w:rsidR="00B57401" w:rsidRPr="009A74DB" w:rsidRDefault="00B57401" w:rsidP="009C4263">
      <w:pPr>
        <w:spacing w:line="480" w:lineRule="auto"/>
        <w:rPr>
          <w:rFonts w:ascii="Arial" w:hAnsi="Arial" w:cs="Arial"/>
          <w:color w:val="000000" w:themeColor="text1"/>
        </w:rPr>
      </w:pPr>
    </w:p>
    <w:p w14:paraId="25E64032" w14:textId="4F00D09D" w:rsidR="000E0C05" w:rsidRPr="009A74DB" w:rsidRDefault="00A84113" w:rsidP="009C4263">
      <w:pPr>
        <w:spacing w:line="480" w:lineRule="auto"/>
        <w:rPr>
          <w:rFonts w:ascii="Arial" w:hAnsi="Arial" w:cs="Arial"/>
          <w:color w:val="000000" w:themeColor="text1"/>
        </w:rPr>
      </w:pPr>
      <w:r w:rsidRPr="009A74DB">
        <w:rPr>
          <w:rFonts w:ascii="Arial" w:hAnsi="Arial" w:cs="Arial"/>
          <w:color w:val="000000" w:themeColor="text1"/>
        </w:rPr>
        <w:t xml:space="preserve">There was a </w:t>
      </w:r>
      <w:r w:rsidR="00B3500A" w:rsidRPr="009A74DB">
        <w:rPr>
          <w:rFonts w:ascii="Arial" w:hAnsi="Arial" w:cs="Arial"/>
          <w:color w:val="000000" w:themeColor="text1"/>
        </w:rPr>
        <w:t xml:space="preserve">significant relation </w:t>
      </w:r>
      <w:r w:rsidR="00B52D69" w:rsidRPr="009A74DB">
        <w:rPr>
          <w:rFonts w:ascii="Arial" w:hAnsi="Arial" w:cs="Arial"/>
          <w:color w:val="000000" w:themeColor="text1"/>
        </w:rPr>
        <w:t xml:space="preserve">between </w:t>
      </w:r>
      <w:r w:rsidR="00B3500A" w:rsidRPr="009A74DB">
        <w:rPr>
          <w:rFonts w:ascii="Arial" w:hAnsi="Arial" w:cs="Arial"/>
          <w:color w:val="000000" w:themeColor="text1"/>
        </w:rPr>
        <w:t xml:space="preserve">age and nuclear PIR </w:t>
      </w:r>
      <w:r w:rsidR="00C80A2F" w:rsidRPr="009A74DB">
        <w:rPr>
          <w:rFonts w:ascii="Arial" w:hAnsi="Arial" w:cs="Arial"/>
          <w:color w:val="000000" w:themeColor="text1"/>
        </w:rPr>
        <w:t>fo</w:t>
      </w:r>
      <w:r w:rsidR="003F7653" w:rsidRPr="009A74DB">
        <w:rPr>
          <w:rFonts w:ascii="Arial" w:hAnsi="Arial" w:cs="Arial"/>
          <w:color w:val="000000" w:themeColor="text1"/>
        </w:rPr>
        <w:t xml:space="preserve">r the DS </w:t>
      </w:r>
      <w:r w:rsidR="00B3500A" w:rsidRPr="009A74DB">
        <w:rPr>
          <w:rFonts w:ascii="Arial" w:hAnsi="Arial" w:cs="Arial"/>
          <w:color w:val="000000" w:themeColor="text1"/>
        </w:rPr>
        <w:t>group</w:t>
      </w:r>
      <w:r w:rsidR="007847A9" w:rsidRPr="009A74DB">
        <w:rPr>
          <w:rFonts w:ascii="Arial" w:hAnsi="Arial" w:cs="Arial"/>
          <w:color w:val="000000" w:themeColor="text1"/>
        </w:rPr>
        <w:t xml:space="preserve"> </w:t>
      </w:r>
      <w:r w:rsidR="00C74033" w:rsidRPr="009A74DB">
        <w:rPr>
          <w:rFonts w:ascii="Arial" w:hAnsi="Arial" w:cs="Arial"/>
          <w:color w:val="000000" w:themeColor="text1"/>
        </w:rPr>
        <w:t>(</w:t>
      </w:r>
      <w:r w:rsidR="00E41BF7" w:rsidRPr="009A74DB">
        <w:rPr>
          <w:rFonts w:ascii="Arial" w:hAnsi="Arial" w:cs="Arial"/>
          <w:color w:val="000000" w:themeColor="text1"/>
        </w:rPr>
        <w:t>ρ</w:t>
      </w:r>
      <w:r w:rsidR="00C74033" w:rsidRPr="009A74DB">
        <w:rPr>
          <w:rFonts w:ascii="Arial" w:hAnsi="Arial" w:cs="Arial"/>
          <w:color w:val="000000" w:themeColor="text1"/>
        </w:rPr>
        <w:t>=0</w:t>
      </w:r>
      <w:r w:rsidR="00670DEB" w:rsidRPr="009A74DB">
        <w:rPr>
          <w:rFonts w:ascii="Arial" w:hAnsi="Arial" w:cs="Arial"/>
          <w:color w:val="000000" w:themeColor="text1"/>
        </w:rPr>
        <w:t>.</w:t>
      </w:r>
      <w:r w:rsidR="005943DB" w:rsidRPr="009A74DB">
        <w:rPr>
          <w:rFonts w:ascii="Arial" w:hAnsi="Arial" w:cs="Arial"/>
          <w:color w:val="000000" w:themeColor="text1"/>
        </w:rPr>
        <w:t>67</w:t>
      </w:r>
      <w:r w:rsidR="00C74033" w:rsidRPr="009A74DB">
        <w:rPr>
          <w:rFonts w:ascii="Arial" w:hAnsi="Arial" w:cs="Arial"/>
          <w:color w:val="000000" w:themeColor="text1"/>
        </w:rPr>
        <w:t>,</w:t>
      </w:r>
      <w:r w:rsidR="00CA193E" w:rsidRPr="009A74DB">
        <w:rPr>
          <w:rFonts w:ascii="Arial" w:hAnsi="Arial" w:cs="Arial"/>
          <w:color w:val="000000" w:themeColor="text1"/>
        </w:rPr>
        <w:t xml:space="preserve"> </w:t>
      </w:r>
      <w:r w:rsidR="00C74033" w:rsidRPr="009A74DB">
        <w:rPr>
          <w:rFonts w:ascii="Arial" w:hAnsi="Arial" w:cs="Arial"/>
          <w:color w:val="000000" w:themeColor="text1"/>
        </w:rPr>
        <w:t>p&lt;0.000</w:t>
      </w:r>
      <w:r w:rsidR="00B44CC0" w:rsidRPr="009A74DB">
        <w:rPr>
          <w:rFonts w:ascii="Arial" w:hAnsi="Arial" w:cs="Arial"/>
          <w:color w:val="000000" w:themeColor="text1"/>
        </w:rPr>
        <w:t>0</w:t>
      </w:r>
      <w:r w:rsidR="00C74033" w:rsidRPr="009A74DB">
        <w:rPr>
          <w:rFonts w:ascii="Arial" w:hAnsi="Arial" w:cs="Arial"/>
          <w:color w:val="000000" w:themeColor="text1"/>
        </w:rPr>
        <w:t>1</w:t>
      </w:r>
      <w:r w:rsidR="003F7653" w:rsidRPr="009A74DB">
        <w:rPr>
          <w:rFonts w:ascii="Arial" w:hAnsi="Arial" w:cs="Arial"/>
          <w:color w:val="000000" w:themeColor="text1"/>
        </w:rPr>
        <w:t>)</w:t>
      </w:r>
      <w:r w:rsidR="00CA193E" w:rsidRPr="009A74DB">
        <w:rPr>
          <w:rFonts w:ascii="Arial" w:hAnsi="Arial" w:cs="Arial"/>
          <w:color w:val="000000" w:themeColor="text1"/>
        </w:rPr>
        <w:t>,</w:t>
      </w:r>
      <w:r w:rsidR="003F7653" w:rsidRPr="009A74DB">
        <w:rPr>
          <w:rFonts w:ascii="Arial" w:hAnsi="Arial" w:cs="Arial"/>
          <w:color w:val="000000" w:themeColor="text1"/>
        </w:rPr>
        <w:t xml:space="preserve"> though</w:t>
      </w:r>
      <w:r w:rsidR="00CA193E" w:rsidRPr="009A74DB">
        <w:rPr>
          <w:rFonts w:ascii="Arial" w:hAnsi="Arial" w:cs="Arial"/>
          <w:color w:val="000000" w:themeColor="text1"/>
        </w:rPr>
        <w:t xml:space="preserve"> </w:t>
      </w:r>
      <w:r w:rsidR="003F7653" w:rsidRPr="009A74DB">
        <w:rPr>
          <w:rFonts w:ascii="Arial" w:hAnsi="Arial" w:cs="Arial"/>
          <w:color w:val="000000" w:themeColor="text1"/>
        </w:rPr>
        <w:t>this was not apparent for c</w:t>
      </w:r>
      <w:r w:rsidR="00CA193E" w:rsidRPr="009A74DB">
        <w:rPr>
          <w:rFonts w:ascii="Arial" w:hAnsi="Arial" w:cs="Arial"/>
          <w:color w:val="000000" w:themeColor="text1"/>
        </w:rPr>
        <w:t xml:space="preserve">ontrols </w:t>
      </w:r>
      <w:r w:rsidR="003F7653" w:rsidRPr="009A74DB">
        <w:rPr>
          <w:rFonts w:ascii="Arial" w:hAnsi="Arial" w:cs="Arial"/>
          <w:color w:val="000000" w:themeColor="text1"/>
        </w:rPr>
        <w:t>(</w:t>
      </w:r>
      <w:r w:rsidR="00B44CC0" w:rsidRPr="009A74DB">
        <w:rPr>
          <w:rFonts w:ascii="Arial" w:hAnsi="Arial" w:cs="Arial"/>
          <w:color w:val="000000" w:themeColor="text1"/>
        </w:rPr>
        <w:t>ρ</w:t>
      </w:r>
      <w:r w:rsidR="00CA193E" w:rsidRPr="009A74DB">
        <w:rPr>
          <w:rFonts w:ascii="Arial" w:hAnsi="Arial" w:cs="Arial"/>
          <w:color w:val="000000" w:themeColor="text1"/>
        </w:rPr>
        <w:t>=0.</w:t>
      </w:r>
      <w:r w:rsidR="00B44CC0" w:rsidRPr="009A74DB">
        <w:rPr>
          <w:rFonts w:ascii="Arial" w:hAnsi="Arial" w:cs="Arial"/>
          <w:color w:val="000000" w:themeColor="text1"/>
        </w:rPr>
        <w:t>28</w:t>
      </w:r>
      <w:r w:rsidR="00CA193E" w:rsidRPr="009A74DB">
        <w:rPr>
          <w:rFonts w:ascii="Arial" w:hAnsi="Arial" w:cs="Arial"/>
          <w:color w:val="000000" w:themeColor="text1"/>
        </w:rPr>
        <w:t>, p</w:t>
      </w:r>
      <w:r w:rsidR="003F7653" w:rsidRPr="009A74DB">
        <w:rPr>
          <w:rFonts w:ascii="Arial" w:hAnsi="Arial" w:cs="Arial"/>
          <w:color w:val="000000" w:themeColor="text1"/>
        </w:rPr>
        <w:t>=</w:t>
      </w:r>
      <w:r w:rsidR="00CA193E" w:rsidRPr="009A74DB">
        <w:rPr>
          <w:rFonts w:ascii="Arial" w:hAnsi="Arial" w:cs="Arial"/>
          <w:color w:val="000000" w:themeColor="text1"/>
        </w:rPr>
        <w:t>0.0</w:t>
      </w:r>
      <w:r w:rsidR="002417D6" w:rsidRPr="009A74DB">
        <w:rPr>
          <w:rFonts w:ascii="Arial" w:hAnsi="Arial" w:cs="Arial"/>
          <w:color w:val="000000" w:themeColor="text1"/>
        </w:rPr>
        <w:t>6</w:t>
      </w:r>
      <w:r w:rsidR="005E47F4" w:rsidRPr="009A74DB">
        <w:rPr>
          <w:rFonts w:ascii="Arial" w:hAnsi="Arial" w:cs="Arial"/>
          <w:color w:val="000000" w:themeColor="text1"/>
        </w:rPr>
        <w:t>)</w:t>
      </w:r>
      <w:r w:rsidR="002417D6" w:rsidRPr="009A74DB">
        <w:rPr>
          <w:rFonts w:ascii="Arial" w:hAnsi="Arial" w:cs="Arial"/>
          <w:color w:val="000000" w:themeColor="text1"/>
        </w:rPr>
        <w:t xml:space="preserve">, likely due to </w:t>
      </w:r>
      <w:r w:rsidR="00B52D69" w:rsidRPr="009A74DB">
        <w:rPr>
          <w:rFonts w:ascii="Arial" w:hAnsi="Arial" w:cs="Arial"/>
          <w:color w:val="000000" w:themeColor="text1"/>
        </w:rPr>
        <w:t>the</w:t>
      </w:r>
      <w:r w:rsidR="007847A9" w:rsidRPr="009A74DB">
        <w:rPr>
          <w:rFonts w:ascii="Arial" w:hAnsi="Arial" w:cs="Arial"/>
          <w:color w:val="000000" w:themeColor="text1"/>
        </w:rPr>
        <w:t xml:space="preserve"> constrained </w:t>
      </w:r>
      <w:r w:rsidR="00B52D69" w:rsidRPr="009A74DB">
        <w:rPr>
          <w:rFonts w:ascii="Arial" w:hAnsi="Arial" w:cs="Arial"/>
          <w:color w:val="000000" w:themeColor="text1"/>
        </w:rPr>
        <w:t>recruitment age</w:t>
      </w:r>
      <w:r w:rsidR="007847A9" w:rsidRPr="009A74DB">
        <w:rPr>
          <w:rFonts w:ascii="Arial" w:hAnsi="Arial" w:cs="Arial"/>
          <w:color w:val="000000" w:themeColor="text1"/>
        </w:rPr>
        <w:t>.</w:t>
      </w:r>
    </w:p>
    <w:p w14:paraId="0077CCC8" w14:textId="05753FDD" w:rsidR="007565AA" w:rsidRPr="009A74DB" w:rsidRDefault="007565AA" w:rsidP="009C4263">
      <w:pPr>
        <w:spacing w:line="480" w:lineRule="auto"/>
        <w:rPr>
          <w:rFonts w:ascii="Arial" w:hAnsi="Arial" w:cs="Arial"/>
          <w:color w:val="000000" w:themeColor="text1"/>
        </w:rPr>
      </w:pPr>
    </w:p>
    <w:p w14:paraId="3790D9BB" w14:textId="6BD94835" w:rsidR="00515149" w:rsidRPr="009A74DB" w:rsidRDefault="00B52D69" w:rsidP="009C4263">
      <w:pPr>
        <w:spacing w:line="480" w:lineRule="auto"/>
        <w:rPr>
          <w:rFonts w:ascii="Arial" w:hAnsi="Arial" w:cs="Arial"/>
          <w:color w:val="000000" w:themeColor="text1"/>
        </w:rPr>
      </w:pPr>
      <w:r w:rsidRPr="009A74DB">
        <w:rPr>
          <w:rFonts w:ascii="Arial" w:hAnsi="Arial" w:cs="Arial"/>
          <w:color w:val="000000" w:themeColor="text1"/>
        </w:rPr>
        <w:t xml:space="preserve">In </w:t>
      </w:r>
      <w:r w:rsidR="00B00347" w:rsidRPr="009A74DB">
        <w:rPr>
          <w:rFonts w:ascii="Arial" w:hAnsi="Arial" w:cs="Arial"/>
          <w:color w:val="000000" w:themeColor="text1"/>
        </w:rPr>
        <w:t xml:space="preserve">the DS group, </w:t>
      </w:r>
      <w:r w:rsidR="00B63E0B" w:rsidRPr="009A74DB">
        <w:rPr>
          <w:rFonts w:ascii="Arial" w:hAnsi="Arial" w:cs="Arial"/>
          <w:color w:val="000000" w:themeColor="text1"/>
        </w:rPr>
        <w:t xml:space="preserve">SL examination and SL and </w:t>
      </w:r>
      <w:r w:rsidR="00BF2F61" w:rsidRPr="009A74DB">
        <w:rPr>
          <w:rFonts w:ascii="Arial" w:hAnsi="Arial" w:cs="Arial"/>
          <w:color w:val="000000" w:themeColor="text1"/>
        </w:rPr>
        <w:t>OCT</w:t>
      </w:r>
      <w:r w:rsidR="00251A56" w:rsidRPr="009A74DB">
        <w:rPr>
          <w:rFonts w:ascii="Arial" w:hAnsi="Arial" w:cs="Arial"/>
          <w:color w:val="000000" w:themeColor="text1"/>
        </w:rPr>
        <w:t xml:space="preserve"> </w:t>
      </w:r>
      <w:r w:rsidR="00BF2F61" w:rsidRPr="009A74DB">
        <w:rPr>
          <w:rFonts w:ascii="Arial" w:hAnsi="Arial" w:cs="Arial"/>
          <w:color w:val="000000" w:themeColor="text1"/>
        </w:rPr>
        <w:t xml:space="preserve">imaging revealed the frequent presence of small dot opacities scattered anteriorly and posteriorly through the cortex of the lens, and </w:t>
      </w:r>
      <w:r w:rsidR="00C75905" w:rsidRPr="009A74DB">
        <w:rPr>
          <w:rFonts w:ascii="Arial" w:hAnsi="Arial" w:cs="Arial"/>
          <w:color w:val="000000" w:themeColor="text1"/>
        </w:rPr>
        <w:t>occasionally</w:t>
      </w:r>
      <w:r w:rsidR="00BF2F61" w:rsidRPr="009A74DB">
        <w:rPr>
          <w:rFonts w:ascii="Arial" w:hAnsi="Arial" w:cs="Arial"/>
          <w:color w:val="000000" w:themeColor="text1"/>
        </w:rPr>
        <w:t xml:space="preserve"> the nucleus</w:t>
      </w:r>
      <w:r w:rsidR="00D94CE4" w:rsidRPr="009A74DB">
        <w:rPr>
          <w:rFonts w:ascii="Arial" w:hAnsi="Arial" w:cs="Arial"/>
          <w:color w:val="000000" w:themeColor="text1"/>
        </w:rPr>
        <w:t xml:space="preserve">. </w:t>
      </w:r>
      <w:r w:rsidRPr="009A74DB">
        <w:rPr>
          <w:rFonts w:ascii="Arial" w:hAnsi="Arial" w:cs="Arial"/>
          <w:color w:val="000000" w:themeColor="text1"/>
        </w:rPr>
        <w:t xml:space="preserve">These were distinct from age-related changes. </w:t>
      </w:r>
      <w:r w:rsidR="00515149" w:rsidRPr="009A74DB">
        <w:rPr>
          <w:rFonts w:ascii="Arial" w:hAnsi="Arial" w:cs="Arial"/>
          <w:color w:val="000000" w:themeColor="text1"/>
        </w:rPr>
        <w:t xml:space="preserve">Figure </w:t>
      </w:r>
      <w:r w:rsidR="006E0FCD" w:rsidRPr="009A74DB">
        <w:rPr>
          <w:rFonts w:ascii="Arial" w:hAnsi="Arial" w:cs="Arial"/>
          <w:color w:val="000000" w:themeColor="text1"/>
        </w:rPr>
        <w:t>1</w:t>
      </w:r>
      <w:r w:rsidR="00D94CE4" w:rsidRPr="009A74DB">
        <w:rPr>
          <w:rFonts w:ascii="Arial" w:hAnsi="Arial" w:cs="Arial"/>
          <w:color w:val="000000" w:themeColor="text1"/>
        </w:rPr>
        <w:t xml:space="preserve"> illustrates three subjects </w:t>
      </w:r>
      <w:r w:rsidRPr="009A74DB">
        <w:rPr>
          <w:rFonts w:ascii="Arial" w:hAnsi="Arial" w:cs="Arial"/>
          <w:color w:val="000000" w:themeColor="text1"/>
        </w:rPr>
        <w:t xml:space="preserve">classified </w:t>
      </w:r>
      <w:r w:rsidR="00D94CE4" w:rsidRPr="009A74DB">
        <w:rPr>
          <w:rFonts w:ascii="Arial" w:hAnsi="Arial" w:cs="Arial"/>
          <w:color w:val="000000" w:themeColor="text1"/>
        </w:rPr>
        <w:t xml:space="preserve">with </w:t>
      </w:r>
      <w:r w:rsidRPr="009A74DB">
        <w:rPr>
          <w:rFonts w:ascii="Arial" w:hAnsi="Arial" w:cs="Arial"/>
          <w:color w:val="000000" w:themeColor="text1"/>
        </w:rPr>
        <w:t>‘</w:t>
      </w:r>
      <w:r w:rsidR="00495A35" w:rsidRPr="009A74DB">
        <w:rPr>
          <w:rFonts w:ascii="Arial" w:hAnsi="Arial" w:cs="Arial"/>
          <w:color w:val="000000" w:themeColor="text1"/>
        </w:rPr>
        <w:t>frequent</w:t>
      </w:r>
      <w:r w:rsidRPr="009A74DB">
        <w:rPr>
          <w:rFonts w:ascii="Arial" w:hAnsi="Arial" w:cs="Arial"/>
          <w:color w:val="000000" w:themeColor="text1"/>
        </w:rPr>
        <w:t>’</w:t>
      </w:r>
      <w:r w:rsidR="00495A35" w:rsidRPr="009A74DB">
        <w:rPr>
          <w:rFonts w:ascii="Arial" w:hAnsi="Arial" w:cs="Arial"/>
          <w:color w:val="000000" w:themeColor="text1"/>
        </w:rPr>
        <w:t xml:space="preserve">, </w:t>
      </w:r>
      <w:r w:rsidRPr="009A74DB">
        <w:rPr>
          <w:rFonts w:ascii="Arial" w:hAnsi="Arial" w:cs="Arial"/>
          <w:color w:val="000000" w:themeColor="text1"/>
        </w:rPr>
        <w:t>‘</w:t>
      </w:r>
      <w:r w:rsidR="00495A35" w:rsidRPr="009A74DB">
        <w:rPr>
          <w:rFonts w:ascii="Arial" w:hAnsi="Arial" w:cs="Arial"/>
          <w:color w:val="000000" w:themeColor="text1"/>
        </w:rPr>
        <w:t>moderate</w:t>
      </w:r>
      <w:r w:rsidRPr="009A74DB">
        <w:rPr>
          <w:rFonts w:ascii="Arial" w:hAnsi="Arial" w:cs="Arial"/>
          <w:color w:val="000000" w:themeColor="text1"/>
        </w:rPr>
        <w:t>’</w:t>
      </w:r>
      <w:r w:rsidR="00495A35" w:rsidRPr="009A74DB">
        <w:rPr>
          <w:rFonts w:ascii="Arial" w:hAnsi="Arial" w:cs="Arial"/>
          <w:color w:val="000000" w:themeColor="text1"/>
        </w:rPr>
        <w:t xml:space="preserve"> and </w:t>
      </w:r>
      <w:r w:rsidRPr="009A74DB">
        <w:rPr>
          <w:rFonts w:ascii="Arial" w:hAnsi="Arial" w:cs="Arial"/>
          <w:color w:val="000000" w:themeColor="text1"/>
        </w:rPr>
        <w:t>‘</w:t>
      </w:r>
      <w:r w:rsidR="00495A35" w:rsidRPr="009A74DB">
        <w:rPr>
          <w:rFonts w:ascii="Arial" w:hAnsi="Arial" w:cs="Arial"/>
          <w:color w:val="000000" w:themeColor="text1"/>
        </w:rPr>
        <w:t>few</w:t>
      </w:r>
      <w:r w:rsidRPr="009A74DB">
        <w:rPr>
          <w:rFonts w:ascii="Arial" w:hAnsi="Arial" w:cs="Arial"/>
          <w:color w:val="000000" w:themeColor="text1"/>
        </w:rPr>
        <w:t>’</w:t>
      </w:r>
      <w:r w:rsidR="00495A35" w:rsidRPr="009A74DB">
        <w:rPr>
          <w:rFonts w:ascii="Arial" w:hAnsi="Arial" w:cs="Arial"/>
          <w:color w:val="000000" w:themeColor="text1"/>
        </w:rPr>
        <w:t xml:space="preserve"> </w:t>
      </w:r>
      <w:proofErr w:type="gramStart"/>
      <w:r w:rsidR="00495A35" w:rsidRPr="009A74DB">
        <w:rPr>
          <w:rFonts w:ascii="Arial" w:hAnsi="Arial" w:cs="Arial"/>
          <w:color w:val="000000" w:themeColor="text1"/>
        </w:rPr>
        <w:t>dot</w:t>
      </w:r>
      <w:proofErr w:type="gramEnd"/>
      <w:r w:rsidR="00495A35" w:rsidRPr="009A74DB">
        <w:rPr>
          <w:rFonts w:ascii="Arial" w:hAnsi="Arial" w:cs="Arial"/>
          <w:color w:val="000000" w:themeColor="text1"/>
        </w:rPr>
        <w:t xml:space="preserve"> opacities</w:t>
      </w:r>
      <w:r w:rsidR="00BF2F61" w:rsidRPr="009A74DB">
        <w:rPr>
          <w:rFonts w:ascii="Arial" w:hAnsi="Arial" w:cs="Arial"/>
          <w:color w:val="000000" w:themeColor="text1"/>
        </w:rPr>
        <w:t>.</w:t>
      </w:r>
    </w:p>
    <w:p w14:paraId="2972E8DE" w14:textId="385C491E" w:rsidR="00222A41" w:rsidRPr="009A74DB" w:rsidRDefault="00222A41" w:rsidP="009C4263">
      <w:pPr>
        <w:spacing w:line="480" w:lineRule="auto"/>
        <w:rPr>
          <w:rFonts w:ascii="Arial" w:hAnsi="Arial" w:cs="Arial"/>
          <w:color w:val="000000" w:themeColor="text1"/>
        </w:rPr>
      </w:pPr>
    </w:p>
    <w:p w14:paraId="476DCDC7" w14:textId="432D218C" w:rsidR="00222A41" w:rsidRPr="009A74DB" w:rsidRDefault="00222A41"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FIGURE </w:t>
      </w:r>
      <w:r w:rsidR="006E0FCD" w:rsidRPr="009A74DB">
        <w:rPr>
          <w:rFonts w:ascii="Arial" w:hAnsi="Arial" w:cs="Arial"/>
          <w:b/>
          <w:bCs/>
          <w:color w:val="000000" w:themeColor="text1"/>
        </w:rPr>
        <w:t>1</w:t>
      </w:r>
      <w:r w:rsidRPr="009A74DB">
        <w:rPr>
          <w:rFonts w:ascii="Arial" w:hAnsi="Arial" w:cs="Arial"/>
          <w:b/>
          <w:bCs/>
          <w:color w:val="000000" w:themeColor="text1"/>
        </w:rPr>
        <w:t xml:space="preserve"> ABOUT HERE</w:t>
      </w:r>
    </w:p>
    <w:p w14:paraId="2FEA2A4F" w14:textId="4565D47E" w:rsidR="000D171B" w:rsidRPr="009A74DB" w:rsidRDefault="000D171B" w:rsidP="009C4263">
      <w:pPr>
        <w:spacing w:line="480" w:lineRule="auto"/>
        <w:rPr>
          <w:rFonts w:ascii="Arial" w:hAnsi="Arial" w:cs="Arial"/>
          <w:color w:val="000000" w:themeColor="text1"/>
        </w:rPr>
      </w:pPr>
    </w:p>
    <w:p w14:paraId="4DC9059E" w14:textId="77777777" w:rsidR="009D6498" w:rsidRPr="009A74DB" w:rsidRDefault="009D6498" w:rsidP="009C4263">
      <w:pPr>
        <w:spacing w:line="480" w:lineRule="auto"/>
        <w:rPr>
          <w:rFonts w:ascii="Arial" w:hAnsi="Arial" w:cs="Arial"/>
          <w:color w:val="000000" w:themeColor="text1"/>
        </w:rPr>
      </w:pPr>
    </w:p>
    <w:p w14:paraId="0AAB2764" w14:textId="120BD617" w:rsidR="00A15B53" w:rsidRPr="009A74DB" w:rsidRDefault="00B52D69" w:rsidP="009C4263">
      <w:pPr>
        <w:spacing w:line="480" w:lineRule="auto"/>
        <w:rPr>
          <w:rFonts w:ascii="Arial" w:hAnsi="Arial" w:cs="Arial"/>
          <w:color w:val="000000" w:themeColor="text1"/>
        </w:rPr>
      </w:pPr>
      <w:r w:rsidRPr="009A74DB">
        <w:rPr>
          <w:rFonts w:ascii="Arial" w:hAnsi="Arial" w:cs="Arial"/>
          <w:color w:val="000000" w:themeColor="text1"/>
        </w:rPr>
        <w:t>T</w:t>
      </w:r>
      <w:r w:rsidR="005F1D44" w:rsidRPr="009A74DB">
        <w:rPr>
          <w:rFonts w:ascii="Arial" w:hAnsi="Arial" w:cs="Arial"/>
          <w:color w:val="000000" w:themeColor="text1"/>
        </w:rPr>
        <w:t xml:space="preserve">here were </w:t>
      </w:r>
      <w:r w:rsidRPr="009A74DB">
        <w:rPr>
          <w:rFonts w:ascii="Arial" w:hAnsi="Arial" w:cs="Arial"/>
          <w:color w:val="000000" w:themeColor="text1"/>
        </w:rPr>
        <w:t>occasions when assessing DS eyes w</w:t>
      </w:r>
      <w:r w:rsidR="005F1D44" w:rsidRPr="009A74DB">
        <w:rPr>
          <w:rFonts w:ascii="Arial" w:hAnsi="Arial" w:cs="Arial"/>
          <w:color w:val="000000" w:themeColor="text1"/>
        </w:rPr>
        <w:t>here dot opacities were</w:t>
      </w:r>
      <w:r w:rsidR="007C7F6C" w:rsidRPr="009A74DB">
        <w:rPr>
          <w:rFonts w:ascii="Arial" w:hAnsi="Arial" w:cs="Arial"/>
          <w:color w:val="000000" w:themeColor="text1"/>
        </w:rPr>
        <w:t xml:space="preserve"> noted</w:t>
      </w:r>
      <w:r w:rsidR="005F1D44" w:rsidRPr="009A74DB">
        <w:rPr>
          <w:rFonts w:ascii="Arial" w:hAnsi="Arial" w:cs="Arial"/>
          <w:color w:val="000000" w:themeColor="text1"/>
        </w:rPr>
        <w:t xml:space="preserve"> on </w:t>
      </w:r>
      <w:r w:rsidRPr="009A74DB">
        <w:rPr>
          <w:rFonts w:ascii="Arial" w:hAnsi="Arial" w:cs="Arial"/>
          <w:color w:val="000000" w:themeColor="text1"/>
        </w:rPr>
        <w:t xml:space="preserve">SL </w:t>
      </w:r>
      <w:r w:rsidR="005F1D44" w:rsidRPr="009A74DB">
        <w:rPr>
          <w:rFonts w:ascii="Arial" w:hAnsi="Arial" w:cs="Arial"/>
          <w:color w:val="000000" w:themeColor="text1"/>
        </w:rPr>
        <w:t xml:space="preserve">examination </w:t>
      </w:r>
      <w:r w:rsidRPr="009A74DB">
        <w:rPr>
          <w:rFonts w:ascii="Arial" w:hAnsi="Arial" w:cs="Arial"/>
          <w:color w:val="000000" w:themeColor="text1"/>
        </w:rPr>
        <w:t>but could not be successfully imaged using either</w:t>
      </w:r>
      <w:r w:rsidR="005F1D44" w:rsidRPr="009A74DB">
        <w:rPr>
          <w:rFonts w:ascii="Arial" w:hAnsi="Arial" w:cs="Arial"/>
          <w:color w:val="000000" w:themeColor="text1"/>
        </w:rPr>
        <w:t xml:space="preserve"> SL or </w:t>
      </w:r>
      <w:r w:rsidRPr="009A74DB">
        <w:rPr>
          <w:rFonts w:ascii="Arial" w:hAnsi="Arial" w:cs="Arial"/>
          <w:color w:val="000000" w:themeColor="text1"/>
        </w:rPr>
        <w:t>AS-</w:t>
      </w:r>
      <w:r w:rsidR="005F1D44" w:rsidRPr="009A74DB">
        <w:rPr>
          <w:rFonts w:ascii="Arial" w:hAnsi="Arial" w:cs="Arial"/>
          <w:color w:val="000000" w:themeColor="text1"/>
        </w:rPr>
        <w:t xml:space="preserve">OCT due to </w:t>
      </w:r>
      <w:r w:rsidRPr="009A74DB">
        <w:rPr>
          <w:rFonts w:ascii="Arial" w:hAnsi="Arial" w:cs="Arial"/>
          <w:color w:val="000000" w:themeColor="text1"/>
        </w:rPr>
        <w:t xml:space="preserve">difficulties with patient </w:t>
      </w:r>
      <w:r w:rsidR="00B63E0B" w:rsidRPr="009A74DB">
        <w:rPr>
          <w:rFonts w:ascii="Arial" w:hAnsi="Arial" w:cs="Arial"/>
          <w:color w:val="000000" w:themeColor="text1"/>
        </w:rPr>
        <w:t>fixation</w:t>
      </w:r>
      <w:r w:rsidR="005F1D44" w:rsidRPr="009A74DB">
        <w:rPr>
          <w:rFonts w:ascii="Arial" w:hAnsi="Arial" w:cs="Arial"/>
          <w:color w:val="000000" w:themeColor="text1"/>
        </w:rPr>
        <w:t xml:space="preserve"> or alignmen</w:t>
      </w:r>
      <w:r w:rsidRPr="009A74DB">
        <w:rPr>
          <w:rFonts w:ascii="Arial" w:hAnsi="Arial" w:cs="Arial"/>
          <w:color w:val="000000" w:themeColor="text1"/>
        </w:rPr>
        <w:t>t</w:t>
      </w:r>
      <w:r w:rsidR="005F1D44" w:rsidRPr="009A74DB">
        <w:rPr>
          <w:rFonts w:ascii="Arial" w:hAnsi="Arial" w:cs="Arial"/>
          <w:color w:val="000000" w:themeColor="text1"/>
        </w:rPr>
        <w:t>.</w:t>
      </w:r>
      <w:r w:rsidR="00B63E0B" w:rsidRPr="009A74DB">
        <w:rPr>
          <w:rFonts w:ascii="Arial" w:hAnsi="Arial" w:cs="Arial"/>
          <w:color w:val="000000" w:themeColor="text1"/>
        </w:rPr>
        <w:t xml:space="preserve"> </w:t>
      </w:r>
      <w:r w:rsidRPr="009A74DB">
        <w:rPr>
          <w:rFonts w:ascii="Arial" w:hAnsi="Arial" w:cs="Arial"/>
          <w:color w:val="000000" w:themeColor="text1"/>
        </w:rPr>
        <w:t>Twenty-two</w:t>
      </w:r>
      <w:r w:rsidR="005F1D44" w:rsidRPr="009A74DB">
        <w:rPr>
          <w:rFonts w:ascii="Arial" w:hAnsi="Arial" w:cs="Arial"/>
          <w:color w:val="000000" w:themeColor="text1"/>
        </w:rPr>
        <w:t xml:space="preserve"> lenses </w:t>
      </w:r>
      <w:r w:rsidRPr="009A74DB">
        <w:rPr>
          <w:rFonts w:ascii="Arial" w:hAnsi="Arial" w:cs="Arial"/>
          <w:color w:val="000000" w:themeColor="text1"/>
        </w:rPr>
        <w:t xml:space="preserve">had visible </w:t>
      </w:r>
      <w:r w:rsidR="007C7F6C" w:rsidRPr="009A74DB">
        <w:rPr>
          <w:rFonts w:ascii="Arial" w:hAnsi="Arial" w:cs="Arial"/>
          <w:color w:val="000000" w:themeColor="text1"/>
        </w:rPr>
        <w:t xml:space="preserve">dot opacities </w:t>
      </w:r>
      <w:r w:rsidRPr="009A74DB">
        <w:rPr>
          <w:rFonts w:ascii="Arial" w:hAnsi="Arial" w:cs="Arial"/>
          <w:color w:val="000000" w:themeColor="text1"/>
        </w:rPr>
        <w:t xml:space="preserve">on </w:t>
      </w:r>
      <w:r w:rsidR="007C7F6C" w:rsidRPr="009A74DB">
        <w:rPr>
          <w:rFonts w:ascii="Arial" w:hAnsi="Arial" w:cs="Arial"/>
          <w:color w:val="000000" w:themeColor="text1"/>
        </w:rPr>
        <w:t>either LOCS III or OCT</w:t>
      </w:r>
      <w:r w:rsidR="005F1D44" w:rsidRPr="009A74DB">
        <w:rPr>
          <w:rFonts w:ascii="Arial" w:hAnsi="Arial" w:cs="Arial"/>
          <w:color w:val="000000" w:themeColor="text1"/>
        </w:rPr>
        <w:t xml:space="preserve"> images</w:t>
      </w:r>
      <w:r w:rsidR="00AA1304" w:rsidRPr="009A74DB">
        <w:rPr>
          <w:rFonts w:ascii="Arial" w:hAnsi="Arial" w:cs="Arial"/>
          <w:color w:val="000000" w:themeColor="text1"/>
        </w:rPr>
        <w:t>,</w:t>
      </w:r>
      <w:r w:rsidR="00BA4905" w:rsidRPr="009A74DB">
        <w:rPr>
          <w:rFonts w:ascii="Arial" w:hAnsi="Arial" w:cs="Arial"/>
          <w:color w:val="000000" w:themeColor="text1"/>
        </w:rPr>
        <w:t xml:space="preserve"> with</w:t>
      </w:r>
      <w:r w:rsidR="00AA1304" w:rsidRPr="009A74DB">
        <w:rPr>
          <w:rFonts w:ascii="Arial" w:hAnsi="Arial" w:cs="Arial"/>
          <w:color w:val="000000" w:themeColor="text1"/>
        </w:rPr>
        <w:t xml:space="preserve"> a further </w:t>
      </w:r>
      <w:r w:rsidR="00BA4905" w:rsidRPr="009A74DB">
        <w:rPr>
          <w:rFonts w:ascii="Arial" w:hAnsi="Arial" w:cs="Arial"/>
          <w:color w:val="000000" w:themeColor="text1"/>
        </w:rPr>
        <w:t>five</w:t>
      </w:r>
      <w:r w:rsidRPr="009A74DB">
        <w:rPr>
          <w:rFonts w:ascii="Arial" w:hAnsi="Arial" w:cs="Arial"/>
          <w:color w:val="000000" w:themeColor="text1"/>
        </w:rPr>
        <w:t xml:space="preserve"> in which </w:t>
      </w:r>
      <w:r w:rsidR="005F1D44" w:rsidRPr="009A74DB">
        <w:rPr>
          <w:rFonts w:ascii="Arial" w:hAnsi="Arial" w:cs="Arial"/>
          <w:color w:val="000000" w:themeColor="text1"/>
        </w:rPr>
        <w:t xml:space="preserve">the </w:t>
      </w:r>
      <w:r w:rsidR="007C7F6C" w:rsidRPr="009A74DB">
        <w:rPr>
          <w:rFonts w:ascii="Arial" w:hAnsi="Arial" w:cs="Arial"/>
          <w:color w:val="000000" w:themeColor="text1"/>
        </w:rPr>
        <w:t>researcher noted the presenc</w:t>
      </w:r>
      <w:r w:rsidR="005F1D44" w:rsidRPr="009A74DB">
        <w:rPr>
          <w:rFonts w:ascii="Arial" w:hAnsi="Arial" w:cs="Arial"/>
          <w:color w:val="000000" w:themeColor="text1"/>
        </w:rPr>
        <w:t xml:space="preserve">e of at least one dot opacity on SL examination.  Thus, </w:t>
      </w:r>
      <w:r w:rsidR="00AA1304" w:rsidRPr="009A74DB">
        <w:rPr>
          <w:rFonts w:ascii="Arial" w:hAnsi="Arial" w:cs="Arial"/>
          <w:color w:val="000000" w:themeColor="text1"/>
        </w:rPr>
        <w:t>i</w:t>
      </w:r>
      <w:r w:rsidR="002C0BC0" w:rsidRPr="009A74DB">
        <w:rPr>
          <w:rFonts w:ascii="Arial" w:hAnsi="Arial" w:cs="Arial"/>
          <w:color w:val="000000" w:themeColor="text1"/>
        </w:rPr>
        <w:t>n total, 27 eyes of 54</w:t>
      </w:r>
      <w:r w:rsidR="00A15B53" w:rsidRPr="009A74DB">
        <w:rPr>
          <w:rFonts w:ascii="Arial" w:hAnsi="Arial" w:cs="Arial"/>
          <w:color w:val="000000" w:themeColor="text1"/>
        </w:rPr>
        <w:t xml:space="preserve"> </w:t>
      </w:r>
      <w:r w:rsidR="007E388B" w:rsidRPr="009A74DB">
        <w:rPr>
          <w:rFonts w:ascii="Arial" w:hAnsi="Arial" w:cs="Arial"/>
          <w:color w:val="000000" w:themeColor="text1"/>
        </w:rPr>
        <w:t xml:space="preserve">examined </w:t>
      </w:r>
      <w:r w:rsidR="00BA4905" w:rsidRPr="009A74DB">
        <w:rPr>
          <w:rFonts w:ascii="Arial" w:hAnsi="Arial" w:cs="Arial"/>
          <w:color w:val="000000" w:themeColor="text1"/>
        </w:rPr>
        <w:t xml:space="preserve">eyes </w:t>
      </w:r>
      <w:r w:rsidR="007E388B" w:rsidRPr="009A74DB">
        <w:rPr>
          <w:rFonts w:ascii="Arial" w:hAnsi="Arial" w:cs="Arial"/>
          <w:color w:val="000000" w:themeColor="text1"/>
        </w:rPr>
        <w:t>presented with</w:t>
      </w:r>
      <w:r w:rsidR="002C0BC0" w:rsidRPr="009A74DB">
        <w:rPr>
          <w:rFonts w:ascii="Arial" w:hAnsi="Arial" w:cs="Arial"/>
          <w:color w:val="000000" w:themeColor="text1"/>
        </w:rPr>
        <w:t xml:space="preserve"> cortical dot opacities (50</w:t>
      </w:r>
      <w:r w:rsidR="00A15B53" w:rsidRPr="009A74DB">
        <w:rPr>
          <w:rFonts w:ascii="Arial" w:hAnsi="Arial" w:cs="Arial"/>
          <w:color w:val="000000" w:themeColor="text1"/>
        </w:rPr>
        <w:t>%)</w:t>
      </w:r>
      <w:r w:rsidR="00BA4905" w:rsidRPr="009A74DB">
        <w:rPr>
          <w:rFonts w:ascii="Arial" w:hAnsi="Arial" w:cs="Arial"/>
          <w:color w:val="000000" w:themeColor="text1"/>
        </w:rPr>
        <w:t xml:space="preserve"> in those with DS</w:t>
      </w:r>
      <w:r w:rsidR="00A15B53" w:rsidRPr="009A74DB">
        <w:rPr>
          <w:rFonts w:ascii="Arial" w:hAnsi="Arial" w:cs="Arial"/>
          <w:color w:val="000000" w:themeColor="text1"/>
        </w:rPr>
        <w:t xml:space="preserve">.  </w:t>
      </w:r>
      <w:r w:rsidR="007E388B" w:rsidRPr="009A74DB">
        <w:rPr>
          <w:rFonts w:ascii="Arial" w:hAnsi="Arial" w:cs="Arial"/>
          <w:color w:val="000000" w:themeColor="text1"/>
        </w:rPr>
        <w:t xml:space="preserve">The intensity of </w:t>
      </w:r>
      <w:r w:rsidR="00BA4905" w:rsidRPr="009A74DB">
        <w:rPr>
          <w:rFonts w:ascii="Arial" w:hAnsi="Arial" w:cs="Arial"/>
          <w:color w:val="000000" w:themeColor="text1"/>
        </w:rPr>
        <w:t xml:space="preserve">these </w:t>
      </w:r>
      <w:r w:rsidR="007E388B" w:rsidRPr="009A74DB">
        <w:rPr>
          <w:rFonts w:ascii="Arial" w:hAnsi="Arial" w:cs="Arial"/>
          <w:color w:val="000000" w:themeColor="text1"/>
        </w:rPr>
        <w:t>d</w:t>
      </w:r>
      <w:r w:rsidR="00515149" w:rsidRPr="009A74DB">
        <w:rPr>
          <w:rFonts w:ascii="Arial" w:hAnsi="Arial" w:cs="Arial"/>
          <w:color w:val="000000" w:themeColor="text1"/>
        </w:rPr>
        <w:t xml:space="preserve">ot opacities </w:t>
      </w:r>
      <w:r w:rsidR="007E388B" w:rsidRPr="009A74DB">
        <w:rPr>
          <w:rFonts w:ascii="Arial" w:hAnsi="Arial" w:cs="Arial"/>
          <w:color w:val="000000" w:themeColor="text1"/>
        </w:rPr>
        <w:t>was</w:t>
      </w:r>
      <w:r w:rsidR="00515149" w:rsidRPr="009A74DB">
        <w:rPr>
          <w:rFonts w:ascii="Arial" w:hAnsi="Arial" w:cs="Arial"/>
          <w:color w:val="000000" w:themeColor="text1"/>
        </w:rPr>
        <w:t xml:space="preserve"> significantly brighter than </w:t>
      </w:r>
      <w:r w:rsidR="007E388B" w:rsidRPr="009A74DB">
        <w:rPr>
          <w:rFonts w:ascii="Arial" w:hAnsi="Arial" w:cs="Arial"/>
          <w:color w:val="000000" w:themeColor="text1"/>
        </w:rPr>
        <w:t xml:space="preserve">the </w:t>
      </w:r>
      <w:r w:rsidR="007E388B" w:rsidRPr="009A74DB">
        <w:rPr>
          <w:rFonts w:ascii="Arial" w:hAnsi="Arial" w:cs="Arial"/>
          <w:color w:val="000000" w:themeColor="text1"/>
        </w:rPr>
        <w:lastRenderedPageBreak/>
        <w:t xml:space="preserve">intensity of </w:t>
      </w:r>
      <w:r w:rsidR="00515149" w:rsidRPr="009A74DB">
        <w:rPr>
          <w:rFonts w:ascii="Arial" w:hAnsi="Arial" w:cs="Arial"/>
          <w:color w:val="000000" w:themeColor="text1"/>
        </w:rPr>
        <w:t xml:space="preserve">nuclear PIR (p&lt;0.001), and </w:t>
      </w:r>
      <w:r w:rsidR="00045402" w:rsidRPr="009A74DB">
        <w:rPr>
          <w:rFonts w:ascii="Arial" w:hAnsi="Arial" w:cs="Arial"/>
          <w:color w:val="000000" w:themeColor="text1"/>
        </w:rPr>
        <w:t xml:space="preserve">dot opacities </w:t>
      </w:r>
      <w:r w:rsidR="00515149" w:rsidRPr="009A74DB">
        <w:rPr>
          <w:rFonts w:ascii="Arial" w:hAnsi="Arial" w:cs="Arial"/>
          <w:color w:val="000000" w:themeColor="text1"/>
        </w:rPr>
        <w:t xml:space="preserve">covered an area ranging from 0.2-14% of the cortex (Table </w:t>
      </w:r>
      <w:r w:rsidR="004F53CD" w:rsidRPr="009A74DB">
        <w:rPr>
          <w:rFonts w:ascii="Arial" w:hAnsi="Arial" w:cs="Arial"/>
          <w:color w:val="000000" w:themeColor="text1"/>
        </w:rPr>
        <w:t>2</w:t>
      </w:r>
      <w:r w:rsidR="005F1D44" w:rsidRPr="009A74DB">
        <w:rPr>
          <w:rFonts w:ascii="Arial" w:hAnsi="Arial" w:cs="Arial"/>
          <w:color w:val="000000" w:themeColor="text1"/>
        </w:rPr>
        <w:t>, OCT image analysis</w:t>
      </w:r>
      <w:r w:rsidR="00515149" w:rsidRPr="009A74DB">
        <w:rPr>
          <w:rFonts w:ascii="Arial" w:hAnsi="Arial" w:cs="Arial"/>
          <w:color w:val="000000" w:themeColor="text1"/>
        </w:rPr>
        <w:t xml:space="preserve">). </w:t>
      </w:r>
      <w:r w:rsidR="00115BD5" w:rsidRPr="009A74DB">
        <w:rPr>
          <w:rFonts w:ascii="Arial" w:hAnsi="Arial" w:cs="Arial"/>
          <w:color w:val="000000" w:themeColor="text1"/>
        </w:rPr>
        <w:t xml:space="preserve">With regard to location, there was a diffuse spread of dot opacities throughout the cortex, with 53.2% of dots located beyond the central 4mm of the lens.  </w:t>
      </w:r>
    </w:p>
    <w:p w14:paraId="6312EB49" w14:textId="499E6EEE" w:rsidR="00A15B53" w:rsidRPr="009A74DB" w:rsidRDefault="00A15B53" w:rsidP="009C4263">
      <w:pPr>
        <w:spacing w:line="480" w:lineRule="auto"/>
        <w:rPr>
          <w:rFonts w:ascii="Arial" w:hAnsi="Arial" w:cs="Arial"/>
          <w:color w:val="000000" w:themeColor="text1"/>
        </w:rPr>
      </w:pPr>
    </w:p>
    <w:p w14:paraId="5E1288AF" w14:textId="1674FC3D" w:rsidR="00624E18" w:rsidRPr="009A74DB" w:rsidRDefault="00624E18" w:rsidP="009C4263">
      <w:pPr>
        <w:spacing w:line="480" w:lineRule="auto"/>
        <w:rPr>
          <w:rFonts w:ascii="Arial" w:hAnsi="Arial" w:cs="Arial"/>
          <w:b/>
          <w:bCs/>
          <w:color w:val="000000" w:themeColor="text1"/>
        </w:rPr>
      </w:pPr>
      <w:r w:rsidRPr="009A74DB">
        <w:rPr>
          <w:rFonts w:ascii="Arial" w:hAnsi="Arial" w:cs="Arial"/>
          <w:b/>
          <w:bCs/>
          <w:color w:val="000000" w:themeColor="text1"/>
        </w:rPr>
        <w:t>TABLE 2 ABOUT HERE</w:t>
      </w:r>
    </w:p>
    <w:p w14:paraId="20FD6284" w14:textId="39F3CF53" w:rsidR="00624E18" w:rsidRPr="009A74DB" w:rsidRDefault="00624E18" w:rsidP="009C4263">
      <w:pPr>
        <w:spacing w:line="480" w:lineRule="auto"/>
        <w:rPr>
          <w:rFonts w:ascii="Arial" w:hAnsi="Arial" w:cs="Arial"/>
          <w:b/>
          <w:bCs/>
          <w:color w:val="000000" w:themeColor="text1"/>
        </w:rPr>
      </w:pPr>
    </w:p>
    <w:p w14:paraId="59657E44" w14:textId="4DA8F491" w:rsidR="00624E18" w:rsidRPr="009A74DB" w:rsidRDefault="00624E18" w:rsidP="009C4263">
      <w:pPr>
        <w:spacing w:line="480" w:lineRule="auto"/>
        <w:rPr>
          <w:rFonts w:ascii="Arial" w:hAnsi="Arial" w:cs="Arial"/>
          <w:b/>
          <w:bCs/>
          <w:color w:val="000000" w:themeColor="text1"/>
        </w:rPr>
      </w:pPr>
    </w:p>
    <w:p w14:paraId="42DCBA40" w14:textId="75F7A6A5" w:rsidR="00481AF2" w:rsidRPr="009A74DB" w:rsidRDefault="007344BA" w:rsidP="009C4263">
      <w:pPr>
        <w:spacing w:line="480" w:lineRule="auto"/>
        <w:rPr>
          <w:rFonts w:ascii="Arial" w:hAnsi="Arial" w:cs="Arial"/>
          <w:color w:val="000000" w:themeColor="text1"/>
        </w:rPr>
      </w:pPr>
      <w:r w:rsidRPr="009A74DB">
        <w:rPr>
          <w:rFonts w:ascii="Arial" w:hAnsi="Arial" w:cs="Arial"/>
          <w:color w:val="000000" w:themeColor="text1"/>
        </w:rPr>
        <w:t>Monocular visual acuity measures</w:t>
      </w:r>
      <w:r w:rsidR="005764D2" w:rsidRPr="009A74DB">
        <w:rPr>
          <w:rFonts w:ascii="Arial" w:hAnsi="Arial" w:cs="Arial"/>
          <w:color w:val="000000" w:themeColor="text1"/>
        </w:rPr>
        <w:t xml:space="preserve"> </w:t>
      </w:r>
      <w:r w:rsidR="00045402" w:rsidRPr="009A74DB">
        <w:rPr>
          <w:rFonts w:ascii="Arial" w:hAnsi="Arial" w:cs="Arial"/>
          <w:color w:val="000000" w:themeColor="text1"/>
        </w:rPr>
        <w:t xml:space="preserve">with </w:t>
      </w:r>
      <w:r w:rsidR="005764D2" w:rsidRPr="009A74DB">
        <w:rPr>
          <w:rFonts w:ascii="Arial" w:hAnsi="Arial" w:cs="Arial"/>
          <w:color w:val="000000" w:themeColor="text1"/>
        </w:rPr>
        <w:t>habitual refractive correction</w:t>
      </w:r>
      <w:r w:rsidRPr="009A74DB">
        <w:rPr>
          <w:rFonts w:ascii="Arial" w:hAnsi="Arial" w:cs="Arial"/>
          <w:color w:val="000000" w:themeColor="text1"/>
        </w:rPr>
        <w:t xml:space="preserve"> were successful</w:t>
      </w:r>
      <w:r w:rsidR="00045402" w:rsidRPr="009A74DB">
        <w:rPr>
          <w:rFonts w:ascii="Arial" w:hAnsi="Arial" w:cs="Arial"/>
          <w:color w:val="000000" w:themeColor="text1"/>
        </w:rPr>
        <w:t>ly achieved from</w:t>
      </w:r>
      <w:r w:rsidRPr="009A74DB">
        <w:rPr>
          <w:rFonts w:ascii="Arial" w:hAnsi="Arial" w:cs="Arial"/>
          <w:color w:val="000000" w:themeColor="text1"/>
        </w:rPr>
        <w:t xml:space="preserve"> </w:t>
      </w:r>
      <w:r w:rsidR="00121100" w:rsidRPr="009A74DB">
        <w:rPr>
          <w:rFonts w:ascii="Arial" w:hAnsi="Arial" w:cs="Arial"/>
          <w:color w:val="000000" w:themeColor="text1"/>
        </w:rPr>
        <w:t xml:space="preserve">94% of the DS group and 100% </w:t>
      </w:r>
      <w:r w:rsidR="00045402" w:rsidRPr="009A74DB">
        <w:rPr>
          <w:rFonts w:ascii="Arial" w:hAnsi="Arial" w:cs="Arial"/>
          <w:color w:val="000000" w:themeColor="text1"/>
        </w:rPr>
        <w:t xml:space="preserve">of </w:t>
      </w:r>
      <w:r w:rsidR="00121100" w:rsidRPr="009A74DB">
        <w:rPr>
          <w:rFonts w:ascii="Arial" w:hAnsi="Arial" w:cs="Arial"/>
          <w:color w:val="000000" w:themeColor="text1"/>
        </w:rPr>
        <w:t>control</w:t>
      </w:r>
      <w:r w:rsidR="00045402" w:rsidRPr="009A74DB">
        <w:rPr>
          <w:rFonts w:ascii="Arial" w:hAnsi="Arial" w:cs="Arial"/>
          <w:color w:val="000000" w:themeColor="text1"/>
        </w:rPr>
        <w:t xml:space="preserve"> participants</w:t>
      </w:r>
      <w:r w:rsidR="00121100" w:rsidRPr="009A74DB">
        <w:rPr>
          <w:rFonts w:ascii="Arial" w:hAnsi="Arial" w:cs="Arial"/>
          <w:color w:val="000000" w:themeColor="text1"/>
        </w:rPr>
        <w:t xml:space="preserve"> (Table </w:t>
      </w:r>
      <w:r w:rsidR="00201315" w:rsidRPr="009A74DB">
        <w:rPr>
          <w:rFonts w:ascii="Arial" w:hAnsi="Arial" w:cs="Arial"/>
          <w:color w:val="000000" w:themeColor="text1"/>
        </w:rPr>
        <w:t>1</w:t>
      </w:r>
      <w:r w:rsidR="00121100" w:rsidRPr="009A74DB">
        <w:rPr>
          <w:rFonts w:ascii="Arial" w:hAnsi="Arial" w:cs="Arial"/>
          <w:color w:val="000000" w:themeColor="text1"/>
        </w:rPr>
        <w:t>)</w:t>
      </w:r>
      <w:r w:rsidR="0004435A" w:rsidRPr="009A74DB">
        <w:rPr>
          <w:rFonts w:ascii="Arial" w:hAnsi="Arial" w:cs="Arial"/>
          <w:color w:val="000000" w:themeColor="text1"/>
        </w:rPr>
        <w:t>.</w:t>
      </w:r>
      <w:r w:rsidR="00201315" w:rsidRPr="009A74DB">
        <w:rPr>
          <w:rFonts w:ascii="Arial" w:hAnsi="Arial" w:cs="Arial"/>
          <w:color w:val="000000" w:themeColor="text1"/>
        </w:rPr>
        <w:t xml:space="preserve">  </w:t>
      </w:r>
      <w:r w:rsidR="00481AF2" w:rsidRPr="009A74DB">
        <w:rPr>
          <w:rFonts w:ascii="Arial" w:hAnsi="Arial" w:cs="Arial"/>
          <w:color w:val="000000" w:themeColor="text1"/>
        </w:rPr>
        <w:t>N</w:t>
      </w:r>
      <w:r w:rsidR="00515149" w:rsidRPr="009A74DB">
        <w:rPr>
          <w:rFonts w:ascii="Arial" w:hAnsi="Arial" w:cs="Arial"/>
          <w:color w:val="000000" w:themeColor="text1"/>
        </w:rPr>
        <w:t xml:space="preserve">either Dot PIR nor Dot PAR </w:t>
      </w:r>
      <w:r w:rsidR="00045402" w:rsidRPr="009A74DB">
        <w:rPr>
          <w:rFonts w:ascii="Arial" w:hAnsi="Arial" w:cs="Arial"/>
          <w:color w:val="000000" w:themeColor="text1"/>
        </w:rPr>
        <w:t xml:space="preserve">values </w:t>
      </w:r>
      <w:r w:rsidR="00515149" w:rsidRPr="009A74DB">
        <w:rPr>
          <w:rFonts w:ascii="Arial" w:hAnsi="Arial" w:cs="Arial"/>
          <w:color w:val="000000" w:themeColor="text1"/>
        </w:rPr>
        <w:t xml:space="preserve">were significantly related to </w:t>
      </w:r>
      <w:r w:rsidR="00045402" w:rsidRPr="009A74DB">
        <w:rPr>
          <w:rFonts w:ascii="Arial" w:hAnsi="Arial" w:cs="Arial"/>
          <w:color w:val="000000" w:themeColor="text1"/>
        </w:rPr>
        <w:t xml:space="preserve">DS participant’s </w:t>
      </w:r>
      <w:r w:rsidR="001B4EA1" w:rsidRPr="009A74DB">
        <w:rPr>
          <w:rFonts w:ascii="Arial" w:hAnsi="Arial" w:cs="Arial"/>
          <w:color w:val="000000" w:themeColor="text1"/>
        </w:rPr>
        <w:t>visual acuity</w:t>
      </w:r>
      <w:r w:rsidR="00515149" w:rsidRPr="009A74DB">
        <w:rPr>
          <w:rFonts w:ascii="Arial" w:hAnsi="Arial" w:cs="Arial"/>
          <w:color w:val="000000" w:themeColor="text1"/>
        </w:rPr>
        <w:t xml:space="preserve"> or age (</w:t>
      </w:r>
      <w:r w:rsidR="00DE5D0C" w:rsidRPr="009A74DB">
        <w:rPr>
          <w:rFonts w:ascii="Arial" w:hAnsi="Arial" w:cs="Arial"/>
          <w:color w:val="000000" w:themeColor="text1"/>
        </w:rPr>
        <w:t xml:space="preserve">Mann Whitney, </w:t>
      </w:r>
      <w:r w:rsidR="00515149" w:rsidRPr="009A74DB">
        <w:rPr>
          <w:rFonts w:ascii="Arial" w:hAnsi="Arial" w:cs="Arial"/>
          <w:color w:val="000000" w:themeColor="text1"/>
        </w:rPr>
        <w:t xml:space="preserve">p&gt;0.5). </w:t>
      </w:r>
      <w:r w:rsidR="00481AF2" w:rsidRPr="009A74DB">
        <w:rPr>
          <w:rFonts w:ascii="Arial" w:hAnsi="Arial" w:cs="Arial"/>
          <w:color w:val="000000" w:themeColor="text1"/>
        </w:rPr>
        <w:t xml:space="preserve"> Figure </w:t>
      </w:r>
      <w:r w:rsidR="000A249C" w:rsidRPr="009A74DB">
        <w:rPr>
          <w:rFonts w:ascii="Arial" w:hAnsi="Arial" w:cs="Arial"/>
          <w:color w:val="000000" w:themeColor="text1"/>
        </w:rPr>
        <w:t>2</w:t>
      </w:r>
      <w:r w:rsidR="00481AF2" w:rsidRPr="009A74DB">
        <w:rPr>
          <w:rFonts w:ascii="Arial" w:hAnsi="Arial" w:cs="Arial"/>
          <w:color w:val="000000" w:themeColor="text1"/>
        </w:rPr>
        <w:t xml:space="preserve"> is a scatterplot of number of dot opacities </w:t>
      </w:r>
      <w:r w:rsidR="00477C68" w:rsidRPr="009A74DB">
        <w:rPr>
          <w:rFonts w:ascii="Arial" w:hAnsi="Arial" w:cs="Arial"/>
          <w:color w:val="000000" w:themeColor="text1"/>
        </w:rPr>
        <w:t xml:space="preserve">(from OCT imaging) </w:t>
      </w:r>
      <w:r w:rsidR="00481AF2" w:rsidRPr="009A74DB">
        <w:rPr>
          <w:rFonts w:ascii="Arial" w:hAnsi="Arial" w:cs="Arial"/>
          <w:color w:val="000000" w:themeColor="text1"/>
        </w:rPr>
        <w:t xml:space="preserve">compared with age of participants with DS. </w:t>
      </w:r>
    </w:p>
    <w:p w14:paraId="092B85FD" w14:textId="77777777" w:rsidR="00481AF2" w:rsidRPr="009A74DB" w:rsidRDefault="00481AF2" w:rsidP="009C4263">
      <w:pPr>
        <w:spacing w:line="480" w:lineRule="auto"/>
        <w:rPr>
          <w:rFonts w:ascii="Arial" w:hAnsi="Arial" w:cs="Arial"/>
          <w:color w:val="000000" w:themeColor="text1"/>
        </w:rPr>
      </w:pPr>
    </w:p>
    <w:p w14:paraId="1F3DC926" w14:textId="2CD77A99" w:rsidR="00A15B53" w:rsidRPr="009A74DB" w:rsidRDefault="00222A41"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FIGURE </w:t>
      </w:r>
      <w:r w:rsidR="000A249C" w:rsidRPr="009A74DB">
        <w:rPr>
          <w:rFonts w:ascii="Arial" w:hAnsi="Arial" w:cs="Arial"/>
          <w:b/>
          <w:bCs/>
          <w:color w:val="000000" w:themeColor="text1"/>
        </w:rPr>
        <w:t>2</w:t>
      </w:r>
      <w:r w:rsidRPr="009A74DB">
        <w:rPr>
          <w:rFonts w:ascii="Arial" w:hAnsi="Arial" w:cs="Arial"/>
          <w:b/>
          <w:bCs/>
          <w:color w:val="000000" w:themeColor="text1"/>
        </w:rPr>
        <w:t xml:space="preserve"> ABOUT HERE</w:t>
      </w:r>
    </w:p>
    <w:p w14:paraId="04325C7F" w14:textId="77777777" w:rsidR="0091256A" w:rsidRPr="009A74DB" w:rsidRDefault="0091256A" w:rsidP="009C4263">
      <w:pPr>
        <w:spacing w:line="480" w:lineRule="auto"/>
        <w:rPr>
          <w:rFonts w:ascii="Arial" w:hAnsi="Arial" w:cs="Arial"/>
          <w:i/>
          <w:color w:val="000000" w:themeColor="text1"/>
        </w:rPr>
      </w:pPr>
    </w:p>
    <w:p w14:paraId="70599651" w14:textId="44943665" w:rsidR="002E66FE" w:rsidRPr="009A74DB" w:rsidRDefault="002E66FE" w:rsidP="009C4263">
      <w:pPr>
        <w:spacing w:line="480" w:lineRule="auto"/>
        <w:rPr>
          <w:rFonts w:ascii="Arial" w:hAnsi="Arial" w:cs="Arial"/>
          <w:i/>
          <w:color w:val="000000" w:themeColor="text1"/>
        </w:rPr>
      </w:pPr>
    </w:p>
    <w:p w14:paraId="04F792D1" w14:textId="77777777" w:rsidR="00C4015C" w:rsidRPr="009A74DB" w:rsidRDefault="00C4015C" w:rsidP="009C4263">
      <w:pPr>
        <w:spacing w:line="480" w:lineRule="auto"/>
        <w:rPr>
          <w:rFonts w:ascii="Arial" w:hAnsi="Arial" w:cs="Arial"/>
          <w:i/>
          <w:color w:val="000000" w:themeColor="text1"/>
        </w:rPr>
      </w:pPr>
    </w:p>
    <w:p w14:paraId="58CB8F98" w14:textId="7DA86323" w:rsidR="002E66FE" w:rsidRPr="009A74DB" w:rsidRDefault="002E66FE" w:rsidP="009C4263">
      <w:pPr>
        <w:spacing w:line="480" w:lineRule="auto"/>
        <w:rPr>
          <w:rFonts w:ascii="Arial" w:hAnsi="Arial" w:cs="Arial"/>
          <w:b/>
          <w:color w:val="000000" w:themeColor="text1"/>
        </w:rPr>
      </w:pPr>
      <w:r w:rsidRPr="009A74DB">
        <w:rPr>
          <w:rFonts w:ascii="Arial" w:hAnsi="Arial" w:cs="Arial"/>
          <w:b/>
          <w:color w:val="000000" w:themeColor="text1"/>
        </w:rPr>
        <w:t>D</w:t>
      </w:r>
      <w:r w:rsidR="00F50C19" w:rsidRPr="009A74DB">
        <w:rPr>
          <w:rFonts w:ascii="Arial" w:hAnsi="Arial" w:cs="Arial"/>
          <w:b/>
          <w:color w:val="000000" w:themeColor="text1"/>
        </w:rPr>
        <w:t>ISCUSSION</w:t>
      </w:r>
      <w:r w:rsidRPr="009A74DB">
        <w:rPr>
          <w:rFonts w:ascii="Arial" w:hAnsi="Arial" w:cs="Arial"/>
          <w:b/>
          <w:color w:val="000000" w:themeColor="text1"/>
        </w:rPr>
        <w:t xml:space="preserve"> </w:t>
      </w:r>
    </w:p>
    <w:p w14:paraId="1450AC0A" w14:textId="6E59BBCE" w:rsidR="002E66FE" w:rsidRPr="009A74DB" w:rsidRDefault="002E66FE" w:rsidP="009C4263">
      <w:pPr>
        <w:spacing w:line="480" w:lineRule="auto"/>
        <w:rPr>
          <w:rFonts w:ascii="Arial" w:hAnsi="Arial" w:cs="Arial"/>
          <w:color w:val="000000" w:themeColor="text1"/>
        </w:rPr>
      </w:pPr>
    </w:p>
    <w:p w14:paraId="744F97A4" w14:textId="03036C9B" w:rsidR="00B77F3E" w:rsidRPr="009A74DB" w:rsidRDefault="00045402" w:rsidP="009C4263">
      <w:pPr>
        <w:spacing w:line="480" w:lineRule="auto"/>
        <w:rPr>
          <w:rFonts w:ascii="Arial" w:hAnsi="Arial" w:cs="Arial"/>
          <w:color w:val="000000" w:themeColor="text1"/>
        </w:rPr>
      </w:pPr>
      <w:r w:rsidRPr="009A74DB">
        <w:rPr>
          <w:rFonts w:ascii="Arial" w:hAnsi="Arial" w:cs="Arial"/>
          <w:color w:val="000000" w:themeColor="text1"/>
        </w:rPr>
        <w:t>The current study</w:t>
      </w:r>
      <w:r w:rsidR="000B4EB0" w:rsidRPr="009A74DB">
        <w:rPr>
          <w:rFonts w:ascii="Arial" w:hAnsi="Arial" w:cs="Arial"/>
          <w:color w:val="000000" w:themeColor="text1"/>
        </w:rPr>
        <w:t xml:space="preserve"> </w:t>
      </w:r>
      <w:r w:rsidR="00B77F3E" w:rsidRPr="009A74DB">
        <w:rPr>
          <w:rFonts w:ascii="Arial" w:hAnsi="Arial" w:cs="Arial"/>
          <w:color w:val="000000" w:themeColor="text1"/>
        </w:rPr>
        <w:t>provides the most detailed evaluation of cataract in Down syndrome to date.</w:t>
      </w:r>
      <w:r w:rsidR="008F6481" w:rsidRPr="009A74DB">
        <w:rPr>
          <w:rFonts w:ascii="Arial" w:hAnsi="Arial" w:cs="Arial"/>
          <w:color w:val="000000" w:themeColor="text1"/>
        </w:rPr>
        <w:t xml:space="preserve"> </w:t>
      </w:r>
      <w:r w:rsidR="00B77F3E" w:rsidRPr="009A74DB">
        <w:rPr>
          <w:rFonts w:ascii="Arial" w:hAnsi="Arial" w:cs="Arial"/>
          <w:color w:val="000000" w:themeColor="text1"/>
        </w:rPr>
        <w:t>Some degree of l</w:t>
      </w:r>
      <w:r w:rsidR="00301C09" w:rsidRPr="009A74DB">
        <w:rPr>
          <w:rFonts w:ascii="Arial" w:hAnsi="Arial" w:cs="Arial"/>
          <w:color w:val="000000" w:themeColor="text1"/>
        </w:rPr>
        <w:t>ens opacit</w:t>
      </w:r>
      <w:r w:rsidR="00B77F3E" w:rsidRPr="009A74DB">
        <w:rPr>
          <w:rFonts w:ascii="Arial" w:hAnsi="Arial" w:cs="Arial"/>
          <w:color w:val="000000" w:themeColor="text1"/>
        </w:rPr>
        <w:t>y</w:t>
      </w:r>
      <w:r w:rsidR="00301C09" w:rsidRPr="009A74DB">
        <w:rPr>
          <w:rFonts w:ascii="Arial" w:hAnsi="Arial" w:cs="Arial"/>
          <w:color w:val="000000" w:themeColor="text1"/>
        </w:rPr>
        <w:t xml:space="preserve"> w</w:t>
      </w:r>
      <w:r w:rsidR="00B77F3E" w:rsidRPr="009A74DB">
        <w:rPr>
          <w:rFonts w:ascii="Arial" w:hAnsi="Arial" w:cs="Arial"/>
          <w:color w:val="000000" w:themeColor="text1"/>
        </w:rPr>
        <w:t>as</w:t>
      </w:r>
      <w:r w:rsidR="00301C09" w:rsidRPr="009A74DB">
        <w:rPr>
          <w:rFonts w:ascii="Arial" w:hAnsi="Arial" w:cs="Arial"/>
          <w:color w:val="000000" w:themeColor="text1"/>
        </w:rPr>
        <w:t xml:space="preserve"> see</w:t>
      </w:r>
      <w:r w:rsidR="002C0BC0" w:rsidRPr="009A74DB">
        <w:rPr>
          <w:rFonts w:ascii="Arial" w:hAnsi="Arial" w:cs="Arial"/>
          <w:color w:val="000000" w:themeColor="text1"/>
        </w:rPr>
        <w:t>n in</w:t>
      </w:r>
      <w:r w:rsidR="00B77F3E" w:rsidRPr="009A74DB">
        <w:rPr>
          <w:rFonts w:ascii="Arial" w:hAnsi="Arial" w:cs="Arial"/>
          <w:color w:val="000000" w:themeColor="text1"/>
        </w:rPr>
        <w:t xml:space="preserve"> approximately half (54%) of DS eyes</w:t>
      </w:r>
      <w:r w:rsidR="00301C09" w:rsidRPr="009A74DB">
        <w:rPr>
          <w:rFonts w:ascii="Arial" w:hAnsi="Arial" w:cs="Arial"/>
          <w:color w:val="000000" w:themeColor="text1"/>
        </w:rPr>
        <w:t>,</w:t>
      </w:r>
      <w:r w:rsidR="00B77F3E" w:rsidRPr="009A74DB">
        <w:rPr>
          <w:rFonts w:ascii="Arial" w:hAnsi="Arial" w:cs="Arial"/>
          <w:color w:val="000000" w:themeColor="text1"/>
        </w:rPr>
        <w:t xml:space="preserve"> but in only four individuals (7% eyes</w:t>
      </w:r>
      <w:r w:rsidR="00F2615D" w:rsidRPr="009A74DB">
        <w:rPr>
          <w:rFonts w:ascii="Arial" w:hAnsi="Arial" w:cs="Arial"/>
          <w:color w:val="000000" w:themeColor="text1"/>
        </w:rPr>
        <w:t>,</w:t>
      </w:r>
      <w:r w:rsidR="00B77F3E" w:rsidRPr="009A74DB">
        <w:rPr>
          <w:rFonts w:ascii="Arial" w:hAnsi="Arial" w:cs="Arial"/>
          <w:color w:val="000000" w:themeColor="text1"/>
        </w:rPr>
        <w:t xml:space="preserve"> 14% of DS participants) were these opacities classified as clinically significant ‘age-related’ cataract.</w:t>
      </w:r>
    </w:p>
    <w:p w14:paraId="48CFA983" w14:textId="77777777" w:rsidR="00B77F3E" w:rsidRPr="009A74DB" w:rsidRDefault="00B77F3E" w:rsidP="009C4263">
      <w:pPr>
        <w:spacing w:line="480" w:lineRule="auto"/>
        <w:rPr>
          <w:rFonts w:ascii="Arial" w:hAnsi="Arial" w:cs="Arial"/>
          <w:color w:val="000000" w:themeColor="text1"/>
        </w:rPr>
      </w:pPr>
    </w:p>
    <w:p w14:paraId="60CB0CE0" w14:textId="294FAABF" w:rsidR="007560B8" w:rsidRPr="009A74DB" w:rsidRDefault="00733B12" w:rsidP="009C4263">
      <w:pPr>
        <w:spacing w:line="480" w:lineRule="auto"/>
        <w:rPr>
          <w:rFonts w:ascii="Arial" w:hAnsi="Arial" w:cs="Arial"/>
          <w:color w:val="000000" w:themeColor="text1"/>
        </w:rPr>
      </w:pPr>
      <w:r w:rsidRPr="009A74DB">
        <w:rPr>
          <w:rFonts w:ascii="Arial" w:hAnsi="Arial" w:cs="Arial"/>
          <w:color w:val="000000" w:themeColor="text1"/>
        </w:rPr>
        <w:t xml:space="preserve">Punctate dot opacities, characteristic of </w:t>
      </w:r>
      <w:r w:rsidR="00AA1304" w:rsidRPr="009A74DB">
        <w:rPr>
          <w:rFonts w:ascii="Arial" w:hAnsi="Arial" w:cs="Arial"/>
          <w:color w:val="000000" w:themeColor="text1"/>
        </w:rPr>
        <w:t xml:space="preserve">developmental </w:t>
      </w:r>
      <w:r w:rsidRPr="009A74DB">
        <w:rPr>
          <w:rFonts w:ascii="Arial" w:hAnsi="Arial" w:cs="Arial"/>
          <w:color w:val="000000" w:themeColor="text1"/>
        </w:rPr>
        <w:t>cerulean blue-dot</w:t>
      </w:r>
      <w:r w:rsidR="00067EF8" w:rsidRPr="009A74DB">
        <w:rPr>
          <w:rFonts w:ascii="Arial" w:hAnsi="Arial" w:cs="Arial"/>
          <w:color w:val="000000" w:themeColor="text1"/>
        </w:rPr>
        <w:t xml:space="preserve"> type cataracts, were seen in 50</w:t>
      </w:r>
      <w:r w:rsidRPr="009A74DB">
        <w:rPr>
          <w:rFonts w:ascii="Arial" w:hAnsi="Arial" w:cs="Arial"/>
          <w:color w:val="000000" w:themeColor="text1"/>
        </w:rPr>
        <w:t xml:space="preserve">% </w:t>
      </w:r>
      <w:r w:rsidR="00B77F3E" w:rsidRPr="009A74DB">
        <w:rPr>
          <w:rFonts w:ascii="Arial" w:hAnsi="Arial" w:cs="Arial"/>
          <w:color w:val="000000" w:themeColor="text1"/>
        </w:rPr>
        <w:t xml:space="preserve">of </w:t>
      </w:r>
      <w:r w:rsidRPr="009A74DB">
        <w:rPr>
          <w:rFonts w:ascii="Arial" w:hAnsi="Arial" w:cs="Arial"/>
          <w:color w:val="000000" w:themeColor="text1"/>
        </w:rPr>
        <w:t xml:space="preserve">DS lenses. </w:t>
      </w:r>
      <w:r w:rsidR="00505C0E" w:rsidRPr="009A74DB">
        <w:rPr>
          <w:rFonts w:ascii="Arial" w:hAnsi="Arial" w:cs="Arial"/>
          <w:color w:val="000000" w:themeColor="text1"/>
        </w:rPr>
        <w:t xml:space="preserve"> AS-OCT imaging offers the means of quantifying </w:t>
      </w:r>
      <w:r w:rsidR="00B77F3E" w:rsidRPr="009A74DB">
        <w:rPr>
          <w:rFonts w:ascii="Arial" w:hAnsi="Arial" w:cs="Arial"/>
          <w:color w:val="000000" w:themeColor="text1"/>
        </w:rPr>
        <w:t>these deficits</w:t>
      </w:r>
      <w:r w:rsidR="00505C0E" w:rsidRPr="009A74DB">
        <w:rPr>
          <w:rFonts w:ascii="Arial" w:hAnsi="Arial" w:cs="Arial"/>
          <w:color w:val="000000" w:themeColor="text1"/>
        </w:rPr>
        <w:t>, through identification and calculation of the size and pixel intensity of</w:t>
      </w:r>
      <w:r w:rsidR="00B77F3E" w:rsidRPr="009A74DB">
        <w:rPr>
          <w:rFonts w:ascii="Arial" w:hAnsi="Arial" w:cs="Arial"/>
          <w:color w:val="000000" w:themeColor="text1"/>
        </w:rPr>
        <w:t xml:space="preserve"> individual </w:t>
      </w:r>
      <w:r w:rsidR="00E27D4A" w:rsidRPr="009A74DB">
        <w:rPr>
          <w:rFonts w:ascii="Arial" w:hAnsi="Arial" w:cs="Arial"/>
          <w:color w:val="000000" w:themeColor="text1"/>
        </w:rPr>
        <w:t>opacit</w:t>
      </w:r>
      <w:r w:rsidR="00B77F3E" w:rsidRPr="009A74DB">
        <w:rPr>
          <w:rFonts w:ascii="Arial" w:hAnsi="Arial" w:cs="Arial"/>
          <w:color w:val="000000" w:themeColor="text1"/>
        </w:rPr>
        <w:t>ies</w:t>
      </w:r>
      <w:r w:rsidR="00E27D4A" w:rsidRPr="009A74DB">
        <w:rPr>
          <w:rFonts w:ascii="Arial" w:hAnsi="Arial" w:cs="Arial"/>
          <w:color w:val="000000" w:themeColor="text1"/>
        </w:rPr>
        <w:t>.  D</w:t>
      </w:r>
      <w:r w:rsidR="00505C0E" w:rsidRPr="009A74DB">
        <w:rPr>
          <w:rFonts w:ascii="Arial" w:hAnsi="Arial" w:cs="Arial"/>
          <w:color w:val="000000" w:themeColor="text1"/>
        </w:rPr>
        <w:t>ot PAR calculation demonstrate</w:t>
      </w:r>
      <w:r w:rsidR="00B77F3E" w:rsidRPr="009A74DB">
        <w:rPr>
          <w:rFonts w:ascii="Arial" w:hAnsi="Arial" w:cs="Arial"/>
          <w:color w:val="000000" w:themeColor="text1"/>
        </w:rPr>
        <w:t>d</w:t>
      </w:r>
      <w:r w:rsidR="00505C0E" w:rsidRPr="009A74DB">
        <w:rPr>
          <w:rFonts w:ascii="Arial" w:hAnsi="Arial" w:cs="Arial"/>
          <w:color w:val="000000" w:themeColor="text1"/>
        </w:rPr>
        <w:t xml:space="preserve"> that dot opacities covered an area ranging from 0.2</w:t>
      </w:r>
      <w:r w:rsidR="00505C0E" w:rsidRPr="009A74DB">
        <w:rPr>
          <w:rFonts w:ascii="Arial" w:hAnsi="Arial" w:cs="Arial"/>
          <w:color w:val="000000" w:themeColor="text1"/>
          <w:cs/>
          <w:lang w:bidi="mr-IN"/>
        </w:rPr>
        <w:t>–</w:t>
      </w:r>
      <w:r w:rsidR="00505C0E" w:rsidRPr="009A74DB">
        <w:rPr>
          <w:rFonts w:ascii="Arial" w:hAnsi="Arial" w:cs="Arial"/>
          <w:color w:val="000000" w:themeColor="text1"/>
        </w:rPr>
        <w:t>14% of the cortex</w:t>
      </w:r>
      <w:r w:rsidR="00E27D4A" w:rsidRPr="009A74DB">
        <w:rPr>
          <w:rFonts w:ascii="Arial" w:hAnsi="Arial" w:cs="Arial"/>
          <w:color w:val="000000" w:themeColor="text1"/>
        </w:rPr>
        <w:t xml:space="preserve"> of the </w:t>
      </w:r>
      <w:r w:rsidR="00B77F3E" w:rsidRPr="009A74DB">
        <w:rPr>
          <w:rFonts w:ascii="Arial" w:hAnsi="Arial" w:cs="Arial"/>
          <w:color w:val="000000" w:themeColor="text1"/>
        </w:rPr>
        <w:t xml:space="preserve">DS </w:t>
      </w:r>
      <w:r w:rsidR="00E27D4A" w:rsidRPr="009A74DB">
        <w:rPr>
          <w:rFonts w:ascii="Arial" w:hAnsi="Arial" w:cs="Arial"/>
          <w:color w:val="000000" w:themeColor="text1"/>
        </w:rPr>
        <w:t>lens</w:t>
      </w:r>
      <w:r w:rsidR="00B77F3E" w:rsidRPr="009A74DB">
        <w:rPr>
          <w:rFonts w:ascii="Arial" w:hAnsi="Arial" w:cs="Arial"/>
          <w:color w:val="000000" w:themeColor="text1"/>
        </w:rPr>
        <w:t>es in which they were found</w:t>
      </w:r>
      <w:r w:rsidR="00505C0E" w:rsidRPr="009A74DB">
        <w:rPr>
          <w:rFonts w:ascii="Arial" w:hAnsi="Arial" w:cs="Arial"/>
          <w:color w:val="000000" w:themeColor="text1"/>
        </w:rPr>
        <w:t xml:space="preserve">. </w:t>
      </w:r>
      <w:r w:rsidR="00B77F3E" w:rsidRPr="009A74DB">
        <w:rPr>
          <w:rFonts w:ascii="Arial" w:hAnsi="Arial" w:cs="Arial"/>
          <w:color w:val="000000" w:themeColor="text1"/>
        </w:rPr>
        <w:t>The</w:t>
      </w:r>
      <w:r w:rsidR="00505C0E" w:rsidRPr="009A74DB">
        <w:rPr>
          <w:rFonts w:ascii="Arial" w:hAnsi="Arial" w:cs="Arial"/>
          <w:color w:val="000000" w:themeColor="text1"/>
        </w:rPr>
        <w:t xml:space="preserve"> opacities </w:t>
      </w:r>
      <w:r w:rsidR="00B77F3E" w:rsidRPr="009A74DB">
        <w:rPr>
          <w:rFonts w:ascii="Arial" w:hAnsi="Arial" w:cs="Arial"/>
          <w:color w:val="000000" w:themeColor="text1"/>
        </w:rPr>
        <w:t>were not</w:t>
      </w:r>
      <w:r w:rsidR="00505C0E" w:rsidRPr="009A74DB">
        <w:rPr>
          <w:rFonts w:ascii="Arial" w:hAnsi="Arial" w:cs="Arial"/>
          <w:color w:val="000000" w:themeColor="text1"/>
        </w:rPr>
        <w:t xml:space="preserve"> </w:t>
      </w:r>
      <w:r w:rsidR="00B77F3E" w:rsidRPr="009A74DB">
        <w:rPr>
          <w:rFonts w:ascii="Arial" w:hAnsi="Arial" w:cs="Arial"/>
          <w:color w:val="000000" w:themeColor="text1"/>
        </w:rPr>
        <w:t xml:space="preserve">detrimental to </w:t>
      </w:r>
      <w:r w:rsidR="0037387C" w:rsidRPr="009A74DB">
        <w:rPr>
          <w:rFonts w:ascii="Arial" w:hAnsi="Arial" w:cs="Arial"/>
          <w:color w:val="000000" w:themeColor="text1"/>
        </w:rPr>
        <w:t xml:space="preserve">visual </w:t>
      </w:r>
      <w:r w:rsidR="00B77F3E" w:rsidRPr="009A74DB">
        <w:rPr>
          <w:rFonts w:ascii="Arial" w:hAnsi="Arial" w:cs="Arial"/>
          <w:color w:val="000000" w:themeColor="text1"/>
        </w:rPr>
        <w:t>acuity measures</w:t>
      </w:r>
      <w:r w:rsidR="00505C0E" w:rsidRPr="009A74DB">
        <w:rPr>
          <w:rFonts w:ascii="Arial" w:hAnsi="Arial" w:cs="Arial"/>
          <w:color w:val="000000" w:themeColor="text1"/>
        </w:rPr>
        <w:t xml:space="preserve">, </w:t>
      </w:r>
      <w:r w:rsidR="00B77F3E" w:rsidRPr="009A74DB">
        <w:rPr>
          <w:rFonts w:ascii="Arial" w:hAnsi="Arial" w:cs="Arial"/>
          <w:color w:val="000000" w:themeColor="text1"/>
        </w:rPr>
        <w:t>nor were they</w:t>
      </w:r>
      <w:r w:rsidR="008B6751" w:rsidRPr="009A74DB">
        <w:rPr>
          <w:rFonts w:ascii="Arial" w:hAnsi="Arial" w:cs="Arial"/>
          <w:color w:val="000000" w:themeColor="text1"/>
        </w:rPr>
        <w:t xml:space="preserve"> </w:t>
      </w:r>
      <w:r w:rsidR="00505C0E" w:rsidRPr="009A74DB">
        <w:rPr>
          <w:rFonts w:ascii="Arial" w:hAnsi="Arial" w:cs="Arial"/>
          <w:color w:val="000000" w:themeColor="text1"/>
        </w:rPr>
        <w:t xml:space="preserve">related to age, but </w:t>
      </w:r>
      <w:r w:rsidR="008B6751" w:rsidRPr="009A74DB">
        <w:rPr>
          <w:rFonts w:ascii="Arial" w:hAnsi="Arial" w:cs="Arial"/>
          <w:color w:val="000000" w:themeColor="text1"/>
        </w:rPr>
        <w:t xml:space="preserve">they </w:t>
      </w:r>
      <w:r w:rsidR="00505C0E" w:rsidRPr="009A74DB">
        <w:rPr>
          <w:rFonts w:ascii="Arial" w:hAnsi="Arial" w:cs="Arial"/>
          <w:color w:val="000000" w:themeColor="text1"/>
        </w:rPr>
        <w:t xml:space="preserve">are intriguing given the possibility that the lens in DS </w:t>
      </w:r>
      <w:r w:rsidR="008B6751" w:rsidRPr="009A74DB">
        <w:rPr>
          <w:rFonts w:ascii="Arial" w:hAnsi="Arial" w:cs="Arial"/>
          <w:color w:val="000000" w:themeColor="text1"/>
        </w:rPr>
        <w:t xml:space="preserve">is a potential site for </w:t>
      </w:r>
      <w:r w:rsidR="00505C0E" w:rsidRPr="009A74DB">
        <w:rPr>
          <w:rFonts w:ascii="Arial" w:hAnsi="Arial" w:cs="Arial"/>
          <w:color w:val="000000" w:themeColor="text1"/>
        </w:rPr>
        <w:t xml:space="preserve">beta-amyloid </w:t>
      </w:r>
      <w:r w:rsidR="007560B8" w:rsidRPr="009A74DB">
        <w:rPr>
          <w:rFonts w:ascii="Arial" w:hAnsi="Arial" w:cs="Arial"/>
          <w:color w:val="000000" w:themeColor="text1"/>
        </w:rPr>
        <w:t>accumulation</w:t>
      </w:r>
      <w:r w:rsidR="008B6751" w:rsidRPr="009A74DB">
        <w:rPr>
          <w:rFonts w:ascii="Arial" w:hAnsi="Arial" w:cs="Arial"/>
          <w:color w:val="000000" w:themeColor="text1"/>
        </w:rPr>
        <w:t>.</w:t>
      </w:r>
      <w:r w:rsidR="00505C0E" w:rsidRPr="009A74DB">
        <w:rPr>
          <w:rFonts w:ascii="Arial" w:hAnsi="Arial" w:cs="Arial"/>
          <w:color w:val="000000" w:themeColor="text1"/>
        </w:rPr>
        <w:t xml:space="preserve">  </w:t>
      </w:r>
      <w:r w:rsidR="00E27D4A" w:rsidRPr="009A74DB">
        <w:rPr>
          <w:rFonts w:ascii="Arial" w:hAnsi="Arial" w:cs="Arial"/>
          <w:color w:val="000000" w:themeColor="text1"/>
        </w:rPr>
        <w:t xml:space="preserve">  </w:t>
      </w:r>
    </w:p>
    <w:p w14:paraId="3DE7EEF1" w14:textId="77777777" w:rsidR="007560B8" w:rsidRPr="009A74DB" w:rsidRDefault="007560B8" w:rsidP="009C4263">
      <w:pPr>
        <w:spacing w:line="480" w:lineRule="auto"/>
        <w:rPr>
          <w:rFonts w:ascii="Arial" w:hAnsi="Arial" w:cs="Arial"/>
          <w:color w:val="000000" w:themeColor="text1"/>
        </w:rPr>
      </w:pPr>
    </w:p>
    <w:p w14:paraId="3E9BA14B" w14:textId="0459E6FF" w:rsidR="00694322" w:rsidRPr="009A74DB" w:rsidRDefault="00694322" w:rsidP="009C4263">
      <w:pPr>
        <w:spacing w:line="480" w:lineRule="auto"/>
        <w:rPr>
          <w:rFonts w:ascii="Arial" w:hAnsi="Arial" w:cs="Arial"/>
          <w:color w:val="000000" w:themeColor="text1"/>
        </w:rPr>
      </w:pPr>
      <w:r w:rsidRPr="009A74DB">
        <w:rPr>
          <w:rFonts w:ascii="Arial" w:hAnsi="Arial" w:cs="Arial"/>
          <w:color w:val="000000" w:themeColor="text1"/>
        </w:rPr>
        <w:t>Goldstein et al.</w:t>
      </w:r>
      <w:r w:rsidR="00D16860"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8</w:t>
      </w:r>
      <w:r w:rsidRPr="009A74DB">
        <w:rPr>
          <w:rFonts w:ascii="Arial" w:hAnsi="Arial" w:cs="Arial"/>
          <w:color w:val="000000" w:themeColor="text1"/>
        </w:rPr>
        <w:t xml:space="preserve"> reported, through post-mortem immunohistochemical analysis, that Aβ was present in lenses with a specific type of cataract located in the supranuclear area in individuals with Alzheimer’s disease.  This work was developed by </w:t>
      </w:r>
      <w:proofErr w:type="spellStart"/>
      <w:r w:rsidRPr="009A74DB">
        <w:rPr>
          <w:rFonts w:ascii="Arial" w:hAnsi="Arial" w:cs="Arial"/>
          <w:color w:val="000000" w:themeColor="text1"/>
        </w:rPr>
        <w:t>Moncaster</w:t>
      </w:r>
      <w:proofErr w:type="spellEnd"/>
      <w:r w:rsidRPr="009A74DB">
        <w:rPr>
          <w:rFonts w:ascii="Arial" w:hAnsi="Arial" w:cs="Arial"/>
          <w:color w:val="000000" w:themeColor="text1"/>
        </w:rPr>
        <w:t xml:space="preserve"> et al.</w:t>
      </w:r>
      <w:r w:rsidR="009726D6" w:rsidRPr="009A74DB">
        <w:rPr>
          <w:rFonts w:ascii="Arial" w:hAnsi="Arial" w:cs="Arial"/>
          <w:color w:val="000000" w:themeColor="text1"/>
          <w:vertAlign w:val="superscript"/>
        </w:rPr>
        <w:t>19</w:t>
      </w:r>
      <w:r w:rsidRPr="009A74DB">
        <w:rPr>
          <w:rFonts w:ascii="Arial" w:hAnsi="Arial" w:cs="Arial"/>
          <w:color w:val="000000" w:themeColor="text1"/>
        </w:rPr>
        <w:t xml:space="preserve"> who reported supranuclear cataract in post-mortem lens</w:t>
      </w:r>
      <w:r w:rsidR="008B6751" w:rsidRPr="009A74DB">
        <w:rPr>
          <w:rFonts w:ascii="Arial" w:hAnsi="Arial" w:cs="Arial"/>
          <w:color w:val="000000" w:themeColor="text1"/>
        </w:rPr>
        <w:t>es</w:t>
      </w:r>
      <w:r w:rsidRPr="009A74DB">
        <w:rPr>
          <w:rFonts w:ascii="Arial" w:hAnsi="Arial" w:cs="Arial"/>
          <w:color w:val="000000" w:themeColor="text1"/>
        </w:rPr>
        <w:t xml:space="preserve"> from individuals with DS. Supranuclear cataract is defined as a narrow band of opacity found at the interface between the deep cortex and nuclear interface, and </w:t>
      </w:r>
      <w:r w:rsidR="008B6751" w:rsidRPr="009A74DB">
        <w:rPr>
          <w:rFonts w:ascii="Arial" w:hAnsi="Arial" w:cs="Arial"/>
          <w:color w:val="000000" w:themeColor="text1"/>
        </w:rPr>
        <w:t>is</w:t>
      </w:r>
      <w:r w:rsidRPr="009A74DB">
        <w:rPr>
          <w:rFonts w:ascii="Arial" w:hAnsi="Arial" w:cs="Arial"/>
          <w:color w:val="000000" w:themeColor="text1"/>
        </w:rPr>
        <w:t xml:space="preserve"> sometimes </w:t>
      </w:r>
      <w:r w:rsidR="008B6751" w:rsidRPr="009A74DB">
        <w:rPr>
          <w:rFonts w:ascii="Arial" w:hAnsi="Arial" w:cs="Arial"/>
          <w:color w:val="000000" w:themeColor="text1"/>
        </w:rPr>
        <w:t xml:space="preserve">referred to </w:t>
      </w:r>
      <w:r w:rsidRPr="009A74DB">
        <w:rPr>
          <w:rFonts w:ascii="Arial" w:hAnsi="Arial" w:cs="Arial"/>
          <w:color w:val="000000" w:themeColor="text1"/>
        </w:rPr>
        <w:t>as lamellar or zonular</w:t>
      </w:r>
      <w:r w:rsidR="00F2615D" w:rsidRPr="009A74DB">
        <w:rPr>
          <w:rFonts w:ascii="Arial" w:hAnsi="Arial" w:cs="Arial"/>
          <w:color w:val="000000" w:themeColor="text1"/>
        </w:rPr>
        <w:t>.</w:t>
      </w:r>
      <w:r w:rsidR="00D16860"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5</w:t>
      </w:r>
      <w:r w:rsidRPr="009A74DB">
        <w:rPr>
          <w:rFonts w:ascii="Arial" w:hAnsi="Arial" w:cs="Arial"/>
          <w:color w:val="000000" w:themeColor="text1"/>
        </w:rPr>
        <w:t xml:space="preserve"> </w:t>
      </w:r>
      <w:r w:rsidR="00D95A98" w:rsidRPr="009A74DB">
        <w:rPr>
          <w:rFonts w:ascii="Arial" w:hAnsi="Arial" w:cs="Arial"/>
          <w:color w:val="000000" w:themeColor="text1"/>
        </w:rPr>
        <w:t xml:space="preserve"> </w:t>
      </w:r>
      <w:r w:rsidR="00AA1304" w:rsidRPr="009A74DB">
        <w:rPr>
          <w:rFonts w:ascii="Arial" w:hAnsi="Arial" w:cs="Arial"/>
          <w:color w:val="000000" w:themeColor="text1"/>
        </w:rPr>
        <w:t>However, the location of the cerulean-type dot opacities found in th</w:t>
      </w:r>
      <w:r w:rsidR="008B6751" w:rsidRPr="009A74DB">
        <w:rPr>
          <w:rFonts w:ascii="Arial" w:hAnsi="Arial" w:cs="Arial"/>
          <w:color w:val="000000" w:themeColor="text1"/>
        </w:rPr>
        <w:t xml:space="preserve">e present </w:t>
      </w:r>
      <w:r w:rsidR="00AA1304" w:rsidRPr="009A74DB">
        <w:rPr>
          <w:rFonts w:ascii="Arial" w:hAnsi="Arial" w:cs="Arial"/>
          <w:color w:val="000000" w:themeColor="text1"/>
        </w:rPr>
        <w:t xml:space="preserve">study ranged from close </w:t>
      </w:r>
      <w:r w:rsidR="008B6751" w:rsidRPr="009A74DB">
        <w:rPr>
          <w:rFonts w:ascii="Arial" w:hAnsi="Arial" w:cs="Arial"/>
          <w:color w:val="000000" w:themeColor="text1"/>
        </w:rPr>
        <w:t xml:space="preserve">to </w:t>
      </w:r>
      <w:r w:rsidR="00AA1304" w:rsidRPr="009A74DB">
        <w:rPr>
          <w:rFonts w:ascii="Arial" w:hAnsi="Arial" w:cs="Arial"/>
          <w:color w:val="000000" w:themeColor="text1"/>
        </w:rPr>
        <w:t>(and occasionally within) the nucleus to the outer cortex area</w:t>
      </w:r>
      <w:r w:rsidR="008B6751" w:rsidRPr="009A74DB">
        <w:rPr>
          <w:rFonts w:ascii="Arial" w:hAnsi="Arial" w:cs="Arial"/>
          <w:color w:val="000000" w:themeColor="text1"/>
        </w:rPr>
        <w:t>; they</w:t>
      </w:r>
      <w:r w:rsidR="00AA1304" w:rsidRPr="009A74DB">
        <w:rPr>
          <w:rFonts w:ascii="Arial" w:hAnsi="Arial" w:cs="Arial"/>
          <w:color w:val="000000" w:themeColor="text1"/>
        </w:rPr>
        <w:t xml:space="preserve"> were not confined to the ‘supra-nuclear’ region of the </w:t>
      </w:r>
      <w:r w:rsidR="008B6751" w:rsidRPr="009A74DB">
        <w:rPr>
          <w:rFonts w:ascii="Arial" w:hAnsi="Arial" w:cs="Arial"/>
          <w:color w:val="000000" w:themeColor="text1"/>
        </w:rPr>
        <w:t xml:space="preserve">crystalline </w:t>
      </w:r>
      <w:r w:rsidR="00AA1304" w:rsidRPr="009A74DB">
        <w:rPr>
          <w:rFonts w:ascii="Arial" w:hAnsi="Arial" w:cs="Arial"/>
          <w:color w:val="000000" w:themeColor="text1"/>
        </w:rPr>
        <w:t>lens</w:t>
      </w:r>
      <w:r w:rsidR="008B6751" w:rsidRPr="009A74DB">
        <w:rPr>
          <w:rFonts w:ascii="Arial" w:hAnsi="Arial" w:cs="Arial"/>
          <w:color w:val="000000" w:themeColor="text1"/>
        </w:rPr>
        <w:t>. In this in-vivo examination, dot opacities</w:t>
      </w:r>
      <w:r w:rsidR="00AA1304" w:rsidRPr="009A74DB">
        <w:rPr>
          <w:rFonts w:ascii="Arial" w:hAnsi="Arial" w:cs="Arial"/>
          <w:color w:val="000000" w:themeColor="text1"/>
        </w:rPr>
        <w:t xml:space="preserve"> were scattered </w:t>
      </w:r>
      <w:r w:rsidR="008B6751" w:rsidRPr="009A74DB">
        <w:rPr>
          <w:rFonts w:ascii="Arial" w:hAnsi="Arial" w:cs="Arial"/>
          <w:color w:val="000000" w:themeColor="text1"/>
        </w:rPr>
        <w:t>relatively evenly around the nucleus</w:t>
      </w:r>
      <w:r w:rsidR="00AA1304" w:rsidRPr="009A74DB">
        <w:rPr>
          <w:rFonts w:ascii="Arial" w:hAnsi="Arial" w:cs="Arial"/>
          <w:color w:val="000000" w:themeColor="text1"/>
        </w:rPr>
        <w:t>, with a slightly greater proportion in the periphery</w:t>
      </w:r>
      <w:r w:rsidR="008B6751" w:rsidRPr="009A74DB">
        <w:rPr>
          <w:rFonts w:ascii="Arial" w:hAnsi="Arial" w:cs="Arial"/>
          <w:color w:val="000000" w:themeColor="text1"/>
        </w:rPr>
        <w:t xml:space="preserve">. Their presence </w:t>
      </w:r>
      <w:r w:rsidR="00AA1304" w:rsidRPr="009A74DB">
        <w:rPr>
          <w:rFonts w:ascii="Arial" w:hAnsi="Arial" w:cs="Arial"/>
          <w:color w:val="000000" w:themeColor="text1"/>
        </w:rPr>
        <w:t>could easily</w:t>
      </w:r>
      <w:r w:rsidR="008B6751" w:rsidRPr="009A74DB">
        <w:rPr>
          <w:rFonts w:ascii="Arial" w:hAnsi="Arial" w:cs="Arial"/>
          <w:color w:val="000000" w:themeColor="text1"/>
        </w:rPr>
        <w:t xml:space="preserve"> be</w:t>
      </w:r>
      <w:r w:rsidR="00AA1304" w:rsidRPr="009A74DB">
        <w:rPr>
          <w:rFonts w:ascii="Arial" w:hAnsi="Arial" w:cs="Arial"/>
          <w:color w:val="000000" w:themeColor="text1"/>
        </w:rPr>
        <w:t xml:space="preserve"> missed without pupil dilation.  </w:t>
      </w:r>
      <w:r w:rsidR="008B6751" w:rsidRPr="009A74DB">
        <w:rPr>
          <w:rFonts w:ascii="Arial" w:hAnsi="Arial" w:cs="Arial"/>
          <w:color w:val="000000" w:themeColor="text1"/>
        </w:rPr>
        <w:t>The present investigation</w:t>
      </w:r>
      <w:r w:rsidRPr="009A74DB">
        <w:rPr>
          <w:rFonts w:ascii="Arial" w:hAnsi="Arial" w:cs="Arial"/>
          <w:color w:val="000000" w:themeColor="text1"/>
        </w:rPr>
        <w:t xml:space="preserve"> found no </w:t>
      </w:r>
      <w:r w:rsidR="00440C7D" w:rsidRPr="009A74DB">
        <w:rPr>
          <w:rFonts w:ascii="Arial" w:hAnsi="Arial" w:cs="Arial"/>
          <w:color w:val="000000" w:themeColor="text1"/>
        </w:rPr>
        <w:t>association betw</w:t>
      </w:r>
      <w:r w:rsidRPr="009A74DB">
        <w:rPr>
          <w:rFonts w:ascii="Arial" w:hAnsi="Arial" w:cs="Arial"/>
          <w:color w:val="000000" w:themeColor="text1"/>
        </w:rPr>
        <w:t xml:space="preserve">een </w:t>
      </w:r>
      <w:r w:rsidR="008B6751" w:rsidRPr="009A74DB">
        <w:rPr>
          <w:rFonts w:ascii="Arial" w:hAnsi="Arial" w:cs="Arial"/>
          <w:color w:val="000000" w:themeColor="text1"/>
        </w:rPr>
        <w:t xml:space="preserve">the presence and number of </w:t>
      </w:r>
      <w:r w:rsidRPr="009A74DB">
        <w:rPr>
          <w:rFonts w:ascii="Arial" w:hAnsi="Arial" w:cs="Arial"/>
          <w:color w:val="000000" w:themeColor="text1"/>
        </w:rPr>
        <w:t>dot opacit</w:t>
      </w:r>
      <w:r w:rsidR="008B6751" w:rsidRPr="009A74DB">
        <w:rPr>
          <w:rFonts w:ascii="Arial" w:hAnsi="Arial" w:cs="Arial"/>
          <w:color w:val="000000" w:themeColor="text1"/>
        </w:rPr>
        <w:t>ies in the lens</w:t>
      </w:r>
      <w:r w:rsidRPr="009A74DB">
        <w:rPr>
          <w:rFonts w:ascii="Arial" w:hAnsi="Arial" w:cs="Arial"/>
          <w:color w:val="000000" w:themeColor="text1"/>
        </w:rPr>
        <w:t xml:space="preserve"> and</w:t>
      </w:r>
      <w:r w:rsidR="008B6751" w:rsidRPr="009A74DB">
        <w:rPr>
          <w:rFonts w:ascii="Arial" w:hAnsi="Arial" w:cs="Arial"/>
          <w:color w:val="000000" w:themeColor="text1"/>
        </w:rPr>
        <w:t xml:space="preserve"> </w:t>
      </w:r>
      <w:r w:rsidRPr="009A74DB">
        <w:rPr>
          <w:rFonts w:ascii="Arial" w:hAnsi="Arial" w:cs="Arial"/>
          <w:color w:val="000000" w:themeColor="text1"/>
        </w:rPr>
        <w:t>age</w:t>
      </w:r>
      <w:r w:rsidR="008B6751" w:rsidRPr="009A74DB">
        <w:rPr>
          <w:rFonts w:ascii="Arial" w:hAnsi="Arial" w:cs="Arial"/>
          <w:color w:val="000000" w:themeColor="text1"/>
        </w:rPr>
        <w:t xml:space="preserve"> of the participant</w:t>
      </w:r>
      <w:r w:rsidRPr="009A74DB">
        <w:rPr>
          <w:rFonts w:ascii="Arial" w:hAnsi="Arial" w:cs="Arial"/>
          <w:color w:val="000000" w:themeColor="text1"/>
        </w:rPr>
        <w:t xml:space="preserve">; </w:t>
      </w:r>
      <w:r w:rsidR="008B6751" w:rsidRPr="009A74DB">
        <w:rPr>
          <w:rFonts w:ascii="Arial" w:hAnsi="Arial" w:cs="Arial"/>
          <w:color w:val="000000" w:themeColor="text1"/>
        </w:rPr>
        <w:t xml:space="preserve">a finding which </w:t>
      </w:r>
      <w:r w:rsidRPr="009A74DB">
        <w:rPr>
          <w:rFonts w:ascii="Arial" w:hAnsi="Arial" w:cs="Arial"/>
          <w:color w:val="000000" w:themeColor="text1"/>
        </w:rPr>
        <w:t xml:space="preserve">is counterintuitive </w:t>
      </w:r>
      <w:r w:rsidR="00BA4905" w:rsidRPr="009A74DB">
        <w:rPr>
          <w:rFonts w:ascii="Arial" w:hAnsi="Arial" w:cs="Arial"/>
          <w:color w:val="000000" w:themeColor="text1"/>
        </w:rPr>
        <w:t xml:space="preserve">if these dot opacities are indicative of AD </w:t>
      </w:r>
      <w:r w:rsidR="001F0EEA" w:rsidRPr="009A74DB">
        <w:rPr>
          <w:rFonts w:ascii="Arial" w:hAnsi="Arial" w:cs="Arial"/>
          <w:color w:val="000000" w:themeColor="text1"/>
        </w:rPr>
        <w:t>(</w:t>
      </w:r>
      <w:r w:rsidR="00BA4905" w:rsidRPr="009A74DB">
        <w:rPr>
          <w:rFonts w:ascii="Arial" w:hAnsi="Arial" w:cs="Arial"/>
          <w:color w:val="000000" w:themeColor="text1"/>
        </w:rPr>
        <w:t>as suggested by Goldstein and colleagues</w:t>
      </w:r>
      <w:r w:rsidR="001F0EEA" w:rsidRPr="009A74DB">
        <w:rPr>
          <w:rFonts w:ascii="Arial" w:hAnsi="Arial" w:cs="Arial"/>
          <w:color w:val="000000" w:themeColor="text1"/>
        </w:rPr>
        <w:t>)</w:t>
      </w:r>
      <w:r w:rsidR="00BA4905" w:rsidRPr="009A74DB">
        <w:rPr>
          <w:rFonts w:ascii="Arial" w:hAnsi="Arial" w:cs="Arial"/>
          <w:color w:val="000000" w:themeColor="text1"/>
        </w:rPr>
        <w:t xml:space="preserve">, </w:t>
      </w:r>
      <w:r w:rsidRPr="009A74DB">
        <w:rPr>
          <w:rFonts w:ascii="Arial" w:hAnsi="Arial" w:cs="Arial"/>
          <w:color w:val="000000" w:themeColor="text1"/>
        </w:rPr>
        <w:t xml:space="preserve">in a population where </w:t>
      </w:r>
      <w:r w:rsidRPr="009A74DB">
        <w:rPr>
          <w:rFonts w:ascii="Arial" w:hAnsi="Arial" w:cs="Arial"/>
          <w:color w:val="000000" w:themeColor="text1"/>
        </w:rPr>
        <w:lastRenderedPageBreak/>
        <w:t>prevalence and risk of AD greatly increase with age.</w:t>
      </w:r>
      <w:r w:rsidR="008B6751" w:rsidRPr="009A74DB">
        <w:rPr>
          <w:rFonts w:ascii="Arial" w:hAnsi="Arial" w:cs="Arial"/>
          <w:color w:val="000000" w:themeColor="text1"/>
        </w:rPr>
        <w:t xml:space="preserve"> Given the findings of the present study and </w:t>
      </w:r>
      <w:r w:rsidR="009B2FCB" w:rsidRPr="009A74DB">
        <w:rPr>
          <w:rFonts w:ascii="Arial" w:hAnsi="Arial" w:cs="Arial"/>
          <w:color w:val="000000" w:themeColor="text1"/>
        </w:rPr>
        <w:t xml:space="preserve">later </w:t>
      </w:r>
      <w:r w:rsidR="008B6751" w:rsidRPr="009A74DB">
        <w:rPr>
          <w:rFonts w:ascii="Arial" w:hAnsi="Arial" w:cs="Arial"/>
          <w:color w:val="000000" w:themeColor="text1"/>
        </w:rPr>
        <w:t>studies of post-mortem lenses using similar techniques to Goldstein et al.</w:t>
      </w:r>
      <w:r w:rsidR="004371EA"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8</w:t>
      </w:r>
      <w:r w:rsidR="008B6751" w:rsidRPr="009A74DB">
        <w:rPr>
          <w:rFonts w:ascii="Arial" w:hAnsi="Arial" w:cs="Arial"/>
          <w:color w:val="000000" w:themeColor="text1"/>
        </w:rPr>
        <w:t xml:space="preserve"> and </w:t>
      </w:r>
      <w:proofErr w:type="spellStart"/>
      <w:r w:rsidR="008B6751" w:rsidRPr="009A74DB">
        <w:rPr>
          <w:rFonts w:ascii="Arial" w:hAnsi="Arial" w:cs="Arial"/>
          <w:color w:val="000000" w:themeColor="text1"/>
        </w:rPr>
        <w:t>Moncaster</w:t>
      </w:r>
      <w:proofErr w:type="spellEnd"/>
      <w:r w:rsidR="008B6751" w:rsidRPr="009A74DB">
        <w:rPr>
          <w:rFonts w:ascii="Arial" w:hAnsi="Arial" w:cs="Arial"/>
          <w:color w:val="000000" w:themeColor="text1"/>
        </w:rPr>
        <w:t xml:space="preserve"> et al.</w:t>
      </w:r>
      <w:r w:rsidR="009726D6" w:rsidRPr="009A74DB">
        <w:rPr>
          <w:rFonts w:ascii="Arial" w:hAnsi="Arial" w:cs="Arial"/>
          <w:color w:val="000000" w:themeColor="text1"/>
          <w:vertAlign w:val="superscript"/>
        </w:rPr>
        <w:t>19</w:t>
      </w:r>
      <w:r w:rsidR="008B6751" w:rsidRPr="009A74DB">
        <w:rPr>
          <w:rFonts w:ascii="Arial" w:hAnsi="Arial" w:cs="Arial"/>
          <w:color w:val="000000" w:themeColor="text1"/>
        </w:rPr>
        <w:t xml:space="preserve"> </w:t>
      </w:r>
      <w:r w:rsidR="009B2FCB" w:rsidRPr="009A74DB">
        <w:rPr>
          <w:rFonts w:ascii="Arial" w:hAnsi="Arial" w:cs="Arial"/>
          <w:color w:val="000000" w:themeColor="text1"/>
        </w:rPr>
        <w:t xml:space="preserve">which </w:t>
      </w:r>
      <w:r w:rsidR="008B6751" w:rsidRPr="009A74DB">
        <w:rPr>
          <w:rFonts w:ascii="Arial" w:hAnsi="Arial" w:cs="Arial"/>
          <w:color w:val="000000" w:themeColor="text1"/>
        </w:rPr>
        <w:t>failed to demonstrate presence of Aβ in the human crystalline lens</w:t>
      </w:r>
      <w:r w:rsidR="00F2615D" w:rsidRPr="009A74DB">
        <w:rPr>
          <w:rFonts w:ascii="Arial" w:hAnsi="Arial" w:cs="Arial"/>
          <w:color w:val="000000" w:themeColor="text1"/>
        </w:rPr>
        <w:t>,</w:t>
      </w:r>
      <w:r w:rsidR="004371EA"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6</w:t>
      </w:r>
      <w:r w:rsidR="004371EA" w:rsidRPr="009A74DB">
        <w:rPr>
          <w:rFonts w:ascii="Arial" w:hAnsi="Arial" w:cs="Arial"/>
          <w:color w:val="000000" w:themeColor="text1"/>
          <w:vertAlign w:val="superscript"/>
        </w:rPr>
        <w:t>-2</w:t>
      </w:r>
      <w:r w:rsidR="009726D6" w:rsidRPr="009A74DB">
        <w:rPr>
          <w:rFonts w:ascii="Arial" w:hAnsi="Arial" w:cs="Arial"/>
          <w:color w:val="000000" w:themeColor="text1"/>
          <w:vertAlign w:val="superscript"/>
        </w:rPr>
        <w:t>8</w:t>
      </w:r>
      <w:r w:rsidR="008B6751" w:rsidRPr="009A74DB">
        <w:rPr>
          <w:rFonts w:ascii="Arial" w:hAnsi="Arial" w:cs="Arial"/>
          <w:color w:val="000000" w:themeColor="text1"/>
        </w:rPr>
        <w:t xml:space="preserve"> </w:t>
      </w:r>
      <w:r w:rsidR="009B2FCB" w:rsidRPr="009A74DB">
        <w:rPr>
          <w:rFonts w:ascii="Arial" w:hAnsi="Arial" w:cs="Arial"/>
          <w:color w:val="000000" w:themeColor="text1"/>
        </w:rPr>
        <w:t>it</w:t>
      </w:r>
      <w:r w:rsidR="008B6751" w:rsidRPr="009A74DB">
        <w:rPr>
          <w:rFonts w:ascii="Arial" w:hAnsi="Arial" w:cs="Arial"/>
          <w:color w:val="000000" w:themeColor="text1"/>
        </w:rPr>
        <w:t xml:space="preserve"> seems likely that</w:t>
      </w:r>
      <w:r w:rsidRPr="009A74DB">
        <w:rPr>
          <w:rFonts w:ascii="Arial" w:hAnsi="Arial" w:cs="Arial"/>
          <w:color w:val="000000" w:themeColor="text1"/>
        </w:rPr>
        <w:t xml:space="preserve"> the relation between cerulean cataract and Aβ found by Goldstein et al.</w:t>
      </w:r>
      <w:r w:rsidR="004371EA"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8</w:t>
      </w:r>
      <w:r w:rsidR="00F2615D" w:rsidRPr="009A74DB">
        <w:rPr>
          <w:rFonts w:ascii="Arial" w:hAnsi="Arial" w:cs="Arial"/>
          <w:color w:val="000000" w:themeColor="text1"/>
        </w:rPr>
        <w:t xml:space="preserve"> </w:t>
      </w:r>
      <w:r w:rsidRPr="009A74DB">
        <w:rPr>
          <w:rFonts w:ascii="Arial" w:hAnsi="Arial" w:cs="Arial"/>
          <w:color w:val="000000" w:themeColor="text1"/>
        </w:rPr>
        <w:t xml:space="preserve">and </w:t>
      </w:r>
      <w:proofErr w:type="spellStart"/>
      <w:r w:rsidRPr="009A74DB">
        <w:rPr>
          <w:rFonts w:ascii="Arial" w:hAnsi="Arial" w:cs="Arial"/>
          <w:color w:val="000000" w:themeColor="text1"/>
        </w:rPr>
        <w:t>Moncaster</w:t>
      </w:r>
      <w:proofErr w:type="spellEnd"/>
      <w:r w:rsidRPr="009A74DB">
        <w:rPr>
          <w:rFonts w:ascii="Arial" w:hAnsi="Arial" w:cs="Arial"/>
          <w:color w:val="000000" w:themeColor="text1"/>
        </w:rPr>
        <w:t xml:space="preserve"> et al.</w:t>
      </w:r>
      <w:r w:rsidR="009726D6" w:rsidRPr="009A74DB">
        <w:rPr>
          <w:rFonts w:ascii="Arial" w:hAnsi="Arial" w:cs="Arial"/>
          <w:color w:val="000000" w:themeColor="text1"/>
          <w:vertAlign w:val="superscript"/>
        </w:rPr>
        <w:t>19</w:t>
      </w:r>
      <w:r w:rsidRPr="009A74DB">
        <w:rPr>
          <w:rFonts w:ascii="Arial" w:hAnsi="Arial" w:cs="Arial"/>
          <w:color w:val="000000" w:themeColor="text1"/>
        </w:rPr>
        <w:t xml:space="preserve"> </w:t>
      </w:r>
      <w:r w:rsidR="009B2FCB" w:rsidRPr="009A74DB">
        <w:rPr>
          <w:rFonts w:ascii="Arial" w:hAnsi="Arial" w:cs="Arial"/>
          <w:color w:val="000000" w:themeColor="text1"/>
        </w:rPr>
        <w:t>may have been an artefact, reflective of</w:t>
      </w:r>
      <w:r w:rsidRPr="009A74DB">
        <w:rPr>
          <w:rFonts w:ascii="Arial" w:hAnsi="Arial" w:cs="Arial"/>
          <w:color w:val="000000" w:themeColor="text1"/>
        </w:rPr>
        <w:t xml:space="preserve"> small sample sizes. </w:t>
      </w:r>
      <w:r w:rsidR="00AA1304" w:rsidRPr="009A74DB">
        <w:rPr>
          <w:rFonts w:ascii="Arial" w:hAnsi="Arial" w:cs="Arial"/>
          <w:color w:val="000000" w:themeColor="text1"/>
        </w:rPr>
        <w:t xml:space="preserve"> </w:t>
      </w:r>
      <w:r w:rsidR="009B2FCB" w:rsidRPr="009A74DB">
        <w:rPr>
          <w:rFonts w:ascii="Arial" w:hAnsi="Arial" w:cs="Arial"/>
          <w:color w:val="000000" w:themeColor="text1"/>
        </w:rPr>
        <w:t xml:space="preserve">Further support for the notion that dot opacities are unlikely to be a useful indicator of AD comes from </w:t>
      </w:r>
      <w:r w:rsidR="00AA1304" w:rsidRPr="009A74DB">
        <w:rPr>
          <w:rFonts w:ascii="Arial" w:hAnsi="Arial" w:cs="Arial"/>
          <w:color w:val="000000" w:themeColor="text1"/>
        </w:rPr>
        <w:t xml:space="preserve">the </w:t>
      </w:r>
      <w:r w:rsidR="009B2FCB" w:rsidRPr="009A74DB">
        <w:rPr>
          <w:rFonts w:ascii="Arial" w:hAnsi="Arial" w:cs="Arial"/>
          <w:color w:val="000000" w:themeColor="text1"/>
        </w:rPr>
        <w:t xml:space="preserve">failure to find supranuclear cataracts in an </w:t>
      </w:r>
      <w:r w:rsidR="00AA1304" w:rsidRPr="009A74DB">
        <w:rPr>
          <w:rFonts w:ascii="Arial" w:hAnsi="Arial" w:cs="Arial"/>
          <w:color w:val="000000" w:themeColor="text1"/>
        </w:rPr>
        <w:t>in-</w:t>
      </w:r>
      <w:r w:rsidRPr="009A74DB">
        <w:rPr>
          <w:rFonts w:ascii="Arial" w:hAnsi="Arial" w:cs="Arial"/>
          <w:color w:val="000000" w:themeColor="text1"/>
        </w:rPr>
        <w:t>vivo analysis of cataract in participants with AD by Bei et al.</w:t>
      </w:r>
      <w:r w:rsidR="009726D6" w:rsidRPr="009A74DB">
        <w:rPr>
          <w:rFonts w:ascii="Arial" w:hAnsi="Arial" w:cs="Arial"/>
          <w:color w:val="000000" w:themeColor="text1"/>
          <w:vertAlign w:val="superscript"/>
        </w:rPr>
        <w:t>29</w:t>
      </w:r>
      <w:r w:rsidRPr="009A74DB">
        <w:rPr>
          <w:rFonts w:ascii="Arial" w:hAnsi="Arial" w:cs="Arial"/>
          <w:color w:val="000000" w:themeColor="text1"/>
        </w:rPr>
        <w:t xml:space="preserve">    </w:t>
      </w:r>
    </w:p>
    <w:p w14:paraId="4D6CE7B1" w14:textId="540B9AC7" w:rsidR="007565AA" w:rsidRPr="009A74DB" w:rsidRDefault="007565AA" w:rsidP="009C4263">
      <w:pPr>
        <w:spacing w:line="480" w:lineRule="auto"/>
        <w:rPr>
          <w:rFonts w:ascii="Arial" w:hAnsi="Arial" w:cs="Arial"/>
          <w:color w:val="000000" w:themeColor="text1"/>
        </w:rPr>
      </w:pPr>
    </w:p>
    <w:p w14:paraId="6E724B53" w14:textId="68499FF4" w:rsidR="00C0632E" w:rsidRPr="009A74DB" w:rsidRDefault="00C0632E" w:rsidP="009C4263">
      <w:pPr>
        <w:spacing w:line="480" w:lineRule="auto"/>
        <w:rPr>
          <w:rFonts w:ascii="Arial" w:hAnsi="Arial" w:cs="Arial"/>
          <w:color w:val="000000" w:themeColor="text1"/>
        </w:rPr>
      </w:pPr>
      <w:r w:rsidRPr="009A74DB">
        <w:rPr>
          <w:rFonts w:ascii="Arial" w:hAnsi="Arial" w:cs="Arial"/>
          <w:color w:val="000000" w:themeColor="text1"/>
        </w:rPr>
        <w:t>Th</w:t>
      </w:r>
      <w:r w:rsidR="009B2FCB" w:rsidRPr="009A74DB">
        <w:rPr>
          <w:rFonts w:ascii="Arial" w:hAnsi="Arial" w:cs="Arial"/>
          <w:color w:val="000000" w:themeColor="text1"/>
        </w:rPr>
        <w:t>e present</w:t>
      </w:r>
      <w:r w:rsidRPr="009A74DB">
        <w:rPr>
          <w:rFonts w:ascii="Arial" w:hAnsi="Arial" w:cs="Arial"/>
          <w:color w:val="000000" w:themeColor="text1"/>
        </w:rPr>
        <w:t xml:space="preserve"> study </w:t>
      </w:r>
      <w:r w:rsidR="009B2FCB" w:rsidRPr="009A74DB">
        <w:rPr>
          <w:rFonts w:ascii="Arial" w:hAnsi="Arial" w:cs="Arial"/>
          <w:color w:val="000000" w:themeColor="text1"/>
        </w:rPr>
        <w:t>found no</w:t>
      </w:r>
      <w:r w:rsidRPr="009A74DB">
        <w:rPr>
          <w:rFonts w:ascii="Arial" w:hAnsi="Arial" w:cs="Arial"/>
          <w:color w:val="000000" w:themeColor="text1"/>
        </w:rPr>
        <w:t xml:space="preserve"> evidence that individuals with DS have earlier </w:t>
      </w:r>
      <w:r w:rsidR="009B2FCB" w:rsidRPr="009A74DB">
        <w:rPr>
          <w:rFonts w:ascii="Arial" w:hAnsi="Arial" w:cs="Arial"/>
          <w:color w:val="000000" w:themeColor="text1"/>
        </w:rPr>
        <w:t>‘</w:t>
      </w:r>
      <w:r w:rsidRPr="009A74DB">
        <w:rPr>
          <w:rFonts w:ascii="Arial" w:hAnsi="Arial" w:cs="Arial"/>
          <w:color w:val="000000" w:themeColor="text1"/>
        </w:rPr>
        <w:t>age-related</w:t>
      </w:r>
      <w:r w:rsidR="009B2FCB" w:rsidRPr="009A74DB">
        <w:rPr>
          <w:rFonts w:ascii="Arial" w:hAnsi="Arial" w:cs="Arial"/>
          <w:color w:val="000000" w:themeColor="text1"/>
        </w:rPr>
        <w:t>’</w:t>
      </w:r>
      <w:r w:rsidRPr="009A74DB">
        <w:rPr>
          <w:rFonts w:ascii="Arial" w:hAnsi="Arial" w:cs="Arial"/>
          <w:color w:val="000000" w:themeColor="text1"/>
        </w:rPr>
        <w:t xml:space="preserve"> nuclear lens changes compared </w:t>
      </w:r>
      <w:r w:rsidR="009B2FCB" w:rsidRPr="009A74DB">
        <w:rPr>
          <w:rFonts w:ascii="Arial" w:hAnsi="Arial" w:cs="Arial"/>
          <w:color w:val="000000" w:themeColor="text1"/>
        </w:rPr>
        <w:t>with</w:t>
      </w:r>
      <w:r w:rsidRPr="009A74DB">
        <w:rPr>
          <w:rFonts w:ascii="Arial" w:hAnsi="Arial" w:cs="Arial"/>
          <w:color w:val="000000" w:themeColor="text1"/>
        </w:rPr>
        <w:t xml:space="preserve"> the typically ageing eye.  Only three DS participants had NO or NC grades over 1.0, and they were 55.4, 53.9 and 54.7 years of age.  These participants were all in the same age bracket as </w:t>
      </w:r>
      <w:r w:rsidR="003E1637" w:rsidRPr="009A74DB">
        <w:rPr>
          <w:rFonts w:ascii="Arial" w:hAnsi="Arial" w:cs="Arial"/>
          <w:color w:val="000000" w:themeColor="text1"/>
        </w:rPr>
        <w:t xml:space="preserve">our </w:t>
      </w:r>
      <w:r w:rsidRPr="009A74DB">
        <w:rPr>
          <w:rFonts w:ascii="Arial" w:hAnsi="Arial" w:cs="Arial"/>
          <w:color w:val="000000" w:themeColor="text1"/>
        </w:rPr>
        <w:t>control</w:t>
      </w:r>
      <w:r w:rsidR="003E1637" w:rsidRPr="009A74DB">
        <w:rPr>
          <w:rFonts w:ascii="Arial" w:hAnsi="Arial" w:cs="Arial"/>
          <w:color w:val="000000" w:themeColor="text1"/>
        </w:rPr>
        <w:t xml:space="preserve"> group</w:t>
      </w:r>
      <w:r w:rsidRPr="009A74DB">
        <w:rPr>
          <w:rFonts w:ascii="Arial" w:hAnsi="Arial" w:cs="Arial"/>
          <w:color w:val="000000" w:themeColor="text1"/>
        </w:rPr>
        <w:t xml:space="preserve"> and their LOCS III nuclear grades fit within the normal range of the control</w:t>
      </w:r>
      <w:r w:rsidR="003E1637" w:rsidRPr="009A74DB">
        <w:rPr>
          <w:rFonts w:ascii="Arial" w:hAnsi="Arial" w:cs="Arial"/>
          <w:color w:val="000000" w:themeColor="text1"/>
        </w:rPr>
        <w:t xml:space="preserve"> group’</w:t>
      </w:r>
      <w:r w:rsidRPr="009A74DB">
        <w:rPr>
          <w:rFonts w:ascii="Arial" w:hAnsi="Arial" w:cs="Arial"/>
          <w:color w:val="000000" w:themeColor="text1"/>
        </w:rPr>
        <w:t xml:space="preserve">s distributions.   When comparing AS-OCT nuclear PIR values between </w:t>
      </w:r>
      <w:r w:rsidR="009B2FCB" w:rsidRPr="009A74DB">
        <w:rPr>
          <w:rFonts w:ascii="Arial" w:hAnsi="Arial" w:cs="Arial"/>
          <w:color w:val="000000" w:themeColor="text1"/>
        </w:rPr>
        <w:t xml:space="preserve">the </w:t>
      </w:r>
      <w:r w:rsidRPr="009A74DB">
        <w:rPr>
          <w:rFonts w:ascii="Arial" w:hAnsi="Arial" w:cs="Arial"/>
          <w:color w:val="000000" w:themeColor="text1"/>
        </w:rPr>
        <w:t>DS and control</w:t>
      </w:r>
      <w:r w:rsidR="009B2FCB" w:rsidRPr="009A74DB">
        <w:rPr>
          <w:rFonts w:ascii="Arial" w:hAnsi="Arial" w:cs="Arial"/>
          <w:color w:val="000000" w:themeColor="text1"/>
        </w:rPr>
        <w:t xml:space="preserve"> groups</w:t>
      </w:r>
      <w:r w:rsidRPr="009A74DB">
        <w:rPr>
          <w:rFonts w:ascii="Arial" w:hAnsi="Arial" w:cs="Arial"/>
          <w:color w:val="000000" w:themeColor="text1"/>
        </w:rPr>
        <w:t>, the re</w:t>
      </w:r>
      <w:r w:rsidR="00E2350B" w:rsidRPr="009A74DB">
        <w:rPr>
          <w:rFonts w:ascii="Arial" w:hAnsi="Arial" w:cs="Arial"/>
          <w:color w:val="000000" w:themeColor="text1"/>
        </w:rPr>
        <w:t>sults were similar to LOCS</w:t>
      </w:r>
      <w:r w:rsidR="003005CF" w:rsidRPr="009A74DB">
        <w:rPr>
          <w:rFonts w:ascii="Arial" w:hAnsi="Arial" w:cs="Arial"/>
          <w:color w:val="000000" w:themeColor="text1"/>
        </w:rPr>
        <w:t xml:space="preserve"> </w:t>
      </w:r>
      <w:r w:rsidR="00E2350B" w:rsidRPr="009A74DB">
        <w:rPr>
          <w:rFonts w:ascii="Arial" w:hAnsi="Arial" w:cs="Arial"/>
          <w:color w:val="000000" w:themeColor="text1"/>
        </w:rPr>
        <w:t>III classification</w:t>
      </w:r>
      <w:r w:rsidR="009B2FCB" w:rsidRPr="009A74DB">
        <w:rPr>
          <w:rFonts w:ascii="Arial" w:hAnsi="Arial" w:cs="Arial"/>
          <w:color w:val="000000" w:themeColor="text1"/>
        </w:rPr>
        <w:t xml:space="preserve">, demonstrating </w:t>
      </w:r>
      <w:r w:rsidRPr="009A74DB">
        <w:rPr>
          <w:rFonts w:ascii="Arial" w:hAnsi="Arial" w:cs="Arial"/>
          <w:color w:val="000000" w:themeColor="text1"/>
        </w:rPr>
        <w:t>significantly lower</w:t>
      </w:r>
      <w:r w:rsidR="00E2350B" w:rsidRPr="009A74DB">
        <w:rPr>
          <w:rFonts w:ascii="Arial" w:hAnsi="Arial" w:cs="Arial"/>
          <w:color w:val="000000" w:themeColor="text1"/>
        </w:rPr>
        <w:t xml:space="preserve"> nuclear PIR</w:t>
      </w:r>
      <w:r w:rsidRPr="009A74DB">
        <w:rPr>
          <w:rFonts w:ascii="Arial" w:hAnsi="Arial" w:cs="Arial"/>
          <w:color w:val="000000" w:themeColor="text1"/>
        </w:rPr>
        <w:t xml:space="preserve"> </w:t>
      </w:r>
      <w:r w:rsidR="009B2FCB" w:rsidRPr="009A74DB">
        <w:rPr>
          <w:rFonts w:ascii="Arial" w:hAnsi="Arial" w:cs="Arial"/>
          <w:color w:val="000000" w:themeColor="text1"/>
        </w:rPr>
        <w:t xml:space="preserve">in the DS </w:t>
      </w:r>
      <w:r w:rsidRPr="009A74DB">
        <w:rPr>
          <w:rFonts w:ascii="Arial" w:hAnsi="Arial" w:cs="Arial"/>
          <w:color w:val="000000" w:themeColor="text1"/>
        </w:rPr>
        <w:t>compared to contro</w:t>
      </w:r>
      <w:r w:rsidR="009B2FCB" w:rsidRPr="009A74DB">
        <w:rPr>
          <w:rFonts w:ascii="Arial" w:hAnsi="Arial" w:cs="Arial"/>
          <w:color w:val="000000" w:themeColor="text1"/>
        </w:rPr>
        <w:t>l group</w:t>
      </w:r>
      <w:r w:rsidRPr="009A74DB">
        <w:rPr>
          <w:rFonts w:ascii="Arial" w:hAnsi="Arial" w:cs="Arial"/>
          <w:color w:val="000000" w:themeColor="text1"/>
        </w:rPr>
        <w:t>.</w:t>
      </w:r>
    </w:p>
    <w:p w14:paraId="1B132990" w14:textId="77777777" w:rsidR="0091256A" w:rsidRPr="009A74DB" w:rsidRDefault="0091256A" w:rsidP="009C4263">
      <w:pPr>
        <w:spacing w:line="480" w:lineRule="auto"/>
        <w:rPr>
          <w:rFonts w:ascii="Arial" w:hAnsi="Arial" w:cs="Arial"/>
          <w:color w:val="000000" w:themeColor="text1"/>
        </w:rPr>
      </w:pPr>
    </w:p>
    <w:p w14:paraId="7B1AD177" w14:textId="0FC33C31" w:rsidR="004D61FE" w:rsidRPr="009A74DB" w:rsidRDefault="001C5321" w:rsidP="009C4263">
      <w:pPr>
        <w:spacing w:line="480" w:lineRule="auto"/>
        <w:rPr>
          <w:rFonts w:ascii="Arial" w:hAnsi="Arial" w:cs="Arial"/>
          <w:color w:val="000000" w:themeColor="text1"/>
        </w:rPr>
      </w:pPr>
      <w:r w:rsidRPr="009A74DB">
        <w:rPr>
          <w:rFonts w:ascii="Arial" w:hAnsi="Arial" w:cs="Arial"/>
          <w:color w:val="000000" w:themeColor="text1"/>
        </w:rPr>
        <w:t xml:space="preserve">When compared to </w:t>
      </w:r>
      <w:r w:rsidR="004D61FE" w:rsidRPr="009A74DB">
        <w:rPr>
          <w:rFonts w:ascii="Arial" w:hAnsi="Arial" w:cs="Arial"/>
          <w:color w:val="000000" w:themeColor="text1"/>
        </w:rPr>
        <w:t>the literature describing the prevalence of crystalline lens opacities in DS</w:t>
      </w:r>
      <w:r w:rsidRPr="009A74DB">
        <w:rPr>
          <w:rFonts w:ascii="Arial" w:hAnsi="Arial" w:cs="Arial"/>
          <w:color w:val="000000" w:themeColor="text1"/>
        </w:rPr>
        <w:t>, th</w:t>
      </w:r>
      <w:r w:rsidR="009B2FCB" w:rsidRPr="009A74DB">
        <w:rPr>
          <w:rFonts w:ascii="Arial" w:hAnsi="Arial" w:cs="Arial"/>
          <w:color w:val="000000" w:themeColor="text1"/>
        </w:rPr>
        <w:t>e present</w:t>
      </w:r>
      <w:r w:rsidRPr="009A74DB">
        <w:rPr>
          <w:rFonts w:ascii="Arial" w:hAnsi="Arial" w:cs="Arial"/>
          <w:color w:val="000000" w:themeColor="text1"/>
        </w:rPr>
        <w:t xml:space="preserve"> study </w:t>
      </w:r>
      <w:r w:rsidR="004D61FE" w:rsidRPr="009A74DB">
        <w:rPr>
          <w:rFonts w:ascii="Arial" w:hAnsi="Arial" w:cs="Arial"/>
          <w:color w:val="000000" w:themeColor="text1"/>
        </w:rPr>
        <w:t>identifies</w:t>
      </w:r>
      <w:r w:rsidR="00BA4905" w:rsidRPr="009A74DB">
        <w:rPr>
          <w:rFonts w:ascii="Arial" w:hAnsi="Arial" w:cs="Arial"/>
          <w:color w:val="000000" w:themeColor="text1"/>
        </w:rPr>
        <w:t xml:space="preserve"> opacity in</w:t>
      </w:r>
      <w:r w:rsidR="004D61FE" w:rsidRPr="009A74DB">
        <w:rPr>
          <w:rFonts w:ascii="Arial" w:hAnsi="Arial" w:cs="Arial"/>
          <w:color w:val="000000" w:themeColor="text1"/>
        </w:rPr>
        <w:t xml:space="preserve"> </w:t>
      </w:r>
      <w:r w:rsidR="00AA1304" w:rsidRPr="009A74DB">
        <w:rPr>
          <w:rFonts w:ascii="Arial" w:hAnsi="Arial" w:cs="Arial"/>
          <w:color w:val="000000" w:themeColor="text1"/>
        </w:rPr>
        <w:t>54% of the 54</w:t>
      </w:r>
      <w:r w:rsidRPr="009A74DB">
        <w:rPr>
          <w:rFonts w:ascii="Arial" w:hAnsi="Arial" w:cs="Arial"/>
          <w:color w:val="000000" w:themeColor="text1"/>
        </w:rPr>
        <w:t xml:space="preserve"> eyes</w:t>
      </w:r>
      <w:r w:rsidR="00BA4905" w:rsidRPr="009A74DB">
        <w:rPr>
          <w:rFonts w:ascii="Arial" w:hAnsi="Arial" w:cs="Arial"/>
          <w:color w:val="000000" w:themeColor="text1"/>
        </w:rPr>
        <w:t>:</w:t>
      </w:r>
      <w:r w:rsidRPr="009A74DB">
        <w:rPr>
          <w:rFonts w:ascii="Arial" w:hAnsi="Arial" w:cs="Arial"/>
          <w:color w:val="000000" w:themeColor="text1"/>
        </w:rPr>
        <w:t xml:space="preserve"> </w:t>
      </w:r>
      <w:r w:rsidR="00BA4905" w:rsidRPr="009A74DB">
        <w:rPr>
          <w:rFonts w:ascii="Arial" w:hAnsi="Arial" w:cs="Arial"/>
          <w:color w:val="000000" w:themeColor="text1"/>
        </w:rPr>
        <w:t>p</w:t>
      </w:r>
      <w:r w:rsidRPr="009A74DB">
        <w:rPr>
          <w:rFonts w:ascii="Arial" w:hAnsi="Arial" w:cs="Arial"/>
          <w:color w:val="000000" w:themeColor="text1"/>
        </w:rPr>
        <w:t>revious studies have reported prevalence ranging from 4-72%</w:t>
      </w:r>
      <w:r w:rsidR="004371EA" w:rsidRPr="009A74DB">
        <w:rPr>
          <w:rFonts w:ascii="Arial" w:hAnsi="Arial" w:cs="Arial"/>
          <w:color w:val="000000" w:themeColor="text1"/>
        </w:rPr>
        <w:t>.</w:t>
      </w:r>
      <w:r w:rsidR="004371EA" w:rsidRPr="009A74DB">
        <w:rPr>
          <w:rFonts w:ascii="Arial" w:hAnsi="Arial" w:cs="Arial"/>
          <w:color w:val="000000" w:themeColor="text1"/>
          <w:vertAlign w:val="superscript"/>
        </w:rPr>
        <w:t>8-1</w:t>
      </w:r>
      <w:r w:rsidR="009726D6" w:rsidRPr="009A74DB">
        <w:rPr>
          <w:rFonts w:ascii="Arial" w:hAnsi="Arial" w:cs="Arial"/>
          <w:color w:val="000000" w:themeColor="text1"/>
          <w:vertAlign w:val="superscript"/>
        </w:rPr>
        <w:t>3</w:t>
      </w:r>
      <w:r w:rsidRPr="009A74DB">
        <w:rPr>
          <w:rFonts w:ascii="Arial" w:hAnsi="Arial" w:cs="Arial"/>
          <w:color w:val="000000" w:themeColor="text1"/>
        </w:rPr>
        <w:t xml:space="preserve"> </w:t>
      </w:r>
      <w:r w:rsidR="004D61FE" w:rsidRPr="009A74DB">
        <w:rPr>
          <w:rFonts w:ascii="Arial" w:hAnsi="Arial" w:cs="Arial"/>
          <w:color w:val="000000" w:themeColor="text1"/>
        </w:rPr>
        <w:t xml:space="preserve">Studies reporting </w:t>
      </w:r>
      <w:r w:rsidRPr="009A74DB">
        <w:rPr>
          <w:rFonts w:ascii="Arial" w:hAnsi="Arial" w:cs="Arial"/>
          <w:color w:val="000000" w:themeColor="text1"/>
        </w:rPr>
        <w:t xml:space="preserve">low </w:t>
      </w:r>
      <w:r w:rsidR="004D61FE" w:rsidRPr="009A74DB">
        <w:rPr>
          <w:rFonts w:ascii="Arial" w:hAnsi="Arial" w:cs="Arial"/>
          <w:color w:val="000000" w:themeColor="text1"/>
        </w:rPr>
        <w:t xml:space="preserve">levels </w:t>
      </w:r>
      <w:r w:rsidRPr="009A74DB">
        <w:rPr>
          <w:rFonts w:ascii="Arial" w:hAnsi="Arial" w:cs="Arial"/>
          <w:color w:val="000000" w:themeColor="text1"/>
        </w:rPr>
        <w:t xml:space="preserve">of lens opacity were </w:t>
      </w:r>
      <w:r w:rsidR="004D61FE" w:rsidRPr="009A74DB">
        <w:rPr>
          <w:rFonts w:ascii="Arial" w:hAnsi="Arial" w:cs="Arial"/>
          <w:color w:val="000000" w:themeColor="text1"/>
        </w:rPr>
        <w:t xml:space="preserve">primarily </w:t>
      </w:r>
      <w:r w:rsidRPr="009A74DB">
        <w:rPr>
          <w:rFonts w:ascii="Arial" w:hAnsi="Arial" w:cs="Arial"/>
          <w:color w:val="000000" w:themeColor="text1"/>
        </w:rPr>
        <w:t>conducted in children and adolescents</w:t>
      </w:r>
      <w:r w:rsidR="004D61FE" w:rsidRPr="009A74DB">
        <w:rPr>
          <w:rFonts w:ascii="Arial" w:hAnsi="Arial" w:cs="Arial"/>
          <w:color w:val="000000" w:themeColor="text1"/>
        </w:rPr>
        <w:t xml:space="preserve"> and this finding chimes</w:t>
      </w:r>
      <w:r w:rsidRPr="009A74DB">
        <w:rPr>
          <w:rFonts w:ascii="Arial" w:hAnsi="Arial" w:cs="Arial"/>
          <w:color w:val="000000" w:themeColor="text1"/>
        </w:rPr>
        <w:t xml:space="preserve"> </w:t>
      </w:r>
      <w:r w:rsidR="004D61FE" w:rsidRPr="009A74DB">
        <w:rPr>
          <w:rFonts w:ascii="Arial" w:hAnsi="Arial" w:cs="Arial"/>
          <w:color w:val="000000" w:themeColor="text1"/>
        </w:rPr>
        <w:t xml:space="preserve">with the present study in which all participants under 12 years of age (where imaging was possible, n=5) had clear lenses. </w:t>
      </w:r>
    </w:p>
    <w:p w14:paraId="53E8121C" w14:textId="2AED4D39" w:rsidR="004D61FE" w:rsidRPr="009A74DB" w:rsidRDefault="004D61FE" w:rsidP="009C4263">
      <w:pPr>
        <w:spacing w:line="480" w:lineRule="auto"/>
        <w:rPr>
          <w:rFonts w:ascii="Arial" w:hAnsi="Arial" w:cs="Arial"/>
          <w:color w:val="000000" w:themeColor="text1"/>
        </w:rPr>
      </w:pPr>
    </w:p>
    <w:p w14:paraId="1CBE3F43" w14:textId="47CC377E" w:rsidR="001C5321" w:rsidRPr="009A74DB" w:rsidRDefault="004D61FE" w:rsidP="009C4263">
      <w:pPr>
        <w:spacing w:line="480" w:lineRule="auto"/>
        <w:rPr>
          <w:rFonts w:ascii="Arial" w:hAnsi="Arial" w:cs="Arial"/>
          <w:color w:val="000000" w:themeColor="text1"/>
        </w:rPr>
      </w:pPr>
      <w:r w:rsidRPr="009A74DB">
        <w:rPr>
          <w:rFonts w:ascii="Arial" w:hAnsi="Arial" w:cs="Arial"/>
          <w:color w:val="000000" w:themeColor="text1"/>
        </w:rPr>
        <w:t>Considering previous studies of adult DS eyes, our findings are similar to those reported by</w:t>
      </w:r>
      <w:r w:rsidR="001C5321" w:rsidRPr="009A74DB">
        <w:rPr>
          <w:rFonts w:ascii="Arial" w:hAnsi="Arial" w:cs="Arial"/>
          <w:color w:val="000000" w:themeColor="text1"/>
        </w:rPr>
        <w:t xml:space="preserve"> Jaeger</w:t>
      </w:r>
      <w:r w:rsidR="004371EA" w:rsidRPr="009A74DB">
        <w:rPr>
          <w:rFonts w:ascii="Arial" w:hAnsi="Arial" w:cs="Arial"/>
          <w:color w:val="000000" w:themeColor="text1"/>
          <w:vertAlign w:val="superscript"/>
        </w:rPr>
        <w:t>8</w:t>
      </w:r>
      <w:r w:rsidR="001C5321" w:rsidRPr="009A74DB">
        <w:rPr>
          <w:rFonts w:ascii="Arial" w:hAnsi="Arial" w:cs="Arial"/>
          <w:color w:val="000000" w:themeColor="text1"/>
        </w:rPr>
        <w:t xml:space="preserve"> </w:t>
      </w:r>
      <w:r w:rsidRPr="009A74DB">
        <w:rPr>
          <w:rFonts w:ascii="Arial" w:hAnsi="Arial" w:cs="Arial"/>
          <w:color w:val="000000" w:themeColor="text1"/>
        </w:rPr>
        <w:t>who</w:t>
      </w:r>
      <w:r w:rsidR="00E174B4" w:rsidRPr="009A74DB">
        <w:rPr>
          <w:rFonts w:ascii="Arial" w:hAnsi="Arial" w:cs="Arial"/>
          <w:color w:val="000000" w:themeColor="text1"/>
        </w:rPr>
        <w:t xml:space="preserve"> undertook SL</w:t>
      </w:r>
      <w:r w:rsidRPr="009A74DB">
        <w:rPr>
          <w:rFonts w:ascii="Arial" w:hAnsi="Arial" w:cs="Arial"/>
          <w:color w:val="000000" w:themeColor="text1"/>
        </w:rPr>
        <w:t xml:space="preserve"> </w:t>
      </w:r>
      <w:r w:rsidR="001C5321" w:rsidRPr="009A74DB">
        <w:rPr>
          <w:rFonts w:ascii="Arial" w:hAnsi="Arial" w:cs="Arial"/>
          <w:color w:val="000000" w:themeColor="text1"/>
        </w:rPr>
        <w:t>examin</w:t>
      </w:r>
      <w:r w:rsidR="00E174B4" w:rsidRPr="009A74DB">
        <w:rPr>
          <w:rFonts w:ascii="Arial" w:hAnsi="Arial" w:cs="Arial"/>
          <w:color w:val="000000" w:themeColor="text1"/>
        </w:rPr>
        <w:t xml:space="preserve">ation of </w:t>
      </w:r>
      <w:r w:rsidR="001C5321" w:rsidRPr="009A74DB">
        <w:rPr>
          <w:rFonts w:ascii="Arial" w:hAnsi="Arial" w:cs="Arial"/>
          <w:color w:val="000000" w:themeColor="text1"/>
        </w:rPr>
        <w:t>the eyes of 74 participants with DS aged 15 to 64 years</w:t>
      </w:r>
      <w:r w:rsidR="00BA4905" w:rsidRPr="009A74DB">
        <w:rPr>
          <w:rFonts w:ascii="Arial" w:hAnsi="Arial" w:cs="Arial"/>
          <w:color w:val="000000" w:themeColor="text1"/>
        </w:rPr>
        <w:t>,</w:t>
      </w:r>
      <w:r w:rsidR="001C5321" w:rsidRPr="009A74DB">
        <w:rPr>
          <w:rFonts w:ascii="Arial" w:hAnsi="Arial" w:cs="Arial"/>
          <w:color w:val="000000" w:themeColor="text1"/>
        </w:rPr>
        <w:t xml:space="preserve"> and found 55.4% to have the presence of lens opacities. Of these opacities, the majority (65.8%) were describe</w:t>
      </w:r>
      <w:r w:rsidR="0010019F" w:rsidRPr="009A74DB">
        <w:rPr>
          <w:rFonts w:ascii="Arial" w:hAnsi="Arial" w:cs="Arial"/>
          <w:color w:val="000000" w:themeColor="text1"/>
        </w:rPr>
        <w:t>d</w:t>
      </w:r>
      <w:r w:rsidR="001C5321" w:rsidRPr="009A74DB">
        <w:rPr>
          <w:rFonts w:ascii="Arial" w:hAnsi="Arial" w:cs="Arial"/>
          <w:color w:val="000000" w:themeColor="text1"/>
        </w:rPr>
        <w:t xml:space="preserve"> as ‘flake-like’ opacities</w:t>
      </w:r>
      <w:r w:rsidR="009C721A" w:rsidRPr="009A74DB">
        <w:rPr>
          <w:rFonts w:ascii="Arial" w:hAnsi="Arial" w:cs="Arial"/>
          <w:color w:val="000000" w:themeColor="text1"/>
        </w:rPr>
        <w:t xml:space="preserve">, with </w:t>
      </w:r>
      <w:r w:rsidR="001C5321" w:rsidRPr="009A74DB">
        <w:rPr>
          <w:rFonts w:ascii="Arial" w:hAnsi="Arial" w:cs="Arial"/>
          <w:color w:val="000000" w:themeColor="text1"/>
        </w:rPr>
        <w:t>18.9% of</w:t>
      </w:r>
      <w:r w:rsidRPr="009A74DB">
        <w:rPr>
          <w:rFonts w:ascii="Arial" w:hAnsi="Arial" w:cs="Arial"/>
          <w:color w:val="000000" w:themeColor="text1"/>
        </w:rPr>
        <w:t xml:space="preserve"> DS</w:t>
      </w:r>
      <w:r w:rsidR="001C5321" w:rsidRPr="009A74DB">
        <w:rPr>
          <w:rFonts w:ascii="Arial" w:hAnsi="Arial" w:cs="Arial"/>
          <w:color w:val="000000" w:themeColor="text1"/>
        </w:rPr>
        <w:t xml:space="preserve"> </w:t>
      </w:r>
      <w:r w:rsidRPr="009A74DB">
        <w:rPr>
          <w:rFonts w:ascii="Arial" w:hAnsi="Arial" w:cs="Arial"/>
          <w:color w:val="000000" w:themeColor="text1"/>
        </w:rPr>
        <w:t>participants</w:t>
      </w:r>
      <w:r w:rsidR="001C5321" w:rsidRPr="009A74DB">
        <w:rPr>
          <w:rFonts w:ascii="Arial" w:hAnsi="Arial" w:cs="Arial"/>
          <w:color w:val="000000" w:themeColor="text1"/>
        </w:rPr>
        <w:t xml:space="preserve"> </w:t>
      </w:r>
      <w:r w:rsidR="00AB7F2C" w:rsidRPr="009A74DB">
        <w:rPr>
          <w:rFonts w:ascii="Arial" w:hAnsi="Arial" w:cs="Arial"/>
          <w:color w:val="000000" w:themeColor="text1"/>
        </w:rPr>
        <w:t xml:space="preserve">(average age 48 years) </w:t>
      </w:r>
      <w:r w:rsidR="009C721A" w:rsidRPr="009A74DB">
        <w:rPr>
          <w:rFonts w:ascii="Arial" w:hAnsi="Arial" w:cs="Arial"/>
          <w:color w:val="000000" w:themeColor="text1"/>
        </w:rPr>
        <w:t>exhibiting</w:t>
      </w:r>
      <w:r w:rsidR="001C5321" w:rsidRPr="009A74DB">
        <w:rPr>
          <w:rFonts w:ascii="Arial" w:hAnsi="Arial" w:cs="Arial"/>
          <w:color w:val="000000" w:themeColor="text1"/>
        </w:rPr>
        <w:t xml:space="preserve"> age-related cataract.</w:t>
      </w:r>
      <w:r w:rsidR="00647293" w:rsidRPr="009A74DB">
        <w:rPr>
          <w:rFonts w:ascii="Arial" w:hAnsi="Arial" w:cs="Arial"/>
          <w:color w:val="000000" w:themeColor="text1"/>
          <w:vertAlign w:val="superscript"/>
        </w:rPr>
        <w:t>8</w:t>
      </w:r>
      <w:r w:rsidR="001C5321" w:rsidRPr="009A74DB">
        <w:rPr>
          <w:rFonts w:ascii="Arial" w:hAnsi="Arial" w:cs="Arial"/>
          <w:color w:val="000000" w:themeColor="text1"/>
        </w:rPr>
        <w:t xml:space="preserve"> </w:t>
      </w:r>
      <w:r w:rsidR="00353B0C" w:rsidRPr="009A74DB">
        <w:rPr>
          <w:rFonts w:ascii="Arial" w:hAnsi="Arial" w:cs="Arial"/>
          <w:color w:val="000000" w:themeColor="text1"/>
        </w:rPr>
        <w:t xml:space="preserve">More recently </w:t>
      </w:r>
      <w:r w:rsidR="001C5321" w:rsidRPr="009A74DB">
        <w:rPr>
          <w:rFonts w:ascii="Arial" w:hAnsi="Arial" w:cs="Arial"/>
          <w:color w:val="000000" w:themeColor="text1"/>
        </w:rPr>
        <w:t>Fong et at.</w:t>
      </w:r>
      <w:r w:rsidR="00647293"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0</w:t>
      </w:r>
      <w:r w:rsidR="001C5321" w:rsidRPr="009A74DB">
        <w:rPr>
          <w:rFonts w:ascii="Arial" w:hAnsi="Arial" w:cs="Arial"/>
          <w:color w:val="000000" w:themeColor="text1"/>
        </w:rPr>
        <w:t xml:space="preserve"> </w:t>
      </w:r>
      <w:r w:rsidR="00BA48A5" w:rsidRPr="009A74DB">
        <w:rPr>
          <w:rFonts w:ascii="Arial" w:hAnsi="Arial" w:cs="Arial"/>
          <w:color w:val="000000" w:themeColor="text1"/>
        </w:rPr>
        <w:t>examined</w:t>
      </w:r>
      <w:r w:rsidR="001C5321" w:rsidRPr="009A74DB">
        <w:rPr>
          <w:rFonts w:ascii="Arial" w:hAnsi="Arial" w:cs="Arial"/>
          <w:color w:val="000000" w:themeColor="text1"/>
        </w:rPr>
        <w:t xml:space="preserve"> 91 adults </w:t>
      </w:r>
      <w:r w:rsidR="00BA48A5" w:rsidRPr="009A74DB">
        <w:rPr>
          <w:rFonts w:ascii="Arial" w:hAnsi="Arial" w:cs="Arial"/>
          <w:color w:val="000000" w:themeColor="text1"/>
        </w:rPr>
        <w:t xml:space="preserve">with DS </w:t>
      </w:r>
      <w:r w:rsidR="001C5321" w:rsidRPr="009A74DB">
        <w:rPr>
          <w:rFonts w:ascii="Arial" w:hAnsi="Arial" w:cs="Arial"/>
          <w:color w:val="000000" w:themeColor="text1"/>
        </w:rPr>
        <w:t xml:space="preserve">aged from 30 to 56 years, </w:t>
      </w:r>
      <w:r w:rsidR="00BA48A5" w:rsidRPr="009A74DB">
        <w:rPr>
          <w:rFonts w:ascii="Arial" w:hAnsi="Arial" w:cs="Arial"/>
          <w:color w:val="000000" w:themeColor="text1"/>
        </w:rPr>
        <w:t>and report that</w:t>
      </w:r>
      <w:r w:rsidR="001C5321" w:rsidRPr="009A74DB">
        <w:rPr>
          <w:rFonts w:ascii="Arial" w:hAnsi="Arial" w:cs="Arial"/>
          <w:color w:val="000000" w:themeColor="text1"/>
        </w:rPr>
        <w:t xml:space="preserve"> 72% of participants </w:t>
      </w:r>
      <w:r w:rsidR="00BA48A5" w:rsidRPr="009A74DB">
        <w:rPr>
          <w:rFonts w:ascii="Arial" w:hAnsi="Arial" w:cs="Arial"/>
          <w:color w:val="000000" w:themeColor="text1"/>
        </w:rPr>
        <w:t xml:space="preserve">presented with lens </w:t>
      </w:r>
      <w:r w:rsidR="001C5321" w:rsidRPr="009A74DB">
        <w:rPr>
          <w:rFonts w:ascii="Arial" w:hAnsi="Arial" w:cs="Arial"/>
          <w:color w:val="000000" w:themeColor="text1"/>
        </w:rPr>
        <w:t>opacities.  Of those opacities, 50.6% were described as blue</w:t>
      </w:r>
      <w:r w:rsidR="00BA5A1C" w:rsidRPr="009A74DB">
        <w:rPr>
          <w:rFonts w:ascii="Arial" w:hAnsi="Arial" w:cs="Arial"/>
          <w:color w:val="000000" w:themeColor="text1"/>
        </w:rPr>
        <w:t>-</w:t>
      </w:r>
      <w:r w:rsidR="001C5321" w:rsidRPr="009A74DB">
        <w:rPr>
          <w:rFonts w:ascii="Arial" w:hAnsi="Arial" w:cs="Arial"/>
          <w:color w:val="000000" w:themeColor="text1"/>
        </w:rPr>
        <w:t xml:space="preserve">dot cataract and 45% </w:t>
      </w:r>
      <w:r w:rsidR="00BA48A5" w:rsidRPr="009A74DB">
        <w:rPr>
          <w:rFonts w:ascii="Arial" w:hAnsi="Arial" w:cs="Arial"/>
          <w:color w:val="000000" w:themeColor="text1"/>
        </w:rPr>
        <w:t>described as ‘</w:t>
      </w:r>
      <w:r w:rsidR="001C5321" w:rsidRPr="009A74DB">
        <w:rPr>
          <w:rFonts w:ascii="Arial" w:hAnsi="Arial" w:cs="Arial"/>
          <w:color w:val="000000" w:themeColor="text1"/>
        </w:rPr>
        <w:t>age-related</w:t>
      </w:r>
      <w:r w:rsidR="00BA48A5" w:rsidRPr="009A74DB">
        <w:rPr>
          <w:rFonts w:ascii="Arial" w:hAnsi="Arial" w:cs="Arial"/>
          <w:color w:val="000000" w:themeColor="text1"/>
        </w:rPr>
        <w:t>’</w:t>
      </w:r>
      <w:r w:rsidR="001C5321" w:rsidRPr="009A74DB">
        <w:rPr>
          <w:rFonts w:ascii="Arial" w:hAnsi="Arial" w:cs="Arial"/>
          <w:color w:val="000000" w:themeColor="text1"/>
        </w:rPr>
        <w:t xml:space="preserve"> </w:t>
      </w:r>
      <w:r w:rsidR="00BA48A5" w:rsidRPr="009A74DB">
        <w:rPr>
          <w:rFonts w:ascii="Arial" w:hAnsi="Arial" w:cs="Arial"/>
          <w:color w:val="000000" w:themeColor="text1"/>
        </w:rPr>
        <w:t>(</w:t>
      </w:r>
      <w:r w:rsidR="001C5321" w:rsidRPr="009A74DB">
        <w:rPr>
          <w:rFonts w:ascii="Arial" w:hAnsi="Arial" w:cs="Arial"/>
          <w:color w:val="000000" w:themeColor="text1"/>
        </w:rPr>
        <w:t>38% nuclear, 13.6% cortical and 8.5% PS</w:t>
      </w:r>
      <w:r w:rsidR="0037387C" w:rsidRPr="009A74DB">
        <w:rPr>
          <w:rFonts w:ascii="Arial" w:hAnsi="Arial" w:cs="Arial"/>
          <w:color w:val="000000" w:themeColor="text1"/>
        </w:rPr>
        <w:t>C</w:t>
      </w:r>
      <w:r w:rsidR="003E1637" w:rsidRPr="009A74DB">
        <w:rPr>
          <w:rFonts w:ascii="Arial" w:hAnsi="Arial" w:cs="Arial"/>
          <w:color w:val="000000" w:themeColor="text1"/>
        </w:rPr>
        <w:t>)</w:t>
      </w:r>
      <w:r w:rsidR="001C5321" w:rsidRPr="009A74DB">
        <w:rPr>
          <w:rFonts w:ascii="Arial" w:hAnsi="Arial" w:cs="Arial"/>
          <w:color w:val="000000" w:themeColor="text1"/>
        </w:rPr>
        <w:t>.  These prevalence rates align quite well with those found in this study</w:t>
      </w:r>
      <w:r w:rsidR="00F16EF8" w:rsidRPr="009A74DB">
        <w:rPr>
          <w:rFonts w:ascii="Arial" w:hAnsi="Arial" w:cs="Arial"/>
          <w:color w:val="000000" w:themeColor="text1"/>
        </w:rPr>
        <w:t>.</w:t>
      </w:r>
    </w:p>
    <w:p w14:paraId="498DABC1" w14:textId="77777777" w:rsidR="001C5321" w:rsidRPr="009A74DB" w:rsidRDefault="001C5321" w:rsidP="009C4263">
      <w:pPr>
        <w:spacing w:line="480" w:lineRule="auto"/>
        <w:rPr>
          <w:rFonts w:ascii="Arial" w:hAnsi="Arial" w:cs="Arial"/>
          <w:color w:val="000000" w:themeColor="text1"/>
        </w:rPr>
      </w:pPr>
    </w:p>
    <w:p w14:paraId="5B02F0B7" w14:textId="62C70F86" w:rsidR="001C5321" w:rsidRPr="009A74DB" w:rsidRDefault="000233FB" w:rsidP="009C4263">
      <w:pPr>
        <w:spacing w:line="480" w:lineRule="auto"/>
        <w:rPr>
          <w:rFonts w:ascii="Arial" w:hAnsi="Arial" w:cs="Arial"/>
          <w:strike/>
          <w:color w:val="000000" w:themeColor="text1"/>
        </w:rPr>
      </w:pPr>
      <w:r w:rsidRPr="009A74DB">
        <w:rPr>
          <w:rFonts w:ascii="Arial" w:hAnsi="Arial" w:cs="Arial"/>
          <w:color w:val="000000" w:themeColor="text1"/>
        </w:rPr>
        <w:t>The flake-like and blue-</w:t>
      </w:r>
      <w:r w:rsidR="001C5321" w:rsidRPr="009A74DB">
        <w:rPr>
          <w:rFonts w:ascii="Arial" w:hAnsi="Arial" w:cs="Arial"/>
          <w:color w:val="000000" w:themeColor="text1"/>
        </w:rPr>
        <w:t xml:space="preserve">dot opacities that </w:t>
      </w:r>
      <w:r w:rsidR="00BA48A5" w:rsidRPr="009A74DB">
        <w:rPr>
          <w:rFonts w:ascii="Arial" w:hAnsi="Arial" w:cs="Arial"/>
          <w:color w:val="000000" w:themeColor="text1"/>
        </w:rPr>
        <w:t>are reported at</w:t>
      </w:r>
      <w:r w:rsidR="001C5321" w:rsidRPr="009A74DB">
        <w:rPr>
          <w:rFonts w:ascii="Arial" w:hAnsi="Arial" w:cs="Arial"/>
          <w:color w:val="000000" w:themeColor="text1"/>
        </w:rPr>
        <w:t xml:space="preserve"> high prevale</w:t>
      </w:r>
      <w:r w:rsidR="00AA1304" w:rsidRPr="009A74DB">
        <w:rPr>
          <w:rFonts w:ascii="Arial" w:hAnsi="Arial" w:cs="Arial"/>
          <w:color w:val="000000" w:themeColor="text1"/>
        </w:rPr>
        <w:t>nce by Jaeger</w:t>
      </w:r>
      <w:r w:rsidR="00647293" w:rsidRPr="009A74DB">
        <w:rPr>
          <w:rFonts w:ascii="Arial" w:hAnsi="Arial" w:cs="Arial"/>
          <w:color w:val="000000" w:themeColor="text1"/>
          <w:vertAlign w:val="superscript"/>
        </w:rPr>
        <w:t>8</w:t>
      </w:r>
      <w:r w:rsidR="00AA1304" w:rsidRPr="009A74DB">
        <w:rPr>
          <w:rFonts w:ascii="Arial" w:hAnsi="Arial" w:cs="Arial"/>
          <w:color w:val="000000" w:themeColor="text1"/>
        </w:rPr>
        <w:t xml:space="preserve"> and</w:t>
      </w:r>
      <w:r w:rsidR="001C5321" w:rsidRPr="009A74DB">
        <w:rPr>
          <w:rFonts w:ascii="Arial" w:hAnsi="Arial" w:cs="Arial"/>
          <w:color w:val="000000" w:themeColor="text1"/>
        </w:rPr>
        <w:t xml:space="preserve"> Fong et al.</w:t>
      </w:r>
      <w:r w:rsidR="00647293" w:rsidRPr="009A74DB">
        <w:rPr>
          <w:rFonts w:ascii="Arial" w:hAnsi="Arial" w:cs="Arial"/>
          <w:color w:val="000000" w:themeColor="text1"/>
          <w:vertAlign w:val="superscript"/>
        </w:rPr>
        <w:t>1</w:t>
      </w:r>
      <w:r w:rsidR="009726D6" w:rsidRPr="009A74DB">
        <w:rPr>
          <w:rFonts w:ascii="Arial" w:hAnsi="Arial" w:cs="Arial"/>
          <w:color w:val="000000" w:themeColor="text1"/>
          <w:vertAlign w:val="superscript"/>
        </w:rPr>
        <w:t>0</w:t>
      </w:r>
      <w:r w:rsidR="001C5321" w:rsidRPr="009A74DB">
        <w:rPr>
          <w:rFonts w:ascii="Arial" w:hAnsi="Arial" w:cs="Arial"/>
          <w:color w:val="000000" w:themeColor="text1"/>
        </w:rPr>
        <w:t xml:space="preserve"> appear to be of the same morphology as the dot opacities </w:t>
      </w:r>
      <w:r w:rsidR="00B3349E" w:rsidRPr="009A74DB">
        <w:rPr>
          <w:rFonts w:ascii="Arial" w:hAnsi="Arial" w:cs="Arial"/>
          <w:color w:val="000000" w:themeColor="text1"/>
        </w:rPr>
        <w:t>imaged</w:t>
      </w:r>
      <w:r w:rsidR="001C5321" w:rsidRPr="009A74DB">
        <w:rPr>
          <w:rFonts w:ascii="Arial" w:hAnsi="Arial" w:cs="Arial"/>
          <w:color w:val="000000" w:themeColor="text1"/>
        </w:rPr>
        <w:t xml:space="preserve"> in this study.  </w:t>
      </w:r>
      <w:r w:rsidR="00ED1A5D" w:rsidRPr="009A74DB">
        <w:rPr>
          <w:rFonts w:ascii="Arial" w:hAnsi="Arial" w:cs="Arial"/>
          <w:color w:val="000000" w:themeColor="text1"/>
        </w:rPr>
        <w:t>Cerulean b</w:t>
      </w:r>
      <w:r w:rsidR="001C5321" w:rsidRPr="009A74DB">
        <w:rPr>
          <w:rFonts w:ascii="Arial" w:hAnsi="Arial" w:cs="Arial"/>
          <w:color w:val="000000" w:themeColor="text1"/>
        </w:rPr>
        <w:t>lue</w:t>
      </w:r>
      <w:r w:rsidR="00BA5A1C" w:rsidRPr="009A74DB">
        <w:rPr>
          <w:rFonts w:ascii="Arial" w:hAnsi="Arial" w:cs="Arial"/>
          <w:color w:val="000000" w:themeColor="text1"/>
        </w:rPr>
        <w:t>-</w:t>
      </w:r>
      <w:r w:rsidR="001C5321" w:rsidRPr="009A74DB">
        <w:rPr>
          <w:rFonts w:ascii="Arial" w:hAnsi="Arial" w:cs="Arial"/>
          <w:color w:val="000000" w:themeColor="text1"/>
        </w:rPr>
        <w:t>dot</w:t>
      </w:r>
      <w:r w:rsidR="00ED1A5D" w:rsidRPr="009A74DB">
        <w:rPr>
          <w:rFonts w:ascii="Arial" w:hAnsi="Arial" w:cs="Arial"/>
          <w:color w:val="000000" w:themeColor="text1"/>
        </w:rPr>
        <w:t xml:space="preserve"> </w:t>
      </w:r>
      <w:r w:rsidR="001C5321" w:rsidRPr="009A74DB">
        <w:rPr>
          <w:rFonts w:ascii="Arial" w:hAnsi="Arial" w:cs="Arial"/>
          <w:color w:val="000000" w:themeColor="text1"/>
        </w:rPr>
        <w:t xml:space="preserve">cataract is an acquired early onset lens opacity that is </w:t>
      </w:r>
      <w:r w:rsidR="00BA48A5" w:rsidRPr="009A74DB">
        <w:rPr>
          <w:rFonts w:ascii="Arial" w:hAnsi="Arial" w:cs="Arial"/>
          <w:color w:val="000000" w:themeColor="text1"/>
        </w:rPr>
        <w:t xml:space="preserve">often </w:t>
      </w:r>
      <w:r w:rsidR="001C5321" w:rsidRPr="009A74DB">
        <w:rPr>
          <w:rFonts w:ascii="Arial" w:hAnsi="Arial" w:cs="Arial"/>
          <w:color w:val="000000" w:themeColor="text1"/>
        </w:rPr>
        <w:t xml:space="preserve">noticed </w:t>
      </w:r>
      <w:r w:rsidR="00BA48A5" w:rsidRPr="009A74DB">
        <w:rPr>
          <w:rFonts w:ascii="Arial" w:hAnsi="Arial" w:cs="Arial"/>
          <w:color w:val="000000" w:themeColor="text1"/>
        </w:rPr>
        <w:t xml:space="preserve">first </w:t>
      </w:r>
      <w:r w:rsidR="001C5321" w:rsidRPr="009A74DB">
        <w:rPr>
          <w:rFonts w:ascii="Arial" w:hAnsi="Arial" w:cs="Arial"/>
          <w:color w:val="000000" w:themeColor="text1"/>
        </w:rPr>
        <w:t>in adolescence and consists of blue or white coloured opacities scattered primarily in the cortex but also in the nucleus of the crystalline lens</w:t>
      </w:r>
      <w:r w:rsidR="00A1305C" w:rsidRPr="009A74DB">
        <w:rPr>
          <w:rFonts w:ascii="Arial" w:hAnsi="Arial" w:cs="Arial"/>
          <w:color w:val="000000" w:themeColor="text1"/>
        </w:rPr>
        <w:t>.</w:t>
      </w:r>
      <w:r w:rsidR="00466E33" w:rsidRPr="009A74DB">
        <w:rPr>
          <w:rFonts w:ascii="Arial" w:hAnsi="Arial" w:cs="Arial"/>
          <w:color w:val="000000" w:themeColor="text1"/>
          <w:vertAlign w:val="superscript"/>
        </w:rPr>
        <w:t>3</w:t>
      </w:r>
      <w:r w:rsidR="009726D6" w:rsidRPr="009A74DB">
        <w:rPr>
          <w:rFonts w:ascii="Arial" w:hAnsi="Arial" w:cs="Arial"/>
          <w:color w:val="000000" w:themeColor="text1"/>
          <w:vertAlign w:val="superscript"/>
        </w:rPr>
        <w:t>0</w:t>
      </w:r>
      <w:r w:rsidR="00466E33" w:rsidRPr="009A74DB">
        <w:rPr>
          <w:rFonts w:ascii="Arial" w:hAnsi="Arial" w:cs="Arial"/>
          <w:color w:val="000000" w:themeColor="text1"/>
          <w:vertAlign w:val="superscript"/>
        </w:rPr>
        <w:t>,3</w:t>
      </w:r>
      <w:r w:rsidR="009726D6" w:rsidRPr="009A74DB">
        <w:rPr>
          <w:rFonts w:ascii="Arial" w:hAnsi="Arial" w:cs="Arial"/>
          <w:color w:val="000000" w:themeColor="text1"/>
          <w:vertAlign w:val="superscript"/>
        </w:rPr>
        <w:t>1</w:t>
      </w:r>
      <w:r w:rsidR="001C5321" w:rsidRPr="009A74DB">
        <w:rPr>
          <w:rFonts w:ascii="Arial" w:hAnsi="Arial" w:cs="Arial"/>
          <w:color w:val="000000" w:themeColor="text1"/>
        </w:rPr>
        <w:t xml:space="preserve"> </w:t>
      </w:r>
    </w:p>
    <w:p w14:paraId="165DB078" w14:textId="77777777" w:rsidR="0091256A" w:rsidRPr="009A74DB" w:rsidRDefault="0091256A" w:rsidP="009C4263">
      <w:pPr>
        <w:spacing w:line="480" w:lineRule="auto"/>
        <w:rPr>
          <w:rFonts w:ascii="Arial" w:hAnsi="Arial" w:cs="Arial"/>
          <w:color w:val="000000" w:themeColor="text1"/>
        </w:rPr>
      </w:pPr>
    </w:p>
    <w:p w14:paraId="4210AE06" w14:textId="1C6A5465" w:rsidR="00432257" w:rsidRPr="009A74DB" w:rsidRDefault="005529B1" w:rsidP="009C4263">
      <w:pPr>
        <w:spacing w:line="480" w:lineRule="auto"/>
        <w:rPr>
          <w:rFonts w:ascii="Arial" w:hAnsi="Arial" w:cs="Arial"/>
          <w:color w:val="000000" w:themeColor="text1"/>
        </w:rPr>
      </w:pPr>
      <w:r w:rsidRPr="009A74DB">
        <w:rPr>
          <w:rFonts w:ascii="Arial" w:hAnsi="Arial" w:cs="Arial"/>
          <w:color w:val="000000" w:themeColor="text1"/>
        </w:rPr>
        <w:t>AS-</w:t>
      </w:r>
      <w:r w:rsidR="0091256A" w:rsidRPr="009A74DB">
        <w:rPr>
          <w:rFonts w:ascii="Arial" w:hAnsi="Arial" w:cs="Arial"/>
          <w:color w:val="000000" w:themeColor="text1"/>
        </w:rPr>
        <w:t xml:space="preserve">OCT </w:t>
      </w:r>
      <w:r w:rsidRPr="009A74DB">
        <w:rPr>
          <w:rFonts w:ascii="Arial" w:hAnsi="Arial" w:cs="Arial"/>
          <w:color w:val="000000" w:themeColor="text1"/>
        </w:rPr>
        <w:t xml:space="preserve">imaging offers </w:t>
      </w:r>
      <w:r w:rsidR="0035244C" w:rsidRPr="009A74DB">
        <w:rPr>
          <w:rFonts w:ascii="Arial" w:hAnsi="Arial" w:cs="Arial"/>
          <w:color w:val="000000" w:themeColor="text1"/>
        </w:rPr>
        <w:t xml:space="preserve">a </w:t>
      </w:r>
      <w:r w:rsidR="00B1269D" w:rsidRPr="009A74DB">
        <w:rPr>
          <w:rFonts w:ascii="Arial" w:hAnsi="Arial" w:cs="Arial"/>
          <w:color w:val="000000" w:themeColor="text1"/>
        </w:rPr>
        <w:t xml:space="preserve">useful </w:t>
      </w:r>
      <w:r w:rsidRPr="009A74DB">
        <w:rPr>
          <w:rFonts w:ascii="Arial" w:hAnsi="Arial" w:cs="Arial"/>
          <w:color w:val="000000" w:themeColor="text1"/>
        </w:rPr>
        <w:t xml:space="preserve">way to image the crystalline lens in DS and </w:t>
      </w:r>
      <w:r w:rsidR="00B1269D" w:rsidRPr="009A74DB">
        <w:rPr>
          <w:rFonts w:ascii="Arial" w:hAnsi="Arial" w:cs="Arial"/>
          <w:color w:val="000000" w:themeColor="text1"/>
        </w:rPr>
        <w:t xml:space="preserve">was a more successful method to capture images of the lens than </w:t>
      </w:r>
      <w:r w:rsidR="0091256A" w:rsidRPr="009A74DB">
        <w:rPr>
          <w:rFonts w:ascii="Arial" w:hAnsi="Arial" w:cs="Arial"/>
          <w:color w:val="000000" w:themeColor="text1"/>
        </w:rPr>
        <w:t xml:space="preserve">SL photography. </w:t>
      </w:r>
      <w:r w:rsidR="00432257" w:rsidRPr="009A74DB">
        <w:rPr>
          <w:rFonts w:ascii="Arial" w:hAnsi="Arial" w:cs="Arial"/>
          <w:color w:val="000000" w:themeColor="text1"/>
        </w:rPr>
        <w:t xml:space="preserve">Furthermore, the OCT images have provided a unique insight into the typical location of cerulean </w:t>
      </w:r>
      <w:r w:rsidR="00585A79" w:rsidRPr="009A74DB">
        <w:rPr>
          <w:rFonts w:ascii="Arial" w:hAnsi="Arial" w:cs="Arial"/>
          <w:color w:val="000000" w:themeColor="text1"/>
        </w:rPr>
        <w:t xml:space="preserve">blue-dot </w:t>
      </w:r>
      <w:r w:rsidR="00432257" w:rsidRPr="009A74DB">
        <w:rPr>
          <w:rFonts w:ascii="Arial" w:hAnsi="Arial" w:cs="Arial"/>
          <w:color w:val="000000" w:themeColor="text1"/>
        </w:rPr>
        <w:t xml:space="preserve">opacity within the </w:t>
      </w:r>
      <w:r w:rsidR="00B1269D" w:rsidRPr="009A74DB">
        <w:rPr>
          <w:rFonts w:ascii="Arial" w:hAnsi="Arial" w:cs="Arial"/>
          <w:color w:val="000000" w:themeColor="text1"/>
        </w:rPr>
        <w:t xml:space="preserve">DS </w:t>
      </w:r>
      <w:r w:rsidR="00432257" w:rsidRPr="009A74DB">
        <w:rPr>
          <w:rFonts w:ascii="Arial" w:hAnsi="Arial" w:cs="Arial"/>
          <w:color w:val="000000" w:themeColor="text1"/>
        </w:rPr>
        <w:t>crystalline lens. As a result, th</w:t>
      </w:r>
      <w:r w:rsidR="00F74FAE" w:rsidRPr="009A74DB">
        <w:rPr>
          <w:rFonts w:ascii="Arial" w:hAnsi="Arial" w:cs="Arial"/>
          <w:color w:val="000000" w:themeColor="text1"/>
        </w:rPr>
        <w:t>e present</w:t>
      </w:r>
      <w:r w:rsidR="00432257" w:rsidRPr="009A74DB">
        <w:rPr>
          <w:rFonts w:ascii="Arial" w:hAnsi="Arial" w:cs="Arial"/>
          <w:color w:val="000000" w:themeColor="text1"/>
        </w:rPr>
        <w:t xml:space="preserve"> study has shown that cerulean cataract occurs commonly in DS, but </w:t>
      </w:r>
      <w:r w:rsidR="00F74FAE" w:rsidRPr="009A74DB">
        <w:rPr>
          <w:rFonts w:ascii="Arial" w:hAnsi="Arial" w:cs="Arial"/>
          <w:color w:val="000000" w:themeColor="text1"/>
        </w:rPr>
        <w:t xml:space="preserve">the location and </w:t>
      </w:r>
      <w:r w:rsidR="00432257" w:rsidRPr="009A74DB">
        <w:rPr>
          <w:rFonts w:ascii="Arial" w:hAnsi="Arial" w:cs="Arial"/>
          <w:color w:val="000000" w:themeColor="text1"/>
        </w:rPr>
        <w:t xml:space="preserve">morphology </w:t>
      </w:r>
      <w:r w:rsidR="00F74FAE" w:rsidRPr="009A74DB">
        <w:rPr>
          <w:rFonts w:ascii="Arial" w:hAnsi="Arial" w:cs="Arial"/>
          <w:color w:val="000000" w:themeColor="text1"/>
        </w:rPr>
        <w:t xml:space="preserve">of this cataract </w:t>
      </w:r>
      <w:r w:rsidR="00432257" w:rsidRPr="009A74DB">
        <w:rPr>
          <w:rFonts w:ascii="Arial" w:hAnsi="Arial" w:cs="Arial"/>
          <w:color w:val="000000" w:themeColor="text1"/>
        </w:rPr>
        <w:t xml:space="preserve">does not appear to coincide with the description by studies linking it with Aβ and AD.  </w:t>
      </w:r>
    </w:p>
    <w:p w14:paraId="14F0FD37" w14:textId="77777777" w:rsidR="00432257" w:rsidRPr="009A74DB" w:rsidRDefault="00432257" w:rsidP="009C4263">
      <w:pPr>
        <w:spacing w:line="480" w:lineRule="auto"/>
        <w:rPr>
          <w:rFonts w:ascii="Arial" w:hAnsi="Arial" w:cs="Arial"/>
          <w:color w:val="000000" w:themeColor="text1"/>
        </w:rPr>
      </w:pPr>
    </w:p>
    <w:p w14:paraId="4620E48B" w14:textId="7C1C42D5" w:rsidR="00432257" w:rsidRPr="009A74DB" w:rsidRDefault="005529B1" w:rsidP="009C4263">
      <w:pPr>
        <w:spacing w:line="480" w:lineRule="auto"/>
        <w:rPr>
          <w:rFonts w:ascii="Arial" w:hAnsi="Arial" w:cs="Arial"/>
          <w:color w:val="000000" w:themeColor="text1"/>
        </w:rPr>
      </w:pPr>
      <w:r w:rsidRPr="009A74DB">
        <w:rPr>
          <w:rFonts w:ascii="Arial" w:hAnsi="Arial" w:cs="Arial"/>
          <w:color w:val="000000" w:themeColor="text1"/>
        </w:rPr>
        <w:t xml:space="preserve">In common with </w:t>
      </w:r>
      <w:r w:rsidR="00F74FAE" w:rsidRPr="009A74DB">
        <w:rPr>
          <w:rFonts w:ascii="Arial" w:hAnsi="Arial" w:cs="Arial"/>
          <w:color w:val="000000" w:themeColor="text1"/>
        </w:rPr>
        <w:t xml:space="preserve">other </w:t>
      </w:r>
      <w:r w:rsidRPr="009A74DB">
        <w:rPr>
          <w:rFonts w:ascii="Arial" w:hAnsi="Arial" w:cs="Arial"/>
          <w:color w:val="000000" w:themeColor="text1"/>
        </w:rPr>
        <w:t xml:space="preserve">studies recruiting </w:t>
      </w:r>
      <w:r w:rsidR="00F74FAE" w:rsidRPr="009A74DB">
        <w:rPr>
          <w:rFonts w:ascii="Arial" w:hAnsi="Arial" w:cs="Arial"/>
          <w:color w:val="000000" w:themeColor="text1"/>
        </w:rPr>
        <w:t>individuals</w:t>
      </w:r>
      <w:r w:rsidRPr="009A74DB">
        <w:rPr>
          <w:rFonts w:ascii="Arial" w:hAnsi="Arial" w:cs="Arial"/>
          <w:color w:val="000000" w:themeColor="text1"/>
        </w:rPr>
        <w:t xml:space="preserve"> with Down syndrome, </w:t>
      </w:r>
      <w:r w:rsidR="00A10C09" w:rsidRPr="009A74DB">
        <w:rPr>
          <w:rFonts w:ascii="Arial" w:hAnsi="Arial" w:cs="Arial"/>
          <w:color w:val="000000" w:themeColor="text1"/>
        </w:rPr>
        <w:t>it is difficult to generate a large</w:t>
      </w:r>
      <w:r w:rsidR="00432257" w:rsidRPr="009A74DB">
        <w:rPr>
          <w:rFonts w:ascii="Arial" w:hAnsi="Arial" w:cs="Arial"/>
          <w:color w:val="000000" w:themeColor="text1"/>
        </w:rPr>
        <w:t xml:space="preserve"> sample size</w:t>
      </w:r>
      <w:r w:rsidR="008F6333" w:rsidRPr="009A74DB">
        <w:rPr>
          <w:rFonts w:ascii="Arial" w:hAnsi="Arial" w:cs="Arial"/>
          <w:color w:val="000000" w:themeColor="text1"/>
        </w:rPr>
        <w:t xml:space="preserve">, </w:t>
      </w:r>
      <w:r w:rsidR="00A1305C" w:rsidRPr="009A74DB">
        <w:rPr>
          <w:rFonts w:ascii="Arial" w:hAnsi="Arial" w:cs="Arial"/>
          <w:color w:val="000000" w:themeColor="text1"/>
        </w:rPr>
        <w:t>and</w:t>
      </w:r>
      <w:r w:rsidR="00432257" w:rsidRPr="009A74DB">
        <w:rPr>
          <w:rFonts w:ascii="Arial" w:hAnsi="Arial" w:cs="Arial"/>
          <w:color w:val="000000" w:themeColor="text1"/>
        </w:rPr>
        <w:t xml:space="preserve"> reduced success rates in acquiring adequate quality images of the crystalline lens.  </w:t>
      </w:r>
      <w:r w:rsidRPr="009A74DB">
        <w:rPr>
          <w:rFonts w:ascii="Arial" w:hAnsi="Arial" w:cs="Arial"/>
          <w:color w:val="000000" w:themeColor="text1"/>
        </w:rPr>
        <w:t>However, the study was successful in recruiting across a broad age range and older participants with DS.  Advances in OCT technology, especially with the newest swept-source whole eye imaging capability, will provide an excellent platform for studying opacity in the entire lens</w:t>
      </w:r>
      <w:r w:rsidR="0068614B" w:rsidRPr="009A74DB">
        <w:rPr>
          <w:rFonts w:ascii="Arial" w:hAnsi="Arial" w:cs="Arial"/>
          <w:color w:val="000000" w:themeColor="text1"/>
        </w:rPr>
        <w:t xml:space="preserve">, </w:t>
      </w:r>
      <w:r w:rsidR="008B4770" w:rsidRPr="009A74DB">
        <w:rPr>
          <w:rFonts w:ascii="Arial" w:hAnsi="Arial" w:cs="Arial"/>
          <w:color w:val="000000" w:themeColor="text1"/>
        </w:rPr>
        <w:t>enabling</w:t>
      </w:r>
      <w:r w:rsidR="0068614B" w:rsidRPr="009A74DB">
        <w:rPr>
          <w:rFonts w:ascii="Arial" w:hAnsi="Arial" w:cs="Arial"/>
          <w:color w:val="000000" w:themeColor="text1"/>
        </w:rPr>
        <w:t xml:space="preserve"> quantif</w:t>
      </w:r>
      <w:r w:rsidR="008B4770" w:rsidRPr="009A74DB">
        <w:rPr>
          <w:rFonts w:ascii="Arial" w:hAnsi="Arial" w:cs="Arial"/>
          <w:color w:val="000000" w:themeColor="text1"/>
        </w:rPr>
        <w:t>ication of</w:t>
      </w:r>
      <w:r w:rsidR="0068614B" w:rsidRPr="009A74DB">
        <w:rPr>
          <w:rFonts w:ascii="Arial" w:hAnsi="Arial" w:cs="Arial"/>
          <w:color w:val="000000" w:themeColor="text1"/>
        </w:rPr>
        <w:t xml:space="preserve"> opacities with greater precision</w:t>
      </w:r>
      <w:r w:rsidRPr="009A74DB">
        <w:rPr>
          <w:rFonts w:ascii="Arial" w:hAnsi="Arial" w:cs="Arial"/>
          <w:color w:val="000000" w:themeColor="text1"/>
        </w:rPr>
        <w:t>.  Further work investigating cataract in Down syndrome in longitudinal studies would be valuable to underst</w:t>
      </w:r>
      <w:r w:rsidR="00F26FB7" w:rsidRPr="009A74DB">
        <w:rPr>
          <w:rFonts w:ascii="Arial" w:hAnsi="Arial" w:cs="Arial"/>
          <w:color w:val="000000" w:themeColor="text1"/>
        </w:rPr>
        <w:t xml:space="preserve">and the development of cerulean blue-dot cataracts and what, if any, </w:t>
      </w:r>
      <w:r w:rsidR="00F74FAE" w:rsidRPr="009A74DB">
        <w:rPr>
          <w:rFonts w:ascii="Arial" w:hAnsi="Arial" w:cs="Arial"/>
          <w:color w:val="000000" w:themeColor="text1"/>
        </w:rPr>
        <w:t xml:space="preserve">relevance </w:t>
      </w:r>
      <w:r w:rsidR="00F26FB7" w:rsidRPr="009A74DB">
        <w:rPr>
          <w:rFonts w:ascii="Arial" w:hAnsi="Arial" w:cs="Arial"/>
          <w:color w:val="000000" w:themeColor="text1"/>
        </w:rPr>
        <w:t>their presence or absence has for the individual with Down syndrome.</w:t>
      </w:r>
    </w:p>
    <w:p w14:paraId="65BB10E1" w14:textId="661105CB" w:rsidR="007565AA" w:rsidRPr="009A74DB" w:rsidRDefault="007565AA" w:rsidP="009C4263">
      <w:pPr>
        <w:spacing w:line="480" w:lineRule="auto"/>
        <w:rPr>
          <w:rFonts w:ascii="Arial" w:hAnsi="Arial" w:cs="Arial"/>
          <w:color w:val="000000" w:themeColor="text1"/>
        </w:rPr>
      </w:pPr>
      <w:r w:rsidRPr="009A74DB">
        <w:rPr>
          <w:rFonts w:ascii="Arial" w:hAnsi="Arial" w:cs="Arial"/>
          <w:color w:val="000000" w:themeColor="text1"/>
        </w:rPr>
        <w:t xml:space="preserve">  </w:t>
      </w:r>
    </w:p>
    <w:p w14:paraId="36183708" w14:textId="5A03F22A" w:rsidR="00512A32" w:rsidRPr="009A74DB" w:rsidRDefault="00512A32" w:rsidP="009C4263">
      <w:pPr>
        <w:spacing w:line="480" w:lineRule="auto"/>
        <w:rPr>
          <w:rFonts w:ascii="Arial" w:hAnsi="Arial" w:cs="Arial"/>
          <w:color w:val="000000" w:themeColor="text1"/>
        </w:rPr>
      </w:pPr>
    </w:p>
    <w:p w14:paraId="28ABA50A" w14:textId="66E986C6" w:rsidR="00F26FB7" w:rsidRPr="009A74DB" w:rsidRDefault="00F26FB7" w:rsidP="009C4263">
      <w:pPr>
        <w:spacing w:line="480" w:lineRule="auto"/>
        <w:rPr>
          <w:rFonts w:ascii="Arial" w:hAnsi="Arial" w:cs="Arial"/>
          <w:color w:val="000000" w:themeColor="text1"/>
        </w:rPr>
      </w:pPr>
    </w:p>
    <w:p w14:paraId="1481F344" w14:textId="77777777" w:rsidR="00730C68" w:rsidRPr="009A74DB" w:rsidRDefault="00730C68" w:rsidP="009C4263">
      <w:pPr>
        <w:spacing w:line="480" w:lineRule="auto"/>
        <w:rPr>
          <w:rFonts w:ascii="Arial" w:hAnsi="Arial" w:cs="Arial"/>
          <w:color w:val="000000" w:themeColor="text1"/>
        </w:rPr>
      </w:pPr>
    </w:p>
    <w:p w14:paraId="585E3E36" w14:textId="77777777" w:rsidR="00730C68" w:rsidRPr="009A74DB" w:rsidRDefault="00730C68" w:rsidP="009C4263">
      <w:pPr>
        <w:spacing w:line="480" w:lineRule="auto"/>
        <w:rPr>
          <w:rFonts w:ascii="Arial" w:hAnsi="Arial" w:cs="Arial"/>
          <w:b/>
          <w:color w:val="000000" w:themeColor="text1"/>
        </w:rPr>
      </w:pPr>
      <w:r w:rsidRPr="009A74DB">
        <w:rPr>
          <w:rFonts w:ascii="Arial" w:hAnsi="Arial" w:cs="Arial"/>
          <w:b/>
          <w:color w:val="000000" w:themeColor="text1"/>
        </w:rPr>
        <w:t>METHODS</w:t>
      </w:r>
    </w:p>
    <w:p w14:paraId="32857489" w14:textId="77777777" w:rsidR="00730C68" w:rsidRPr="009A74DB" w:rsidRDefault="00730C68" w:rsidP="009C4263">
      <w:pPr>
        <w:spacing w:line="480" w:lineRule="auto"/>
        <w:rPr>
          <w:rFonts w:ascii="Arial" w:hAnsi="Arial" w:cs="Arial"/>
          <w:color w:val="000000" w:themeColor="text1"/>
        </w:rPr>
      </w:pPr>
    </w:p>
    <w:p w14:paraId="44D47A38" w14:textId="41EEEB27"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 xml:space="preserve">The study received ethical approval from the NHS Office for Research Ethics Committees in Northern Ireland and Wales, UK. </w:t>
      </w:r>
      <w:r w:rsidR="00845601" w:rsidRPr="009A74DB">
        <w:rPr>
          <w:rFonts w:ascii="Arial" w:hAnsi="Arial" w:cs="Arial"/>
          <w:color w:val="000000" w:themeColor="text1"/>
        </w:rPr>
        <w:t xml:space="preserve">All methods were carried out in accordance with relevant guidelines and regulations.  </w:t>
      </w:r>
      <w:r w:rsidRPr="009A74DB">
        <w:rPr>
          <w:rFonts w:ascii="Arial" w:hAnsi="Arial" w:cs="Arial"/>
          <w:color w:val="000000" w:themeColor="text1"/>
        </w:rPr>
        <w:t xml:space="preserve">Thirty participants with Down syndrome between the ages of 6 and 60 years were recruited from regional day centres, family support groups, and the optometry clinics of Ulster and Cardiff Universities. Parental consent was obtained for children to participate and either the adult with DS consented or if this was not possible, their assent was recorded and written consent obtained from their carer. Exclusion criteria were previous cataract </w:t>
      </w:r>
      <w:r w:rsidRPr="009A74DB">
        <w:rPr>
          <w:rFonts w:ascii="Arial" w:hAnsi="Arial" w:cs="Arial"/>
          <w:color w:val="000000" w:themeColor="text1"/>
        </w:rPr>
        <w:lastRenderedPageBreak/>
        <w:t xml:space="preserve">surgery, nystagmus, ocular albinism, keratoconus, and other significant corneal pathology that would affect imaging of the crystalline lens. A group of adults aged 50-60 years acted as a control group. This age range was chosen to uncover age-related lens changes, but not to over-represent cataract liable to be found in adults &gt;60 years: from prior literature, the authors considered this to be reflective of the likely status of the DS lens. 36 participants (56 eyes) were recruited through the local population and staff at Ulster and Cardiff Universities.  </w:t>
      </w:r>
    </w:p>
    <w:p w14:paraId="26619701" w14:textId="77777777" w:rsidR="00730C68" w:rsidRPr="009A74DB" w:rsidRDefault="00730C68" w:rsidP="009C4263">
      <w:pPr>
        <w:spacing w:line="480" w:lineRule="auto"/>
        <w:rPr>
          <w:rFonts w:ascii="Arial" w:hAnsi="Arial" w:cs="Arial"/>
          <w:color w:val="000000" w:themeColor="text1"/>
        </w:rPr>
      </w:pPr>
    </w:p>
    <w:p w14:paraId="08EAC0FB" w14:textId="77777777" w:rsidR="00730C68" w:rsidRPr="009A74DB" w:rsidRDefault="00730C68" w:rsidP="009C4263">
      <w:pPr>
        <w:spacing w:line="480" w:lineRule="auto"/>
        <w:rPr>
          <w:rFonts w:ascii="Arial" w:hAnsi="Arial" w:cs="Arial"/>
          <w:color w:val="000000" w:themeColor="text1"/>
        </w:rPr>
      </w:pPr>
    </w:p>
    <w:p w14:paraId="30FA18D4" w14:textId="082D54BF"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 xml:space="preserve">Participants visited the Centre for Optometry and Vision Sciences at Ulster and Cardiff Universities on one occasion for assessment with a single researcher, who was also a registered optometrist.  Clinical history was taken to ensure inclusion and exclusion criteria were met. Referral to the appropriate care provider was organised if clinically significant ocular findings were revealed in the course of examination. Visual acuity was measured prior to dilation (with habitual refractive correction worn) using Keeler crowded </w:t>
      </w:r>
      <w:proofErr w:type="spellStart"/>
      <w:r w:rsidRPr="009A74DB">
        <w:rPr>
          <w:rFonts w:ascii="Arial" w:hAnsi="Arial" w:cs="Arial"/>
          <w:color w:val="000000" w:themeColor="text1"/>
        </w:rPr>
        <w:t>LogMAR</w:t>
      </w:r>
      <w:proofErr w:type="spellEnd"/>
      <w:r w:rsidRPr="009A74DB">
        <w:rPr>
          <w:rFonts w:ascii="Arial" w:hAnsi="Arial" w:cs="Arial"/>
          <w:color w:val="000000" w:themeColor="text1"/>
        </w:rPr>
        <w:t xml:space="preserve"> letter charts, or the crowded Lea symbols if letter optotype testing was not possible. Pupil dilation was achieved with 1.0% tropicamide and intraocular pressure was measured with the </w:t>
      </w:r>
      <w:proofErr w:type="spellStart"/>
      <w:r w:rsidRPr="009A74DB">
        <w:rPr>
          <w:rFonts w:ascii="Arial" w:hAnsi="Arial" w:cs="Arial"/>
          <w:color w:val="000000" w:themeColor="text1"/>
        </w:rPr>
        <w:t>ICare</w:t>
      </w:r>
      <w:proofErr w:type="spellEnd"/>
      <w:r w:rsidRPr="009A74DB">
        <w:rPr>
          <w:rFonts w:ascii="Arial" w:hAnsi="Arial" w:cs="Arial"/>
          <w:color w:val="000000" w:themeColor="text1"/>
        </w:rPr>
        <w:t xml:space="preserve"> tonometer (</w:t>
      </w:r>
      <w:proofErr w:type="spellStart"/>
      <w:r w:rsidRPr="009A74DB">
        <w:rPr>
          <w:rFonts w:ascii="Arial" w:hAnsi="Arial" w:cs="Arial"/>
          <w:color w:val="000000" w:themeColor="text1"/>
        </w:rPr>
        <w:t>ICare</w:t>
      </w:r>
      <w:proofErr w:type="spellEnd"/>
      <w:r w:rsidRPr="009A74DB">
        <w:rPr>
          <w:rFonts w:ascii="Arial" w:hAnsi="Arial" w:cs="Arial"/>
          <w:color w:val="000000" w:themeColor="text1"/>
        </w:rPr>
        <w:t>, Finland) pre- and post-dilation</w:t>
      </w:r>
      <w:r w:rsidR="008E3F0A" w:rsidRPr="009A74DB">
        <w:rPr>
          <w:rFonts w:ascii="Arial" w:hAnsi="Arial" w:cs="Arial"/>
          <w:color w:val="000000" w:themeColor="text1"/>
        </w:rPr>
        <w:t xml:space="preserve"> </w:t>
      </w:r>
      <w:r w:rsidR="00081583" w:rsidRPr="009A74DB">
        <w:rPr>
          <w:rFonts w:ascii="Arial" w:hAnsi="Arial" w:cs="Arial"/>
          <w:color w:val="000000" w:themeColor="text1"/>
        </w:rPr>
        <w:t>as a significant increase would</w:t>
      </w:r>
      <w:r w:rsidR="00504529" w:rsidRPr="009A74DB">
        <w:rPr>
          <w:rFonts w:ascii="Arial" w:hAnsi="Arial" w:cs="Arial"/>
          <w:color w:val="000000" w:themeColor="text1"/>
        </w:rPr>
        <w:t xml:space="preserve"> indicate</w:t>
      </w:r>
      <w:r w:rsidR="00081583" w:rsidRPr="009A74DB">
        <w:rPr>
          <w:rFonts w:ascii="Arial" w:hAnsi="Arial" w:cs="Arial"/>
          <w:color w:val="000000" w:themeColor="text1"/>
        </w:rPr>
        <w:t xml:space="preserve"> an adverse event of</w:t>
      </w:r>
      <w:r w:rsidR="00504529" w:rsidRPr="009A74DB">
        <w:rPr>
          <w:rFonts w:ascii="Arial" w:hAnsi="Arial" w:cs="Arial"/>
          <w:color w:val="000000" w:themeColor="text1"/>
        </w:rPr>
        <w:t xml:space="preserve"> angle-closure glaucoma </w:t>
      </w:r>
      <w:r w:rsidR="00081583" w:rsidRPr="009A74DB">
        <w:rPr>
          <w:rFonts w:ascii="Arial" w:hAnsi="Arial" w:cs="Arial"/>
          <w:color w:val="000000" w:themeColor="text1"/>
        </w:rPr>
        <w:t>requiring medical intervention</w:t>
      </w:r>
      <w:r w:rsidRPr="009A74DB">
        <w:rPr>
          <w:rFonts w:ascii="Arial" w:hAnsi="Arial" w:cs="Arial"/>
          <w:color w:val="000000" w:themeColor="text1"/>
        </w:rPr>
        <w:t xml:space="preserve">. Pupil diameter was also measured after maximal dilation had occurred. Crystalline lens images were obtained using a Nikon D3000 camera mounted onto a Nikon FS-3 Slit lamp (SL) and a Zeiss </w:t>
      </w:r>
      <w:proofErr w:type="spellStart"/>
      <w:r w:rsidRPr="009A74DB">
        <w:rPr>
          <w:rFonts w:ascii="Arial" w:hAnsi="Arial" w:cs="Arial"/>
          <w:color w:val="000000" w:themeColor="text1"/>
        </w:rPr>
        <w:t>Visante</w:t>
      </w:r>
      <w:proofErr w:type="spellEnd"/>
      <w:r w:rsidRPr="009A74DB">
        <w:rPr>
          <w:rFonts w:ascii="Arial" w:hAnsi="Arial" w:cs="Arial"/>
          <w:color w:val="000000" w:themeColor="text1"/>
        </w:rPr>
        <w:t xml:space="preserve"> anterior segment OCT (Carl Zeiss </w:t>
      </w:r>
      <w:proofErr w:type="spellStart"/>
      <w:r w:rsidRPr="009A74DB">
        <w:rPr>
          <w:rFonts w:ascii="Arial" w:hAnsi="Arial" w:cs="Arial"/>
          <w:color w:val="000000" w:themeColor="text1"/>
        </w:rPr>
        <w:t>Meditec</w:t>
      </w:r>
      <w:proofErr w:type="spellEnd"/>
      <w:r w:rsidRPr="009A74DB">
        <w:rPr>
          <w:rFonts w:ascii="Arial" w:hAnsi="Arial" w:cs="Arial"/>
          <w:color w:val="000000" w:themeColor="text1"/>
        </w:rPr>
        <w:t>) in that order.</w:t>
      </w:r>
    </w:p>
    <w:p w14:paraId="059746F9" w14:textId="77777777" w:rsidR="00730C68" w:rsidRPr="009A74DB" w:rsidRDefault="00730C68" w:rsidP="009C4263">
      <w:pPr>
        <w:spacing w:line="480" w:lineRule="auto"/>
        <w:rPr>
          <w:rFonts w:ascii="Arial" w:hAnsi="Arial" w:cs="Arial"/>
          <w:color w:val="000000" w:themeColor="text1"/>
        </w:rPr>
      </w:pPr>
    </w:p>
    <w:p w14:paraId="178A7CA6" w14:textId="033736D0"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lastRenderedPageBreak/>
        <w:t xml:space="preserve">Crystalline lens examination and imaging was undertaken in a dark room using the modified Nikon FS-3 slit-lamp: attempts were made to capture multiple optic sections and </w:t>
      </w:r>
      <w:proofErr w:type="spellStart"/>
      <w:r w:rsidRPr="009A74DB">
        <w:rPr>
          <w:rFonts w:ascii="Arial" w:hAnsi="Arial" w:cs="Arial"/>
          <w:color w:val="000000" w:themeColor="text1"/>
        </w:rPr>
        <w:t>retroillumination</w:t>
      </w:r>
      <w:proofErr w:type="spellEnd"/>
      <w:r w:rsidRPr="009A74DB">
        <w:rPr>
          <w:rFonts w:ascii="Arial" w:hAnsi="Arial" w:cs="Arial"/>
          <w:color w:val="000000" w:themeColor="text1"/>
        </w:rPr>
        <w:t xml:space="preserve"> images attempted for all crystalline lenses. Camera and illumination settings were kept constant and in accordance with LOCS III protocol. When imaging cortical and PSC opacities, slit lamp settings were varied to obtain optimum </w:t>
      </w:r>
      <w:proofErr w:type="spellStart"/>
      <w:r w:rsidRPr="009A74DB">
        <w:rPr>
          <w:rFonts w:ascii="Arial" w:hAnsi="Arial" w:cs="Arial"/>
          <w:color w:val="000000" w:themeColor="text1"/>
        </w:rPr>
        <w:t>retroillumination</w:t>
      </w:r>
      <w:proofErr w:type="spellEnd"/>
      <w:r w:rsidRPr="009A74DB">
        <w:rPr>
          <w:rFonts w:ascii="Arial" w:hAnsi="Arial" w:cs="Arial"/>
          <w:color w:val="000000" w:themeColor="text1"/>
        </w:rPr>
        <w:t xml:space="preserve">, again, in accordance with LOCS III protocol.  </w:t>
      </w:r>
    </w:p>
    <w:p w14:paraId="36DCBD01" w14:textId="77777777" w:rsidR="00730C68" w:rsidRPr="009A74DB" w:rsidRDefault="00730C68" w:rsidP="009C4263">
      <w:pPr>
        <w:spacing w:line="480" w:lineRule="auto"/>
        <w:rPr>
          <w:rFonts w:ascii="Arial" w:hAnsi="Arial" w:cs="Arial"/>
          <w:color w:val="000000" w:themeColor="text1"/>
        </w:rPr>
      </w:pPr>
    </w:p>
    <w:p w14:paraId="4D4B9AE4" w14:textId="77777777"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 xml:space="preserve">LOCS III </w:t>
      </w:r>
      <w:proofErr w:type="spellStart"/>
      <w:r w:rsidRPr="009A74DB">
        <w:rPr>
          <w:rFonts w:ascii="Arial" w:hAnsi="Arial" w:cs="Arial"/>
          <w:color w:val="000000" w:themeColor="text1"/>
        </w:rPr>
        <w:t>photograding</w:t>
      </w:r>
      <w:proofErr w:type="spellEnd"/>
      <w:r w:rsidRPr="009A74DB">
        <w:rPr>
          <w:rFonts w:ascii="Arial" w:hAnsi="Arial" w:cs="Arial"/>
          <w:color w:val="000000" w:themeColor="text1"/>
        </w:rPr>
        <w:t xml:space="preserve"> of SL images was conducted for Nuclear Opalescence (NO), nuclear colour (NC), cortical (C) and posterior sub-capsular (P) cataract types. After training on LOCS III system, </w:t>
      </w:r>
      <w:proofErr w:type="spellStart"/>
      <w:r w:rsidRPr="009A74DB">
        <w:rPr>
          <w:rFonts w:ascii="Arial" w:hAnsi="Arial" w:cs="Arial"/>
          <w:color w:val="000000" w:themeColor="text1"/>
        </w:rPr>
        <w:t>photograding</w:t>
      </w:r>
      <w:proofErr w:type="spellEnd"/>
      <w:r w:rsidRPr="009A74DB">
        <w:rPr>
          <w:rFonts w:ascii="Arial" w:hAnsi="Arial" w:cs="Arial"/>
          <w:color w:val="000000" w:themeColor="text1"/>
        </w:rPr>
        <w:t xml:space="preserve"> was conducted by a single examiner (AM).  Agreement in scoring was evaluated for 10% of images with a second examiner (JAL) and revealed excellent agreement, with less than a 0.1 LOCS III score of bias for all measures of opacification.  Images were graded using the same computer terminal and monitor with uniform brightness and colour settings, and a lightbox placed beside monitor was used for LOCS III transparencies. A grade between 0.1 (representing complete nuclear transparency) and 6.9 was assigned for NO and NC. In accordance with instructions, care was taken to grade NO based strictly by examining the hazy quality of the nucleus without respect to its </w:t>
      </w:r>
      <w:proofErr w:type="spellStart"/>
      <w:r w:rsidRPr="009A74DB">
        <w:rPr>
          <w:rFonts w:ascii="Arial" w:hAnsi="Arial" w:cs="Arial"/>
          <w:color w:val="000000" w:themeColor="text1"/>
        </w:rPr>
        <w:t>brunescence</w:t>
      </w:r>
      <w:proofErr w:type="spellEnd"/>
      <w:r w:rsidRPr="009A74DB">
        <w:rPr>
          <w:rFonts w:ascii="Arial" w:hAnsi="Arial" w:cs="Arial"/>
          <w:color w:val="000000" w:themeColor="text1"/>
        </w:rPr>
        <w:t xml:space="preserve">. For NC evaluation, the haziness of the nucleus was ignored and a grade was assigned based upon the </w:t>
      </w:r>
      <w:proofErr w:type="spellStart"/>
      <w:r w:rsidRPr="009A74DB">
        <w:rPr>
          <w:rFonts w:ascii="Arial" w:hAnsi="Arial" w:cs="Arial"/>
          <w:color w:val="000000" w:themeColor="text1"/>
        </w:rPr>
        <w:t>brunescence</w:t>
      </w:r>
      <w:proofErr w:type="spellEnd"/>
      <w:r w:rsidRPr="009A74DB">
        <w:rPr>
          <w:rFonts w:ascii="Arial" w:hAnsi="Arial" w:cs="Arial"/>
          <w:color w:val="000000" w:themeColor="text1"/>
        </w:rPr>
        <w:t xml:space="preserve"> reflected from of the posterior capsule.  For C and P opacities, the grader considered all areas of opacification solely as an aggregate to determine values for C and P ranging from 0.1 to 5.9. Opacity was considered to be a true PSC only if it was located in the central 3mm of the lens.</w:t>
      </w:r>
    </w:p>
    <w:p w14:paraId="6881FA43" w14:textId="77777777" w:rsidR="00730C68" w:rsidRPr="009A74DB" w:rsidRDefault="00730C68" w:rsidP="009C4263">
      <w:pPr>
        <w:spacing w:line="480" w:lineRule="auto"/>
        <w:rPr>
          <w:rFonts w:ascii="Arial" w:hAnsi="Arial" w:cs="Arial"/>
          <w:color w:val="000000" w:themeColor="text1"/>
        </w:rPr>
      </w:pPr>
    </w:p>
    <w:p w14:paraId="5D6AC995" w14:textId="6E68A2D3" w:rsidR="00730C68" w:rsidRPr="009A74DB" w:rsidRDefault="00730C68" w:rsidP="009C4263">
      <w:pPr>
        <w:spacing w:line="480" w:lineRule="auto"/>
        <w:rPr>
          <w:rFonts w:ascii="Arial" w:hAnsi="Arial" w:cs="Arial"/>
          <w:color w:val="000000" w:themeColor="text1"/>
        </w:rPr>
      </w:pPr>
      <w:proofErr w:type="spellStart"/>
      <w:r w:rsidRPr="009A74DB">
        <w:rPr>
          <w:rFonts w:ascii="Arial" w:hAnsi="Arial" w:cs="Arial"/>
          <w:color w:val="000000" w:themeColor="text1"/>
        </w:rPr>
        <w:lastRenderedPageBreak/>
        <w:t>Visante</w:t>
      </w:r>
      <w:proofErr w:type="spellEnd"/>
      <w:r w:rsidRPr="009A74DB">
        <w:rPr>
          <w:rFonts w:ascii="Arial" w:hAnsi="Arial" w:cs="Arial"/>
          <w:color w:val="000000" w:themeColor="text1"/>
        </w:rPr>
        <w:t xml:space="preserve"> AS-OCT lens images were captured in raw image high-resolution mode, and separate B-Scans of the anterior and posterior lens were acquired.  Alignment was determined with the corneal reflex and B-scans were taken at a 90-degree orientation.  If participants’ lids interfered with imaging due to narrow palpebral aperture, 180-degree B-scans were also acquired. </w:t>
      </w:r>
      <w:r w:rsidR="00CD09E0" w:rsidRPr="009A74DB">
        <w:rPr>
          <w:rFonts w:ascii="Arial" w:hAnsi="Arial" w:cs="Arial"/>
          <w:color w:val="000000" w:themeColor="text1"/>
        </w:rPr>
        <w:t>If necessary, a</w:t>
      </w:r>
      <w:r w:rsidR="008B4770" w:rsidRPr="009A74DB">
        <w:rPr>
          <w:rFonts w:ascii="Arial" w:hAnsi="Arial" w:cs="Arial"/>
          <w:color w:val="000000" w:themeColor="text1"/>
        </w:rPr>
        <w:t xml:space="preserve">dditional </w:t>
      </w:r>
      <w:r w:rsidRPr="009A74DB">
        <w:rPr>
          <w:rFonts w:ascii="Arial" w:hAnsi="Arial" w:cs="Arial"/>
          <w:color w:val="000000" w:themeColor="text1"/>
        </w:rPr>
        <w:t>B-scan</w:t>
      </w:r>
      <w:r w:rsidR="008B4770" w:rsidRPr="009A74DB">
        <w:rPr>
          <w:rFonts w:ascii="Arial" w:hAnsi="Arial" w:cs="Arial"/>
          <w:color w:val="000000" w:themeColor="text1"/>
        </w:rPr>
        <w:t>s were capture</w:t>
      </w:r>
      <w:r w:rsidR="001802F5" w:rsidRPr="009A74DB">
        <w:rPr>
          <w:rFonts w:ascii="Arial" w:hAnsi="Arial" w:cs="Arial"/>
          <w:color w:val="000000" w:themeColor="text1"/>
        </w:rPr>
        <w:t xml:space="preserve">d at </w:t>
      </w:r>
      <w:r w:rsidR="00CD09E0" w:rsidRPr="009A74DB">
        <w:rPr>
          <w:rFonts w:ascii="Arial" w:hAnsi="Arial" w:cs="Arial"/>
          <w:color w:val="000000" w:themeColor="text1"/>
        </w:rPr>
        <w:t>any other axial</w:t>
      </w:r>
      <w:r w:rsidRPr="009A74DB">
        <w:rPr>
          <w:rFonts w:ascii="Arial" w:hAnsi="Arial" w:cs="Arial"/>
          <w:color w:val="000000" w:themeColor="text1"/>
        </w:rPr>
        <w:t xml:space="preserve"> orientation</w:t>
      </w:r>
      <w:r w:rsidR="00CD09E0" w:rsidRPr="009A74DB">
        <w:rPr>
          <w:rFonts w:ascii="Arial" w:hAnsi="Arial" w:cs="Arial"/>
          <w:color w:val="000000" w:themeColor="text1"/>
        </w:rPr>
        <w:t xml:space="preserve"> in order </w:t>
      </w:r>
      <w:r w:rsidR="001802F5" w:rsidRPr="009A74DB">
        <w:rPr>
          <w:rFonts w:ascii="Arial" w:hAnsi="Arial" w:cs="Arial"/>
          <w:color w:val="000000" w:themeColor="text1"/>
        </w:rPr>
        <w:t>to</w:t>
      </w:r>
      <w:r w:rsidRPr="009A74DB">
        <w:rPr>
          <w:rFonts w:ascii="Arial" w:hAnsi="Arial" w:cs="Arial"/>
          <w:color w:val="000000" w:themeColor="text1"/>
        </w:rPr>
        <w:t xml:space="preserve"> image</w:t>
      </w:r>
      <w:r w:rsidR="001802F5" w:rsidRPr="009A74DB">
        <w:rPr>
          <w:rFonts w:ascii="Arial" w:hAnsi="Arial" w:cs="Arial"/>
          <w:color w:val="000000" w:themeColor="text1"/>
        </w:rPr>
        <w:t xml:space="preserve"> lens </w:t>
      </w:r>
      <w:r w:rsidRPr="009A74DB">
        <w:rPr>
          <w:rFonts w:ascii="Arial" w:hAnsi="Arial" w:cs="Arial"/>
          <w:color w:val="000000" w:themeColor="text1"/>
        </w:rPr>
        <w:t>opac</w:t>
      </w:r>
      <w:r w:rsidR="003E77D5" w:rsidRPr="009A74DB">
        <w:rPr>
          <w:rFonts w:ascii="Arial" w:hAnsi="Arial" w:cs="Arial"/>
          <w:color w:val="000000" w:themeColor="text1"/>
        </w:rPr>
        <w:t>i</w:t>
      </w:r>
      <w:r w:rsidR="00CD09E0" w:rsidRPr="009A74DB">
        <w:rPr>
          <w:rFonts w:ascii="Arial" w:hAnsi="Arial" w:cs="Arial"/>
          <w:color w:val="000000" w:themeColor="text1"/>
        </w:rPr>
        <w:t>ties</w:t>
      </w:r>
      <w:r w:rsidRPr="009A74DB">
        <w:rPr>
          <w:rFonts w:ascii="Arial" w:hAnsi="Arial" w:cs="Arial"/>
          <w:color w:val="000000" w:themeColor="text1"/>
        </w:rPr>
        <w:t xml:space="preserve"> </w:t>
      </w:r>
      <w:r w:rsidR="0068614B" w:rsidRPr="009A74DB">
        <w:rPr>
          <w:rFonts w:ascii="Arial" w:hAnsi="Arial" w:cs="Arial"/>
          <w:color w:val="000000" w:themeColor="text1"/>
        </w:rPr>
        <w:t>observ</w:t>
      </w:r>
      <w:r w:rsidR="001802F5" w:rsidRPr="009A74DB">
        <w:rPr>
          <w:rFonts w:ascii="Arial" w:hAnsi="Arial" w:cs="Arial"/>
          <w:color w:val="000000" w:themeColor="text1"/>
        </w:rPr>
        <w:t xml:space="preserve">ed </w:t>
      </w:r>
      <w:r w:rsidRPr="009A74DB">
        <w:rPr>
          <w:rFonts w:ascii="Arial" w:hAnsi="Arial" w:cs="Arial"/>
          <w:color w:val="000000" w:themeColor="text1"/>
        </w:rPr>
        <w:t>during slit-lamp imaging</w:t>
      </w:r>
      <w:r w:rsidR="00CD09E0" w:rsidRPr="009A74DB">
        <w:rPr>
          <w:rFonts w:ascii="Arial" w:hAnsi="Arial" w:cs="Arial"/>
          <w:color w:val="000000" w:themeColor="text1"/>
        </w:rPr>
        <w:t>; t</w:t>
      </w:r>
      <w:r w:rsidR="0068614B" w:rsidRPr="009A74DB">
        <w:rPr>
          <w:rFonts w:ascii="Arial" w:hAnsi="Arial" w:cs="Arial"/>
          <w:color w:val="000000" w:themeColor="text1"/>
        </w:rPr>
        <w:t xml:space="preserve">his ensured </w:t>
      </w:r>
      <w:r w:rsidR="001802F5" w:rsidRPr="009A74DB">
        <w:rPr>
          <w:rFonts w:ascii="Arial" w:hAnsi="Arial" w:cs="Arial"/>
          <w:color w:val="000000" w:themeColor="text1"/>
        </w:rPr>
        <w:t>all</w:t>
      </w:r>
      <w:r w:rsidR="0068614B" w:rsidRPr="009A74DB">
        <w:rPr>
          <w:rFonts w:ascii="Arial" w:hAnsi="Arial" w:cs="Arial"/>
          <w:color w:val="000000" w:themeColor="text1"/>
        </w:rPr>
        <w:t xml:space="preserve"> lens opacities were captured with AS-OCT imaging. </w:t>
      </w:r>
      <w:r w:rsidR="000F0A48" w:rsidRPr="009A74DB">
        <w:rPr>
          <w:rFonts w:ascii="Arial" w:hAnsi="Arial" w:cs="Arial"/>
          <w:color w:val="000000" w:themeColor="text1"/>
        </w:rPr>
        <w:t xml:space="preserve"> Finally, </w:t>
      </w:r>
      <w:r w:rsidR="00504529" w:rsidRPr="009A74DB">
        <w:rPr>
          <w:rFonts w:ascii="Arial" w:hAnsi="Arial" w:cs="Arial"/>
          <w:color w:val="000000" w:themeColor="text1"/>
        </w:rPr>
        <w:t xml:space="preserve">an image of </w:t>
      </w:r>
      <w:r w:rsidR="000F0A48" w:rsidRPr="009A74DB">
        <w:rPr>
          <w:rFonts w:ascii="Arial" w:hAnsi="Arial" w:cs="Arial"/>
          <w:color w:val="000000" w:themeColor="text1"/>
        </w:rPr>
        <w:t xml:space="preserve">the whole lens was also captured </w:t>
      </w:r>
      <w:r w:rsidR="00CD09E0" w:rsidRPr="009A74DB">
        <w:rPr>
          <w:rFonts w:ascii="Arial" w:hAnsi="Arial" w:cs="Arial"/>
          <w:color w:val="000000" w:themeColor="text1"/>
        </w:rPr>
        <w:t xml:space="preserve">with the OCT instrument’s </w:t>
      </w:r>
      <w:r w:rsidR="000F0A48" w:rsidRPr="009A74DB">
        <w:rPr>
          <w:rFonts w:ascii="Arial" w:hAnsi="Arial" w:cs="Arial"/>
          <w:color w:val="000000" w:themeColor="text1"/>
        </w:rPr>
        <w:t>low-resolution mode</w:t>
      </w:r>
      <w:r w:rsidR="00504529" w:rsidRPr="009A74DB">
        <w:rPr>
          <w:rFonts w:ascii="Arial" w:hAnsi="Arial" w:cs="Arial"/>
          <w:color w:val="000000" w:themeColor="text1"/>
        </w:rPr>
        <w:t xml:space="preserve"> where possible</w:t>
      </w:r>
      <w:r w:rsidR="000F0A48" w:rsidRPr="009A74DB">
        <w:rPr>
          <w:rFonts w:ascii="Arial" w:hAnsi="Arial" w:cs="Arial"/>
          <w:color w:val="000000" w:themeColor="text1"/>
        </w:rPr>
        <w:t>.</w:t>
      </w:r>
    </w:p>
    <w:p w14:paraId="64C452E3" w14:textId="77777777" w:rsidR="00730C68" w:rsidRPr="009A74DB" w:rsidRDefault="00730C68" w:rsidP="009C4263">
      <w:pPr>
        <w:spacing w:line="480" w:lineRule="auto"/>
        <w:rPr>
          <w:rFonts w:ascii="Arial" w:hAnsi="Arial" w:cs="Arial"/>
          <w:color w:val="000000" w:themeColor="text1"/>
        </w:rPr>
      </w:pPr>
    </w:p>
    <w:p w14:paraId="5AACAEAC" w14:textId="19AB4D71"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 xml:space="preserve">Raw OCT images were processed in MATLAB (MathWorks Inc., USA) and opacities analysed by calculating pixel intensity ratios (PIR) for nuclear lens areas, and pixel intensity and area ratios (PAR) for cortex and PSC lens areas (see Figure </w:t>
      </w:r>
      <w:r w:rsidR="00592BC3" w:rsidRPr="009A74DB">
        <w:rPr>
          <w:rFonts w:ascii="Arial" w:hAnsi="Arial" w:cs="Arial"/>
          <w:color w:val="000000" w:themeColor="text1"/>
        </w:rPr>
        <w:t>3</w:t>
      </w:r>
      <w:r w:rsidRPr="009A74DB">
        <w:rPr>
          <w:rFonts w:ascii="Arial" w:hAnsi="Arial" w:cs="Arial"/>
          <w:color w:val="000000" w:themeColor="text1"/>
        </w:rPr>
        <w:t>).</w:t>
      </w:r>
    </w:p>
    <w:p w14:paraId="2DB5DF04" w14:textId="77777777" w:rsidR="00730C68" w:rsidRPr="009A74DB" w:rsidRDefault="00730C68" w:rsidP="009C4263">
      <w:pPr>
        <w:spacing w:line="480" w:lineRule="auto"/>
        <w:rPr>
          <w:rFonts w:ascii="Arial" w:hAnsi="Arial" w:cs="Arial"/>
          <w:color w:val="000000" w:themeColor="text1"/>
        </w:rPr>
      </w:pPr>
    </w:p>
    <w:p w14:paraId="353970D3" w14:textId="601D003E" w:rsidR="00730C68" w:rsidRPr="009A74DB" w:rsidRDefault="00730C68"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FIGURE </w:t>
      </w:r>
      <w:r w:rsidR="00592BC3" w:rsidRPr="009A74DB">
        <w:rPr>
          <w:rFonts w:ascii="Arial" w:hAnsi="Arial" w:cs="Arial"/>
          <w:b/>
          <w:bCs/>
          <w:color w:val="000000" w:themeColor="text1"/>
        </w:rPr>
        <w:t>3</w:t>
      </w:r>
      <w:r w:rsidRPr="009A74DB">
        <w:rPr>
          <w:rFonts w:ascii="Arial" w:hAnsi="Arial" w:cs="Arial"/>
          <w:b/>
          <w:bCs/>
          <w:color w:val="000000" w:themeColor="text1"/>
        </w:rPr>
        <w:t xml:space="preserve"> ABOUT HERE</w:t>
      </w:r>
    </w:p>
    <w:p w14:paraId="77AA165B" w14:textId="77777777" w:rsidR="00730C68" w:rsidRPr="009A74DB" w:rsidRDefault="00730C68" w:rsidP="009C4263">
      <w:pPr>
        <w:spacing w:line="480" w:lineRule="auto"/>
        <w:rPr>
          <w:rFonts w:ascii="Arial" w:hAnsi="Arial" w:cs="Arial"/>
          <w:color w:val="000000" w:themeColor="text1"/>
        </w:rPr>
      </w:pPr>
    </w:p>
    <w:p w14:paraId="53289ABE" w14:textId="29165CB5"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 xml:space="preserve">Raw detector data were exported for all scans using the </w:t>
      </w:r>
      <w:proofErr w:type="spellStart"/>
      <w:r w:rsidRPr="009A74DB">
        <w:rPr>
          <w:rFonts w:ascii="Arial" w:hAnsi="Arial" w:cs="Arial"/>
          <w:color w:val="000000" w:themeColor="text1"/>
        </w:rPr>
        <w:t>Visante</w:t>
      </w:r>
      <w:proofErr w:type="spellEnd"/>
      <w:r w:rsidRPr="009A74DB">
        <w:rPr>
          <w:rFonts w:ascii="Arial" w:hAnsi="Arial" w:cs="Arial"/>
          <w:color w:val="000000" w:themeColor="text1"/>
        </w:rPr>
        <w:t xml:space="preserve"> Image Exporter software (Carl Zeiss </w:t>
      </w:r>
      <w:proofErr w:type="spellStart"/>
      <w:r w:rsidRPr="009A74DB">
        <w:rPr>
          <w:rFonts w:ascii="Arial" w:hAnsi="Arial" w:cs="Arial"/>
          <w:color w:val="000000" w:themeColor="text1"/>
        </w:rPr>
        <w:t>Meditec</w:t>
      </w:r>
      <w:proofErr w:type="spellEnd"/>
      <w:r w:rsidRPr="009A74DB">
        <w:rPr>
          <w:rFonts w:ascii="Arial" w:hAnsi="Arial" w:cs="Arial"/>
          <w:color w:val="000000" w:themeColor="text1"/>
        </w:rPr>
        <w:t>, Germany). The sensor data were then processed, segmented and analysed for opacity with MATLAB using customised, bespoke software.</w:t>
      </w:r>
      <w:r w:rsidR="00504529" w:rsidRPr="009A74DB">
        <w:rPr>
          <w:rFonts w:ascii="Arial" w:hAnsi="Arial" w:cs="Arial"/>
          <w:color w:val="000000" w:themeColor="text1"/>
        </w:rPr>
        <w:t xml:space="preserve"> The image was read as a </w:t>
      </w:r>
      <w:r w:rsidR="00504529" w:rsidRPr="009A74DB">
        <w:rPr>
          <w:rFonts w:cstheme="minorHAnsi"/>
          <w:color w:val="000000" w:themeColor="text1"/>
        </w:rPr>
        <w:t>512 x 512 matrix and resized to</w:t>
      </w:r>
      <w:r w:rsidR="00CD09E0" w:rsidRPr="009A74DB">
        <w:rPr>
          <w:rFonts w:cstheme="minorHAnsi"/>
          <w:color w:val="000000" w:themeColor="text1"/>
        </w:rPr>
        <w:t xml:space="preserve"> the manufacturer’s </w:t>
      </w:r>
      <w:r w:rsidR="003E77D5" w:rsidRPr="009A74DB">
        <w:rPr>
          <w:rFonts w:cstheme="minorHAnsi"/>
          <w:color w:val="000000" w:themeColor="text1"/>
        </w:rPr>
        <w:t>recommend</w:t>
      </w:r>
      <w:r w:rsidR="00CD09E0" w:rsidRPr="009A74DB">
        <w:rPr>
          <w:rFonts w:cstheme="minorHAnsi"/>
          <w:color w:val="000000" w:themeColor="text1"/>
        </w:rPr>
        <w:t>ed</w:t>
      </w:r>
      <w:r w:rsidR="00504529" w:rsidRPr="009A74DB">
        <w:rPr>
          <w:rFonts w:cstheme="minorHAnsi"/>
          <w:color w:val="000000" w:themeColor="text1"/>
        </w:rPr>
        <w:t xml:space="preserve"> 512x1280 resolution</w:t>
      </w:r>
      <w:r w:rsidR="00CD09E0" w:rsidRPr="009A74DB">
        <w:rPr>
          <w:rFonts w:cstheme="minorHAnsi"/>
          <w:color w:val="000000" w:themeColor="text1"/>
        </w:rPr>
        <w:t xml:space="preserve"> using bicubic interpolation</w:t>
      </w:r>
      <w:r w:rsidR="00504529" w:rsidRPr="009A74DB">
        <w:rPr>
          <w:rFonts w:cstheme="minorHAnsi"/>
          <w:color w:val="000000" w:themeColor="text1"/>
        </w:rPr>
        <w:t xml:space="preserve"> as described by Kao et al.</w:t>
      </w:r>
      <w:r w:rsidR="00504529" w:rsidRPr="009A74DB">
        <w:rPr>
          <w:rFonts w:cstheme="minorHAnsi"/>
          <w:color w:val="000000" w:themeColor="text1"/>
          <w:u w:val="single"/>
          <w:vertAlign w:val="superscript"/>
        </w:rPr>
        <w:t>3</w:t>
      </w:r>
      <w:r w:rsidR="009726D6" w:rsidRPr="009A74DB">
        <w:rPr>
          <w:rFonts w:cstheme="minorHAnsi"/>
          <w:color w:val="000000" w:themeColor="text1"/>
          <w:u w:val="single"/>
          <w:vertAlign w:val="superscript"/>
        </w:rPr>
        <w:t>2</w:t>
      </w:r>
      <w:r w:rsidR="00504529" w:rsidRPr="009A74DB">
        <w:rPr>
          <w:rFonts w:cstheme="minorHAnsi"/>
          <w:color w:val="000000" w:themeColor="text1"/>
        </w:rPr>
        <w:t xml:space="preserve"> </w:t>
      </w:r>
      <w:r w:rsidRPr="009A74DB">
        <w:rPr>
          <w:rFonts w:ascii="Arial" w:hAnsi="Arial" w:cs="Arial"/>
          <w:color w:val="000000" w:themeColor="text1"/>
        </w:rPr>
        <w:t xml:space="preserve">  Segmentation of the lens was undertaken manually</w:t>
      </w:r>
      <w:r w:rsidR="001C4043" w:rsidRPr="009A74DB">
        <w:rPr>
          <w:rFonts w:ascii="Arial" w:hAnsi="Arial" w:cs="Arial"/>
          <w:color w:val="000000" w:themeColor="text1"/>
        </w:rPr>
        <w:t xml:space="preserve"> by AM</w:t>
      </w:r>
      <w:r w:rsidRPr="009A74DB">
        <w:rPr>
          <w:rFonts w:ascii="Arial" w:hAnsi="Arial" w:cs="Arial"/>
          <w:color w:val="000000" w:themeColor="text1"/>
        </w:rPr>
        <w:t xml:space="preserve">.  When analysing nuclear opacities, the nucleus was segmented from the anterior and posterior images of each half of the lens: the mean pixel intensity of the nucleus was then compared to that of the aqueous humour (to represent background </w:t>
      </w:r>
      <w:r w:rsidRPr="009A74DB">
        <w:rPr>
          <w:rFonts w:ascii="Arial" w:hAnsi="Arial" w:cs="Arial"/>
          <w:color w:val="000000" w:themeColor="text1"/>
        </w:rPr>
        <w:lastRenderedPageBreak/>
        <w:t>intensity level) with their ratio representing nuclear PIR.  Cortical lens opacities were also segmented and their mean pixel intensity compared as a ratio with the background mean pixel intensity of the entire opacity-free cortex, representing cortical PIR.  The area of the cortical opacities w</w:t>
      </w:r>
      <w:r w:rsidR="008E3F0A" w:rsidRPr="009A74DB">
        <w:rPr>
          <w:rFonts w:ascii="Arial" w:hAnsi="Arial" w:cs="Arial"/>
          <w:color w:val="000000" w:themeColor="text1"/>
        </w:rPr>
        <w:t>as</w:t>
      </w:r>
      <w:r w:rsidRPr="009A74DB">
        <w:rPr>
          <w:rFonts w:ascii="Arial" w:hAnsi="Arial" w:cs="Arial"/>
          <w:color w:val="000000" w:themeColor="text1"/>
        </w:rPr>
        <w:t xml:space="preserve"> also calculated as a ratio of their mean area compared to the area of the cortex. The PIR and PAR of posterior-subcapsular opacities were calculated in a similar manner to cortical opacities.   In the DS eyes, dot opacities (see Figure </w:t>
      </w:r>
      <w:r w:rsidR="00FE75DC" w:rsidRPr="009A74DB">
        <w:rPr>
          <w:rFonts w:ascii="Arial" w:hAnsi="Arial" w:cs="Arial"/>
          <w:color w:val="000000" w:themeColor="text1"/>
        </w:rPr>
        <w:t>1</w:t>
      </w:r>
      <w:r w:rsidRPr="009A74DB">
        <w:rPr>
          <w:rFonts w:ascii="Arial" w:hAnsi="Arial" w:cs="Arial"/>
          <w:color w:val="000000" w:themeColor="text1"/>
        </w:rPr>
        <w:t xml:space="preserve">), were also visualised.  These were individually identified and in addition to count, Dot PIR and Dot PAR were calculated.   Finally, the central portion of the B-scan, covering the central 4-4.5mm of the lens, was segmented in MATLAB and the proportion of dots in the central area versus the periphery was calculated.   </w:t>
      </w:r>
    </w:p>
    <w:p w14:paraId="57C54443" w14:textId="77777777" w:rsidR="00730C68" w:rsidRPr="009A74DB" w:rsidRDefault="00730C68" w:rsidP="009C4263">
      <w:pPr>
        <w:spacing w:line="480" w:lineRule="auto"/>
        <w:rPr>
          <w:rFonts w:ascii="Arial" w:hAnsi="Arial" w:cs="Arial"/>
          <w:color w:val="000000" w:themeColor="text1"/>
        </w:rPr>
      </w:pPr>
    </w:p>
    <w:p w14:paraId="45D8A4FE" w14:textId="77777777" w:rsidR="00730C68" w:rsidRPr="009A74DB" w:rsidRDefault="00730C68" w:rsidP="009C4263">
      <w:pPr>
        <w:spacing w:line="480" w:lineRule="auto"/>
        <w:rPr>
          <w:rFonts w:ascii="Arial" w:hAnsi="Arial" w:cs="Arial"/>
          <w:color w:val="000000" w:themeColor="text1"/>
        </w:rPr>
      </w:pPr>
      <w:r w:rsidRPr="009A74DB">
        <w:rPr>
          <w:rFonts w:ascii="Arial" w:hAnsi="Arial" w:cs="Arial"/>
          <w:color w:val="000000" w:themeColor="text1"/>
        </w:rPr>
        <w:t>Statistical analysis was conducted in Stata.  Kruskal-Wallis rank sum test was used for comparison between groups as LOCS III data was non-parametric.  Pixel intensity ratios were normally distributed for the control group, and one-away ANOVA compared group differences. To examine association, linear regression and Spearman rank (ρ) analysis were used, depending on normality of data.</w:t>
      </w:r>
    </w:p>
    <w:p w14:paraId="27E455F0" w14:textId="7DC1A343" w:rsidR="00B71428" w:rsidRPr="009A74DB" w:rsidRDefault="00B71428" w:rsidP="009C4263">
      <w:pPr>
        <w:spacing w:line="480" w:lineRule="auto"/>
        <w:rPr>
          <w:rFonts w:ascii="Arial" w:hAnsi="Arial" w:cs="Arial"/>
          <w:color w:val="000000" w:themeColor="text1"/>
        </w:rPr>
      </w:pPr>
    </w:p>
    <w:p w14:paraId="13DCA25D" w14:textId="77777777" w:rsidR="00947282" w:rsidRPr="009A74DB" w:rsidRDefault="00947282" w:rsidP="009C4263">
      <w:pPr>
        <w:rPr>
          <w:rFonts w:ascii="Arial" w:hAnsi="Arial" w:cs="Arial"/>
          <w:b/>
          <w:bCs/>
          <w:color w:val="000000" w:themeColor="text1"/>
        </w:rPr>
      </w:pPr>
      <w:r w:rsidRPr="009A74DB">
        <w:rPr>
          <w:rFonts w:ascii="Arial" w:hAnsi="Arial" w:cs="Arial"/>
          <w:b/>
          <w:bCs/>
          <w:color w:val="000000" w:themeColor="text1"/>
        </w:rPr>
        <w:br w:type="page"/>
      </w:r>
    </w:p>
    <w:p w14:paraId="5EE15FEF" w14:textId="33903BBB" w:rsidR="00512A32" w:rsidRPr="009A74DB" w:rsidRDefault="00512A32" w:rsidP="009C4263">
      <w:pPr>
        <w:spacing w:line="480" w:lineRule="auto"/>
        <w:rPr>
          <w:rFonts w:ascii="Arial" w:hAnsi="Arial" w:cs="Arial"/>
          <w:b/>
          <w:color w:val="000000" w:themeColor="text1"/>
        </w:rPr>
      </w:pPr>
      <w:r w:rsidRPr="009A74DB">
        <w:rPr>
          <w:rFonts w:ascii="Arial" w:hAnsi="Arial" w:cs="Arial"/>
          <w:b/>
          <w:color w:val="000000" w:themeColor="text1"/>
        </w:rPr>
        <w:lastRenderedPageBreak/>
        <w:t>REFERENCES</w:t>
      </w:r>
    </w:p>
    <w:p w14:paraId="70B112BD" w14:textId="77777777" w:rsidR="00CD4241" w:rsidRPr="009A74DB" w:rsidRDefault="00CD4241" w:rsidP="00CD4241">
      <w:pPr>
        <w:spacing w:line="480" w:lineRule="auto"/>
        <w:rPr>
          <w:rFonts w:ascii="Arial" w:hAnsi="Arial" w:cs="Arial"/>
          <w:b/>
          <w:color w:val="000000" w:themeColor="text1"/>
        </w:rPr>
      </w:pPr>
    </w:p>
    <w:p w14:paraId="5428C602" w14:textId="77777777" w:rsidR="00CD4241" w:rsidRPr="009A74DB" w:rsidRDefault="00CD4241" w:rsidP="00CD4241">
      <w:pPr>
        <w:pStyle w:val="ListParagraph"/>
        <w:numPr>
          <w:ilvl w:val="0"/>
          <w:numId w:val="5"/>
        </w:numPr>
        <w:spacing w:line="480" w:lineRule="auto"/>
        <w:rPr>
          <w:rFonts w:ascii="Arial" w:hAnsi="Arial" w:cs="Arial"/>
          <w:color w:val="000000" w:themeColor="text1"/>
        </w:rPr>
      </w:pPr>
      <w:r w:rsidRPr="009A74DB">
        <w:rPr>
          <w:rFonts w:ascii="Arial" w:hAnsi="Arial" w:cs="Arial"/>
          <w:color w:val="000000" w:themeColor="text1"/>
          <w:szCs w:val="22"/>
        </w:rPr>
        <w:t xml:space="preserve">Bell, R., Rankin, J. &amp; Donaldson, L.J. Northern congenital abnormality survey steering group. Down’s syndrome: occurrence and outcome in the north of England, 1985-99. </w:t>
      </w:r>
      <w:proofErr w:type="spellStart"/>
      <w:r w:rsidRPr="009A74DB">
        <w:rPr>
          <w:rFonts w:ascii="Arial" w:hAnsi="Arial" w:cs="Arial"/>
          <w:i/>
          <w:iCs/>
          <w:color w:val="000000" w:themeColor="text1"/>
          <w:szCs w:val="22"/>
        </w:rPr>
        <w:t>Paediatr</w:t>
      </w:r>
      <w:proofErr w:type="spellEnd"/>
      <w:r w:rsidRPr="009A74DB">
        <w:rPr>
          <w:rFonts w:ascii="Arial" w:hAnsi="Arial" w:cs="Arial"/>
          <w:i/>
          <w:iCs/>
          <w:color w:val="000000" w:themeColor="text1"/>
          <w:szCs w:val="22"/>
        </w:rPr>
        <w:t xml:space="preserve">. Perinat. </w:t>
      </w:r>
      <w:proofErr w:type="spellStart"/>
      <w:r w:rsidRPr="009A74DB">
        <w:rPr>
          <w:rFonts w:ascii="Arial" w:hAnsi="Arial" w:cs="Arial"/>
          <w:i/>
          <w:iCs/>
          <w:color w:val="000000" w:themeColor="text1"/>
          <w:szCs w:val="22"/>
        </w:rPr>
        <w:t>Epidemiol</w:t>
      </w:r>
      <w:proofErr w:type="spellEnd"/>
      <w:r w:rsidRPr="009A74DB">
        <w:rPr>
          <w:rFonts w:ascii="Arial" w:hAnsi="Arial" w:cs="Arial"/>
          <w:i/>
          <w:iCs/>
          <w:color w:val="000000" w:themeColor="text1"/>
          <w:szCs w:val="22"/>
        </w:rPr>
        <w:t>.</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17,</w:t>
      </w:r>
      <w:r w:rsidRPr="009A74DB">
        <w:rPr>
          <w:rFonts w:ascii="Arial" w:hAnsi="Arial" w:cs="Arial"/>
          <w:color w:val="000000" w:themeColor="text1"/>
          <w:szCs w:val="22"/>
        </w:rPr>
        <w:t xml:space="preserve"> 33-39 (2003).</w:t>
      </w:r>
    </w:p>
    <w:p w14:paraId="3B41238D" w14:textId="77777777" w:rsidR="00CD4241" w:rsidRPr="009A74DB" w:rsidRDefault="00CD4241" w:rsidP="00CD4241">
      <w:pPr>
        <w:pStyle w:val="ListParagraph"/>
        <w:numPr>
          <w:ilvl w:val="0"/>
          <w:numId w:val="5"/>
        </w:numPr>
        <w:spacing w:line="480" w:lineRule="auto"/>
        <w:rPr>
          <w:rFonts w:ascii="Arial" w:hAnsi="Arial" w:cs="Arial"/>
          <w:color w:val="000000" w:themeColor="text1"/>
          <w:szCs w:val="22"/>
        </w:rPr>
      </w:pPr>
      <w:r w:rsidRPr="009A74DB">
        <w:rPr>
          <w:rFonts w:ascii="Arial" w:hAnsi="Arial" w:cs="Arial"/>
          <w:color w:val="000000" w:themeColor="text1"/>
          <w:szCs w:val="22"/>
        </w:rPr>
        <w:t xml:space="preserve">Haugen, O.H. &amp; </w:t>
      </w:r>
      <w:proofErr w:type="spellStart"/>
      <w:r w:rsidRPr="009A74DB">
        <w:rPr>
          <w:rFonts w:ascii="Arial" w:hAnsi="Arial" w:cs="Arial"/>
          <w:color w:val="000000" w:themeColor="text1"/>
          <w:szCs w:val="22"/>
        </w:rPr>
        <w:t>Høvding</w:t>
      </w:r>
      <w:proofErr w:type="spellEnd"/>
      <w:r w:rsidRPr="009A74DB">
        <w:rPr>
          <w:rFonts w:ascii="Arial" w:hAnsi="Arial" w:cs="Arial"/>
          <w:color w:val="000000" w:themeColor="text1"/>
          <w:szCs w:val="22"/>
        </w:rPr>
        <w:t xml:space="preserve">, G. Strabismus and binocular function in children with Down’s syndrome. A population-based, longitudinal study. </w:t>
      </w:r>
      <w:r w:rsidRPr="009A74DB">
        <w:rPr>
          <w:rFonts w:ascii="Arial" w:hAnsi="Arial" w:cs="Arial"/>
          <w:i/>
          <w:iCs/>
          <w:color w:val="000000" w:themeColor="text1"/>
          <w:szCs w:val="22"/>
        </w:rPr>
        <w:t xml:space="preserve">Acta </w:t>
      </w:r>
      <w:proofErr w:type="spellStart"/>
      <w:r w:rsidRPr="009A74DB">
        <w:rPr>
          <w:rFonts w:ascii="Arial" w:hAnsi="Arial" w:cs="Arial"/>
          <w:i/>
          <w:iCs/>
          <w:color w:val="000000" w:themeColor="text1"/>
          <w:szCs w:val="22"/>
        </w:rPr>
        <w:t>Ophthalmol</w:t>
      </w:r>
      <w:proofErr w:type="spellEnd"/>
      <w:r w:rsidRPr="009A74DB">
        <w:rPr>
          <w:rFonts w:ascii="Arial" w:hAnsi="Arial" w:cs="Arial"/>
          <w:i/>
          <w:iCs/>
          <w:color w:val="000000" w:themeColor="text1"/>
          <w:szCs w:val="22"/>
        </w:rPr>
        <w:t>. Scand.</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79,</w:t>
      </w:r>
      <w:r w:rsidRPr="009A74DB">
        <w:rPr>
          <w:rFonts w:ascii="Arial" w:hAnsi="Arial" w:cs="Arial"/>
          <w:color w:val="000000" w:themeColor="text1"/>
          <w:szCs w:val="22"/>
        </w:rPr>
        <w:t xml:space="preserve"> 133-39 (2001).</w:t>
      </w:r>
    </w:p>
    <w:p w14:paraId="4CFDB67B" w14:textId="77777777" w:rsidR="00CD4241" w:rsidRPr="009A74DB" w:rsidRDefault="00CD4241" w:rsidP="00CD4241">
      <w:pPr>
        <w:pStyle w:val="ListParagraph"/>
        <w:numPr>
          <w:ilvl w:val="0"/>
          <w:numId w:val="5"/>
        </w:numPr>
        <w:spacing w:line="480" w:lineRule="auto"/>
        <w:rPr>
          <w:rFonts w:ascii="Arial" w:hAnsi="Arial" w:cs="Arial"/>
          <w:color w:val="000000" w:themeColor="text1"/>
          <w:szCs w:val="22"/>
        </w:rPr>
      </w:pPr>
      <w:r w:rsidRPr="009A74DB">
        <w:rPr>
          <w:rFonts w:ascii="Arial" w:hAnsi="Arial" w:cs="Arial"/>
          <w:color w:val="000000" w:themeColor="text1"/>
          <w:szCs w:val="22"/>
        </w:rPr>
        <w:t xml:space="preserve">Little, J-A., Woodhouse, J.M., Lauritzen, J.S. &amp; Saunders, K.J. The impact of optical factors on resolution acuity in children with Down’s syndrome. </w:t>
      </w:r>
      <w:r w:rsidRPr="009A74DB">
        <w:rPr>
          <w:rFonts w:ascii="Arial" w:hAnsi="Arial" w:cs="Arial"/>
          <w:i/>
          <w:iCs/>
          <w:color w:val="000000" w:themeColor="text1"/>
          <w:szCs w:val="22"/>
        </w:rPr>
        <w:t xml:space="preserve">Invest. </w:t>
      </w:r>
      <w:proofErr w:type="spellStart"/>
      <w:r w:rsidRPr="009A74DB">
        <w:rPr>
          <w:rFonts w:ascii="Arial" w:hAnsi="Arial" w:cs="Arial"/>
          <w:i/>
          <w:iCs/>
          <w:color w:val="000000" w:themeColor="text1"/>
          <w:szCs w:val="22"/>
        </w:rPr>
        <w:t>Ophthalmol</w:t>
      </w:r>
      <w:proofErr w:type="spellEnd"/>
      <w:r w:rsidRPr="009A74DB">
        <w:rPr>
          <w:rFonts w:ascii="Arial" w:hAnsi="Arial" w:cs="Arial"/>
          <w:i/>
          <w:iCs/>
          <w:color w:val="000000" w:themeColor="text1"/>
          <w:szCs w:val="22"/>
        </w:rPr>
        <w:t xml:space="preserve">. Vis. Sci. </w:t>
      </w:r>
      <w:r w:rsidRPr="009A74DB">
        <w:rPr>
          <w:rFonts w:ascii="Arial" w:hAnsi="Arial" w:cs="Arial"/>
          <w:b/>
          <w:bCs/>
          <w:color w:val="000000" w:themeColor="text1"/>
          <w:szCs w:val="22"/>
        </w:rPr>
        <w:t>48,</w:t>
      </w:r>
      <w:r w:rsidRPr="009A74DB">
        <w:rPr>
          <w:rFonts w:ascii="Arial" w:hAnsi="Arial" w:cs="Arial"/>
          <w:color w:val="000000" w:themeColor="text1"/>
          <w:szCs w:val="22"/>
        </w:rPr>
        <w:t xml:space="preserve"> 3995-4001 (2007).</w:t>
      </w:r>
    </w:p>
    <w:p w14:paraId="3C4E79DB" w14:textId="7EC481DF" w:rsidR="00CD4241" w:rsidRPr="009A74DB" w:rsidRDefault="00CD4241" w:rsidP="00CD4241">
      <w:pPr>
        <w:pStyle w:val="ListParagraph"/>
        <w:numPr>
          <w:ilvl w:val="0"/>
          <w:numId w:val="5"/>
        </w:numPr>
        <w:spacing w:line="480" w:lineRule="auto"/>
        <w:rPr>
          <w:rFonts w:ascii="Arial" w:hAnsi="Arial" w:cs="Arial"/>
          <w:color w:val="000000" w:themeColor="text1"/>
          <w:szCs w:val="22"/>
        </w:rPr>
      </w:pPr>
      <w:r w:rsidRPr="009A74DB">
        <w:rPr>
          <w:rFonts w:ascii="Arial" w:hAnsi="Arial" w:cs="Arial"/>
          <w:color w:val="000000" w:themeColor="text1"/>
          <w:szCs w:val="22"/>
        </w:rPr>
        <w:t xml:space="preserve">Little, J-A., Woodhouse, J.M. &amp; Saunders, K.J. Corneal power and astigmatism in Down syndrome. </w:t>
      </w:r>
      <w:proofErr w:type="spellStart"/>
      <w:r w:rsidRPr="009A74DB">
        <w:rPr>
          <w:rFonts w:ascii="Arial" w:hAnsi="Arial" w:cs="Arial"/>
          <w:i/>
          <w:iCs/>
          <w:color w:val="000000" w:themeColor="text1"/>
          <w:szCs w:val="22"/>
        </w:rPr>
        <w:t>Optom</w:t>
      </w:r>
      <w:proofErr w:type="spellEnd"/>
      <w:r w:rsidRPr="009A74DB">
        <w:rPr>
          <w:rFonts w:ascii="Arial" w:hAnsi="Arial" w:cs="Arial"/>
          <w:i/>
          <w:iCs/>
          <w:color w:val="000000" w:themeColor="text1"/>
          <w:szCs w:val="22"/>
        </w:rPr>
        <w:t>. Vis. Sci.</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86,</w:t>
      </w:r>
      <w:r w:rsidRPr="009A74DB">
        <w:rPr>
          <w:rFonts w:ascii="Arial" w:hAnsi="Arial" w:cs="Arial"/>
          <w:color w:val="000000" w:themeColor="text1"/>
          <w:szCs w:val="22"/>
        </w:rPr>
        <w:t xml:space="preserve"> 748-54 (2009).</w:t>
      </w:r>
      <w:r w:rsidR="009726D6" w:rsidRPr="009A74DB">
        <w:rPr>
          <w:rFonts w:ascii="Arial" w:hAnsi="Arial" w:cs="Arial"/>
          <w:color w:val="000000" w:themeColor="text1"/>
          <w:szCs w:val="22"/>
        </w:rPr>
        <w:t xml:space="preserve"> </w:t>
      </w:r>
      <w:proofErr w:type="spellStart"/>
      <w:r w:rsidR="009726D6" w:rsidRPr="009A74DB">
        <w:rPr>
          <w:rFonts w:ascii="Arial" w:hAnsi="Arial" w:cs="Arial"/>
          <w:color w:val="000000" w:themeColor="text1"/>
          <w:szCs w:val="22"/>
        </w:rPr>
        <w:t>doi</w:t>
      </w:r>
      <w:proofErr w:type="spellEnd"/>
      <w:r w:rsidR="009726D6" w:rsidRPr="009A74DB">
        <w:rPr>
          <w:rFonts w:ascii="Arial" w:hAnsi="Arial" w:cs="Arial"/>
          <w:color w:val="000000" w:themeColor="text1"/>
          <w:szCs w:val="22"/>
        </w:rPr>
        <w:t>: 10.1097/OPX.0b013e3181a59d5d.</w:t>
      </w:r>
    </w:p>
    <w:p w14:paraId="29A592FD" w14:textId="094B95E5" w:rsidR="00CD4241" w:rsidRPr="009A74DB" w:rsidRDefault="00CD4241" w:rsidP="00CD4241">
      <w:pPr>
        <w:pStyle w:val="ListParagraph"/>
        <w:numPr>
          <w:ilvl w:val="0"/>
          <w:numId w:val="5"/>
        </w:numPr>
        <w:spacing w:line="480" w:lineRule="auto"/>
        <w:rPr>
          <w:rFonts w:ascii="Arial" w:hAnsi="Arial" w:cs="Arial"/>
          <w:color w:val="000000" w:themeColor="text1"/>
          <w:szCs w:val="22"/>
        </w:rPr>
      </w:pPr>
      <w:proofErr w:type="spellStart"/>
      <w:r w:rsidRPr="009A74DB">
        <w:rPr>
          <w:rFonts w:ascii="Arial" w:hAnsi="Arial" w:cs="Arial"/>
          <w:color w:val="000000" w:themeColor="text1"/>
          <w:szCs w:val="22"/>
        </w:rPr>
        <w:t>Ljubic</w:t>
      </w:r>
      <w:proofErr w:type="spellEnd"/>
      <w:r w:rsidRPr="009A74DB">
        <w:rPr>
          <w:rFonts w:ascii="Arial" w:hAnsi="Arial" w:cs="Arial"/>
          <w:color w:val="000000" w:themeColor="text1"/>
          <w:szCs w:val="22"/>
        </w:rPr>
        <w:t xml:space="preserve">, A., Trajkovski, V. &amp; Stankovic, B. Strabismus, refractive errors and nystagmus in children and young adults with Down’s syndrome. </w:t>
      </w:r>
      <w:r w:rsidRPr="009A74DB">
        <w:rPr>
          <w:rFonts w:ascii="Arial" w:hAnsi="Arial" w:cs="Arial"/>
          <w:i/>
          <w:iCs/>
          <w:color w:val="000000" w:themeColor="text1"/>
          <w:szCs w:val="22"/>
        </w:rPr>
        <w:t>Ophthalmic Genet.</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32,</w:t>
      </w:r>
      <w:r w:rsidRPr="009A74DB">
        <w:rPr>
          <w:rFonts w:ascii="Arial" w:hAnsi="Arial" w:cs="Arial"/>
          <w:color w:val="000000" w:themeColor="text1"/>
          <w:szCs w:val="22"/>
        </w:rPr>
        <w:t xml:space="preserve"> 204-211 (2011).</w:t>
      </w:r>
      <w:r w:rsidR="009726D6" w:rsidRPr="009A74DB">
        <w:rPr>
          <w:rFonts w:ascii="Arial" w:hAnsi="Arial" w:cs="Arial"/>
          <w:color w:val="000000" w:themeColor="text1"/>
          <w:szCs w:val="22"/>
        </w:rPr>
        <w:t xml:space="preserve"> </w:t>
      </w:r>
      <w:proofErr w:type="spellStart"/>
      <w:r w:rsidR="009726D6" w:rsidRPr="009A74DB">
        <w:rPr>
          <w:rFonts w:ascii="Arial" w:hAnsi="Arial" w:cs="Arial"/>
          <w:color w:val="000000" w:themeColor="text1"/>
          <w:szCs w:val="22"/>
        </w:rPr>
        <w:t>doi</w:t>
      </w:r>
      <w:proofErr w:type="spellEnd"/>
      <w:r w:rsidR="009726D6" w:rsidRPr="009A74DB">
        <w:rPr>
          <w:rFonts w:ascii="Arial" w:hAnsi="Arial" w:cs="Arial"/>
          <w:color w:val="000000" w:themeColor="text1"/>
          <w:szCs w:val="22"/>
        </w:rPr>
        <w:t>: 10.3109/13816810.2011.592175.</w:t>
      </w:r>
    </w:p>
    <w:p w14:paraId="5004B1E0"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hAnsi="Arial" w:cs="Arial"/>
          <w:color w:val="000000" w:themeColor="text1"/>
          <w:szCs w:val="22"/>
        </w:rPr>
        <w:t xml:space="preserve">Doyle, L., Saunders, K.J. &amp; Little J-A. Trying to see, failing to focus: near visual impairment in Down syndrome. </w:t>
      </w:r>
      <w:r w:rsidRPr="009A74DB">
        <w:rPr>
          <w:rFonts w:ascii="Arial" w:hAnsi="Arial" w:cs="Arial"/>
          <w:i/>
          <w:iCs/>
          <w:color w:val="000000" w:themeColor="text1"/>
          <w:szCs w:val="22"/>
        </w:rPr>
        <w:t>Sci. Rep.</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6</w:t>
      </w:r>
      <w:r w:rsidRPr="009A74DB">
        <w:rPr>
          <w:rFonts w:ascii="Arial" w:hAnsi="Arial" w:cs="Arial"/>
          <w:color w:val="000000" w:themeColor="text1"/>
          <w:szCs w:val="22"/>
        </w:rPr>
        <w:t xml:space="preserve">, 20444. </w:t>
      </w:r>
      <w:r w:rsidRPr="009A74DB">
        <w:rPr>
          <w:rFonts w:ascii="Arial" w:eastAsiaTheme="minorEastAsia" w:hAnsi="Arial" w:cs="Arial"/>
          <w:color w:val="000000" w:themeColor="text1"/>
          <w:szCs w:val="22"/>
        </w:rPr>
        <w:t>DOI: 10.1038/srep20444 (</w:t>
      </w:r>
      <w:r w:rsidRPr="009A74DB">
        <w:rPr>
          <w:rFonts w:ascii="Arial" w:hAnsi="Arial" w:cs="Arial"/>
          <w:color w:val="000000" w:themeColor="text1"/>
          <w:szCs w:val="22"/>
        </w:rPr>
        <w:t>2016)</w:t>
      </w:r>
    </w:p>
    <w:p w14:paraId="5F28C088"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hAnsi="Arial" w:cs="Arial"/>
          <w:color w:val="000000" w:themeColor="text1"/>
        </w:rPr>
        <w:t xml:space="preserve">Catalano, R.A. Down syndrome. </w:t>
      </w:r>
      <w:proofErr w:type="spellStart"/>
      <w:r w:rsidRPr="009A74DB">
        <w:rPr>
          <w:rFonts w:ascii="Arial" w:hAnsi="Arial" w:cs="Arial"/>
          <w:i/>
          <w:iCs/>
          <w:color w:val="000000" w:themeColor="text1"/>
        </w:rPr>
        <w:t>Surv</w:t>
      </w:r>
      <w:proofErr w:type="spellEnd"/>
      <w:r w:rsidRPr="009A74DB">
        <w:rPr>
          <w:rFonts w:ascii="Arial" w:hAnsi="Arial" w:cs="Arial"/>
          <w:i/>
          <w:iCs/>
          <w:color w:val="000000" w:themeColor="text1"/>
        </w:rPr>
        <w:t xml:space="preserve"> </w:t>
      </w:r>
      <w:proofErr w:type="spellStart"/>
      <w:r w:rsidRPr="009A74DB">
        <w:rPr>
          <w:rFonts w:ascii="Arial" w:hAnsi="Arial" w:cs="Arial"/>
          <w:i/>
          <w:iCs/>
          <w:color w:val="000000" w:themeColor="text1"/>
        </w:rPr>
        <w:t>Ophthalmol</w:t>
      </w:r>
      <w:proofErr w:type="spellEnd"/>
      <w:r w:rsidRPr="009A74DB">
        <w:rPr>
          <w:rFonts w:ascii="Arial" w:hAnsi="Arial" w:cs="Arial"/>
          <w:i/>
          <w:iCs/>
          <w:color w:val="000000" w:themeColor="text1"/>
        </w:rPr>
        <w:t>.</w:t>
      </w:r>
      <w:r w:rsidRPr="009A74DB">
        <w:rPr>
          <w:rFonts w:ascii="Arial" w:hAnsi="Arial" w:cs="Arial"/>
          <w:color w:val="000000" w:themeColor="text1"/>
        </w:rPr>
        <w:t xml:space="preserve"> </w:t>
      </w:r>
      <w:r w:rsidRPr="009A74DB">
        <w:rPr>
          <w:rFonts w:ascii="Arial" w:hAnsi="Arial" w:cs="Arial"/>
          <w:b/>
          <w:bCs/>
          <w:color w:val="000000" w:themeColor="text1"/>
        </w:rPr>
        <w:t>34,</w:t>
      </w:r>
      <w:r w:rsidRPr="009A74DB">
        <w:rPr>
          <w:rFonts w:ascii="Arial" w:hAnsi="Arial" w:cs="Arial"/>
          <w:color w:val="000000" w:themeColor="text1"/>
        </w:rPr>
        <w:t xml:space="preserve"> 385–398 (1990).</w:t>
      </w:r>
    </w:p>
    <w:p w14:paraId="396EF94C"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Jaeger, E.A. Ocular findings in Down’s syndrome. </w:t>
      </w:r>
      <w:r w:rsidRPr="009A74DB">
        <w:rPr>
          <w:rFonts w:ascii="Arial" w:eastAsiaTheme="minorEastAsia" w:hAnsi="Arial" w:cs="Arial"/>
          <w:i/>
          <w:iCs/>
          <w:color w:val="000000" w:themeColor="text1"/>
          <w:szCs w:val="22"/>
        </w:rPr>
        <w:t xml:space="preserve">Trans. Am.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 Soc.</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78,</w:t>
      </w:r>
      <w:r w:rsidRPr="009A74DB">
        <w:rPr>
          <w:rFonts w:ascii="Arial" w:eastAsiaTheme="minorEastAsia" w:hAnsi="Arial" w:cs="Arial"/>
          <w:color w:val="000000" w:themeColor="text1"/>
          <w:szCs w:val="22"/>
        </w:rPr>
        <w:t xml:space="preserve"> 808–845 (1980).</w:t>
      </w:r>
    </w:p>
    <w:p w14:paraId="715EB4EB"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Liza-</w:t>
      </w:r>
      <w:proofErr w:type="spellStart"/>
      <w:r w:rsidRPr="009A74DB">
        <w:rPr>
          <w:rFonts w:ascii="Arial" w:eastAsiaTheme="minorEastAsia" w:hAnsi="Arial" w:cs="Arial"/>
          <w:color w:val="000000" w:themeColor="text1"/>
          <w:szCs w:val="22"/>
        </w:rPr>
        <w:t>Sharmini</w:t>
      </w:r>
      <w:proofErr w:type="spellEnd"/>
      <w:r w:rsidRPr="009A74DB">
        <w:rPr>
          <w:rFonts w:ascii="Arial" w:eastAsiaTheme="minorEastAsia" w:hAnsi="Arial" w:cs="Arial"/>
          <w:color w:val="000000" w:themeColor="text1"/>
          <w:szCs w:val="22"/>
        </w:rPr>
        <w:t xml:space="preserve">, A.T., </w:t>
      </w:r>
      <w:proofErr w:type="spellStart"/>
      <w:r w:rsidRPr="009A74DB">
        <w:rPr>
          <w:rFonts w:ascii="Arial" w:eastAsiaTheme="minorEastAsia" w:hAnsi="Arial" w:cs="Arial"/>
          <w:color w:val="000000" w:themeColor="text1"/>
          <w:szCs w:val="22"/>
        </w:rPr>
        <w:t>Azlan</w:t>
      </w:r>
      <w:proofErr w:type="spellEnd"/>
      <w:r w:rsidRPr="009A74DB">
        <w:rPr>
          <w:rFonts w:ascii="Arial" w:eastAsiaTheme="minorEastAsia" w:hAnsi="Arial" w:cs="Arial"/>
          <w:color w:val="000000" w:themeColor="text1"/>
          <w:szCs w:val="22"/>
        </w:rPr>
        <w:t xml:space="preserve">, Z.N. &amp; </w:t>
      </w:r>
      <w:proofErr w:type="spellStart"/>
      <w:r w:rsidRPr="009A74DB">
        <w:rPr>
          <w:rFonts w:ascii="Arial" w:eastAsiaTheme="minorEastAsia" w:hAnsi="Arial" w:cs="Arial"/>
          <w:color w:val="000000" w:themeColor="text1"/>
          <w:szCs w:val="22"/>
        </w:rPr>
        <w:t>Zilfalil</w:t>
      </w:r>
      <w:proofErr w:type="spellEnd"/>
      <w:r w:rsidRPr="009A74DB">
        <w:rPr>
          <w:rFonts w:ascii="Arial" w:eastAsiaTheme="minorEastAsia" w:hAnsi="Arial" w:cs="Arial"/>
          <w:color w:val="000000" w:themeColor="text1"/>
          <w:szCs w:val="22"/>
        </w:rPr>
        <w:t xml:space="preserve">, B.A. Ocular findings in Malaysian children with Down syndrome. </w:t>
      </w:r>
      <w:r w:rsidRPr="009A74DB">
        <w:rPr>
          <w:rFonts w:ascii="Arial" w:eastAsiaTheme="minorEastAsia" w:hAnsi="Arial" w:cs="Arial"/>
          <w:i/>
          <w:iCs/>
          <w:color w:val="000000" w:themeColor="text1"/>
          <w:szCs w:val="22"/>
        </w:rPr>
        <w:t>Singapore Med. J</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47,</w:t>
      </w:r>
      <w:r w:rsidRPr="009A74DB">
        <w:rPr>
          <w:rFonts w:ascii="Arial" w:eastAsiaTheme="minorEastAsia" w:hAnsi="Arial" w:cs="Arial"/>
          <w:color w:val="000000" w:themeColor="text1"/>
          <w:szCs w:val="22"/>
        </w:rPr>
        <w:t>14–19 (2006).</w:t>
      </w:r>
    </w:p>
    <w:p w14:paraId="5CCE36A2" w14:textId="5F90D70C"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lastRenderedPageBreak/>
        <w:t xml:space="preserve">Fong, A.H.C. et al. Prevalence of ocular abnormalities in adults with Down syndrome in Hong Kong. </w:t>
      </w:r>
      <w:r w:rsidRPr="009A74DB">
        <w:rPr>
          <w:rFonts w:ascii="Arial" w:eastAsiaTheme="minorEastAsia" w:hAnsi="Arial" w:cs="Arial"/>
          <w:i/>
          <w:iCs/>
          <w:color w:val="000000" w:themeColor="text1"/>
          <w:szCs w:val="22"/>
        </w:rPr>
        <w:t xml:space="preserve">Br. J.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97,</w:t>
      </w:r>
      <w:r w:rsidRPr="009A74DB">
        <w:rPr>
          <w:rFonts w:ascii="Arial" w:eastAsiaTheme="minorEastAsia" w:hAnsi="Arial" w:cs="Arial"/>
          <w:color w:val="000000" w:themeColor="text1"/>
          <w:szCs w:val="22"/>
        </w:rPr>
        <w:t xml:space="preserve"> 423–428 (2013).</w:t>
      </w:r>
      <w:r w:rsidR="0087481A" w:rsidRPr="009A74DB">
        <w:rPr>
          <w:rFonts w:ascii="Arial" w:eastAsiaTheme="minorEastAsia" w:hAnsi="Arial" w:cs="Arial"/>
          <w:color w:val="000000" w:themeColor="text1"/>
          <w:szCs w:val="22"/>
        </w:rPr>
        <w:t xml:space="preserve"> </w:t>
      </w:r>
      <w:proofErr w:type="spellStart"/>
      <w:r w:rsidR="0087481A" w:rsidRPr="009A74DB">
        <w:rPr>
          <w:rFonts w:ascii="Arial" w:eastAsiaTheme="minorEastAsia" w:hAnsi="Arial" w:cs="Arial"/>
          <w:color w:val="000000" w:themeColor="text1"/>
          <w:szCs w:val="22"/>
        </w:rPr>
        <w:t>doi</w:t>
      </w:r>
      <w:proofErr w:type="spellEnd"/>
      <w:r w:rsidR="0087481A" w:rsidRPr="009A74DB">
        <w:rPr>
          <w:rFonts w:ascii="Arial" w:eastAsiaTheme="minorEastAsia" w:hAnsi="Arial" w:cs="Arial"/>
          <w:color w:val="000000" w:themeColor="text1"/>
          <w:szCs w:val="22"/>
        </w:rPr>
        <w:t>: 10.1136/bjophthalmol-2012-302327.</w:t>
      </w:r>
    </w:p>
    <w:p w14:paraId="6E12C668"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Wong, V. &amp; Ho, D. Ocular abnormalities in Down syndrome: An analysis of 140 Chinese children. </w:t>
      </w:r>
      <w:proofErr w:type="spellStart"/>
      <w:r w:rsidRPr="009A74DB">
        <w:rPr>
          <w:rFonts w:ascii="Arial" w:eastAsiaTheme="minorEastAsia" w:hAnsi="Arial" w:cs="Arial"/>
          <w:i/>
          <w:iCs/>
          <w:color w:val="000000" w:themeColor="text1"/>
          <w:szCs w:val="22"/>
        </w:rPr>
        <w:t>Pediatr</w:t>
      </w:r>
      <w:proofErr w:type="spellEnd"/>
      <w:r w:rsidRPr="009A74DB">
        <w:rPr>
          <w:rFonts w:ascii="Arial" w:eastAsiaTheme="minorEastAsia" w:hAnsi="Arial" w:cs="Arial"/>
          <w:i/>
          <w:iCs/>
          <w:color w:val="000000" w:themeColor="text1"/>
          <w:szCs w:val="22"/>
        </w:rPr>
        <w:t>. Neurol</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16, </w:t>
      </w:r>
      <w:r w:rsidRPr="009A74DB">
        <w:rPr>
          <w:rFonts w:ascii="Arial" w:eastAsiaTheme="minorEastAsia" w:hAnsi="Arial" w:cs="Arial"/>
          <w:color w:val="000000" w:themeColor="text1"/>
          <w:szCs w:val="22"/>
        </w:rPr>
        <w:t>311–314 (1997).</w:t>
      </w:r>
    </w:p>
    <w:p w14:paraId="615270A6"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da Cunha, R.P. &amp; Moreira, J.B.D. Ocular findings in Down’s syndrome. </w:t>
      </w:r>
      <w:r w:rsidRPr="009A74DB">
        <w:rPr>
          <w:rFonts w:ascii="Arial" w:eastAsiaTheme="minorEastAsia" w:hAnsi="Arial" w:cs="Arial"/>
          <w:i/>
          <w:iCs/>
          <w:color w:val="000000" w:themeColor="text1"/>
          <w:szCs w:val="22"/>
        </w:rPr>
        <w:t xml:space="preserve">Am. J.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122, </w:t>
      </w:r>
      <w:r w:rsidRPr="009A74DB">
        <w:rPr>
          <w:rFonts w:ascii="Arial" w:eastAsiaTheme="minorEastAsia" w:hAnsi="Arial" w:cs="Arial"/>
          <w:color w:val="000000" w:themeColor="text1"/>
          <w:szCs w:val="22"/>
        </w:rPr>
        <w:t>236–244 (1996).</w:t>
      </w:r>
    </w:p>
    <w:p w14:paraId="32B88DA9"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Kim, J.H., Hwang, J.M., Kim, H.J. &amp; Yu, Y.S. Characteristic ocular findings in Asian children with Down syndrome. </w:t>
      </w:r>
      <w:r w:rsidRPr="009A74DB">
        <w:rPr>
          <w:rFonts w:ascii="Arial" w:eastAsiaTheme="minorEastAsia" w:hAnsi="Arial" w:cs="Arial"/>
          <w:i/>
          <w:iCs/>
          <w:color w:val="000000" w:themeColor="text1"/>
          <w:szCs w:val="22"/>
        </w:rPr>
        <w:t>Eye.</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16,</w:t>
      </w:r>
      <w:r w:rsidRPr="009A74DB">
        <w:rPr>
          <w:rFonts w:ascii="Arial" w:eastAsiaTheme="minorEastAsia" w:hAnsi="Arial" w:cs="Arial"/>
          <w:color w:val="000000" w:themeColor="text1"/>
          <w:szCs w:val="22"/>
        </w:rPr>
        <w:t xml:space="preserve"> 710–714 (2002).</w:t>
      </w:r>
    </w:p>
    <w:p w14:paraId="6D1F61CF"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proofErr w:type="spellStart"/>
      <w:r w:rsidRPr="009A74DB">
        <w:rPr>
          <w:rFonts w:ascii="Arial" w:hAnsi="Arial" w:cs="Arial"/>
          <w:color w:val="000000" w:themeColor="text1"/>
          <w:szCs w:val="22"/>
        </w:rPr>
        <w:t>Bittles</w:t>
      </w:r>
      <w:proofErr w:type="spellEnd"/>
      <w:r w:rsidRPr="009A74DB">
        <w:rPr>
          <w:rFonts w:ascii="Arial" w:hAnsi="Arial" w:cs="Arial"/>
          <w:color w:val="000000" w:themeColor="text1"/>
          <w:szCs w:val="22"/>
        </w:rPr>
        <w:t xml:space="preserve">, A.H., Bower, C., Hussain, R. &amp; Glasson, E.J.  The four ages of Down syndrome.  </w:t>
      </w:r>
      <w:r w:rsidRPr="009A74DB">
        <w:rPr>
          <w:rFonts w:ascii="Arial" w:hAnsi="Arial" w:cs="Arial"/>
          <w:i/>
          <w:iCs/>
          <w:color w:val="000000" w:themeColor="text1"/>
          <w:szCs w:val="22"/>
        </w:rPr>
        <w:t>Eur. J. Public Health.</w:t>
      </w:r>
      <w:r w:rsidRPr="009A74DB">
        <w:rPr>
          <w:rFonts w:ascii="Arial" w:hAnsi="Arial" w:cs="Arial"/>
          <w:color w:val="000000" w:themeColor="text1"/>
          <w:szCs w:val="22"/>
        </w:rPr>
        <w:t xml:space="preserve"> </w:t>
      </w:r>
      <w:r w:rsidRPr="009A74DB">
        <w:rPr>
          <w:rFonts w:ascii="Arial" w:hAnsi="Arial" w:cs="Arial"/>
          <w:b/>
          <w:bCs/>
          <w:color w:val="000000" w:themeColor="text1"/>
          <w:szCs w:val="22"/>
        </w:rPr>
        <w:t xml:space="preserve">17, </w:t>
      </w:r>
      <w:r w:rsidRPr="009A74DB">
        <w:rPr>
          <w:rFonts w:ascii="Arial" w:hAnsi="Arial" w:cs="Arial"/>
          <w:color w:val="000000" w:themeColor="text1"/>
          <w:szCs w:val="22"/>
        </w:rPr>
        <w:t>221-5 (2007).</w:t>
      </w:r>
    </w:p>
    <w:p w14:paraId="67F84519"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proofErr w:type="spellStart"/>
      <w:r w:rsidRPr="009A74DB">
        <w:rPr>
          <w:rFonts w:ascii="Arial" w:eastAsiaTheme="minorEastAsia" w:hAnsi="Arial" w:cs="Arial"/>
          <w:color w:val="000000" w:themeColor="text1"/>
          <w:szCs w:val="22"/>
        </w:rPr>
        <w:t>Haargaard</w:t>
      </w:r>
      <w:proofErr w:type="spellEnd"/>
      <w:r w:rsidRPr="009A74DB">
        <w:rPr>
          <w:rFonts w:ascii="Arial" w:eastAsiaTheme="minorEastAsia" w:hAnsi="Arial" w:cs="Arial"/>
          <w:color w:val="000000" w:themeColor="text1"/>
          <w:szCs w:val="22"/>
        </w:rPr>
        <w:t xml:space="preserve">, B., </w:t>
      </w:r>
      <w:proofErr w:type="spellStart"/>
      <w:r w:rsidRPr="009A74DB">
        <w:rPr>
          <w:rFonts w:ascii="Arial" w:eastAsiaTheme="minorEastAsia" w:hAnsi="Arial" w:cs="Arial"/>
          <w:color w:val="000000" w:themeColor="text1"/>
          <w:szCs w:val="22"/>
        </w:rPr>
        <w:t>Wohlfahrt</w:t>
      </w:r>
      <w:proofErr w:type="spellEnd"/>
      <w:r w:rsidRPr="009A74DB">
        <w:rPr>
          <w:rFonts w:ascii="Arial" w:eastAsiaTheme="minorEastAsia" w:hAnsi="Arial" w:cs="Arial"/>
          <w:color w:val="000000" w:themeColor="text1"/>
          <w:szCs w:val="22"/>
        </w:rPr>
        <w:t xml:space="preserve">, J., </w:t>
      </w:r>
      <w:proofErr w:type="spellStart"/>
      <w:r w:rsidRPr="009A74DB">
        <w:rPr>
          <w:rFonts w:ascii="Arial" w:eastAsiaTheme="minorEastAsia" w:hAnsi="Arial" w:cs="Arial"/>
          <w:color w:val="000000" w:themeColor="text1"/>
          <w:szCs w:val="22"/>
        </w:rPr>
        <w:t>Fledelius</w:t>
      </w:r>
      <w:proofErr w:type="spellEnd"/>
      <w:r w:rsidRPr="009A74DB">
        <w:rPr>
          <w:rFonts w:ascii="Arial" w:eastAsiaTheme="minorEastAsia" w:hAnsi="Arial" w:cs="Arial"/>
          <w:color w:val="000000" w:themeColor="text1"/>
          <w:szCs w:val="22"/>
        </w:rPr>
        <w:t xml:space="preserve">, H.C., Rosenberg, T. &amp; </w:t>
      </w:r>
      <w:proofErr w:type="spellStart"/>
      <w:r w:rsidRPr="009A74DB">
        <w:rPr>
          <w:rFonts w:ascii="Arial" w:eastAsiaTheme="minorEastAsia" w:hAnsi="Arial" w:cs="Arial"/>
          <w:color w:val="000000" w:themeColor="text1"/>
          <w:szCs w:val="22"/>
        </w:rPr>
        <w:t>Melbye</w:t>
      </w:r>
      <w:proofErr w:type="spellEnd"/>
      <w:r w:rsidRPr="009A74DB">
        <w:rPr>
          <w:rFonts w:ascii="Arial" w:eastAsiaTheme="minorEastAsia" w:hAnsi="Arial" w:cs="Arial"/>
          <w:color w:val="000000" w:themeColor="text1"/>
          <w:szCs w:val="22"/>
        </w:rPr>
        <w:t xml:space="preserve">, M. A nationwide Danish study of 1027 cases of congenital/infantile cataracts: etiological and clinical classifications.  </w:t>
      </w:r>
      <w:r w:rsidRPr="009A74DB">
        <w:rPr>
          <w:rFonts w:ascii="Arial" w:eastAsiaTheme="minorEastAsia" w:hAnsi="Arial" w:cs="Arial"/>
          <w:i/>
          <w:iCs/>
          <w:color w:val="000000" w:themeColor="text1"/>
          <w:szCs w:val="22"/>
        </w:rPr>
        <w:t>Ophthalmology.</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111, </w:t>
      </w:r>
      <w:r w:rsidRPr="009A74DB">
        <w:rPr>
          <w:rFonts w:ascii="Arial" w:eastAsiaTheme="minorEastAsia" w:hAnsi="Arial" w:cs="Arial"/>
          <w:color w:val="000000" w:themeColor="text1"/>
          <w:szCs w:val="22"/>
        </w:rPr>
        <w:t>2292-2298 (2004).</w:t>
      </w:r>
    </w:p>
    <w:p w14:paraId="3A7FB682"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Zana, M., </w:t>
      </w:r>
      <w:proofErr w:type="spellStart"/>
      <w:r w:rsidRPr="009A74DB">
        <w:rPr>
          <w:rFonts w:ascii="Arial" w:eastAsiaTheme="minorEastAsia" w:hAnsi="Arial" w:cs="Arial"/>
          <w:color w:val="000000" w:themeColor="text1"/>
          <w:szCs w:val="22"/>
        </w:rPr>
        <w:t>Janka</w:t>
      </w:r>
      <w:proofErr w:type="spellEnd"/>
      <w:r w:rsidRPr="009A74DB">
        <w:rPr>
          <w:rFonts w:ascii="Arial" w:eastAsiaTheme="minorEastAsia" w:hAnsi="Arial" w:cs="Arial"/>
          <w:color w:val="000000" w:themeColor="text1"/>
          <w:szCs w:val="22"/>
        </w:rPr>
        <w:t xml:space="preserve">, Z. &amp; </w:t>
      </w:r>
      <w:proofErr w:type="spellStart"/>
      <w:r w:rsidRPr="009A74DB">
        <w:rPr>
          <w:rFonts w:ascii="Arial" w:eastAsiaTheme="minorEastAsia" w:hAnsi="Arial" w:cs="Arial"/>
          <w:color w:val="000000" w:themeColor="text1"/>
          <w:szCs w:val="22"/>
        </w:rPr>
        <w:t>Kálmán</w:t>
      </w:r>
      <w:proofErr w:type="spellEnd"/>
      <w:r w:rsidRPr="009A74DB">
        <w:rPr>
          <w:rFonts w:ascii="Arial" w:eastAsiaTheme="minorEastAsia" w:hAnsi="Arial" w:cs="Arial"/>
          <w:color w:val="000000" w:themeColor="text1"/>
          <w:szCs w:val="22"/>
        </w:rPr>
        <w:t xml:space="preserve">, J. Oxidative stress: A bridge between Down’s syndrome and Alzheimer’s disease. </w:t>
      </w:r>
      <w:proofErr w:type="spellStart"/>
      <w:r w:rsidRPr="009A74DB">
        <w:rPr>
          <w:rFonts w:ascii="Arial" w:eastAsiaTheme="minorEastAsia" w:hAnsi="Arial" w:cs="Arial"/>
          <w:i/>
          <w:iCs/>
          <w:color w:val="000000" w:themeColor="text1"/>
          <w:szCs w:val="22"/>
        </w:rPr>
        <w:t>Neurobiol</w:t>
      </w:r>
      <w:proofErr w:type="spellEnd"/>
      <w:r w:rsidRPr="009A74DB">
        <w:rPr>
          <w:rFonts w:ascii="Arial" w:eastAsiaTheme="minorEastAsia" w:hAnsi="Arial" w:cs="Arial"/>
          <w:i/>
          <w:iCs/>
          <w:color w:val="000000" w:themeColor="text1"/>
          <w:szCs w:val="22"/>
        </w:rPr>
        <w:t>. Aging.</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28, </w:t>
      </w:r>
      <w:r w:rsidRPr="009A74DB">
        <w:rPr>
          <w:rFonts w:ascii="Arial" w:eastAsiaTheme="minorEastAsia" w:hAnsi="Arial" w:cs="Arial"/>
          <w:color w:val="000000" w:themeColor="text1"/>
          <w:szCs w:val="22"/>
        </w:rPr>
        <w:t>648–676 (2007).</w:t>
      </w:r>
    </w:p>
    <w:p w14:paraId="50897EAE" w14:textId="022E6C22"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Lee, N-C., </w:t>
      </w:r>
      <w:proofErr w:type="spellStart"/>
      <w:r w:rsidRPr="009A74DB">
        <w:rPr>
          <w:rFonts w:ascii="Arial" w:eastAsiaTheme="minorEastAsia" w:hAnsi="Arial" w:cs="Arial"/>
          <w:color w:val="000000" w:themeColor="text1"/>
          <w:szCs w:val="22"/>
        </w:rPr>
        <w:t>Chien</w:t>
      </w:r>
      <w:proofErr w:type="spellEnd"/>
      <w:r w:rsidRPr="009A74DB">
        <w:rPr>
          <w:rFonts w:ascii="Arial" w:eastAsiaTheme="minorEastAsia" w:hAnsi="Arial" w:cs="Arial"/>
          <w:color w:val="000000" w:themeColor="text1"/>
          <w:szCs w:val="22"/>
        </w:rPr>
        <w:t xml:space="preserve">, Y-H. &amp; </w:t>
      </w:r>
      <w:proofErr w:type="spellStart"/>
      <w:r w:rsidRPr="009A74DB">
        <w:rPr>
          <w:rFonts w:ascii="Arial" w:eastAsiaTheme="minorEastAsia" w:hAnsi="Arial" w:cs="Arial"/>
          <w:color w:val="000000" w:themeColor="text1"/>
          <w:szCs w:val="22"/>
        </w:rPr>
        <w:t>Hwu</w:t>
      </w:r>
      <w:proofErr w:type="spellEnd"/>
      <w:r w:rsidRPr="009A74DB">
        <w:rPr>
          <w:rFonts w:ascii="Arial" w:eastAsiaTheme="minorEastAsia" w:hAnsi="Arial" w:cs="Arial"/>
          <w:color w:val="000000" w:themeColor="text1"/>
          <w:szCs w:val="22"/>
        </w:rPr>
        <w:t xml:space="preserve">, W-L.  A review of biomarkers for Alzheimer’s disease in Down syndrome. </w:t>
      </w:r>
      <w:proofErr w:type="spellStart"/>
      <w:r w:rsidRPr="009A74DB">
        <w:rPr>
          <w:rFonts w:ascii="Arial" w:eastAsiaTheme="minorEastAsia" w:hAnsi="Arial" w:cs="Arial"/>
          <w:i/>
          <w:iCs/>
          <w:color w:val="000000" w:themeColor="text1"/>
          <w:szCs w:val="22"/>
        </w:rPr>
        <w:t>Neurol</w:t>
      </w:r>
      <w:proofErr w:type="spellEnd"/>
      <w:r w:rsidRPr="009A74DB">
        <w:rPr>
          <w:rFonts w:ascii="Arial" w:eastAsiaTheme="minorEastAsia" w:hAnsi="Arial" w:cs="Arial"/>
          <w:i/>
          <w:iCs/>
          <w:color w:val="000000" w:themeColor="text1"/>
          <w:szCs w:val="22"/>
        </w:rPr>
        <w:t xml:space="preserve"> </w:t>
      </w:r>
      <w:proofErr w:type="spellStart"/>
      <w:r w:rsidRPr="009A74DB">
        <w:rPr>
          <w:rFonts w:ascii="Arial" w:eastAsiaTheme="minorEastAsia" w:hAnsi="Arial" w:cs="Arial"/>
          <w:i/>
          <w:iCs/>
          <w:color w:val="000000" w:themeColor="text1"/>
          <w:szCs w:val="22"/>
        </w:rPr>
        <w:t>Ther</w:t>
      </w:r>
      <w:proofErr w:type="spellEnd"/>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6, </w:t>
      </w:r>
      <w:r w:rsidRPr="009A74DB">
        <w:rPr>
          <w:rFonts w:ascii="Arial" w:eastAsiaTheme="minorEastAsia" w:hAnsi="Arial" w:cs="Arial"/>
          <w:color w:val="000000" w:themeColor="text1"/>
          <w:szCs w:val="22"/>
        </w:rPr>
        <w:t>69–81 (2017).</w:t>
      </w:r>
      <w:r w:rsidR="0087481A" w:rsidRPr="009A74DB">
        <w:rPr>
          <w:rFonts w:ascii="Arial" w:eastAsiaTheme="minorEastAsia" w:hAnsi="Arial" w:cs="Arial"/>
          <w:color w:val="000000" w:themeColor="text1"/>
          <w:szCs w:val="22"/>
        </w:rPr>
        <w:t xml:space="preserve"> </w:t>
      </w:r>
      <w:proofErr w:type="spellStart"/>
      <w:r w:rsidR="0087481A" w:rsidRPr="009A74DB">
        <w:rPr>
          <w:rFonts w:ascii="Arial" w:eastAsiaTheme="minorEastAsia" w:hAnsi="Arial" w:cs="Arial"/>
          <w:color w:val="000000" w:themeColor="text1"/>
          <w:szCs w:val="22"/>
        </w:rPr>
        <w:t>doi</w:t>
      </w:r>
      <w:proofErr w:type="spellEnd"/>
      <w:r w:rsidR="0087481A" w:rsidRPr="009A74DB">
        <w:rPr>
          <w:rFonts w:ascii="Arial" w:eastAsiaTheme="minorEastAsia" w:hAnsi="Arial" w:cs="Arial"/>
          <w:color w:val="000000" w:themeColor="text1"/>
          <w:szCs w:val="22"/>
        </w:rPr>
        <w:t>: 10.1007/s40120-017-0071-y.</w:t>
      </w:r>
    </w:p>
    <w:p w14:paraId="45CDB0CD"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Goldstein, L.E. et al. Cytosolic β-amyloid deposition and supranuclear cataracts in lenses from people with Alzheimer’s disease. </w:t>
      </w:r>
      <w:r w:rsidRPr="009A74DB">
        <w:rPr>
          <w:rFonts w:ascii="Arial" w:eastAsiaTheme="minorEastAsia" w:hAnsi="Arial" w:cs="Arial"/>
          <w:i/>
          <w:iCs/>
          <w:color w:val="000000" w:themeColor="text1"/>
          <w:szCs w:val="22"/>
        </w:rPr>
        <w:t>Lancet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361, </w:t>
      </w:r>
      <w:r w:rsidRPr="009A74DB">
        <w:rPr>
          <w:rFonts w:ascii="Arial" w:eastAsiaTheme="minorEastAsia" w:hAnsi="Arial" w:cs="Arial"/>
          <w:color w:val="000000" w:themeColor="text1"/>
          <w:szCs w:val="22"/>
        </w:rPr>
        <w:t>1258–1265 (2003).</w:t>
      </w:r>
    </w:p>
    <w:p w14:paraId="7F048F45" w14:textId="395F58EB"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proofErr w:type="spellStart"/>
      <w:r w:rsidRPr="009A74DB">
        <w:rPr>
          <w:rFonts w:ascii="Arial" w:eastAsiaTheme="minorEastAsia" w:hAnsi="Arial" w:cs="Arial"/>
          <w:color w:val="000000" w:themeColor="text1"/>
          <w:szCs w:val="22"/>
        </w:rPr>
        <w:lastRenderedPageBreak/>
        <w:t>Moncaster</w:t>
      </w:r>
      <w:proofErr w:type="spellEnd"/>
      <w:r w:rsidRPr="009A74DB">
        <w:rPr>
          <w:rFonts w:ascii="Arial" w:eastAsiaTheme="minorEastAsia" w:hAnsi="Arial" w:cs="Arial"/>
          <w:color w:val="000000" w:themeColor="text1"/>
          <w:szCs w:val="22"/>
        </w:rPr>
        <w:t xml:space="preserve">, J.A. et al. Alzheimer's disease amyloid-beta links lens and brain pathology in Down syndrome. </w:t>
      </w:r>
      <w:proofErr w:type="spellStart"/>
      <w:r w:rsidRPr="009A74DB">
        <w:rPr>
          <w:rFonts w:ascii="Arial" w:eastAsiaTheme="minorEastAsia" w:hAnsi="Arial" w:cs="Arial"/>
          <w:i/>
          <w:iCs/>
          <w:color w:val="000000" w:themeColor="text1"/>
          <w:szCs w:val="22"/>
        </w:rPr>
        <w:t>PLoS</w:t>
      </w:r>
      <w:proofErr w:type="spellEnd"/>
      <w:r w:rsidRPr="009A74DB">
        <w:rPr>
          <w:rFonts w:ascii="Arial" w:eastAsiaTheme="minorEastAsia" w:hAnsi="Arial" w:cs="Arial"/>
          <w:i/>
          <w:iCs/>
          <w:color w:val="000000" w:themeColor="text1"/>
          <w:szCs w:val="22"/>
        </w:rPr>
        <w:t xml:space="preserve"> One.</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20</w:t>
      </w:r>
      <w:r w:rsidRPr="009A74DB">
        <w:rPr>
          <w:rFonts w:ascii="Arial" w:eastAsiaTheme="minorEastAsia" w:hAnsi="Arial" w:cs="Arial"/>
          <w:color w:val="000000" w:themeColor="text1"/>
          <w:szCs w:val="22"/>
        </w:rPr>
        <w:t>, e10659 (2010).</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10.1371/journal.pone.0010659.</w:t>
      </w:r>
    </w:p>
    <w:p w14:paraId="6CF9525C" w14:textId="105644EC"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de Castro, A. et al. Three-dimensional cataract crystalline lens imaging with swept-source optical coherence tomography. </w:t>
      </w:r>
      <w:r w:rsidRPr="009A74DB">
        <w:rPr>
          <w:rFonts w:ascii="Arial" w:eastAsiaTheme="minorEastAsia" w:hAnsi="Arial" w:cs="Arial"/>
          <w:i/>
          <w:iCs/>
          <w:color w:val="000000" w:themeColor="text1"/>
          <w:szCs w:val="22"/>
        </w:rPr>
        <w:t xml:space="preserve">Invest.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 Vis. Sci.</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59,</w:t>
      </w:r>
      <w:r w:rsidRPr="009A74DB">
        <w:rPr>
          <w:rFonts w:ascii="Arial" w:eastAsiaTheme="minorEastAsia" w:hAnsi="Arial" w:cs="Arial"/>
          <w:color w:val="000000" w:themeColor="text1"/>
          <w:szCs w:val="22"/>
        </w:rPr>
        <w:t xml:space="preserve"> 897-903 (2018).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10.1167/iovs.17-23596.</w:t>
      </w:r>
    </w:p>
    <w:p w14:paraId="33D97CD9" w14:textId="17A26D04"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proofErr w:type="spellStart"/>
      <w:r w:rsidRPr="009A74DB">
        <w:rPr>
          <w:rFonts w:ascii="Arial" w:eastAsiaTheme="minorEastAsia" w:hAnsi="Arial" w:cs="Arial"/>
          <w:color w:val="000000" w:themeColor="text1"/>
          <w:szCs w:val="22"/>
        </w:rPr>
        <w:t>Grulkowski</w:t>
      </w:r>
      <w:proofErr w:type="spellEnd"/>
      <w:r w:rsidRPr="009A74DB">
        <w:rPr>
          <w:rFonts w:ascii="Arial" w:eastAsiaTheme="minorEastAsia" w:hAnsi="Arial" w:cs="Arial"/>
          <w:color w:val="000000" w:themeColor="text1"/>
          <w:szCs w:val="22"/>
        </w:rPr>
        <w:t xml:space="preserve">, S. et al. Volumetric macro- and micro-scale assessment of crystalline lens opacities in cataract patients using long-depth-range swept source optical coherence tomography. </w:t>
      </w:r>
      <w:r w:rsidRPr="009A74DB">
        <w:rPr>
          <w:rFonts w:ascii="Arial" w:eastAsiaTheme="minorEastAsia" w:hAnsi="Arial" w:cs="Arial"/>
          <w:i/>
          <w:iCs/>
          <w:color w:val="000000" w:themeColor="text1"/>
          <w:szCs w:val="22"/>
        </w:rPr>
        <w:t>Biomed. Opt. Express.</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9,</w:t>
      </w:r>
      <w:r w:rsidRPr="009A74DB">
        <w:rPr>
          <w:rFonts w:ascii="Arial" w:eastAsiaTheme="minorEastAsia" w:hAnsi="Arial" w:cs="Arial"/>
          <w:color w:val="000000" w:themeColor="text1"/>
          <w:szCs w:val="22"/>
        </w:rPr>
        <w:t xml:space="preserve"> 3821-3833 (2018).</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10.1364/BOE.9.003821.</w:t>
      </w:r>
    </w:p>
    <w:p w14:paraId="39975A30" w14:textId="5D461EE3"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Chen, D. et al. Lens nuclear opacity quantitation with long-range swept-source optical coherence tomography: correlation to LOCS III and a </w:t>
      </w:r>
      <w:proofErr w:type="spellStart"/>
      <w:r w:rsidRPr="009A74DB">
        <w:rPr>
          <w:rFonts w:ascii="Arial" w:eastAsiaTheme="minorEastAsia" w:hAnsi="Arial" w:cs="Arial"/>
          <w:color w:val="000000" w:themeColor="text1"/>
          <w:szCs w:val="22"/>
        </w:rPr>
        <w:t>scheimpflug</w:t>
      </w:r>
      <w:proofErr w:type="spellEnd"/>
      <w:r w:rsidRPr="009A74DB">
        <w:rPr>
          <w:rFonts w:ascii="Arial" w:eastAsiaTheme="minorEastAsia" w:hAnsi="Arial" w:cs="Arial"/>
          <w:color w:val="000000" w:themeColor="text1"/>
          <w:szCs w:val="22"/>
        </w:rPr>
        <w:t xml:space="preserve"> imaging-based grading system. </w:t>
      </w:r>
      <w:r w:rsidRPr="009A74DB">
        <w:rPr>
          <w:rFonts w:ascii="Arial" w:eastAsiaTheme="minorEastAsia" w:hAnsi="Arial" w:cs="Arial"/>
          <w:i/>
          <w:iCs/>
          <w:color w:val="000000" w:themeColor="text1"/>
          <w:szCs w:val="22"/>
        </w:rPr>
        <w:t xml:space="preserve">Br. J.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103,</w:t>
      </w:r>
      <w:r w:rsidRPr="009A74DB">
        <w:rPr>
          <w:rFonts w:ascii="Arial" w:eastAsiaTheme="minorEastAsia" w:hAnsi="Arial" w:cs="Arial"/>
          <w:color w:val="000000" w:themeColor="text1"/>
          <w:szCs w:val="22"/>
        </w:rPr>
        <w:t xml:space="preserve"> 1048-</w:t>
      </w:r>
      <w:proofErr w:type="gramStart"/>
      <w:r w:rsidRPr="009A74DB">
        <w:rPr>
          <w:rFonts w:ascii="Arial" w:eastAsiaTheme="minorEastAsia" w:hAnsi="Arial" w:cs="Arial"/>
          <w:color w:val="000000" w:themeColor="text1"/>
          <w:szCs w:val="22"/>
        </w:rPr>
        <w:t>1053.(</w:t>
      </w:r>
      <w:proofErr w:type="gramEnd"/>
      <w:r w:rsidRPr="009A74DB">
        <w:rPr>
          <w:rFonts w:ascii="Arial" w:eastAsiaTheme="minorEastAsia" w:hAnsi="Arial" w:cs="Arial"/>
          <w:color w:val="000000" w:themeColor="text1"/>
          <w:szCs w:val="22"/>
        </w:rPr>
        <w:t xml:space="preserve">2018).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10.1136/bjophthalmol-2018-312661.</w:t>
      </w:r>
    </w:p>
    <w:p w14:paraId="7E6BB69B" w14:textId="2F86A651"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Tan, A.C. et al. Cataract prevalence varies substantially with assessment systems: comparison of clinical and photographic grading in a population-based study. </w:t>
      </w:r>
      <w:r w:rsidRPr="009A74DB">
        <w:rPr>
          <w:rFonts w:ascii="Arial" w:eastAsiaTheme="minorEastAsia" w:hAnsi="Arial" w:cs="Arial"/>
          <w:i/>
          <w:iCs/>
          <w:color w:val="000000" w:themeColor="text1"/>
          <w:szCs w:val="22"/>
        </w:rPr>
        <w:t xml:space="preserve">Ophthalmic </w:t>
      </w:r>
      <w:proofErr w:type="spellStart"/>
      <w:r w:rsidRPr="009A74DB">
        <w:rPr>
          <w:rFonts w:ascii="Arial" w:eastAsiaTheme="minorEastAsia" w:hAnsi="Arial" w:cs="Arial"/>
          <w:i/>
          <w:iCs/>
          <w:color w:val="000000" w:themeColor="text1"/>
          <w:szCs w:val="22"/>
        </w:rPr>
        <w:t>Epidemiol</w:t>
      </w:r>
      <w:proofErr w:type="spellEnd"/>
      <w:r w:rsidRPr="009A74DB">
        <w:rPr>
          <w:rFonts w:ascii="Arial" w:eastAsiaTheme="minorEastAsia" w:hAnsi="Arial" w:cs="Arial"/>
          <w:i/>
          <w:iCs/>
          <w:color w:val="000000" w:themeColor="text1"/>
          <w:szCs w:val="22"/>
        </w:rPr>
        <w: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18</w:t>
      </w:r>
      <w:r w:rsidRPr="009A74DB">
        <w:rPr>
          <w:rFonts w:ascii="Arial" w:eastAsiaTheme="minorEastAsia" w:hAnsi="Arial" w:cs="Arial"/>
          <w:color w:val="000000" w:themeColor="text1"/>
          <w:szCs w:val="22"/>
        </w:rPr>
        <w:t xml:space="preserve">, 164-70 (2011).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10.3109/09286586.2011.594205.</w:t>
      </w:r>
    </w:p>
    <w:p w14:paraId="054949FB"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Mann, A.L., Bressler, S.B., Hawkins, B.S., </w:t>
      </w:r>
      <w:proofErr w:type="spellStart"/>
      <w:r w:rsidRPr="009A74DB">
        <w:rPr>
          <w:rFonts w:ascii="Arial" w:eastAsiaTheme="minorEastAsia" w:hAnsi="Arial" w:cs="Arial"/>
          <w:color w:val="000000" w:themeColor="text1"/>
          <w:szCs w:val="22"/>
        </w:rPr>
        <w:t>Holekamp</w:t>
      </w:r>
      <w:proofErr w:type="spellEnd"/>
      <w:r w:rsidRPr="009A74DB">
        <w:rPr>
          <w:rFonts w:ascii="Arial" w:eastAsiaTheme="minorEastAsia" w:hAnsi="Arial" w:cs="Arial"/>
          <w:color w:val="000000" w:themeColor="text1"/>
          <w:szCs w:val="22"/>
        </w:rPr>
        <w:t xml:space="preserve">, N. &amp; Bressler, N.M. </w:t>
      </w:r>
      <w:proofErr w:type="spellStart"/>
      <w:r w:rsidRPr="009A74DB">
        <w:rPr>
          <w:rFonts w:ascii="Arial" w:eastAsiaTheme="minorEastAsia" w:hAnsi="Arial" w:cs="Arial"/>
          <w:color w:val="000000" w:themeColor="text1"/>
          <w:szCs w:val="22"/>
        </w:rPr>
        <w:t>Submacular</w:t>
      </w:r>
      <w:proofErr w:type="spellEnd"/>
      <w:r w:rsidRPr="009A74DB">
        <w:rPr>
          <w:rFonts w:ascii="Arial" w:eastAsiaTheme="minorEastAsia" w:hAnsi="Arial" w:cs="Arial"/>
          <w:color w:val="000000" w:themeColor="text1"/>
          <w:szCs w:val="22"/>
        </w:rPr>
        <w:t xml:space="preserve"> surgery trials research group.  Comparison of methods to identify incident cataract in eyes of patients with neovascular maculopathy: </w:t>
      </w:r>
      <w:proofErr w:type="spellStart"/>
      <w:r w:rsidRPr="009A74DB">
        <w:rPr>
          <w:rFonts w:ascii="Arial" w:eastAsiaTheme="minorEastAsia" w:hAnsi="Arial" w:cs="Arial"/>
          <w:color w:val="000000" w:themeColor="text1"/>
          <w:szCs w:val="22"/>
        </w:rPr>
        <w:t>Submacular</w:t>
      </w:r>
      <w:proofErr w:type="spellEnd"/>
      <w:r w:rsidRPr="009A74DB">
        <w:rPr>
          <w:rFonts w:ascii="Arial" w:eastAsiaTheme="minorEastAsia" w:hAnsi="Arial" w:cs="Arial"/>
          <w:color w:val="000000" w:themeColor="text1"/>
          <w:szCs w:val="22"/>
        </w:rPr>
        <w:t xml:space="preserve"> surgery trials report No. 18.</w:t>
      </w:r>
      <w:r w:rsidRPr="009A74DB">
        <w:rPr>
          <w:rFonts w:ascii="Arial" w:eastAsiaTheme="minorEastAsia" w:hAnsi="Arial" w:cs="Arial"/>
          <w:i/>
          <w:iCs/>
          <w:color w:val="000000" w:themeColor="text1"/>
          <w:szCs w:val="22"/>
        </w:rPr>
        <w:t xml:space="preserve"> Ophthalmology.</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115,</w:t>
      </w:r>
      <w:r w:rsidRPr="009A74DB">
        <w:rPr>
          <w:rFonts w:ascii="Arial" w:eastAsiaTheme="minorEastAsia" w:hAnsi="Arial" w:cs="Arial"/>
          <w:color w:val="000000" w:themeColor="text1"/>
          <w:szCs w:val="22"/>
        </w:rPr>
        <w:t xml:space="preserve"> 127-33 (2008). </w:t>
      </w:r>
    </w:p>
    <w:p w14:paraId="67A7C46C"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proofErr w:type="spellStart"/>
      <w:r w:rsidRPr="009A74DB">
        <w:rPr>
          <w:rFonts w:ascii="Arial" w:eastAsiaTheme="minorEastAsia" w:hAnsi="Arial" w:cs="Arial"/>
          <w:color w:val="000000" w:themeColor="text1"/>
          <w:szCs w:val="22"/>
        </w:rPr>
        <w:t>Chylack</w:t>
      </w:r>
      <w:proofErr w:type="spellEnd"/>
      <w:r w:rsidRPr="009A74DB">
        <w:rPr>
          <w:rFonts w:ascii="Arial" w:eastAsiaTheme="minorEastAsia" w:hAnsi="Arial" w:cs="Arial"/>
          <w:color w:val="000000" w:themeColor="text1"/>
          <w:szCs w:val="22"/>
        </w:rPr>
        <w:t xml:space="preserve">, L.T., Lee, M.R., Tung, W.H. &amp; Cheng, H.M. Classification of human senile cataractous change by the American cooperative cataract research </w:t>
      </w:r>
      <w:r w:rsidRPr="009A74DB">
        <w:rPr>
          <w:rFonts w:ascii="Arial" w:eastAsiaTheme="minorEastAsia" w:hAnsi="Arial" w:cs="Arial"/>
          <w:color w:val="000000" w:themeColor="text1"/>
          <w:szCs w:val="22"/>
        </w:rPr>
        <w:lastRenderedPageBreak/>
        <w:t xml:space="preserve">group (CCRG) Method: 1. Instrumentation and Technique. </w:t>
      </w:r>
      <w:r w:rsidRPr="009A74DB">
        <w:rPr>
          <w:rFonts w:ascii="Arial" w:eastAsiaTheme="minorEastAsia" w:hAnsi="Arial" w:cs="Arial"/>
          <w:i/>
          <w:iCs/>
          <w:color w:val="000000" w:themeColor="text1"/>
          <w:szCs w:val="22"/>
        </w:rPr>
        <w:t xml:space="preserve">Invest. </w:t>
      </w:r>
      <w:proofErr w:type="spellStart"/>
      <w:r w:rsidRPr="009A74DB">
        <w:rPr>
          <w:rFonts w:ascii="Arial" w:eastAsiaTheme="minorEastAsia" w:hAnsi="Arial" w:cs="Arial"/>
          <w:i/>
          <w:iCs/>
          <w:color w:val="000000" w:themeColor="text1"/>
          <w:szCs w:val="22"/>
        </w:rPr>
        <w:t>Ophthalmol</w:t>
      </w:r>
      <w:proofErr w:type="spellEnd"/>
      <w:r w:rsidRPr="009A74DB">
        <w:rPr>
          <w:rFonts w:ascii="Arial" w:eastAsiaTheme="minorEastAsia" w:hAnsi="Arial" w:cs="Arial"/>
          <w:i/>
          <w:iCs/>
          <w:color w:val="000000" w:themeColor="text1"/>
          <w:szCs w:val="22"/>
        </w:rPr>
        <w:t>. Vis. Sci.</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24, </w:t>
      </w:r>
      <w:r w:rsidRPr="009A74DB">
        <w:rPr>
          <w:rFonts w:ascii="Arial" w:eastAsiaTheme="minorEastAsia" w:hAnsi="Arial" w:cs="Arial"/>
          <w:color w:val="000000" w:themeColor="text1"/>
          <w:szCs w:val="22"/>
        </w:rPr>
        <w:t>424–431 (1983).</w:t>
      </w:r>
    </w:p>
    <w:p w14:paraId="2A2763D0" w14:textId="51F6BDFB"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Michael, R. et al. Absence of beta-amyloid in cortical cataracts of donors with and without Alzheimer’s disease. </w:t>
      </w:r>
      <w:r w:rsidRPr="009A74DB">
        <w:rPr>
          <w:rFonts w:ascii="Arial" w:eastAsiaTheme="minorEastAsia" w:hAnsi="Arial" w:cs="Arial"/>
          <w:i/>
          <w:iCs/>
          <w:color w:val="000000" w:themeColor="text1"/>
          <w:szCs w:val="22"/>
        </w:rPr>
        <w:t>Exp. Eye Res.</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106, </w:t>
      </w:r>
      <w:r w:rsidRPr="009A74DB">
        <w:rPr>
          <w:rFonts w:ascii="Arial" w:eastAsiaTheme="minorEastAsia" w:hAnsi="Arial" w:cs="Arial"/>
          <w:color w:val="000000" w:themeColor="text1"/>
          <w:szCs w:val="22"/>
        </w:rPr>
        <w:t>5–13 (2013).</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10.1016/j.exer.2012.10.012.</w:t>
      </w:r>
    </w:p>
    <w:p w14:paraId="442CF0B6" w14:textId="7EDF9214"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Ho, C.Y., </w:t>
      </w:r>
      <w:proofErr w:type="spellStart"/>
      <w:r w:rsidRPr="009A74DB">
        <w:rPr>
          <w:rFonts w:ascii="Arial" w:eastAsiaTheme="minorEastAsia" w:hAnsi="Arial" w:cs="Arial"/>
          <w:color w:val="000000" w:themeColor="text1"/>
          <w:szCs w:val="22"/>
        </w:rPr>
        <w:t>Troncoso</w:t>
      </w:r>
      <w:proofErr w:type="spellEnd"/>
      <w:r w:rsidRPr="009A74DB">
        <w:rPr>
          <w:rFonts w:ascii="Arial" w:eastAsiaTheme="minorEastAsia" w:hAnsi="Arial" w:cs="Arial"/>
          <w:color w:val="000000" w:themeColor="text1"/>
          <w:szCs w:val="22"/>
        </w:rPr>
        <w:t xml:space="preserve">, J.C., Knox, D., Stark, W. &amp; Eberhart, C.G. Beta-amyloid, phospho-tau and alpha-synuclein deposits similar to those in the brain are not identified in the eyes of Alzheimer’s and Parkinson’s disease patients. </w:t>
      </w:r>
      <w:r w:rsidRPr="009A74DB">
        <w:rPr>
          <w:rFonts w:ascii="Arial" w:eastAsiaTheme="minorEastAsia" w:hAnsi="Arial" w:cs="Arial"/>
          <w:i/>
          <w:iCs/>
          <w:color w:val="000000" w:themeColor="text1"/>
          <w:szCs w:val="22"/>
        </w:rPr>
        <w:t xml:space="preserve">Brain </w:t>
      </w:r>
      <w:proofErr w:type="spellStart"/>
      <w:r w:rsidRPr="009A74DB">
        <w:rPr>
          <w:rFonts w:ascii="Arial" w:eastAsiaTheme="minorEastAsia" w:hAnsi="Arial" w:cs="Arial"/>
          <w:i/>
          <w:iCs/>
          <w:color w:val="000000" w:themeColor="text1"/>
          <w:szCs w:val="22"/>
        </w:rPr>
        <w:t>Pathol</w:t>
      </w:r>
      <w:proofErr w:type="spellEnd"/>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24, </w:t>
      </w:r>
      <w:r w:rsidRPr="009A74DB">
        <w:rPr>
          <w:rFonts w:ascii="Arial" w:eastAsiaTheme="minorEastAsia" w:hAnsi="Arial" w:cs="Arial"/>
          <w:color w:val="000000" w:themeColor="text1"/>
          <w:szCs w:val="22"/>
        </w:rPr>
        <w:t>25–32 (2014).</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10.1111/bpa.12070.</w:t>
      </w:r>
    </w:p>
    <w:p w14:paraId="0B1B6145" w14:textId="6D0A12BA"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Michael, R. et al. Absence of amyloid-beta in lenses of Alzheimer patients: A confocal Raman </w:t>
      </w:r>
      <w:proofErr w:type="spellStart"/>
      <w:r w:rsidRPr="009A74DB">
        <w:rPr>
          <w:rFonts w:ascii="Arial" w:eastAsiaTheme="minorEastAsia" w:hAnsi="Arial" w:cs="Arial"/>
          <w:color w:val="000000" w:themeColor="text1"/>
          <w:szCs w:val="22"/>
        </w:rPr>
        <w:t>microspectroscopic</w:t>
      </w:r>
      <w:proofErr w:type="spellEnd"/>
      <w:r w:rsidRPr="009A74DB">
        <w:rPr>
          <w:rFonts w:ascii="Arial" w:eastAsiaTheme="minorEastAsia" w:hAnsi="Arial" w:cs="Arial"/>
          <w:color w:val="000000" w:themeColor="text1"/>
          <w:szCs w:val="22"/>
        </w:rPr>
        <w:t xml:space="preserve"> study. </w:t>
      </w:r>
      <w:r w:rsidRPr="009A74DB">
        <w:rPr>
          <w:rFonts w:ascii="Arial" w:eastAsiaTheme="minorEastAsia" w:hAnsi="Arial" w:cs="Arial"/>
          <w:i/>
          <w:iCs/>
          <w:color w:val="000000" w:themeColor="text1"/>
          <w:szCs w:val="22"/>
        </w:rPr>
        <w:t>Exp. Eye Res.</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119, </w:t>
      </w:r>
      <w:r w:rsidRPr="009A74DB">
        <w:rPr>
          <w:rFonts w:ascii="Arial" w:eastAsiaTheme="minorEastAsia" w:hAnsi="Arial" w:cs="Arial"/>
          <w:color w:val="000000" w:themeColor="text1"/>
          <w:szCs w:val="22"/>
        </w:rPr>
        <w:t>44–53 (2014).</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10.1016/j.exer.2013.11.016.</w:t>
      </w:r>
    </w:p>
    <w:p w14:paraId="346F3DCD" w14:textId="08B5604B"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Bei, L. et al. A test of lens opacity as an indicator of preclinical Alzheimer disease. </w:t>
      </w:r>
      <w:r w:rsidRPr="009A74DB">
        <w:rPr>
          <w:rFonts w:ascii="Arial" w:eastAsiaTheme="minorEastAsia" w:hAnsi="Arial" w:cs="Arial"/>
          <w:i/>
          <w:iCs/>
          <w:color w:val="000000" w:themeColor="text1"/>
          <w:szCs w:val="22"/>
        </w:rPr>
        <w:t>Exp. Eye Res</w:t>
      </w:r>
      <w:r w:rsidRPr="009A74DB">
        <w:rPr>
          <w:rFonts w:ascii="Arial" w:eastAsiaTheme="minorEastAsia" w:hAnsi="Arial" w:cs="Arial"/>
          <w:color w:val="000000" w:themeColor="text1"/>
          <w:szCs w:val="22"/>
        </w:rPr>
        <w:t>.</w:t>
      </w:r>
      <w:r w:rsidRPr="009A74DB">
        <w:rPr>
          <w:rFonts w:ascii="Arial" w:eastAsiaTheme="minorEastAsia" w:hAnsi="Arial" w:cs="Arial"/>
          <w:b/>
          <w:bCs/>
          <w:color w:val="000000" w:themeColor="text1"/>
          <w:szCs w:val="22"/>
        </w:rPr>
        <w:t xml:space="preserve"> 140, </w:t>
      </w:r>
      <w:r w:rsidRPr="009A74DB">
        <w:rPr>
          <w:rFonts w:ascii="Arial" w:eastAsiaTheme="minorEastAsia" w:hAnsi="Arial" w:cs="Arial"/>
          <w:color w:val="000000" w:themeColor="text1"/>
          <w:szCs w:val="22"/>
        </w:rPr>
        <w:t>117–123 (2015).</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10.1016/j.exer.2015.03.010.</w:t>
      </w:r>
    </w:p>
    <w:p w14:paraId="2AA2C1FB"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Armitage, M.M., </w:t>
      </w:r>
      <w:proofErr w:type="spellStart"/>
      <w:r w:rsidRPr="009A74DB">
        <w:rPr>
          <w:rFonts w:ascii="Arial" w:eastAsiaTheme="minorEastAsia" w:hAnsi="Arial" w:cs="Arial"/>
          <w:color w:val="000000" w:themeColor="text1"/>
          <w:szCs w:val="22"/>
        </w:rPr>
        <w:t>Kivlin</w:t>
      </w:r>
      <w:proofErr w:type="spellEnd"/>
      <w:r w:rsidRPr="009A74DB">
        <w:rPr>
          <w:rFonts w:ascii="Arial" w:eastAsiaTheme="minorEastAsia" w:hAnsi="Arial" w:cs="Arial"/>
          <w:color w:val="000000" w:themeColor="text1"/>
          <w:szCs w:val="22"/>
        </w:rPr>
        <w:t xml:space="preserve">, J.D. &amp; Ferrell, R.E. A progressive early onset cataract gene </w:t>
      </w:r>
      <w:proofErr w:type="gramStart"/>
      <w:r w:rsidRPr="009A74DB">
        <w:rPr>
          <w:rFonts w:ascii="Arial" w:eastAsiaTheme="minorEastAsia" w:hAnsi="Arial" w:cs="Arial"/>
          <w:color w:val="000000" w:themeColor="text1"/>
          <w:szCs w:val="22"/>
        </w:rPr>
        <w:t>maps</w:t>
      </w:r>
      <w:proofErr w:type="gramEnd"/>
      <w:r w:rsidRPr="009A74DB">
        <w:rPr>
          <w:rFonts w:ascii="Arial" w:eastAsiaTheme="minorEastAsia" w:hAnsi="Arial" w:cs="Arial"/>
          <w:color w:val="000000" w:themeColor="text1"/>
          <w:szCs w:val="22"/>
        </w:rPr>
        <w:t xml:space="preserve"> to human chromosome 17q24. </w:t>
      </w:r>
      <w:r w:rsidRPr="009A74DB">
        <w:rPr>
          <w:rFonts w:ascii="Arial" w:eastAsiaTheme="minorEastAsia" w:hAnsi="Arial" w:cs="Arial"/>
          <w:i/>
          <w:iCs/>
          <w:color w:val="000000" w:themeColor="text1"/>
          <w:szCs w:val="22"/>
        </w:rPr>
        <w:t>Nat. Genet</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 xml:space="preserve">9, </w:t>
      </w:r>
      <w:r w:rsidRPr="009A74DB">
        <w:rPr>
          <w:rFonts w:ascii="Arial" w:eastAsiaTheme="minorEastAsia" w:hAnsi="Arial" w:cs="Arial"/>
          <w:color w:val="000000" w:themeColor="text1"/>
          <w:szCs w:val="22"/>
        </w:rPr>
        <w:t>37–40 (1995).</w:t>
      </w:r>
    </w:p>
    <w:p w14:paraId="40F89239" w14:textId="77777777"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Kanski, J.J. &amp; Bowling, B. </w:t>
      </w:r>
      <w:r w:rsidRPr="009A74DB">
        <w:rPr>
          <w:rFonts w:ascii="Arial" w:eastAsiaTheme="minorEastAsia" w:hAnsi="Arial" w:cs="Arial"/>
          <w:i/>
          <w:iCs/>
          <w:color w:val="000000" w:themeColor="text1"/>
          <w:szCs w:val="22"/>
        </w:rPr>
        <w:t>Clinical Ophthalmology: A Systematic Approach</w:t>
      </w:r>
      <w:r w:rsidRPr="009A74DB">
        <w:rPr>
          <w:rFonts w:ascii="Arial" w:eastAsiaTheme="minorEastAsia" w:hAnsi="Arial" w:cs="Arial"/>
          <w:color w:val="000000" w:themeColor="text1"/>
          <w:szCs w:val="22"/>
        </w:rPr>
        <w:t>. 6</w:t>
      </w:r>
      <w:r w:rsidRPr="009A74DB">
        <w:rPr>
          <w:rFonts w:ascii="Arial" w:eastAsiaTheme="minorEastAsia" w:hAnsi="Arial" w:cs="Arial"/>
          <w:color w:val="000000" w:themeColor="text1"/>
          <w:szCs w:val="22"/>
          <w:vertAlign w:val="superscript"/>
        </w:rPr>
        <w:t>th</w:t>
      </w:r>
      <w:r w:rsidRPr="009A74DB">
        <w:rPr>
          <w:rFonts w:ascii="Arial" w:eastAsiaTheme="minorEastAsia" w:hAnsi="Arial" w:cs="Arial"/>
          <w:color w:val="000000" w:themeColor="text1"/>
          <w:szCs w:val="22"/>
        </w:rPr>
        <w:t xml:space="preserve"> Edition. Expert Consult. Edinburgh; New York: Elsevier/Saunders (2011).</w:t>
      </w:r>
    </w:p>
    <w:p w14:paraId="1B0E7EF5" w14:textId="68C0DD29" w:rsidR="00CD4241" w:rsidRPr="009A74DB" w:rsidRDefault="00CD4241" w:rsidP="00CD4241">
      <w:pPr>
        <w:pStyle w:val="ListParagraph"/>
        <w:numPr>
          <w:ilvl w:val="0"/>
          <w:numId w:val="5"/>
        </w:numPr>
        <w:spacing w:line="480" w:lineRule="auto"/>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t xml:space="preserve">Kao, C.-Y., </w:t>
      </w:r>
      <w:proofErr w:type="spellStart"/>
      <w:r w:rsidRPr="009A74DB">
        <w:rPr>
          <w:rFonts w:ascii="Arial" w:eastAsiaTheme="minorEastAsia" w:hAnsi="Arial" w:cs="Arial"/>
          <w:color w:val="000000" w:themeColor="text1"/>
          <w:szCs w:val="22"/>
        </w:rPr>
        <w:t>Richdale</w:t>
      </w:r>
      <w:proofErr w:type="spellEnd"/>
      <w:r w:rsidRPr="009A74DB">
        <w:rPr>
          <w:rFonts w:ascii="Arial" w:eastAsiaTheme="minorEastAsia" w:hAnsi="Arial" w:cs="Arial"/>
          <w:color w:val="000000" w:themeColor="text1"/>
          <w:szCs w:val="22"/>
        </w:rPr>
        <w:t xml:space="preserve">, K., Sinnott, L.T., </w:t>
      </w:r>
      <w:proofErr w:type="spellStart"/>
      <w:r w:rsidRPr="009A74DB">
        <w:rPr>
          <w:rFonts w:ascii="Arial" w:eastAsiaTheme="minorEastAsia" w:hAnsi="Arial" w:cs="Arial"/>
          <w:color w:val="000000" w:themeColor="text1"/>
          <w:szCs w:val="22"/>
        </w:rPr>
        <w:t>Grillott</w:t>
      </w:r>
      <w:proofErr w:type="spellEnd"/>
      <w:r w:rsidRPr="009A74DB">
        <w:rPr>
          <w:rFonts w:ascii="Arial" w:eastAsiaTheme="minorEastAsia" w:hAnsi="Arial" w:cs="Arial"/>
          <w:color w:val="000000" w:themeColor="text1"/>
          <w:szCs w:val="22"/>
        </w:rPr>
        <w:t xml:space="preserve">, L.E. &amp; Bailey, M.D. Semiautomatic extraction algorithm for images of the ciliary muscle. </w:t>
      </w:r>
      <w:proofErr w:type="spellStart"/>
      <w:r w:rsidRPr="009A74DB">
        <w:rPr>
          <w:rFonts w:ascii="Arial" w:eastAsiaTheme="minorEastAsia" w:hAnsi="Arial" w:cs="Arial"/>
          <w:i/>
          <w:iCs/>
          <w:color w:val="000000" w:themeColor="text1"/>
          <w:szCs w:val="22"/>
        </w:rPr>
        <w:t>Optom</w:t>
      </w:r>
      <w:proofErr w:type="spellEnd"/>
      <w:r w:rsidRPr="009A74DB">
        <w:rPr>
          <w:rFonts w:ascii="Arial" w:eastAsiaTheme="minorEastAsia" w:hAnsi="Arial" w:cs="Arial"/>
          <w:i/>
          <w:iCs/>
          <w:color w:val="000000" w:themeColor="text1"/>
          <w:szCs w:val="22"/>
        </w:rPr>
        <w:t>. Vis. Sci.</w:t>
      </w:r>
      <w:r w:rsidRPr="009A74DB">
        <w:rPr>
          <w:rFonts w:ascii="Arial" w:eastAsiaTheme="minorEastAsia" w:hAnsi="Arial" w:cs="Arial"/>
          <w:color w:val="000000" w:themeColor="text1"/>
          <w:szCs w:val="22"/>
        </w:rPr>
        <w:t xml:space="preserve"> </w:t>
      </w:r>
      <w:r w:rsidRPr="009A74DB">
        <w:rPr>
          <w:rFonts w:ascii="Arial" w:eastAsiaTheme="minorEastAsia" w:hAnsi="Arial" w:cs="Arial"/>
          <w:b/>
          <w:bCs/>
          <w:color w:val="000000" w:themeColor="text1"/>
          <w:szCs w:val="22"/>
        </w:rPr>
        <w:t>88,</w:t>
      </w:r>
      <w:r w:rsidRPr="009A74DB">
        <w:rPr>
          <w:rFonts w:ascii="Arial" w:eastAsiaTheme="minorEastAsia" w:hAnsi="Arial" w:cs="Arial"/>
          <w:color w:val="000000" w:themeColor="text1"/>
          <w:szCs w:val="22"/>
        </w:rPr>
        <w:t xml:space="preserve"> 275–289 (2011).</w:t>
      </w:r>
      <w:r w:rsidR="00BA3ABD" w:rsidRPr="009A74DB">
        <w:rPr>
          <w:rFonts w:ascii="Arial" w:eastAsiaTheme="minorEastAsia" w:hAnsi="Arial" w:cs="Arial"/>
          <w:color w:val="000000" w:themeColor="text1"/>
          <w:szCs w:val="22"/>
        </w:rPr>
        <w:t xml:space="preserve"> </w:t>
      </w:r>
      <w:proofErr w:type="spellStart"/>
      <w:r w:rsidR="00BA3ABD" w:rsidRPr="009A74DB">
        <w:rPr>
          <w:rFonts w:ascii="Arial" w:eastAsiaTheme="minorEastAsia" w:hAnsi="Arial" w:cs="Arial"/>
          <w:color w:val="000000" w:themeColor="text1"/>
          <w:szCs w:val="22"/>
        </w:rPr>
        <w:t>doi</w:t>
      </w:r>
      <w:proofErr w:type="spellEnd"/>
      <w:r w:rsidR="00BA3ABD" w:rsidRPr="009A74DB">
        <w:rPr>
          <w:rFonts w:ascii="Arial" w:eastAsiaTheme="minorEastAsia" w:hAnsi="Arial" w:cs="Arial"/>
          <w:color w:val="000000" w:themeColor="text1"/>
          <w:szCs w:val="22"/>
        </w:rPr>
        <w:t>: 10.1097/OPX.0b013e3182044b94.</w:t>
      </w:r>
    </w:p>
    <w:p w14:paraId="16294636" w14:textId="77777777" w:rsidR="00CD4241" w:rsidRPr="009A74DB" w:rsidRDefault="00CD4241" w:rsidP="00CD4241">
      <w:pPr>
        <w:rPr>
          <w:color w:val="000000" w:themeColor="text1"/>
        </w:rPr>
      </w:pPr>
    </w:p>
    <w:p w14:paraId="52765DA8" w14:textId="674193E9" w:rsidR="00E851FE" w:rsidRPr="009A74DB" w:rsidRDefault="00E851FE" w:rsidP="009C4263">
      <w:pPr>
        <w:spacing w:line="480" w:lineRule="auto"/>
        <w:rPr>
          <w:rFonts w:ascii="Arial" w:eastAsiaTheme="minorEastAsia" w:hAnsi="Arial" w:cs="Arial"/>
          <w:color w:val="000000" w:themeColor="text1"/>
          <w:szCs w:val="22"/>
        </w:rPr>
      </w:pPr>
    </w:p>
    <w:p w14:paraId="59D436CC" w14:textId="1550BDD4" w:rsidR="00E851FE" w:rsidRPr="009A74DB" w:rsidRDefault="00E851FE" w:rsidP="009C4263">
      <w:pPr>
        <w:spacing w:line="480" w:lineRule="auto"/>
        <w:rPr>
          <w:rFonts w:ascii="Arial" w:eastAsiaTheme="minorEastAsia" w:hAnsi="Arial" w:cs="Arial"/>
          <w:color w:val="000000" w:themeColor="text1"/>
          <w:szCs w:val="22"/>
        </w:rPr>
      </w:pPr>
    </w:p>
    <w:p w14:paraId="558F1E6B" w14:textId="58BCA75C" w:rsidR="00E851FE" w:rsidRPr="009A74DB" w:rsidRDefault="00E851FE" w:rsidP="009C4263">
      <w:pPr>
        <w:spacing w:line="480" w:lineRule="auto"/>
        <w:rPr>
          <w:rFonts w:ascii="Arial" w:eastAsiaTheme="minorEastAsia" w:hAnsi="Arial" w:cs="Arial"/>
          <w:color w:val="000000" w:themeColor="text1"/>
          <w:szCs w:val="22"/>
        </w:rPr>
      </w:pPr>
    </w:p>
    <w:p w14:paraId="7252D5AE" w14:textId="4F707F82" w:rsidR="00E851FE" w:rsidRPr="009A74DB" w:rsidRDefault="00E851FE" w:rsidP="009C4263">
      <w:pPr>
        <w:spacing w:line="480" w:lineRule="auto"/>
        <w:rPr>
          <w:rFonts w:ascii="Arial" w:eastAsiaTheme="minorEastAsia" w:hAnsi="Arial" w:cs="Arial"/>
          <w:color w:val="000000" w:themeColor="text1"/>
          <w:szCs w:val="22"/>
        </w:rPr>
      </w:pPr>
    </w:p>
    <w:p w14:paraId="372E30D6" w14:textId="0EB80109" w:rsidR="00E851FE" w:rsidRPr="009A74DB" w:rsidRDefault="00E851FE"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ACKNOWLEDGEMENTS </w:t>
      </w:r>
    </w:p>
    <w:p w14:paraId="196383DD" w14:textId="6BC7A991" w:rsidR="00E851FE" w:rsidRPr="009A74DB" w:rsidRDefault="00E851FE" w:rsidP="009C4263">
      <w:pPr>
        <w:spacing w:line="480" w:lineRule="auto"/>
        <w:rPr>
          <w:rFonts w:ascii="Arial" w:hAnsi="Arial" w:cs="Arial"/>
          <w:color w:val="000000" w:themeColor="text1"/>
        </w:rPr>
      </w:pPr>
      <w:r w:rsidRPr="009A74DB">
        <w:rPr>
          <w:rFonts w:ascii="Arial" w:hAnsi="Arial" w:cs="Arial"/>
          <w:color w:val="000000" w:themeColor="text1"/>
        </w:rPr>
        <w:t xml:space="preserve">The authors would like to sincerely thank the participants in the study. </w:t>
      </w:r>
      <w:r w:rsidR="003A6073" w:rsidRPr="009A74DB">
        <w:rPr>
          <w:rFonts w:ascii="Arial" w:hAnsi="Arial" w:cs="Arial"/>
          <w:color w:val="000000" w:themeColor="text1"/>
        </w:rPr>
        <w:t>A</w:t>
      </w:r>
      <w:r w:rsidRPr="009A74DB">
        <w:rPr>
          <w:rFonts w:ascii="Arial" w:hAnsi="Arial" w:cs="Arial"/>
          <w:color w:val="000000" w:themeColor="text1"/>
        </w:rPr>
        <w:t>man-Deep Mahil PhD funded by Department for the Economy, Northern Ireland, United Kingdom.</w:t>
      </w:r>
    </w:p>
    <w:p w14:paraId="5972DBC9" w14:textId="4F2F824C" w:rsidR="00A804C9" w:rsidRPr="009A74DB" w:rsidRDefault="00A804C9" w:rsidP="009C4263">
      <w:pPr>
        <w:spacing w:line="480" w:lineRule="auto"/>
        <w:rPr>
          <w:rFonts w:ascii="Arial" w:hAnsi="Arial" w:cs="Arial"/>
          <w:color w:val="000000" w:themeColor="text1"/>
        </w:rPr>
      </w:pPr>
    </w:p>
    <w:p w14:paraId="6CA68070" w14:textId="16B3AAE3" w:rsidR="00A804C9" w:rsidRPr="009A74DB" w:rsidRDefault="00A804C9" w:rsidP="009C4263">
      <w:pPr>
        <w:spacing w:line="480" w:lineRule="auto"/>
        <w:rPr>
          <w:rFonts w:ascii="Arial" w:hAnsi="Arial" w:cs="Arial"/>
          <w:color w:val="000000" w:themeColor="text1"/>
        </w:rPr>
      </w:pPr>
    </w:p>
    <w:p w14:paraId="05AF718D" w14:textId="3BEB6CEE" w:rsidR="00A804C9" w:rsidRPr="009A74DB" w:rsidRDefault="00A804C9"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Author Contributions: </w:t>
      </w:r>
    </w:p>
    <w:p w14:paraId="77FFC379" w14:textId="304BBD11" w:rsidR="00563604" w:rsidRPr="009A74DB" w:rsidRDefault="00E571C1" w:rsidP="009C4263">
      <w:pPr>
        <w:spacing w:line="480" w:lineRule="auto"/>
        <w:rPr>
          <w:color w:val="000000" w:themeColor="text1"/>
          <w:shd w:val="clear" w:color="auto" w:fill="FFFFFF"/>
        </w:rPr>
      </w:pPr>
      <w:r w:rsidRPr="009A74DB">
        <w:rPr>
          <w:color w:val="000000" w:themeColor="text1"/>
          <w:shd w:val="clear" w:color="auto" w:fill="FFFFFF"/>
        </w:rPr>
        <w:t xml:space="preserve">Overall project design: </w:t>
      </w:r>
      <w:r w:rsidR="006D4C63" w:rsidRPr="009A74DB">
        <w:rPr>
          <w:color w:val="000000" w:themeColor="text1"/>
          <w:shd w:val="clear" w:color="auto" w:fill="FFFFFF"/>
        </w:rPr>
        <w:t>JAL, KJS</w:t>
      </w:r>
      <w:r w:rsidR="00641F9F" w:rsidRPr="009A74DB">
        <w:rPr>
          <w:color w:val="000000" w:themeColor="text1"/>
          <w:shd w:val="clear" w:color="auto" w:fill="FFFFFF"/>
        </w:rPr>
        <w:t>.</w:t>
      </w:r>
      <w:r w:rsidRPr="009A74DB">
        <w:rPr>
          <w:color w:val="000000" w:themeColor="text1"/>
          <w:shd w:val="clear" w:color="auto" w:fill="FFFFFF"/>
        </w:rPr>
        <w:t xml:space="preserve"> Pa</w:t>
      </w:r>
      <w:r w:rsidR="00641F9F" w:rsidRPr="009A74DB">
        <w:rPr>
          <w:color w:val="000000" w:themeColor="text1"/>
          <w:shd w:val="clear" w:color="auto" w:fill="FFFFFF"/>
        </w:rPr>
        <w:t>r</w:t>
      </w:r>
      <w:r w:rsidRPr="009A74DB">
        <w:rPr>
          <w:color w:val="000000" w:themeColor="text1"/>
          <w:shd w:val="clear" w:color="auto" w:fill="FFFFFF"/>
        </w:rPr>
        <w:t>ti</w:t>
      </w:r>
      <w:r w:rsidR="00641F9F" w:rsidRPr="009A74DB">
        <w:rPr>
          <w:color w:val="000000" w:themeColor="text1"/>
          <w:shd w:val="clear" w:color="auto" w:fill="FFFFFF"/>
        </w:rPr>
        <w:t>cipant</w:t>
      </w:r>
      <w:r w:rsidRPr="009A74DB">
        <w:rPr>
          <w:color w:val="000000" w:themeColor="text1"/>
          <w:shd w:val="clear" w:color="auto" w:fill="FFFFFF"/>
        </w:rPr>
        <w:t xml:space="preserve"> recruitment: </w:t>
      </w:r>
      <w:r w:rsidR="006D4C63" w:rsidRPr="009A74DB">
        <w:rPr>
          <w:color w:val="000000" w:themeColor="text1"/>
          <w:shd w:val="clear" w:color="auto" w:fill="FFFFFF"/>
        </w:rPr>
        <w:t xml:space="preserve">JAL, AM, </w:t>
      </w:r>
      <w:r w:rsidR="00CB362A" w:rsidRPr="009A74DB">
        <w:rPr>
          <w:color w:val="000000" w:themeColor="text1"/>
          <w:shd w:val="clear" w:color="auto" w:fill="FFFFFF"/>
        </w:rPr>
        <w:t>V</w:t>
      </w:r>
      <w:r w:rsidR="006D4C63" w:rsidRPr="009A74DB">
        <w:rPr>
          <w:color w:val="000000" w:themeColor="text1"/>
          <w:shd w:val="clear" w:color="auto" w:fill="FFFFFF"/>
        </w:rPr>
        <w:t>VN, MW</w:t>
      </w:r>
      <w:r w:rsidR="002F7170" w:rsidRPr="009A74DB">
        <w:rPr>
          <w:color w:val="000000" w:themeColor="text1"/>
          <w:shd w:val="clear" w:color="auto" w:fill="FFFFFF"/>
        </w:rPr>
        <w:t>.</w:t>
      </w:r>
      <w:r w:rsidRPr="009A74DB">
        <w:rPr>
          <w:color w:val="000000" w:themeColor="text1"/>
          <w:shd w:val="clear" w:color="auto" w:fill="FFFFFF"/>
        </w:rPr>
        <w:t xml:space="preserve"> </w:t>
      </w:r>
      <w:r w:rsidR="001D33C9" w:rsidRPr="009A74DB">
        <w:rPr>
          <w:color w:val="000000" w:themeColor="text1"/>
          <w:shd w:val="clear" w:color="auto" w:fill="FFFFFF"/>
        </w:rPr>
        <w:t xml:space="preserve"> </w:t>
      </w:r>
      <w:r w:rsidR="00641F9F" w:rsidRPr="009A74DB">
        <w:rPr>
          <w:color w:val="000000" w:themeColor="text1"/>
          <w:shd w:val="clear" w:color="auto" w:fill="FFFFFF"/>
        </w:rPr>
        <w:t>Development of methodology: AM, JAL,</w:t>
      </w:r>
      <w:r w:rsidR="00560AF5" w:rsidRPr="009A74DB">
        <w:rPr>
          <w:color w:val="000000" w:themeColor="text1"/>
          <w:shd w:val="clear" w:color="auto" w:fill="FFFFFF"/>
        </w:rPr>
        <w:t xml:space="preserve"> PR,</w:t>
      </w:r>
      <w:r w:rsidR="00641F9F" w:rsidRPr="009A74DB">
        <w:rPr>
          <w:color w:val="000000" w:themeColor="text1"/>
          <w:shd w:val="clear" w:color="auto" w:fill="FFFFFF"/>
        </w:rPr>
        <w:t xml:space="preserve"> KJS.  </w:t>
      </w:r>
      <w:r w:rsidR="001D33C9" w:rsidRPr="009A74DB">
        <w:rPr>
          <w:color w:val="000000" w:themeColor="text1"/>
          <w:shd w:val="clear" w:color="auto" w:fill="FFFFFF"/>
        </w:rPr>
        <w:t xml:space="preserve">Data collection: </w:t>
      </w:r>
      <w:r w:rsidR="004C5F59" w:rsidRPr="009A74DB">
        <w:rPr>
          <w:color w:val="000000" w:themeColor="text1"/>
          <w:shd w:val="clear" w:color="auto" w:fill="FFFFFF"/>
        </w:rPr>
        <w:t>AM, JAL</w:t>
      </w:r>
      <w:r w:rsidR="00641F9F" w:rsidRPr="009A74DB">
        <w:rPr>
          <w:color w:val="000000" w:themeColor="text1"/>
          <w:shd w:val="clear" w:color="auto" w:fill="FFFFFF"/>
        </w:rPr>
        <w:t xml:space="preserve">.  </w:t>
      </w:r>
      <w:r w:rsidR="001D33C9" w:rsidRPr="009A74DB">
        <w:rPr>
          <w:color w:val="000000" w:themeColor="text1"/>
          <w:shd w:val="clear" w:color="auto" w:fill="FFFFFF"/>
        </w:rPr>
        <w:t>Data Analysis:</w:t>
      </w:r>
      <w:r w:rsidR="004C5F59" w:rsidRPr="009A74DB">
        <w:rPr>
          <w:color w:val="000000" w:themeColor="text1"/>
          <w:shd w:val="clear" w:color="auto" w:fill="FFFFFF"/>
        </w:rPr>
        <w:t xml:space="preserve"> AM, JAL, KJS</w:t>
      </w:r>
      <w:r w:rsidR="00560AF5" w:rsidRPr="009A74DB">
        <w:rPr>
          <w:color w:val="000000" w:themeColor="text1"/>
          <w:shd w:val="clear" w:color="auto" w:fill="FFFFFF"/>
        </w:rPr>
        <w:t xml:space="preserve">. </w:t>
      </w:r>
      <w:r w:rsidR="00A223FE" w:rsidRPr="009A74DB">
        <w:rPr>
          <w:color w:val="000000" w:themeColor="text1"/>
          <w:shd w:val="clear" w:color="auto" w:fill="FFFFFF"/>
        </w:rPr>
        <w:t>Manuscript writing</w:t>
      </w:r>
      <w:r w:rsidR="004C5F59" w:rsidRPr="009A74DB">
        <w:rPr>
          <w:color w:val="000000" w:themeColor="text1"/>
          <w:shd w:val="clear" w:color="auto" w:fill="FFFFFF"/>
        </w:rPr>
        <w:t xml:space="preserve">: </w:t>
      </w:r>
      <w:r w:rsidR="00563604" w:rsidRPr="009A74DB">
        <w:rPr>
          <w:color w:val="000000" w:themeColor="text1"/>
          <w:shd w:val="clear" w:color="auto" w:fill="FFFFFF"/>
        </w:rPr>
        <w:t xml:space="preserve">JAL, AM, KJS with contributions from </w:t>
      </w:r>
      <w:r w:rsidR="00CB362A" w:rsidRPr="009A74DB">
        <w:rPr>
          <w:color w:val="000000" w:themeColor="text1"/>
          <w:shd w:val="clear" w:color="auto" w:fill="FFFFFF"/>
        </w:rPr>
        <w:t>V</w:t>
      </w:r>
      <w:r w:rsidR="00563604" w:rsidRPr="009A74DB">
        <w:rPr>
          <w:color w:val="000000" w:themeColor="text1"/>
          <w:shd w:val="clear" w:color="auto" w:fill="FFFFFF"/>
        </w:rPr>
        <w:t xml:space="preserve">VN, MW and PR. </w:t>
      </w:r>
    </w:p>
    <w:p w14:paraId="51BEA8B2" w14:textId="04CD8B46" w:rsidR="00E571C1" w:rsidRPr="009A74DB" w:rsidRDefault="00E571C1" w:rsidP="009C4263">
      <w:pPr>
        <w:spacing w:line="480" w:lineRule="auto"/>
        <w:rPr>
          <w:rFonts w:ascii="Arial" w:hAnsi="Arial" w:cs="Arial"/>
          <w:b/>
          <w:bCs/>
          <w:color w:val="000000" w:themeColor="text1"/>
        </w:rPr>
      </w:pPr>
    </w:p>
    <w:p w14:paraId="4A3D849B" w14:textId="789B6912" w:rsidR="00A804C9" w:rsidRPr="009A74DB" w:rsidRDefault="00A804C9" w:rsidP="009C4263">
      <w:pPr>
        <w:spacing w:line="480" w:lineRule="auto"/>
        <w:rPr>
          <w:rFonts w:ascii="Arial" w:hAnsi="Arial" w:cs="Arial"/>
          <w:b/>
          <w:bCs/>
          <w:color w:val="000000" w:themeColor="text1"/>
        </w:rPr>
      </w:pPr>
    </w:p>
    <w:p w14:paraId="7D1ACD8C" w14:textId="43AB7E61" w:rsidR="008E3D64" w:rsidRPr="009A74DB" w:rsidRDefault="008E3D64"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Additional Information </w:t>
      </w:r>
    </w:p>
    <w:p w14:paraId="251C29AE" w14:textId="4FA86967" w:rsidR="008E3D64" w:rsidRPr="009A74DB" w:rsidRDefault="008E3D64" w:rsidP="009C4263">
      <w:pPr>
        <w:spacing w:line="480" w:lineRule="auto"/>
        <w:rPr>
          <w:rFonts w:ascii="Arial" w:hAnsi="Arial" w:cs="Arial"/>
          <w:b/>
          <w:bCs/>
          <w:color w:val="000000" w:themeColor="text1"/>
        </w:rPr>
      </w:pPr>
      <w:r w:rsidRPr="009A74DB">
        <w:rPr>
          <w:rFonts w:ascii="Arial" w:hAnsi="Arial" w:cs="Arial"/>
          <w:b/>
          <w:bCs/>
          <w:color w:val="000000" w:themeColor="text1"/>
        </w:rPr>
        <w:t xml:space="preserve">Competing </w:t>
      </w:r>
      <w:r w:rsidR="000F0A48" w:rsidRPr="009A74DB">
        <w:rPr>
          <w:rFonts w:ascii="Arial" w:hAnsi="Arial" w:cs="Arial"/>
          <w:b/>
          <w:bCs/>
          <w:color w:val="000000" w:themeColor="text1"/>
        </w:rPr>
        <w:t>interests’</w:t>
      </w:r>
      <w:r w:rsidRPr="009A74DB">
        <w:rPr>
          <w:rFonts w:ascii="Arial" w:hAnsi="Arial" w:cs="Arial"/>
          <w:b/>
          <w:bCs/>
          <w:color w:val="000000" w:themeColor="text1"/>
        </w:rPr>
        <w:t xml:space="preserve"> statement</w:t>
      </w:r>
      <w:r w:rsidR="00E571C1" w:rsidRPr="009A74DB">
        <w:rPr>
          <w:rFonts w:ascii="Arial" w:hAnsi="Arial" w:cs="Arial"/>
          <w:b/>
          <w:bCs/>
          <w:color w:val="000000" w:themeColor="text1"/>
        </w:rPr>
        <w:t xml:space="preserve">:  </w:t>
      </w:r>
      <w:r w:rsidR="00E571C1" w:rsidRPr="009A74DB">
        <w:rPr>
          <w:rFonts w:ascii="Arial" w:hAnsi="Arial" w:cs="Arial"/>
          <w:color w:val="000000" w:themeColor="text1"/>
        </w:rPr>
        <w:t>The authors declare no competing interests</w:t>
      </w:r>
    </w:p>
    <w:p w14:paraId="19C66A90" w14:textId="77777777" w:rsidR="00E851FE" w:rsidRPr="009A74DB" w:rsidRDefault="00E851FE" w:rsidP="009C4263">
      <w:pPr>
        <w:rPr>
          <w:rFonts w:ascii="Arial" w:hAnsi="Arial" w:cs="Arial"/>
          <w:b/>
          <w:bCs/>
          <w:color w:val="000000" w:themeColor="text1"/>
        </w:rPr>
      </w:pPr>
      <w:r w:rsidRPr="009A74DB">
        <w:rPr>
          <w:rFonts w:ascii="Arial" w:hAnsi="Arial" w:cs="Arial"/>
          <w:b/>
          <w:bCs/>
          <w:color w:val="000000" w:themeColor="text1"/>
        </w:rPr>
        <w:br w:type="page"/>
      </w:r>
    </w:p>
    <w:p w14:paraId="6BF2CF68" w14:textId="77777777" w:rsidR="00E851FE" w:rsidRPr="009A74DB" w:rsidRDefault="00E851FE" w:rsidP="009C4263">
      <w:pPr>
        <w:spacing w:line="480" w:lineRule="auto"/>
        <w:rPr>
          <w:rFonts w:ascii="Arial" w:hAnsi="Arial" w:cs="Arial"/>
          <w:b/>
          <w:bCs/>
          <w:color w:val="000000" w:themeColor="text1"/>
        </w:rPr>
      </w:pPr>
      <w:r w:rsidRPr="009A74DB">
        <w:rPr>
          <w:rFonts w:ascii="Arial" w:hAnsi="Arial" w:cs="Arial"/>
          <w:b/>
          <w:bCs/>
          <w:color w:val="000000" w:themeColor="text1"/>
        </w:rPr>
        <w:lastRenderedPageBreak/>
        <w:t>FIGURE LEGENDS</w:t>
      </w:r>
    </w:p>
    <w:p w14:paraId="5D0BB25B" w14:textId="77777777" w:rsidR="00E851FE" w:rsidRPr="009A74DB" w:rsidRDefault="00E851FE" w:rsidP="009C4263">
      <w:pPr>
        <w:spacing w:line="480" w:lineRule="auto"/>
        <w:rPr>
          <w:rFonts w:ascii="Arial" w:hAnsi="Arial" w:cs="Arial"/>
          <w:color w:val="000000" w:themeColor="text1"/>
        </w:rPr>
      </w:pPr>
    </w:p>
    <w:p w14:paraId="5E60D52D" w14:textId="446A9580" w:rsidR="00E851FE" w:rsidRPr="009A74DB" w:rsidRDefault="00E851FE" w:rsidP="009C4263">
      <w:pPr>
        <w:spacing w:line="480" w:lineRule="auto"/>
        <w:rPr>
          <w:rFonts w:ascii="Arial" w:hAnsi="Arial" w:cs="Arial"/>
          <w:color w:val="000000" w:themeColor="text1"/>
        </w:rPr>
      </w:pPr>
      <w:r w:rsidRPr="009A74DB">
        <w:rPr>
          <w:rFonts w:ascii="Arial" w:hAnsi="Arial" w:cs="Arial"/>
          <w:color w:val="000000" w:themeColor="text1"/>
        </w:rPr>
        <w:t xml:space="preserve">Figure </w:t>
      </w:r>
      <w:r w:rsidR="00FE75DC" w:rsidRPr="009A74DB">
        <w:rPr>
          <w:rFonts w:ascii="Arial" w:hAnsi="Arial" w:cs="Arial"/>
          <w:color w:val="000000" w:themeColor="text1"/>
        </w:rPr>
        <w:t>1</w:t>
      </w:r>
      <w:r w:rsidRPr="009A74DB">
        <w:rPr>
          <w:rFonts w:ascii="Arial" w:hAnsi="Arial" w:cs="Arial"/>
          <w:color w:val="000000" w:themeColor="text1"/>
        </w:rPr>
        <w:t>.  SL and AS-OCT images from three subjects with DS classified with ‘frequent’ (Panel A), ‘moderate’ (Panel B) and ‘few’ (Panel C) dot opacities. Individual LOCS III and PIR/PAR scores are given for each subject.</w:t>
      </w:r>
      <w:r w:rsidR="000F0A48" w:rsidRPr="009A74DB">
        <w:rPr>
          <w:rFonts w:ascii="Arial" w:hAnsi="Arial" w:cs="Arial"/>
          <w:color w:val="000000" w:themeColor="text1"/>
        </w:rPr>
        <w:t xml:space="preserve">   Anterior and posterior lens AS-OCT images </w:t>
      </w:r>
      <w:r w:rsidR="00504529" w:rsidRPr="009A74DB">
        <w:rPr>
          <w:rFonts w:ascii="Arial" w:hAnsi="Arial" w:cs="Arial"/>
          <w:color w:val="000000" w:themeColor="text1"/>
        </w:rPr>
        <w:t xml:space="preserve">were aligned </w:t>
      </w:r>
      <w:r w:rsidR="000F0A48" w:rsidRPr="009A74DB">
        <w:rPr>
          <w:rFonts w:ascii="Arial" w:hAnsi="Arial" w:cs="Arial"/>
          <w:color w:val="000000" w:themeColor="text1"/>
        </w:rPr>
        <w:t xml:space="preserve">together to present </w:t>
      </w:r>
      <w:r w:rsidR="00504529" w:rsidRPr="009A74DB">
        <w:rPr>
          <w:rFonts w:ascii="Arial" w:hAnsi="Arial" w:cs="Arial"/>
          <w:color w:val="000000" w:themeColor="text1"/>
        </w:rPr>
        <w:t xml:space="preserve">the </w:t>
      </w:r>
      <w:r w:rsidR="000F0A48" w:rsidRPr="009A74DB">
        <w:rPr>
          <w:rFonts w:ascii="Arial" w:hAnsi="Arial" w:cs="Arial"/>
          <w:color w:val="000000" w:themeColor="text1"/>
        </w:rPr>
        <w:t xml:space="preserve">whole lens. </w:t>
      </w:r>
    </w:p>
    <w:p w14:paraId="43DF0733" w14:textId="77777777" w:rsidR="00E851FE" w:rsidRPr="009A74DB" w:rsidRDefault="00E851FE" w:rsidP="009C4263">
      <w:pPr>
        <w:spacing w:line="480" w:lineRule="auto"/>
        <w:rPr>
          <w:rFonts w:ascii="Arial" w:hAnsi="Arial" w:cs="Arial"/>
          <w:color w:val="000000" w:themeColor="text1"/>
        </w:rPr>
      </w:pPr>
    </w:p>
    <w:p w14:paraId="5E23FFED" w14:textId="2624CCB7" w:rsidR="00E851FE" w:rsidRPr="009A74DB" w:rsidRDefault="00E851FE" w:rsidP="009C4263">
      <w:pPr>
        <w:spacing w:line="480" w:lineRule="auto"/>
        <w:rPr>
          <w:rFonts w:ascii="Arial" w:hAnsi="Arial" w:cs="Arial"/>
          <w:color w:val="000000" w:themeColor="text1"/>
        </w:rPr>
      </w:pPr>
      <w:r w:rsidRPr="009A74DB">
        <w:rPr>
          <w:rFonts w:ascii="Arial" w:hAnsi="Arial" w:cs="Arial"/>
          <w:color w:val="000000" w:themeColor="text1"/>
        </w:rPr>
        <w:t xml:space="preserve">Figure </w:t>
      </w:r>
      <w:r w:rsidR="00FE75DC" w:rsidRPr="009A74DB">
        <w:rPr>
          <w:rFonts w:ascii="Arial" w:hAnsi="Arial" w:cs="Arial"/>
          <w:color w:val="000000" w:themeColor="text1"/>
        </w:rPr>
        <w:t>2</w:t>
      </w:r>
      <w:r w:rsidRPr="009A74DB">
        <w:rPr>
          <w:rFonts w:ascii="Arial" w:hAnsi="Arial" w:cs="Arial"/>
          <w:color w:val="000000" w:themeColor="text1"/>
        </w:rPr>
        <w:t xml:space="preserve">.  Scatterplot of </w:t>
      </w:r>
      <w:r w:rsidR="00504529" w:rsidRPr="009A74DB">
        <w:rPr>
          <w:rFonts w:ascii="Arial" w:hAnsi="Arial" w:cs="Arial"/>
          <w:color w:val="000000" w:themeColor="text1"/>
        </w:rPr>
        <w:t xml:space="preserve">total </w:t>
      </w:r>
      <w:r w:rsidRPr="009A74DB">
        <w:rPr>
          <w:rFonts w:ascii="Arial" w:hAnsi="Arial" w:cs="Arial"/>
          <w:color w:val="000000" w:themeColor="text1"/>
        </w:rPr>
        <w:t>number of dot opacities (from AS-OCT imaging) compared with the age profile of participants with DS.</w:t>
      </w:r>
    </w:p>
    <w:p w14:paraId="7815E166" w14:textId="77777777" w:rsidR="00FE75DC" w:rsidRPr="009A74DB" w:rsidRDefault="00FE75DC" w:rsidP="009C4263">
      <w:pPr>
        <w:spacing w:line="480" w:lineRule="auto"/>
        <w:rPr>
          <w:rFonts w:ascii="Arial" w:hAnsi="Arial" w:cs="Arial"/>
          <w:color w:val="000000" w:themeColor="text1"/>
        </w:rPr>
      </w:pPr>
    </w:p>
    <w:p w14:paraId="5FEFC849" w14:textId="1648C6A1" w:rsidR="00FE75DC" w:rsidRPr="009A74DB" w:rsidRDefault="00FE75DC" w:rsidP="009C4263">
      <w:pPr>
        <w:spacing w:line="480" w:lineRule="auto"/>
        <w:rPr>
          <w:rFonts w:ascii="Arial" w:hAnsi="Arial" w:cs="Arial"/>
          <w:color w:val="000000" w:themeColor="text1"/>
        </w:rPr>
      </w:pPr>
      <w:r w:rsidRPr="009A74DB">
        <w:rPr>
          <w:rFonts w:ascii="Arial" w:hAnsi="Arial" w:cs="Arial"/>
          <w:color w:val="000000" w:themeColor="text1"/>
        </w:rPr>
        <w:t xml:space="preserve">Figure 3.  Panel A: </w:t>
      </w:r>
      <w:r w:rsidR="000F0A48" w:rsidRPr="009A74DB">
        <w:rPr>
          <w:rFonts w:ascii="Arial" w:hAnsi="Arial" w:cs="Arial"/>
          <w:color w:val="000000" w:themeColor="text1"/>
        </w:rPr>
        <w:t>AS-</w:t>
      </w:r>
      <w:r w:rsidRPr="009A74DB">
        <w:rPr>
          <w:rFonts w:ascii="Arial" w:hAnsi="Arial" w:cs="Arial"/>
          <w:color w:val="000000" w:themeColor="text1"/>
        </w:rPr>
        <w:t>OCT Image</w:t>
      </w:r>
      <w:r w:rsidR="000F0A48" w:rsidRPr="009A74DB">
        <w:rPr>
          <w:rFonts w:ascii="Arial" w:hAnsi="Arial" w:cs="Arial"/>
          <w:color w:val="000000" w:themeColor="text1"/>
        </w:rPr>
        <w:t xml:space="preserve"> (low-resolution)</w:t>
      </w:r>
      <w:r w:rsidRPr="009A74DB">
        <w:rPr>
          <w:rFonts w:ascii="Arial" w:hAnsi="Arial" w:cs="Arial"/>
          <w:color w:val="000000" w:themeColor="text1"/>
        </w:rPr>
        <w:t xml:space="preserve"> showing segmentation of nucleus, anterior chamber and individual dot opacities.  Panel B: formulae to calculate Nuclear PIR and Dot PIR and PAR. </w:t>
      </w:r>
    </w:p>
    <w:p w14:paraId="045A8857" w14:textId="2092F949" w:rsidR="00006E24" w:rsidRPr="009A74DB" w:rsidRDefault="00006E24" w:rsidP="009C4263">
      <w:pPr>
        <w:rPr>
          <w:rFonts w:ascii="Arial" w:eastAsiaTheme="minorEastAsia" w:hAnsi="Arial" w:cs="Arial"/>
          <w:color w:val="000000" w:themeColor="text1"/>
          <w:szCs w:val="22"/>
        </w:rPr>
      </w:pPr>
      <w:r w:rsidRPr="009A74DB">
        <w:rPr>
          <w:rFonts w:ascii="Arial" w:eastAsiaTheme="minorEastAsia" w:hAnsi="Arial" w:cs="Arial"/>
          <w:color w:val="000000" w:themeColor="text1"/>
          <w:szCs w:val="22"/>
        </w:rPr>
        <w:br w:type="page"/>
      </w:r>
    </w:p>
    <w:p w14:paraId="41721E64" w14:textId="77777777" w:rsidR="00E851FE" w:rsidRPr="009A74DB" w:rsidRDefault="00E851FE" w:rsidP="009C4263">
      <w:pPr>
        <w:spacing w:line="480" w:lineRule="auto"/>
        <w:rPr>
          <w:rFonts w:ascii="Arial" w:eastAsiaTheme="minorEastAsia" w:hAnsi="Arial" w:cs="Arial"/>
          <w:color w:val="000000" w:themeColor="text1"/>
          <w:szCs w:val="22"/>
        </w:rPr>
      </w:pPr>
    </w:p>
    <w:tbl>
      <w:tblPr>
        <w:tblStyle w:val="TableGrid"/>
        <w:tblW w:w="9209" w:type="dxa"/>
        <w:tblLook w:val="04A0" w:firstRow="1" w:lastRow="0" w:firstColumn="1" w:lastColumn="0" w:noHBand="0" w:noVBand="1"/>
      </w:tblPr>
      <w:tblGrid>
        <w:gridCol w:w="659"/>
        <w:gridCol w:w="1511"/>
        <w:gridCol w:w="984"/>
        <w:gridCol w:w="977"/>
        <w:gridCol w:w="876"/>
        <w:gridCol w:w="934"/>
        <w:gridCol w:w="977"/>
        <w:gridCol w:w="937"/>
        <w:gridCol w:w="1354"/>
      </w:tblGrid>
      <w:tr w:rsidR="009A74DB" w:rsidRPr="009A74DB" w14:paraId="47C6A2D4" w14:textId="77777777" w:rsidTr="00504529">
        <w:tc>
          <w:tcPr>
            <w:tcW w:w="659" w:type="dxa"/>
          </w:tcPr>
          <w:p w14:paraId="53613887" w14:textId="77777777" w:rsidR="00E851FE" w:rsidRPr="009A74DB" w:rsidRDefault="00E851FE" w:rsidP="009C4263">
            <w:pPr>
              <w:rPr>
                <w:rFonts w:ascii="Arial" w:hAnsi="Arial" w:cs="Arial"/>
                <w:color w:val="000000" w:themeColor="text1"/>
                <w:sz w:val="22"/>
                <w:szCs w:val="22"/>
              </w:rPr>
            </w:pPr>
          </w:p>
        </w:tc>
        <w:tc>
          <w:tcPr>
            <w:tcW w:w="1511" w:type="dxa"/>
          </w:tcPr>
          <w:p w14:paraId="53C26517" w14:textId="77777777" w:rsidR="00E851FE" w:rsidRPr="009A74DB" w:rsidRDefault="00E851FE" w:rsidP="009C4263">
            <w:pPr>
              <w:rPr>
                <w:rFonts w:ascii="Arial" w:hAnsi="Arial" w:cs="Arial"/>
                <w:color w:val="000000" w:themeColor="text1"/>
                <w:sz w:val="22"/>
                <w:szCs w:val="22"/>
              </w:rPr>
            </w:pPr>
          </w:p>
        </w:tc>
        <w:tc>
          <w:tcPr>
            <w:tcW w:w="2837" w:type="dxa"/>
            <w:gridSpan w:val="3"/>
          </w:tcPr>
          <w:p w14:paraId="63ACF939" w14:textId="77777777" w:rsidR="00E851FE" w:rsidRPr="009A74DB" w:rsidRDefault="00E851FE" w:rsidP="009C4263">
            <w:pPr>
              <w:rPr>
                <w:rFonts w:ascii="Arial" w:hAnsi="Arial" w:cs="Arial"/>
                <w:b/>
                <w:color w:val="000000" w:themeColor="text1"/>
                <w:sz w:val="22"/>
                <w:szCs w:val="22"/>
              </w:rPr>
            </w:pPr>
            <w:r w:rsidRPr="009A74DB">
              <w:rPr>
                <w:rFonts w:ascii="Arial" w:hAnsi="Arial" w:cs="Arial"/>
                <w:b/>
                <w:color w:val="000000" w:themeColor="text1"/>
                <w:sz w:val="22"/>
                <w:szCs w:val="22"/>
              </w:rPr>
              <w:t>DS</w:t>
            </w:r>
          </w:p>
        </w:tc>
        <w:tc>
          <w:tcPr>
            <w:tcW w:w="2848" w:type="dxa"/>
            <w:gridSpan w:val="3"/>
          </w:tcPr>
          <w:p w14:paraId="7DE1DFB0" w14:textId="77777777" w:rsidR="00E851FE" w:rsidRPr="009A74DB" w:rsidRDefault="00E851FE" w:rsidP="009C4263">
            <w:pPr>
              <w:rPr>
                <w:rFonts w:ascii="Arial" w:hAnsi="Arial" w:cs="Arial"/>
                <w:b/>
                <w:color w:val="000000" w:themeColor="text1"/>
                <w:sz w:val="22"/>
                <w:szCs w:val="22"/>
              </w:rPr>
            </w:pPr>
            <w:r w:rsidRPr="009A74DB">
              <w:rPr>
                <w:rFonts w:ascii="Arial" w:hAnsi="Arial" w:cs="Arial"/>
                <w:b/>
                <w:color w:val="000000" w:themeColor="text1"/>
                <w:sz w:val="22"/>
                <w:szCs w:val="22"/>
              </w:rPr>
              <w:t>Controls</w:t>
            </w:r>
          </w:p>
        </w:tc>
        <w:tc>
          <w:tcPr>
            <w:tcW w:w="1354" w:type="dxa"/>
            <w:vMerge w:val="restart"/>
          </w:tcPr>
          <w:p w14:paraId="5D4F56ED" w14:textId="77777777" w:rsidR="00E851FE" w:rsidRPr="009A74DB" w:rsidRDefault="00E851FE" w:rsidP="009C4263">
            <w:pPr>
              <w:rPr>
                <w:rFonts w:ascii="Arial" w:hAnsi="Arial" w:cs="Arial"/>
                <w:b/>
                <w:color w:val="000000" w:themeColor="text1"/>
                <w:sz w:val="22"/>
                <w:szCs w:val="22"/>
              </w:rPr>
            </w:pPr>
            <w:r w:rsidRPr="009A74DB">
              <w:rPr>
                <w:rFonts w:ascii="Arial" w:hAnsi="Arial" w:cs="Arial"/>
                <w:bCs/>
                <w:color w:val="000000" w:themeColor="text1"/>
                <w:sz w:val="22"/>
                <w:szCs w:val="22"/>
              </w:rPr>
              <w:t>Statistical comparison between groups</w:t>
            </w:r>
          </w:p>
        </w:tc>
      </w:tr>
      <w:tr w:rsidR="009A74DB" w:rsidRPr="009A74DB" w14:paraId="1D53BB94" w14:textId="77777777" w:rsidTr="00504529">
        <w:tc>
          <w:tcPr>
            <w:tcW w:w="659" w:type="dxa"/>
          </w:tcPr>
          <w:p w14:paraId="2A618BF7" w14:textId="77777777" w:rsidR="00E851FE" w:rsidRPr="009A74DB" w:rsidRDefault="00E851FE" w:rsidP="009C4263">
            <w:pPr>
              <w:rPr>
                <w:rFonts w:ascii="Arial" w:hAnsi="Arial" w:cs="Arial"/>
                <w:color w:val="000000" w:themeColor="text1"/>
                <w:sz w:val="22"/>
                <w:szCs w:val="22"/>
              </w:rPr>
            </w:pPr>
          </w:p>
        </w:tc>
        <w:tc>
          <w:tcPr>
            <w:tcW w:w="1511" w:type="dxa"/>
          </w:tcPr>
          <w:p w14:paraId="7B433A40" w14:textId="77777777" w:rsidR="00E851FE" w:rsidRPr="009A74DB" w:rsidRDefault="00E851FE" w:rsidP="009C4263">
            <w:pPr>
              <w:rPr>
                <w:rFonts w:ascii="Arial" w:hAnsi="Arial" w:cs="Arial"/>
                <w:color w:val="000000" w:themeColor="text1"/>
                <w:sz w:val="22"/>
                <w:szCs w:val="22"/>
              </w:rPr>
            </w:pPr>
          </w:p>
        </w:tc>
        <w:tc>
          <w:tcPr>
            <w:tcW w:w="984" w:type="dxa"/>
          </w:tcPr>
          <w:p w14:paraId="5D1E99F1"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Mean (+/-SD)</w:t>
            </w:r>
          </w:p>
        </w:tc>
        <w:tc>
          <w:tcPr>
            <w:tcW w:w="977" w:type="dxa"/>
          </w:tcPr>
          <w:p w14:paraId="7A049394"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Median (IQR)</w:t>
            </w:r>
          </w:p>
        </w:tc>
        <w:tc>
          <w:tcPr>
            <w:tcW w:w="876" w:type="dxa"/>
          </w:tcPr>
          <w:p w14:paraId="1C9E9D96"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 xml:space="preserve">Range </w:t>
            </w:r>
          </w:p>
        </w:tc>
        <w:tc>
          <w:tcPr>
            <w:tcW w:w="934" w:type="dxa"/>
          </w:tcPr>
          <w:p w14:paraId="0C10510C"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Mean (+/-SD)</w:t>
            </w:r>
          </w:p>
        </w:tc>
        <w:tc>
          <w:tcPr>
            <w:tcW w:w="977" w:type="dxa"/>
          </w:tcPr>
          <w:p w14:paraId="6901ECC2"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Median (IQR)</w:t>
            </w:r>
          </w:p>
        </w:tc>
        <w:tc>
          <w:tcPr>
            <w:tcW w:w="937" w:type="dxa"/>
          </w:tcPr>
          <w:p w14:paraId="09E4BF8C" w14:textId="77777777" w:rsidR="00E851FE" w:rsidRPr="009A74DB" w:rsidRDefault="00E851FE" w:rsidP="009C4263">
            <w:pPr>
              <w:rPr>
                <w:rFonts w:ascii="Arial" w:hAnsi="Arial" w:cs="Arial"/>
                <w:color w:val="000000" w:themeColor="text1"/>
                <w:sz w:val="22"/>
                <w:szCs w:val="22"/>
              </w:rPr>
            </w:pPr>
            <w:r w:rsidRPr="009A74DB">
              <w:rPr>
                <w:rFonts w:ascii="Arial" w:hAnsi="Arial" w:cs="Arial"/>
                <w:bCs/>
                <w:color w:val="000000" w:themeColor="text1"/>
                <w:sz w:val="22"/>
                <w:szCs w:val="22"/>
              </w:rPr>
              <w:t xml:space="preserve">Range </w:t>
            </w:r>
          </w:p>
        </w:tc>
        <w:tc>
          <w:tcPr>
            <w:tcW w:w="1354" w:type="dxa"/>
            <w:vMerge/>
          </w:tcPr>
          <w:p w14:paraId="27951502" w14:textId="77777777" w:rsidR="00E851FE" w:rsidRPr="009A74DB" w:rsidRDefault="00E851FE" w:rsidP="009C4263">
            <w:pPr>
              <w:rPr>
                <w:rFonts w:ascii="Arial" w:hAnsi="Arial" w:cs="Arial"/>
                <w:bCs/>
                <w:color w:val="000000" w:themeColor="text1"/>
                <w:sz w:val="22"/>
                <w:szCs w:val="22"/>
              </w:rPr>
            </w:pPr>
          </w:p>
        </w:tc>
      </w:tr>
      <w:tr w:rsidR="009A74DB" w:rsidRPr="009A74DB" w14:paraId="1CB0D611" w14:textId="77777777" w:rsidTr="00504529">
        <w:tc>
          <w:tcPr>
            <w:tcW w:w="659" w:type="dxa"/>
          </w:tcPr>
          <w:p w14:paraId="304FEC0B" w14:textId="77777777" w:rsidR="00E851FE" w:rsidRPr="009A74DB" w:rsidRDefault="00E851FE" w:rsidP="009C4263">
            <w:pPr>
              <w:rPr>
                <w:rFonts w:ascii="Arial" w:hAnsi="Arial" w:cs="Arial"/>
                <w:color w:val="000000" w:themeColor="text1"/>
                <w:sz w:val="22"/>
                <w:szCs w:val="22"/>
              </w:rPr>
            </w:pPr>
          </w:p>
        </w:tc>
        <w:tc>
          <w:tcPr>
            <w:tcW w:w="1511" w:type="dxa"/>
          </w:tcPr>
          <w:p w14:paraId="051F1C38" w14:textId="77777777" w:rsidR="00E851FE" w:rsidRPr="009A74DB" w:rsidRDefault="00E851FE" w:rsidP="009C4263">
            <w:pPr>
              <w:rPr>
                <w:rFonts w:ascii="Arial" w:hAnsi="Arial" w:cs="Arial"/>
                <w:color w:val="000000" w:themeColor="text1"/>
                <w:sz w:val="22"/>
                <w:szCs w:val="22"/>
              </w:rPr>
            </w:pPr>
          </w:p>
        </w:tc>
        <w:tc>
          <w:tcPr>
            <w:tcW w:w="984" w:type="dxa"/>
          </w:tcPr>
          <w:p w14:paraId="158A48FE" w14:textId="77777777" w:rsidR="00E851FE" w:rsidRPr="009A74DB" w:rsidRDefault="00E851FE" w:rsidP="009C4263">
            <w:pPr>
              <w:rPr>
                <w:rFonts w:ascii="Arial" w:hAnsi="Arial" w:cs="Arial"/>
                <w:color w:val="000000" w:themeColor="text1"/>
                <w:sz w:val="22"/>
                <w:szCs w:val="22"/>
              </w:rPr>
            </w:pPr>
          </w:p>
        </w:tc>
        <w:tc>
          <w:tcPr>
            <w:tcW w:w="977" w:type="dxa"/>
          </w:tcPr>
          <w:p w14:paraId="751EF809" w14:textId="77777777" w:rsidR="00E851FE" w:rsidRPr="009A74DB" w:rsidRDefault="00E851FE" w:rsidP="009C4263">
            <w:pPr>
              <w:rPr>
                <w:rFonts w:ascii="Arial" w:hAnsi="Arial" w:cs="Arial"/>
                <w:color w:val="000000" w:themeColor="text1"/>
                <w:sz w:val="22"/>
                <w:szCs w:val="22"/>
              </w:rPr>
            </w:pPr>
          </w:p>
        </w:tc>
        <w:tc>
          <w:tcPr>
            <w:tcW w:w="876" w:type="dxa"/>
          </w:tcPr>
          <w:p w14:paraId="401E6136" w14:textId="77777777" w:rsidR="00E851FE" w:rsidRPr="009A74DB" w:rsidRDefault="00E851FE" w:rsidP="009C4263">
            <w:pPr>
              <w:rPr>
                <w:rFonts w:ascii="Arial" w:hAnsi="Arial" w:cs="Arial"/>
                <w:color w:val="000000" w:themeColor="text1"/>
                <w:sz w:val="22"/>
                <w:szCs w:val="22"/>
              </w:rPr>
            </w:pPr>
          </w:p>
        </w:tc>
        <w:tc>
          <w:tcPr>
            <w:tcW w:w="934" w:type="dxa"/>
          </w:tcPr>
          <w:p w14:paraId="68843CD7" w14:textId="77777777" w:rsidR="00E851FE" w:rsidRPr="009A74DB" w:rsidRDefault="00E851FE" w:rsidP="009C4263">
            <w:pPr>
              <w:rPr>
                <w:rFonts w:ascii="Arial" w:hAnsi="Arial" w:cs="Arial"/>
                <w:color w:val="000000" w:themeColor="text1"/>
                <w:sz w:val="22"/>
                <w:szCs w:val="22"/>
              </w:rPr>
            </w:pPr>
          </w:p>
        </w:tc>
        <w:tc>
          <w:tcPr>
            <w:tcW w:w="977" w:type="dxa"/>
          </w:tcPr>
          <w:p w14:paraId="341EF759" w14:textId="77777777" w:rsidR="00E851FE" w:rsidRPr="009A74DB" w:rsidRDefault="00E851FE" w:rsidP="009C4263">
            <w:pPr>
              <w:rPr>
                <w:rFonts w:ascii="Arial" w:hAnsi="Arial" w:cs="Arial"/>
                <w:color w:val="000000" w:themeColor="text1"/>
                <w:sz w:val="22"/>
                <w:szCs w:val="22"/>
              </w:rPr>
            </w:pPr>
          </w:p>
        </w:tc>
        <w:tc>
          <w:tcPr>
            <w:tcW w:w="937" w:type="dxa"/>
          </w:tcPr>
          <w:p w14:paraId="2303D2BF" w14:textId="77777777" w:rsidR="00E851FE" w:rsidRPr="009A74DB" w:rsidRDefault="00E851FE" w:rsidP="009C4263">
            <w:pPr>
              <w:rPr>
                <w:rFonts w:ascii="Arial" w:hAnsi="Arial" w:cs="Arial"/>
                <w:color w:val="000000" w:themeColor="text1"/>
                <w:sz w:val="22"/>
                <w:szCs w:val="22"/>
              </w:rPr>
            </w:pPr>
          </w:p>
        </w:tc>
        <w:tc>
          <w:tcPr>
            <w:tcW w:w="1354" w:type="dxa"/>
          </w:tcPr>
          <w:p w14:paraId="64B8B2D1" w14:textId="77777777" w:rsidR="00E851FE" w:rsidRPr="009A74DB" w:rsidRDefault="00E851FE" w:rsidP="009C4263">
            <w:pPr>
              <w:rPr>
                <w:rFonts w:ascii="Arial" w:hAnsi="Arial" w:cs="Arial"/>
                <w:color w:val="000000" w:themeColor="text1"/>
                <w:sz w:val="22"/>
                <w:szCs w:val="22"/>
              </w:rPr>
            </w:pPr>
          </w:p>
        </w:tc>
      </w:tr>
      <w:tr w:rsidR="009A74DB" w:rsidRPr="009A74DB" w14:paraId="70404B90" w14:textId="77777777" w:rsidTr="00504529">
        <w:tc>
          <w:tcPr>
            <w:tcW w:w="659" w:type="dxa"/>
            <w:vMerge w:val="restart"/>
            <w:textDirection w:val="btLr"/>
          </w:tcPr>
          <w:p w14:paraId="4711115C" w14:textId="77777777" w:rsidR="00E851FE" w:rsidRPr="009A74DB" w:rsidRDefault="00E851FE" w:rsidP="009C4263">
            <w:pPr>
              <w:ind w:left="113" w:right="113"/>
              <w:rPr>
                <w:rFonts w:ascii="Arial" w:hAnsi="Arial" w:cs="Arial"/>
                <w:b/>
                <w:bCs/>
                <w:color w:val="000000" w:themeColor="text1"/>
                <w:sz w:val="22"/>
                <w:szCs w:val="22"/>
              </w:rPr>
            </w:pPr>
            <w:r w:rsidRPr="009A74DB">
              <w:rPr>
                <w:rFonts w:ascii="Arial" w:hAnsi="Arial" w:cs="Arial"/>
                <w:b/>
                <w:bCs/>
                <w:color w:val="000000" w:themeColor="text1"/>
                <w:sz w:val="22"/>
                <w:szCs w:val="22"/>
              </w:rPr>
              <w:t>LOCS III grading</w:t>
            </w:r>
          </w:p>
        </w:tc>
        <w:tc>
          <w:tcPr>
            <w:tcW w:w="1511" w:type="dxa"/>
          </w:tcPr>
          <w:p w14:paraId="74D3BF53"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Nuclear Opalescence (NO)</w:t>
            </w:r>
          </w:p>
        </w:tc>
        <w:tc>
          <w:tcPr>
            <w:tcW w:w="984" w:type="dxa"/>
          </w:tcPr>
          <w:p w14:paraId="7A5FC93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0.50 (+/-0.49)</w:t>
            </w:r>
          </w:p>
        </w:tc>
        <w:tc>
          <w:tcPr>
            <w:tcW w:w="977" w:type="dxa"/>
          </w:tcPr>
          <w:p w14:paraId="47B80D30"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0.40 (0.40)</w:t>
            </w:r>
          </w:p>
        </w:tc>
        <w:tc>
          <w:tcPr>
            <w:tcW w:w="876" w:type="dxa"/>
          </w:tcPr>
          <w:p w14:paraId="7ADED72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2.2</w:t>
            </w:r>
          </w:p>
        </w:tc>
        <w:tc>
          <w:tcPr>
            <w:tcW w:w="934" w:type="dxa"/>
          </w:tcPr>
          <w:p w14:paraId="51F108E0"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1.83 (+/-0.34)</w:t>
            </w:r>
          </w:p>
        </w:tc>
        <w:tc>
          <w:tcPr>
            <w:tcW w:w="977" w:type="dxa"/>
          </w:tcPr>
          <w:p w14:paraId="26EE503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1.80 (0.40)</w:t>
            </w:r>
          </w:p>
        </w:tc>
        <w:tc>
          <w:tcPr>
            <w:tcW w:w="937" w:type="dxa"/>
          </w:tcPr>
          <w:p w14:paraId="1F883BD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1.2 to 2.7</w:t>
            </w:r>
          </w:p>
        </w:tc>
        <w:tc>
          <w:tcPr>
            <w:tcW w:w="1354" w:type="dxa"/>
          </w:tcPr>
          <w:p w14:paraId="486BF26E"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z=-7.4, p&lt;0.00001</w:t>
            </w:r>
          </w:p>
        </w:tc>
      </w:tr>
      <w:tr w:rsidR="009A74DB" w:rsidRPr="009A74DB" w14:paraId="4EFBBB7E" w14:textId="77777777" w:rsidTr="00504529">
        <w:tc>
          <w:tcPr>
            <w:tcW w:w="659" w:type="dxa"/>
            <w:vMerge/>
          </w:tcPr>
          <w:p w14:paraId="6D9FB8D6" w14:textId="77777777" w:rsidR="00E851FE" w:rsidRPr="009A74DB" w:rsidRDefault="00E851FE" w:rsidP="009C4263">
            <w:pPr>
              <w:rPr>
                <w:rFonts w:ascii="Arial" w:hAnsi="Arial" w:cs="Arial"/>
                <w:color w:val="000000" w:themeColor="text1"/>
                <w:sz w:val="22"/>
                <w:szCs w:val="22"/>
              </w:rPr>
            </w:pPr>
          </w:p>
        </w:tc>
        <w:tc>
          <w:tcPr>
            <w:tcW w:w="1511" w:type="dxa"/>
          </w:tcPr>
          <w:p w14:paraId="2382EEBE"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Nuclear Colour (NC)</w:t>
            </w:r>
          </w:p>
        </w:tc>
        <w:tc>
          <w:tcPr>
            <w:tcW w:w="984" w:type="dxa"/>
          </w:tcPr>
          <w:p w14:paraId="710DB26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0.48 (+/-0.58)</w:t>
            </w:r>
          </w:p>
        </w:tc>
        <w:tc>
          <w:tcPr>
            <w:tcW w:w="977" w:type="dxa"/>
          </w:tcPr>
          <w:p w14:paraId="35813EC1"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0.30 (0.40)</w:t>
            </w:r>
          </w:p>
        </w:tc>
        <w:tc>
          <w:tcPr>
            <w:tcW w:w="876" w:type="dxa"/>
          </w:tcPr>
          <w:p w14:paraId="3A51545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2.5</w:t>
            </w:r>
          </w:p>
        </w:tc>
        <w:tc>
          <w:tcPr>
            <w:tcW w:w="934" w:type="dxa"/>
          </w:tcPr>
          <w:p w14:paraId="5D1D92D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1.69 (+/-0.45)</w:t>
            </w:r>
          </w:p>
        </w:tc>
        <w:tc>
          <w:tcPr>
            <w:tcW w:w="977" w:type="dxa"/>
          </w:tcPr>
          <w:p w14:paraId="5296A73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1.75 (0.70)</w:t>
            </w:r>
          </w:p>
        </w:tc>
        <w:tc>
          <w:tcPr>
            <w:tcW w:w="937" w:type="dxa"/>
          </w:tcPr>
          <w:p w14:paraId="78996E13"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0.5 to 2.5</w:t>
            </w:r>
          </w:p>
        </w:tc>
        <w:tc>
          <w:tcPr>
            <w:tcW w:w="1354" w:type="dxa"/>
          </w:tcPr>
          <w:p w14:paraId="3120B63B"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z=-7.1, p&lt;0.00001</w:t>
            </w:r>
          </w:p>
        </w:tc>
      </w:tr>
      <w:tr w:rsidR="009A74DB" w:rsidRPr="009A74DB" w14:paraId="7649D6DE" w14:textId="77777777" w:rsidTr="00504529">
        <w:tc>
          <w:tcPr>
            <w:tcW w:w="659" w:type="dxa"/>
            <w:vMerge/>
          </w:tcPr>
          <w:p w14:paraId="2A54A43F" w14:textId="77777777" w:rsidR="00E851FE" w:rsidRPr="009A74DB" w:rsidRDefault="00E851FE" w:rsidP="009C4263">
            <w:pPr>
              <w:rPr>
                <w:rFonts w:ascii="Arial" w:hAnsi="Arial" w:cs="Arial"/>
                <w:color w:val="000000" w:themeColor="text1"/>
                <w:sz w:val="22"/>
                <w:szCs w:val="22"/>
              </w:rPr>
            </w:pPr>
          </w:p>
        </w:tc>
        <w:tc>
          <w:tcPr>
            <w:tcW w:w="1511" w:type="dxa"/>
          </w:tcPr>
          <w:p w14:paraId="0C2DC5B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Cortical (C)</w:t>
            </w:r>
          </w:p>
        </w:tc>
        <w:tc>
          <w:tcPr>
            <w:tcW w:w="984" w:type="dxa"/>
          </w:tcPr>
          <w:p w14:paraId="53064270"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0.75 (+/-0.71)</w:t>
            </w:r>
          </w:p>
        </w:tc>
        <w:tc>
          <w:tcPr>
            <w:tcW w:w="977" w:type="dxa"/>
          </w:tcPr>
          <w:p w14:paraId="322F976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0.50 (0.70)</w:t>
            </w:r>
          </w:p>
        </w:tc>
        <w:tc>
          <w:tcPr>
            <w:tcW w:w="876" w:type="dxa"/>
          </w:tcPr>
          <w:p w14:paraId="66D1418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2.4</w:t>
            </w:r>
          </w:p>
        </w:tc>
        <w:tc>
          <w:tcPr>
            <w:tcW w:w="934" w:type="dxa"/>
          </w:tcPr>
          <w:p w14:paraId="04CAFD4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0.17 (+/-0.37)</w:t>
            </w:r>
          </w:p>
        </w:tc>
        <w:tc>
          <w:tcPr>
            <w:tcW w:w="977" w:type="dxa"/>
          </w:tcPr>
          <w:p w14:paraId="7A64747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0.10 (0.00)</w:t>
            </w:r>
          </w:p>
        </w:tc>
        <w:tc>
          <w:tcPr>
            <w:tcW w:w="937" w:type="dxa"/>
          </w:tcPr>
          <w:p w14:paraId="7AD434D1"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2.6</w:t>
            </w:r>
          </w:p>
        </w:tc>
        <w:tc>
          <w:tcPr>
            <w:tcW w:w="1354" w:type="dxa"/>
          </w:tcPr>
          <w:p w14:paraId="39FB3C6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z=6.1, p&lt;0.00001</w:t>
            </w:r>
          </w:p>
        </w:tc>
      </w:tr>
      <w:tr w:rsidR="009A74DB" w:rsidRPr="009A74DB" w14:paraId="6BFEDC5F" w14:textId="77777777" w:rsidTr="00504529">
        <w:tc>
          <w:tcPr>
            <w:tcW w:w="659" w:type="dxa"/>
            <w:vMerge/>
          </w:tcPr>
          <w:p w14:paraId="09C50879" w14:textId="77777777" w:rsidR="00E851FE" w:rsidRPr="009A74DB" w:rsidRDefault="00E851FE" w:rsidP="009C4263">
            <w:pPr>
              <w:rPr>
                <w:rFonts w:ascii="Arial" w:hAnsi="Arial" w:cs="Arial"/>
                <w:color w:val="000000" w:themeColor="text1"/>
                <w:sz w:val="22"/>
                <w:szCs w:val="22"/>
              </w:rPr>
            </w:pPr>
          </w:p>
        </w:tc>
        <w:tc>
          <w:tcPr>
            <w:tcW w:w="1511" w:type="dxa"/>
          </w:tcPr>
          <w:p w14:paraId="66E2CD51"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Posterior subcapsular (P)</w:t>
            </w:r>
          </w:p>
        </w:tc>
        <w:tc>
          <w:tcPr>
            <w:tcW w:w="984" w:type="dxa"/>
          </w:tcPr>
          <w:p w14:paraId="25EB819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0.38 (+/-0.74)</w:t>
            </w:r>
          </w:p>
        </w:tc>
        <w:tc>
          <w:tcPr>
            <w:tcW w:w="977" w:type="dxa"/>
          </w:tcPr>
          <w:p w14:paraId="56D6ECD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0.10 (0.00)</w:t>
            </w:r>
          </w:p>
        </w:tc>
        <w:tc>
          <w:tcPr>
            <w:tcW w:w="876" w:type="dxa"/>
          </w:tcPr>
          <w:p w14:paraId="0E4911C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2.3</w:t>
            </w:r>
          </w:p>
        </w:tc>
        <w:tc>
          <w:tcPr>
            <w:tcW w:w="934" w:type="dxa"/>
          </w:tcPr>
          <w:p w14:paraId="243AF98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0.10 (+/-0.00)</w:t>
            </w:r>
          </w:p>
        </w:tc>
        <w:tc>
          <w:tcPr>
            <w:tcW w:w="977" w:type="dxa"/>
          </w:tcPr>
          <w:p w14:paraId="058440F0"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0.10 (0.00)</w:t>
            </w:r>
          </w:p>
        </w:tc>
        <w:tc>
          <w:tcPr>
            <w:tcW w:w="937" w:type="dxa"/>
          </w:tcPr>
          <w:p w14:paraId="3DBBD8D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0.1 to 0.1</w:t>
            </w:r>
          </w:p>
        </w:tc>
        <w:tc>
          <w:tcPr>
            <w:tcW w:w="1354" w:type="dxa"/>
          </w:tcPr>
          <w:p w14:paraId="6A7A2C3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z=2.8, p&lt;0.006</w:t>
            </w:r>
          </w:p>
        </w:tc>
      </w:tr>
      <w:tr w:rsidR="009A74DB" w:rsidRPr="009A74DB" w14:paraId="0B0F4506" w14:textId="77777777" w:rsidTr="00504529">
        <w:tc>
          <w:tcPr>
            <w:tcW w:w="659" w:type="dxa"/>
          </w:tcPr>
          <w:p w14:paraId="2B5910AA" w14:textId="77777777" w:rsidR="00E851FE" w:rsidRPr="009A74DB" w:rsidRDefault="00E851FE" w:rsidP="009C4263">
            <w:pPr>
              <w:rPr>
                <w:rFonts w:ascii="Arial" w:hAnsi="Arial" w:cs="Arial"/>
                <w:color w:val="000000" w:themeColor="text1"/>
                <w:sz w:val="22"/>
                <w:szCs w:val="22"/>
              </w:rPr>
            </w:pPr>
          </w:p>
        </w:tc>
        <w:tc>
          <w:tcPr>
            <w:tcW w:w="1511" w:type="dxa"/>
          </w:tcPr>
          <w:p w14:paraId="12E10FD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sz w:val="22"/>
                <w:szCs w:val="22"/>
              </w:rPr>
              <w:t xml:space="preserve"> </w:t>
            </w:r>
          </w:p>
        </w:tc>
        <w:tc>
          <w:tcPr>
            <w:tcW w:w="984" w:type="dxa"/>
          </w:tcPr>
          <w:p w14:paraId="5F289865" w14:textId="77777777" w:rsidR="00E851FE" w:rsidRPr="009A74DB" w:rsidRDefault="00E851FE" w:rsidP="009C4263">
            <w:pPr>
              <w:rPr>
                <w:rFonts w:ascii="Arial" w:hAnsi="Arial" w:cs="Arial"/>
                <w:color w:val="000000" w:themeColor="text1"/>
                <w:sz w:val="22"/>
                <w:szCs w:val="22"/>
              </w:rPr>
            </w:pPr>
          </w:p>
        </w:tc>
        <w:tc>
          <w:tcPr>
            <w:tcW w:w="977" w:type="dxa"/>
          </w:tcPr>
          <w:p w14:paraId="336B41DE" w14:textId="77777777" w:rsidR="00E851FE" w:rsidRPr="009A74DB" w:rsidRDefault="00E851FE" w:rsidP="009C4263">
            <w:pPr>
              <w:rPr>
                <w:rFonts w:ascii="Arial" w:hAnsi="Arial" w:cs="Arial"/>
                <w:color w:val="000000" w:themeColor="text1"/>
                <w:sz w:val="22"/>
                <w:szCs w:val="22"/>
              </w:rPr>
            </w:pPr>
          </w:p>
        </w:tc>
        <w:tc>
          <w:tcPr>
            <w:tcW w:w="876" w:type="dxa"/>
          </w:tcPr>
          <w:p w14:paraId="34CAC00F" w14:textId="77777777" w:rsidR="00E851FE" w:rsidRPr="009A74DB" w:rsidRDefault="00E851FE" w:rsidP="009C4263">
            <w:pPr>
              <w:rPr>
                <w:rFonts w:ascii="Arial" w:hAnsi="Arial" w:cs="Arial"/>
                <w:color w:val="000000" w:themeColor="text1"/>
                <w:sz w:val="22"/>
                <w:szCs w:val="22"/>
              </w:rPr>
            </w:pPr>
          </w:p>
        </w:tc>
        <w:tc>
          <w:tcPr>
            <w:tcW w:w="934" w:type="dxa"/>
          </w:tcPr>
          <w:p w14:paraId="6136D431" w14:textId="77777777" w:rsidR="00E851FE" w:rsidRPr="009A74DB" w:rsidRDefault="00E851FE" w:rsidP="009C4263">
            <w:pPr>
              <w:rPr>
                <w:rFonts w:ascii="Arial" w:hAnsi="Arial" w:cs="Arial"/>
                <w:color w:val="000000" w:themeColor="text1"/>
                <w:sz w:val="22"/>
                <w:szCs w:val="22"/>
              </w:rPr>
            </w:pPr>
          </w:p>
        </w:tc>
        <w:tc>
          <w:tcPr>
            <w:tcW w:w="977" w:type="dxa"/>
          </w:tcPr>
          <w:p w14:paraId="0F77465A" w14:textId="77777777" w:rsidR="00E851FE" w:rsidRPr="009A74DB" w:rsidRDefault="00E851FE" w:rsidP="009C4263">
            <w:pPr>
              <w:rPr>
                <w:rFonts w:ascii="Arial" w:hAnsi="Arial" w:cs="Arial"/>
                <w:color w:val="000000" w:themeColor="text1"/>
                <w:sz w:val="22"/>
                <w:szCs w:val="22"/>
              </w:rPr>
            </w:pPr>
          </w:p>
        </w:tc>
        <w:tc>
          <w:tcPr>
            <w:tcW w:w="937" w:type="dxa"/>
          </w:tcPr>
          <w:p w14:paraId="6DD2A968" w14:textId="77777777" w:rsidR="00E851FE" w:rsidRPr="009A74DB" w:rsidRDefault="00E851FE" w:rsidP="009C4263">
            <w:pPr>
              <w:rPr>
                <w:rFonts w:ascii="Arial" w:hAnsi="Arial" w:cs="Arial"/>
                <w:color w:val="000000" w:themeColor="text1"/>
                <w:sz w:val="22"/>
                <w:szCs w:val="22"/>
              </w:rPr>
            </w:pPr>
          </w:p>
        </w:tc>
        <w:tc>
          <w:tcPr>
            <w:tcW w:w="1354" w:type="dxa"/>
          </w:tcPr>
          <w:p w14:paraId="45B9FC42" w14:textId="77777777" w:rsidR="00E851FE" w:rsidRPr="009A74DB" w:rsidRDefault="00E851FE" w:rsidP="009C4263">
            <w:pPr>
              <w:rPr>
                <w:rFonts w:ascii="Arial" w:hAnsi="Arial" w:cs="Arial"/>
                <w:color w:val="000000" w:themeColor="text1"/>
                <w:sz w:val="22"/>
                <w:szCs w:val="22"/>
              </w:rPr>
            </w:pPr>
          </w:p>
        </w:tc>
      </w:tr>
      <w:tr w:rsidR="009A74DB" w:rsidRPr="009A74DB" w14:paraId="5A88045E" w14:textId="77777777" w:rsidTr="00504529">
        <w:tc>
          <w:tcPr>
            <w:tcW w:w="659" w:type="dxa"/>
            <w:vMerge w:val="restart"/>
            <w:textDirection w:val="btLr"/>
          </w:tcPr>
          <w:p w14:paraId="63D7B0DF" w14:textId="77777777" w:rsidR="00E851FE" w:rsidRPr="009A74DB" w:rsidRDefault="00E851FE" w:rsidP="009C4263">
            <w:pPr>
              <w:ind w:left="113" w:right="113"/>
              <w:rPr>
                <w:rFonts w:ascii="Arial" w:hAnsi="Arial" w:cs="Arial"/>
                <w:b/>
                <w:bCs/>
                <w:color w:val="000000" w:themeColor="text1"/>
                <w:sz w:val="22"/>
                <w:szCs w:val="22"/>
              </w:rPr>
            </w:pPr>
            <w:r w:rsidRPr="009A74DB">
              <w:rPr>
                <w:rFonts w:ascii="Arial" w:hAnsi="Arial" w:cs="Arial"/>
                <w:b/>
                <w:bCs/>
                <w:color w:val="000000" w:themeColor="text1"/>
                <w:sz w:val="22"/>
                <w:szCs w:val="22"/>
              </w:rPr>
              <w:t xml:space="preserve">AS-OCT quantification of lens opacities </w:t>
            </w:r>
          </w:p>
        </w:tc>
        <w:tc>
          <w:tcPr>
            <w:tcW w:w="1511" w:type="dxa"/>
          </w:tcPr>
          <w:p w14:paraId="64A955F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Nuclear PIR</w:t>
            </w:r>
          </w:p>
        </w:tc>
        <w:tc>
          <w:tcPr>
            <w:tcW w:w="984" w:type="dxa"/>
          </w:tcPr>
          <w:p w14:paraId="4F53E7B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1.19 (+/-0.06)</w:t>
            </w:r>
          </w:p>
        </w:tc>
        <w:tc>
          <w:tcPr>
            <w:tcW w:w="977" w:type="dxa"/>
          </w:tcPr>
          <w:p w14:paraId="60ECD1B6"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1.19 (0.7)</w:t>
            </w:r>
          </w:p>
        </w:tc>
        <w:tc>
          <w:tcPr>
            <w:tcW w:w="876" w:type="dxa"/>
          </w:tcPr>
          <w:p w14:paraId="78360D7A"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1.10 to 1.45</w:t>
            </w:r>
          </w:p>
        </w:tc>
        <w:tc>
          <w:tcPr>
            <w:tcW w:w="934" w:type="dxa"/>
          </w:tcPr>
          <w:p w14:paraId="4CB003C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1.25 (+/-0.04)</w:t>
            </w:r>
          </w:p>
        </w:tc>
        <w:tc>
          <w:tcPr>
            <w:tcW w:w="977" w:type="dxa"/>
          </w:tcPr>
          <w:p w14:paraId="178D7F8D"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1.24 (0.06)</w:t>
            </w:r>
          </w:p>
        </w:tc>
        <w:tc>
          <w:tcPr>
            <w:tcW w:w="937" w:type="dxa"/>
          </w:tcPr>
          <w:p w14:paraId="2A62F5AD"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1.18 to 1.35</w:t>
            </w:r>
          </w:p>
        </w:tc>
        <w:tc>
          <w:tcPr>
            <w:tcW w:w="1354" w:type="dxa"/>
          </w:tcPr>
          <w:p w14:paraId="3177C331"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z=-4.8, p&lt;0.0001</w:t>
            </w:r>
          </w:p>
        </w:tc>
      </w:tr>
      <w:tr w:rsidR="009A74DB" w:rsidRPr="009A74DB" w14:paraId="0BA75439" w14:textId="77777777" w:rsidTr="00504529">
        <w:tc>
          <w:tcPr>
            <w:tcW w:w="659" w:type="dxa"/>
            <w:vMerge/>
          </w:tcPr>
          <w:p w14:paraId="2F1C749F" w14:textId="77777777" w:rsidR="00E851FE" w:rsidRPr="009A74DB" w:rsidRDefault="00E851FE" w:rsidP="009C4263">
            <w:pPr>
              <w:rPr>
                <w:rFonts w:ascii="Arial" w:hAnsi="Arial" w:cs="Arial"/>
                <w:color w:val="000000" w:themeColor="text1"/>
                <w:sz w:val="22"/>
                <w:szCs w:val="22"/>
              </w:rPr>
            </w:pPr>
          </w:p>
        </w:tc>
        <w:tc>
          <w:tcPr>
            <w:tcW w:w="1511" w:type="dxa"/>
          </w:tcPr>
          <w:p w14:paraId="71B2D5DE"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Cortical PIR</w:t>
            </w:r>
          </w:p>
        </w:tc>
        <w:tc>
          <w:tcPr>
            <w:tcW w:w="984" w:type="dxa"/>
          </w:tcPr>
          <w:p w14:paraId="74C3AB3E"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0.09 (+/-0.34)</w:t>
            </w:r>
          </w:p>
        </w:tc>
        <w:tc>
          <w:tcPr>
            <w:tcW w:w="977" w:type="dxa"/>
          </w:tcPr>
          <w:p w14:paraId="118D64A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876" w:type="dxa"/>
          </w:tcPr>
          <w:p w14:paraId="785A5F1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 to 1.46</w:t>
            </w:r>
          </w:p>
        </w:tc>
        <w:tc>
          <w:tcPr>
            <w:tcW w:w="934" w:type="dxa"/>
          </w:tcPr>
          <w:p w14:paraId="3DFFA13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77" w:type="dxa"/>
          </w:tcPr>
          <w:p w14:paraId="12D8B87D"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37" w:type="dxa"/>
          </w:tcPr>
          <w:p w14:paraId="1F2A5067"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w:t>
            </w:r>
          </w:p>
        </w:tc>
        <w:tc>
          <w:tcPr>
            <w:tcW w:w="1354" w:type="dxa"/>
          </w:tcPr>
          <w:p w14:paraId="355B53B7" w14:textId="77777777" w:rsidR="00E851FE" w:rsidRPr="009A74DB" w:rsidRDefault="00E851FE" w:rsidP="009C4263">
            <w:pPr>
              <w:rPr>
                <w:rFonts w:ascii="Arial" w:hAnsi="Arial" w:cs="Arial"/>
                <w:color w:val="000000" w:themeColor="text1"/>
                <w:sz w:val="22"/>
                <w:szCs w:val="22"/>
              </w:rPr>
            </w:pPr>
          </w:p>
        </w:tc>
      </w:tr>
      <w:tr w:rsidR="009A74DB" w:rsidRPr="009A74DB" w14:paraId="0F134138" w14:textId="77777777" w:rsidTr="00504529">
        <w:tc>
          <w:tcPr>
            <w:tcW w:w="659" w:type="dxa"/>
            <w:vMerge/>
          </w:tcPr>
          <w:p w14:paraId="2D56BFC9" w14:textId="77777777" w:rsidR="00E851FE" w:rsidRPr="009A74DB" w:rsidRDefault="00E851FE" w:rsidP="009C4263">
            <w:pPr>
              <w:rPr>
                <w:rFonts w:ascii="Arial" w:hAnsi="Arial" w:cs="Arial"/>
                <w:color w:val="000000" w:themeColor="text1"/>
                <w:sz w:val="22"/>
                <w:szCs w:val="22"/>
              </w:rPr>
            </w:pPr>
          </w:p>
        </w:tc>
        <w:tc>
          <w:tcPr>
            <w:tcW w:w="1511" w:type="dxa"/>
          </w:tcPr>
          <w:p w14:paraId="74085AE2"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Cortical PAR</w:t>
            </w:r>
          </w:p>
        </w:tc>
        <w:tc>
          <w:tcPr>
            <w:tcW w:w="984" w:type="dxa"/>
          </w:tcPr>
          <w:p w14:paraId="7F937A4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0.006 (+/-0.03)</w:t>
            </w:r>
          </w:p>
        </w:tc>
        <w:tc>
          <w:tcPr>
            <w:tcW w:w="977" w:type="dxa"/>
          </w:tcPr>
          <w:p w14:paraId="57C6B81A"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876" w:type="dxa"/>
          </w:tcPr>
          <w:p w14:paraId="7D91B43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 to 0.15</w:t>
            </w:r>
          </w:p>
        </w:tc>
        <w:tc>
          <w:tcPr>
            <w:tcW w:w="934" w:type="dxa"/>
          </w:tcPr>
          <w:p w14:paraId="59BB2B4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77" w:type="dxa"/>
          </w:tcPr>
          <w:p w14:paraId="7C77E3F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37" w:type="dxa"/>
          </w:tcPr>
          <w:p w14:paraId="1E72264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w:t>
            </w:r>
          </w:p>
        </w:tc>
        <w:tc>
          <w:tcPr>
            <w:tcW w:w="1354" w:type="dxa"/>
          </w:tcPr>
          <w:p w14:paraId="1C33ECE1" w14:textId="77777777" w:rsidR="00E851FE" w:rsidRPr="009A74DB" w:rsidRDefault="00E851FE" w:rsidP="009C4263">
            <w:pPr>
              <w:rPr>
                <w:rFonts w:ascii="Arial" w:hAnsi="Arial" w:cs="Arial"/>
                <w:color w:val="000000" w:themeColor="text1"/>
                <w:sz w:val="22"/>
                <w:szCs w:val="22"/>
              </w:rPr>
            </w:pPr>
          </w:p>
        </w:tc>
      </w:tr>
      <w:tr w:rsidR="009A74DB" w:rsidRPr="009A74DB" w14:paraId="06C5C058" w14:textId="77777777" w:rsidTr="00504529">
        <w:tc>
          <w:tcPr>
            <w:tcW w:w="659" w:type="dxa"/>
            <w:vMerge/>
          </w:tcPr>
          <w:p w14:paraId="70B9ADC6" w14:textId="77777777" w:rsidR="00E851FE" w:rsidRPr="009A74DB" w:rsidRDefault="00E851FE" w:rsidP="009C4263">
            <w:pPr>
              <w:rPr>
                <w:rFonts w:ascii="Arial" w:hAnsi="Arial" w:cs="Arial"/>
                <w:color w:val="000000" w:themeColor="text1"/>
                <w:sz w:val="22"/>
                <w:szCs w:val="22"/>
              </w:rPr>
            </w:pPr>
          </w:p>
        </w:tc>
        <w:tc>
          <w:tcPr>
            <w:tcW w:w="1511" w:type="dxa"/>
          </w:tcPr>
          <w:p w14:paraId="1E4C7A1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Posterior subcapsular PIR</w:t>
            </w:r>
          </w:p>
        </w:tc>
        <w:tc>
          <w:tcPr>
            <w:tcW w:w="984" w:type="dxa"/>
          </w:tcPr>
          <w:p w14:paraId="76F5AE08"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0.09 (+/-0.35)</w:t>
            </w:r>
          </w:p>
        </w:tc>
        <w:tc>
          <w:tcPr>
            <w:tcW w:w="977" w:type="dxa"/>
          </w:tcPr>
          <w:p w14:paraId="4A2260A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876" w:type="dxa"/>
          </w:tcPr>
          <w:p w14:paraId="23E2579C"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 to 1.56</w:t>
            </w:r>
          </w:p>
        </w:tc>
        <w:tc>
          <w:tcPr>
            <w:tcW w:w="934" w:type="dxa"/>
          </w:tcPr>
          <w:p w14:paraId="3D47C1F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77" w:type="dxa"/>
          </w:tcPr>
          <w:p w14:paraId="04E8960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37" w:type="dxa"/>
          </w:tcPr>
          <w:p w14:paraId="69CFF24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w:t>
            </w:r>
          </w:p>
        </w:tc>
        <w:tc>
          <w:tcPr>
            <w:tcW w:w="1354" w:type="dxa"/>
          </w:tcPr>
          <w:p w14:paraId="698DFA3C" w14:textId="77777777" w:rsidR="00E851FE" w:rsidRPr="009A74DB" w:rsidRDefault="00E851FE" w:rsidP="009C4263">
            <w:pPr>
              <w:rPr>
                <w:rFonts w:ascii="Arial" w:hAnsi="Arial" w:cs="Arial"/>
                <w:color w:val="000000" w:themeColor="text1"/>
                <w:sz w:val="22"/>
                <w:szCs w:val="22"/>
              </w:rPr>
            </w:pPr>
          </w:p>
        </w:tc>
      </w:tr>
      <w:tr w:rsidR="009A74DB" w:rsidRPr="009A74DB" w14:paraId="6749F08D" w14:textId="77777777" w:rsidTr="00504529">
        <w:tc>
          <w:tcPr>
            <w:tcW w:w="659" w:type="dxa"/>
            <w:vMerge/>
          </w:tcPr>
          <w:p w14:paraId="6B709CB3" w14:textId="77777777" w:rsidR="00E851FE" w:rsidRPr="009A74DB" w:rsidRDefault="00E851FE" w:rsidP="009C4263">
            <w:pPr>
              <w:rPr>
                <w:rFonts w:ascii="Arial" w:hAnsi="Arial" w:cs="Arial"/>
                <w:color w:val="000000" w:themeColor="text1"/>
                <w:sz w:val="22"/>
                <w:szCs w:val="22"/>
              </w:rPr>
            </w:pPr>
          </w:p>
        </w:tc>
        <w:tc>
          <w:tcPr>
            <w:tcW w:w="1511" w:type="dxa"/>
          </w:tcPr>
          <w:p w14:paraId="5A3869B9"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Posterior subcapsular PAR</w:t>
            </w:r>
          </w:p>
        </w:tc>
        <w:tc>
          <w:tcPr>
            <w:tcW w:w="984" w:type="dxa"/>
          </w:tcPr>
          <w:p w14:paraId="413CD139"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0.01 (+/-0.05)</w:t>
            </w:r>
          </w:p>
        </w:tc>
        <w:tc>
          <w:tcPr>
            <w:tcW w:w="977" w:type="dxa"/>
          </w:tcPr>
          <w:p w14:paraId="55334A94"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876" w:type="dxa"/>
          </w:tcPr>
          <w:p w14:paraId="2BC0E58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 to 0.24</w:t>
            </w:r>
          </w:p>
        </w:tc>
        <w:tc>
          <w:tcPr>
            <w:tcW w:w="934" w:type="dxa"/>
          </w:tcPr>
          <w:p w14:paraId="223377F7"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77" w:type="dxa"/>
          </w:tcPr>
          <w:p w14:paraId="2B8E107B"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 (0.0)</w:t>
            </w:r>
          </w:p>
        </w:tc>
        <w:tc>
          <w:tcPr>
            <w:tcW w:w="937" w:type="dxa"/>
          </w:tcPr>
          <w:p w14:paraId="041AF8A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w:t>
            </w:r>
          </w:p>
        </w:tc>
        <w:tc>
          <w:tcPr>
            <w:tcW w:w="1354" w:type="dxa"/>
          </w:tcPr>
          <w:p w14:paraId="19C2F551" w14:textId="77777777" w:rsidR="00E851FE" w:rsidRPr="009A74DB" w:rsidRDefault="00E851FE" w:rsidP="009C4263">
            <w:pPr>
              <w:rPr>
                <w:rFonts w:ascii="Arial" w:hAnsi="Arial" w:cs="Arial"/>
                <w:color w:val="000000" w:themeColor="text1"/>
                <w:sz w:val="22"/>
                <w:szCs w:val="22"/>
              </w:rPr>
            </w:pPr>
          </w:p>
        </w:tc>
      </w:tr>
      <w:tr w:rsidR="009A74DB" w:rsidRPr="009A74DB" w14:paraId="0502809B" w14:textId="77777777" w:rsidTr="00504529">
        <w:tc>
          <w:tcPr>
            <w:tcW w:w="659" w:type="dxa"/>
          </w:tcPr>
          <w:p w14:paraId="1A9E400B" w14:textId="77777777" w:rsidR="00E851FE" w:rsidRPr="009A74DB" w:rsidRDefault="00E851FE" w:rsidP="009C4263">
            <w:pPr>
              <w:rPr>
                <w:rFonts w:ascii="Arial" w:hAnsi="Arial" w:cs="Arial"/>
                <w:color w:val="000000" w:themeColor="text1"/>
                <w:sz w:val="22"/>
                <w:szCs w:val="22"/>
              </w:rPr>
            </w:pPr>
          </w:p>
        </w:tc>
        <w:tc>
          <w:tcPr>
            <w:tcW w:w="1511" w:type="dxa"/>
          </w:tcPr>
          <w:p w14:paraId="440BB246" w14:textId="77777777" w:rsidR="00E851FE" w:rsidRPr="009A74DB" w:rsidRDefault="00E851FE" w:rsidP="009C4263">
            <w:pPr>
              <w:rPr>
                <w:rFonts w:ascii="Arial" w:hAnsi="Arial" w:cs="Arial"/>
                <w:color w:val="000000" w:themeColor="text1"/>
                <w:sz w:val="22"/>
                <w:szCs w:val="22"/>
              </w:rPr>
            </w:pPr>
          </w:p>
        </w:tc>
        <w:tc>
          <w:tcPr>
            <w:tcW w:w="984" w:type="dxa"/>
          </w:tcPr>
          <w:p w14:paraId="0FC2FDD3" w14:textId="77777777" w:rsidR="00E851FE" w:rsidRPr="009A74DB" w:rsidRDefault="00E851FE" w:rsidP="009C4263">
            <w:pPr>
              <w:rPr>
                <w:rFonts w:ascii="Arial" w:hAnsi="Arial" w:cs="Arial"/>
                <w:color w:val="000000" w:themeColor="text1"/>
                <w:sz w:val="22"/>
                <w:szCs w:val="22"/>
              </w:rPr>
            </w:pPr>
          </w:p>
        </w:tc>
        <w:tc>
          <w:tcPr>
            <w:tcW w:w="977" w:type="dxa"/>
          </w:tcPr>
          <w:p w14:paraId="46904BB0" w14:textId="77777777" w:rsidR="00E851FE" w:rsidRPr="009A74DB" w:rsidRDefault="00E851FE" w:rsidP="009C4263">
            <w:pPr>
              <w:rPr>
                <w:rFonts w:ascii="Arial" w:hAnsi="Arial" w:cs="Arial"/>
                <w:color w:val="000000" w:themeColor="text1"/>
                <w:sz w:val="22"/>
                <w:szCs w:val="22"/>
              </w:rPr>
            </w:pPr>
          </w:p>
        </w:tc>
        <w:tc>
          <w:tcPr>
            <w:tcW w:w="876" w:type="dxa"/>
          </w:tcPr>
          <w:p w14:paraId="28B47615" w14:textId="77777777" w:rsidR="00E851FE" w:rsidRPr="009A74DB" w:rsidRDefault="00E851FE" w:rsidP="009C4263">
            <w:pPr>
              <w:rPr>
                <w:rFonts w:ascii="Arial" w:hAnsi="Arial" w:cs="Arial"/>
                <w:color w:val="000000" w:themeColor="text1"/>
                <w:sz w:val="22"/>
                <w:szCs w:val="22"/>
              </w:rPr>
            </w:pPr>
          </w:p>
        </w:tc>
        <w:tc>
          <w:tcPr>
            <w:tcW w:w="934" w:type="dxa"/>
          </w:tcPr>
          <w:p w14:paraId="2E22C09F" w14:textId="77777777" w:rsidR="00E851FE" w:rsidRPr="009A74DB" w:rsidRDefault="00E851FE" w:rsidP="009C4263">
            <w:pPr>
              <w:rPr>
                <w:rFonts w:ascii="Arial" w:hAnsi="Arial" w:cs="Arial"/>
                <w:color w:val="000000" w:themeColor="text1"/>
                <w:sz w:val="22"/>
                <w:szCs w:val="22"/>
              </w:rPr>
            </w:pPr>
          </w:p>
        </w:tc>
        <w:tc>
          <w:tcPr>
            <w:tcW w:w="977" w:type="dxa"/>
          </w:tcPr>
          <w:p w14:paraId="0644680F" w14:textId="77777777" w:rsidR="00E851FE" w:rsidRPr="009A74DB" w:rsidRDefault="00E851FE" w:rsidP="009C4263">
            <w:pPr>
              <w:rPr>
                <w:rFonts w:ascii="Arial" w:hAnsi="Arial" w:cs="Arial"/>
                <w:color w:val="000000" w:themeColor="text1"/>
                <w:sz w:val="22"/>
                <w:szCs w:val="22"/>
              </w:rPr>
            </w:pPr>
          </w:p>
        </w:tc>
        <w:tc>
          <w:tcPr>
            <w:tcW w:w="937" w:type="dxa"/>
          </w:tcPr>
          <w:p w14:paraId="0958C831" w14:textId="77777777" w:rsidR="00E851FE" w:rsidRPr="009A74DB" w:rsidRDefault="00E851FE" w:rsidP="009C4263">
            <w:pPr>
              <w:rPr>
                <w:rFonts w:ascii="Arial" w:hAnsi="Arial" w:cs="Arial"/>
                <w:color w:val="000000" w:themeColor="text1"/>
                <w:sz w:val="22"/>
                <w:szCs w:val="22"/>
              </w:rPr>
            </w:pPr>
          </w:p>
        </w:tc>
        <w:tc>
          <w:tcPr>
            <w:tcW w:w="1354" w:type="dxa"/>
          </w:tcPr>
          <w:p w14:paraId="2E04B0E1" w14:textId="77777777" w:rsidR="00E851FE" w:rsidRPr="009A74DB" w:rsidRDefault="00E851FE" w:rsidP="009C4263">
            <w:pPr>
              <w:rPr>
                <w:rFonts w:ascii="Arial" w:hAnsi="Arial" w:cs="Arial"/>
                <w:color w:val="000000" w:themeColor="text1"/>
                <w:sz w:val="22"/>
                <w:szCs w:val="22"/>
              </w:rPr>
            </w:pPr>
          </w:p>
        </w:tc>
      </w:tr>
      <w:tr w:rsidR="00E851FE" w:rsidRPr="009A74DB" w14:paraId="0CBBC681" w14:textId="77777777" w:rsidTr="00504529">
        <w:tc>
          <w:tcPr>
            <w:tcW w:w="2170" w:type="dxa"/>
            <w:gridSpan w:val="2"/>
          </w:tcPr>
          <w:p w14:paraId="4C0C7E1E" w14:textId="77777777" w:rsidR="00E851FE" w:rsidRPr="009A74DB" w:rsidRDefault="00E851FE" w:rsidP="009C4263">
            <w:pPr>
              <w:rPr>
                <w:rFonts w:ascii="Arial" w:hAnsi="Arial" w:cs="Arial"/>
                <w:b/>
                <w:bCs/>
                <w:color w:val="000000" w:themeColor="text1"/>
                <w:sz w:val="22"/>
                <w:szCs w:val="22"/>
              </w:rPr>
            </w:pPr>
            <w:r w:rsidRPr="009A74DB">
              <w:rPr>
                <w:rFonts w:ascii="Arial" w:hAnsi="Arial" w:cs="Arial"/>
                <w:b/>
                <w:bCs/>
                <w:color w:val="000000" w:themeColor="text1"/>
                <w:sz w:val="22"/>
                <w:szCs w:val="22"/>
              </w:rPr>
              <w:t>Visual Acuity</w:t>
            </w:r>
          </w:p>
        </w:tc>
        <w:tc>
          <w:tcPr>
            <w:tcW w:w="984" w:type="dxa"/>
          </w:tcPr>
          <w:p w14:paraId="164F2D80"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0.371 (</w:t>
            </w:r>
            <w:r w:rsidRPr="009A74DB">
              <w:rPr>
                <w:rFonts w:ascii="Arial" w:hAnsi="Arial" w:cs="Arial"/>
                <w:bCs/>
                <w:color w:val="000000" w:themeColor="text1"/>
              </w:rPr>
              <w:t>+/-</w:t>
            </w:r>
            <w:r w:rsidRPr="009A74DB">
              <w:rPr>
                <w:rFonts w:ascii="Arial" w:hAnsi="Arial" w:cs="Arial"/>
                <w:color w:val="000000" w:themeColor="text1"/>
              </w:rPr>
              <w:t>0.215)</w:t>
            </w:r>
          </w:p>
        </w:tc>
        <w:tc>
          <w:tcPr>
            <w:tcW w:w="977" w:type="dxa"/>
          </w:tcPr>
          <w:p w14:paraId="769150DA"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0.300 (0.275)</w:t>
            </w:r>
          </w:p>
        </w:tc>
        <w:tc>
          <w:tcPr>
            <w:tcW w:w="876" w:type="dxa"/>
          </w:tcPr>
          <w:p w14:paraId="3FD7B4BB"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0.050 to 0.800</w:t>
            </w:r>
          </w:p>
        </w:tc>
        <w:tc>
          <w:tcPr>
            <w:tcW w:w="934" w:type="dxa"/>
            <w:vAlign w:val="center"/>
          </w:tcPr>
          <w:p w14:paraId="513D3563"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-0.053 (</w:t>
            </w:r>
            <w:r w:rsidRPr="009A74DB">
              <w:rPr>
                <w:rFonts w:ascii="Arial" w:hAnsi="Arial" w:cs="Arial"/>
                <w:bCs/>
                <w:color w:val="000000" w:themeColor="text1"/>
              </w:rPr>
              <w:t>+/-</w:t>
            </w:r>
            <w:r w:rsidRPr="009A74DB">
              <w:rPr>
                <w:rFonts w:ascii="Arial" w:hAnsi="Arial" w:cs="Arial"/>
                <w:color w:val="000000" w:themeColor="text1"/>
              </w:rPr>
              <w:t>0.123)</w:t>
            </w:r>
          </w:p>
        </w:tc>
        <w:tc>
          <w:tcPr>
            <w:tcW w:w="977" w:type="dxa"/>
          </w:tcPr>
          <w:p w14:paraId="3435ED6F"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-0.080 (0.155)</w:t>
            </w:r>
          </w:p>
        </w:tc>
        <w:tc>
          <w:tcPr>
            <w:tcW w:w="937" w:type="dxa"/>
          </w:tcPr>
          <w:p w14:paraId="13E28655" w14:textId="77777777" w:rsidR="00E851FE" w:rsidRPr="009A74DB" w:rsidRDefault="00E851FE" w:rsidP="009C4263">
            <w:pPr>
              <w:rPr>
                <w:rFonts w:ascii="Arial" w:hAnsi="Arial" w:cs="Arial"/>
                <w:color w:val="000000" w:themeColor="text1"/>
                <w:sz w:val="22"/>
                <w:szCs w:val="22"/>
              </w:rPr>
            </w:pPr>
            <w:r w:rsidRPr="009A74DB">
              <w:rPr>
                <w:rFonts w:ascii="Arial" w:hAnsi="Arial" w:cs="Arial"/>
                <w:color w:val="000000" w:themeColor="text1"/>
              </w:rPr>
              <w:t>-0.20 to 0.38</w:t>
            </w:r>
          </w:p>
        </w:tc>
        <w:tc>
          <w:tcPr>
            <w:tcW w:w="1354" w:type="dxa"/>
          </w:tcPr>
          <w:p w14:paraId="74481789" w14:textId="77777777" w:rsidR="00E851FE" w:rsidRPr="009A74DB" w:rsidRDefault="00E851FE" w:rsidP="009C4263">
            <w:pPr>
              <w:rPr>
                <w:rFonts w:ascii="Arial" w:hAnsi="Arial" w:cs="Arial"/>
                <w:color w:val="000000" w:themeColor="text1"/>
                <w:sz w:val="22"/>
                <w:szCs w:val="22"/>
              </w:rPr>
            </w:pPr>
          </w:p>
        </w:tc>
      </w:tr>
    </w:tbl>
    <w:p w14:paraId="02F21CFD" w14:textId="77777777" w:rsidR="0015506A" w:rsidRPr="009A74DB" w:rsidRDefault="0015506A" w:rsidP="009C4263">
      <w:pPr>
        <w:spacing w:line="480" w:lineRule="auto"/>
        <w:rPr>
          <w:rFonts w:ascii="Arial" w:hAnsi="Arial" w:cs="Arial"/>
          <w:color w:val="000000" w:themeColor="text1"/>
        </w:rPr>
      </w:pPr>
    </w:p>
    <w:p w14:paraId="7B568784" w14:textId="0320232D" w:rsidR="00E851FE" w:rsidRPr="009A74DB" w:rsidRDefault="00E851FE" w:rsidP="009C4263">
      <w:pPr>
        <w:spacing w:line="480" w:lineRule="auto"/>
        <w:rPr>
          <w:rFonts w:ascii="Arial" w:hAnsi="Arial" w:cs="Arial"/>
          <w:color w:val="000000" w:themeColor="text1"/>
        </w:rPr>
      </w:pPr>
      <w:r w:rsidRPr="009A74DB">
        <w:rPr>
          <w:rFonts w:ascii="Arial" w:hAnsi="Arial" w:cs="Arial"/>
          <w:color w:val="000000" w:themeColor="text1"/>
        </w:rPr>
        <w:t>Table 1. LOCS III grading and AS-OCT quantification of lens opacities and for DS and control groups.  Pixel intensity ratios (PIR) and pixel area ratios (PAR) describe the brightness and extent of any lens changes.   Visual Acuity of DS and control participants (</w:t>
      </w:r>
      <w:proofErr w:type="spellStart"/>
      <w:r w:rsidRPr="009A74DB">
        <w:rPr>
          <w:rFonts w:ascii="Arial" w:hAnsi="Arial" w:cs="Arial"/>
          <w:color w:val="000000" w:themeColor="text1"/>
        </w:rPr>
        <w:t>LogMAR</w:t>
      </w:r>
      <w:proofErr w:type="spellEnd"/>
      <w:r w:rsidRPr="009A74DB">
        <w:rPr>
          <w:rFonts w:ascii="Arial" w:hAnsi="Arial" w:cs="Arial"/>
          <w:color w:val="000000" w:themeColor="text1"/>
        </w:rPr>
        <w:t>)</w:t>
      </w:r>
      <w:r w:rsidR="00006E24" w:rsidRPr="009A74DB">
        <w:rPr>
          <w:rFonts w:ascii="Arial" w:hAnsi="Arial" w:cs="Arial"/>
          <w:color w:val="000000" w:themeColor="text1"/>
        </w:rPr>
        <w:t xml:space="preserve">. </w:t>
      </w:r>
    </w:p>
    <w:p w14:paraId="55246750" w14:textId="4CA125A1" w:rsidR="00624E18" w:rsidRPr="009A74DB" w:rsidRDefault="00624E18" w:rsidP="009C4263">
      <w:pPr>
        <w:spacing w:line="480" w:lineRule="auto"/>
        <w:rPr>
          <w:rFonts w:ascii="Arial" w:hAnsi="Arial" w:cs="Arial"/>
          <w:color w:val="000000" w:themeColor="text1"/>
        </w:rPr>
      </w:pPr>
    </w:p>
    <w:p w14:paraId="5D2D62C9" w14:textId="04C83671" w:rsidR="00624E18" w:rsidRPr="009A74DB" w:rsidRDefault="00624E18" w:rsidP="009C4263">
      <w:pPr>
        <w:spacing w:line="480" w:lineRule="auto"/>
        <w:rPr>
          <w:rFonts w:ascii="Arial" w:hAnsi="Arial" w:cs="Arial"/>
          <w:color w:val="000000" w:themeColor="text1"/>
        </w:rPr>
      </w:pPr>
    </w:p>
    <w:tbl>
      <w:tblPr>
        <w:tblStyle w:val="TableGrid"/>
        <w:tblW w:w="9016" w:type="dxa"/>
        <w:tblLook w:val="04A0" w:firstRow="1" w:lastRow="0" w:firstColumn="1" w:lastColumn="0" w:noHBand="0" w:noVBand="1"/>
      </w:tblPr>
      <w:tblGrid>
        <w:gridCol w:w="2254"/>
        <w:gridCol w:w="2254"/>
        <w:gridCol w:w="2254"/>
        <w:gridCol w:w="2254"/>
      </w:tblGrid>
      <w:tr w:rsidR="009A74DB" w:rsidRPr="009A74DB" w14:paraId="3464FC4F" w14:textId="77777777" w:rsidTr="00504529">
        <w:tc>
          <w:tcPr>
            <w:tcW w:w="2254" w:type="dxa"/>
          </w:tcPr>
          <w:p w14:paraId="6C865EFD" w14:textId="77777777" w:rsidR="00624E18" w:rsidRPr="009A74DB" w:rsidRDefault="00624E18" w:rsidP="009C4263">
            <w:pPr>
              <w:rPr>
                <w:rFonts w:ascii="Arial" w:hAnsi="Arial" w:cs="Arial"/>
                <w:color w:val="000000" w:themeColor="text1"/>
              </w:rPr>
            </w:pPr>
            <w:r w:rsidRPr="009A74DB">
              <w:rPr>
                <w:rFonts w:ascii="Arial" w:hAnsi="Arial" w:cs="Arial"/>
                <w:b/>
                <w:bCs/>
                <w:color w:val="000000" w:themeColor="text1"/>
              </w:rPr>
              <w:t>DS group</w:t>
            </w:r>
          </w:p>
        </w:tc>
        <w:tc>
          <w:tcPr>
            <w:tcW w:w="2254" w:type="dxa"/>
          </w:tcPr>
          <w:p w14:paraId="79F70F83" w14:textId="77777777" w:rsidR="00624E18" w:rsidRPr="009A74DB" w:rsidRDefault="00624E18" w:rsidP="009C4263">
            <w:pPr>
              <w:rPr>
                <w:rFonts w:ascii="Arial" w:hAnsi="Arial" w:cs="Arial"/>
                <w:color w:val="000000" w:themeColor="text1"/>
              </w:rPr>
            </w:pPr>
            <w:r w:rsidRPr="009A74DB">
              <w:rPr>
                <w:rFonts w:ascii="Arial" w:hAnsi="Arial" w:cs="Arial"/>
                <w:b/>
                <w:bCs/>
                <w:color w:val="000000" w:themeColor="text1"/>
              </w:rPr>
              <w:t>Mean (+/-SD)</w:t>
            </w:r>
          </w:p>
        </w:tc>
        <w:tc>
          <w:tcPr>
            <w:tcW w:w="2254" w:type="dxa"/>
          </w:tcPr>
          <w:p w14:paraId="161AFB52" w14:textId="77777777" w:rsidR="00624E18" w:rsidRPr="009A74DB" w:rsidRDefault="00624E18" w:rsidP="009C4263">
            <w:pPr>
              <w:rPr>
                <w:rFonts w:ascii="Arial" w:hAnsi="Arial" w:cs="Arial"/>
                <w:color w:val="000000" w:themeColor="text1"/>
              </w:rPr>
            </w:pPr>
            <w:r w:rsidRPr="009A74DB">
              <w:rPr>
                <w:rFonts w:ascii="Arial" w:hAnsi="Arial" w:cs="Arial"/>
                <w:b/>
                <w:bCs/>
                <w:color w:val="000000" w:themeColor="text1"/>
              </w:rPr>
              <w:t>Median (IQR)</w:t>
            </w:r>
          </w:p>
        </w:tc>
        <w:tc>
          <w:tcPr>
            <w:tcW w:w="2254" w:type="dxa"/>
          </w:tcPr>
          <w:p w14:paraId="24282D77" w14:textId="77777777" w:rsidR="00624E18" w:rsidRPr="009A74DB" w:rsidRDefault="00624E18" w:rsidP="009C4263">
            <w:pPr>
              <w:rPr>
                <w:rFonts w:ascii="Arial" w:hAnsi="Arial" w:cs="Arial"/>
                <w:color w:val="000000" w:themeColor="text1"/>
              </w:rPr>
            </w:pPr>
            <w:r w:rsidRPr="009A74DB">
              <w:rPr>
                <w:rFonts w:ascii="Arial" w:hAnsi="Arial" w:cs="Arial"/>
                <w:b/>
                <w:bCs/>
                <w:color w:val="000000" w:themeColor="text1"/>
              </w:rPr>
              <w:t>Range</w:t>
            </w:r>
          </w:p>
        </w:tc>
      </w:tr>
      <w:tr w:rsidR="009A74DB" w:rsidRPr="009A74DB" w14:paraId="38569D5C" w14:textId="77777777" w:rsidTr="00504529">
        <w:tc>
          <w:tcPr>
            <w:tcW w:w="2254" w:type="dxa"/>
          </w:tcPr>
          <w:p w14:paraId="21302084"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Dot PIR</w:t>
            </w:r>
          </w:p>
        </w:tc>
        <w:tc>
          <w:tcPr>
            <w:tcW w:w="2254" w:type="dxa"/>
          </w:tcPr>
          <w:p w14:paraId="4E5C3C2C"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1.33 (+/-0.12)</w:t>
            </w:r>
          </w:p>
        </w:tc>
        <w:tc>
          <w:tcPr>
            <w:tcW w:w="2254" w:type="dxa"/>
          </w:tcPr>
          <w:p w14:paraId="437D441E"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1.3 (0.12)</w:t>
            </w:r>
          </w:p>
        </w:tc>
        <w:tc>
          <w:tcPr>
            <w:tcW w:w="2254" w:type="dxa"/>
          </w:tcPr>
          <w:p w14:paraId="37AB0E76"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 xml:space="preserve">1.14 to 1.68 </w:t>
            </w:r>
          </w:p>
        </w:tc>
      </w:tr>
      <w:tr w:rsidR="009A74DB" w:rsidRPr="009A74DB" w14:paraId="4D358425" w14:textId="77777777" w:rsidTr="00504529">
        <w:tc>
          <w:tcPr>
            <w:tcW w:w="2254" w:type="dxa"/>
          </w:tcPr>
          <w:p w14:paraId="6DDF99C0"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Dot PAR</w:t>
            </w:r>
          </w:p>
        </w:tc>
        <w:tc>
          <w:tcPr>
            <w:tcW w:w="2254" w:type="dxa"/>
          </w:tcPr>
          <w:p w14:paraId="361A57F5"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0.04 (+/-0.05)</w:t>
            </w:r>
          </w:p>
        </w:tc>
        <w:tc>
          <w:tcPr>
            <w:tcW w:w="2254" w:type="dxa"/>
          </w:tcPr>
          <w:p w14:paraId="2BAD1990"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0.02 (0.07)</w:t>
            </w:r>
          </w:p>
        </w:tc>
        <w:tc>
          <w:tcPr>
            <w:tcW w:w="2254" w:type="dxa"/>
          </w:tcPr>
          <w:p w14:paraId="2ABA6EB3"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0.004 to 0.14</w:t>
            </w:r>
          </w:p>
        </w:tc>
      </w:tr>
      <w:tr w:rsidR="009A74DB" w:rsidRPr="009A74DB" w14:paraId="58BB9CE3" w14:textId="77777777" w:rsidTr="00504529">
        <w:tc>
          <w:tcPr>
            <w:tcW w:w="2254" w:type="dxa"/>
          </w:tcPr>
          <w:p w14:paraId="191B6559"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Number of dots</w:t>
            </w:r>
          </w:p>
        </w:tc>
        <w:tc>
          <w:tcPr>
            <w:tcW w:w="2254" w:type="dxa"/>
          </w:tcPr>
          <w:p w14:paraId="4B0BBC02"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15.63 (+/-15.87)</w:t>
            </w:r>
          </w:p>
        </w:tc>
        <w:tc>
          <w:tcPr>
            <w:tcW w:w="2254" w:type="dxa"/>
          </w:tcPr>
          <w:p w14:paraId="1C3866CE"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9 (25.25)</w:t>
            </w:r>
          </w:p>
        </w:tc>
        <w:tc>
          <w:tcPr>
            <w:tcW w:w="2254" w:type="dxa"/>
          </w:tcPr>
          <w:p w14:paraId="3ACCAAA7"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1 to 50</w:t>
            </w:r>
          </w:p>
        </w:tc>
      </w:tr>
      <w:tr w:rsidR="00624E18" w:rsidRPr="009A74DB" w14:paraId="0ECF5C61" w14:textId="77777777" w:rsidTr="00504529">
        <w:tc>
          <w:tcPr>
            <w:tcW w:w="2254" w:type="dxa"/>
          </w:tcPr>
          <w:p w14:paraId="307E9099"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Number of dots in central 4-4.5mm</w:t>
            </w:r>
          </w:p>
        </w:tc>
        <w:tc>
          <w:tcPr>
            <w:tcW w:w="2254" w:type="dxa"/>
          </w:tcPr>
          <w:p w14:paraId="027E1926"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7.31 (+/-8.05)</w:t>
            </w:r>
          </w:p>
        </w:tc>
        <w:tc>
          <w:tcPr>
            <w:tcW w:w="2254" w:type="dxa"/>
          </w:tcPr>
          <w:p w14:paraId="3A9778EF"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2 (13.25)</w:t>
            </w:r>
          </w:p>
        </w:tc>
        <w:tc>
          <w:tcPr>
            <w:tcW w:w="2254" w:type="dxa"/>
          </w:tcPr>
          <w:p w14:paraId="60073028" w14:textId="77777777" w:rsidR="00624E18" w:rsidRPr="009A74DB" w:rsidRDefault="00624E18" w:rsidP="009C4263">
            <w:pPr>
              <w:rPr>
                <w:rFonts w:ascii="Arial" w:hAnsi="Arial" w:cs="Arial"/>
                <w:color w:val="000000" w:themeColor="text1"/>
              </w:rPr>
            </w:pPr>
            <w:r w:rsidRPr="009A74DB">
              <w:rPr>
                <w:rFonts w:ascii="Arial" w:hAnsi="Arial" w:cs="Arial"/>
                <w:color w:val="000000" w:themeColor="text1"/>
              </w:rPr>
              <w:t>0 to 23</w:t>
            </w:r>
          </w:p>
        </w:tc>
      </w:tr>
    </w:tbl>
    <w:p w14:paraId="0DC6D9B9" w14:textId="77777777" w:rsidR="0015506A" w:rsidRPr="009A74DB" w:rsidRDefault="0015506A" w:rsidP="009C4263">
      <w:pPr>
        <w:rPr>
          <w:rFonts w:ascii="Arial" w:hAnsi="Arial" w:cs="Arial"/>
          <w:color w:val="000000" w:themeColor="text1"/>
        </w:rPr>
      </w:pPr>
    </w:p>
    <w:p w14:paraId="4417B3A7" w14:textId="43C23DBA" w:rsidR="00624E18" w:rsidRPr="009A74DB" w:rsidRDefault="00624E18" w:rsidP="009C4263">
      <w:pPr>
        <w:spacing w:line="480" w:lineRule="auto"/>
        <w:rPr>
          <w:rFonts w:ascii="Arial" w:hAnsi="Arial" w:cs="Arial"/>
          <w:color w:val="000000" w:themeColor="text1"/>
        </w:rPr>
      </w:pPr>
      <w:r w:rsidRPr="009A74DB">
        <w:rPr>
          <w:rFonts w:ascii="Arial" w:hAnsi="Arial" w:cs="Arial"/>
          <w:color w:val="000000" w:themeColor="text1"/>
        </w:rPr>
        <w:t>Table 2.  Profile of Dot opacities on OCT imaging of DS lenses (n=16), graded by Pixel intensity ratio (PIR) and area ratio (PAR).</w:t>
      </w:r>
    </w:p>
    <w:p w14:paraId="0FDD31D8" w14:textId="77777777" w:rsidR="00624E18" w:rsidRPr="009A74DB" w:rsidRDefault="00624E18" w:rsidP="009C4263">
      <w:pPr>
        <w:spacing w:line="480" w:lineRule="auto"/>
        <w:rPr>
          <w:rFonts w:ascii="Arial" w:eastAsiaTheme="minorEastAsia" w:hAnsi="Arial" w:cs="Arial"/>
          <w:color w:val="000000" w:themeColor="text1"/>
          <w:szCs w:val="22"/>
        </w:rPr>
      </w:pPr>
    </w:p>
    <w:sectPr w:rsidR="00624E18" w:rsidRPr="009A74DB" w:rsidSect="00643D6C">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26AA" w14:textId="77777777" w:rsidR="00467B2B" w:rsidRDefault="00467B2B" w:rsidP="006E3C98">
      <w:r>
        <w:separator/>
      </w:r>
    </w:p>
  </w:endnote>
  <w:endnote w:type="continuationSeparator" w:id="0">
    <w:p w14:paraId="304A91B9" w14:textId="77777777" w:rsidR="00467B2B" w:rsidRDefault="00467B2B" w:rsidP="006E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1267007"/>
      <w:docPartObj>
        <w:docPartGallery w:val="Page Numbers (Bottom of Page)"/>
        <w:docPartUnique/>
      </w:docPartObj>
    </w:sdtPr>
    <w:sdtEndPr>
      <w:rPr>
        <w:rStyle w:val="PageNumber"/>
      </w:rPr>
    </w:sdtEndPr>
    <w:sdtContent>
      <w:p w14:paraId="74FC1DD4" w14:textId="3AF30E8C" w:rsidR="00504529" w:rsidRDefault="00504529" w:rsidP="005045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9A498" w14:textId="77777777" w:rsidR="00504529" w:rsidRDefault="00504529" w:rsidP="009C4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95680"/>
      <w:docPartObj>
        <w:docPartGallery w:val="Page Numbers (Bottom of Page)"/>
        <w:docPartUnique/>
      </w:docPartObj>
    </w:sdtPr>
    <w:sdtEndPr>
      <w:rPr>
        <w:rStyle w:val="PageNumber"/>
      </w:rPr>
    </w:sdtEndPr>
    <w:sdtContent>
      <w:p w14:paraId="41A45E03" w14:textId="79ED9952" w:rsidR="00504529" w:rsidRDefault="00504529" w:rsidP="005045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752F4D" w14:textId="77777777" w:rsidR="00504529" w:rsidRDefault="00504529" w:rsidP="009C42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01DD" w14:textId="77777777" w:rsidR="00467B2B" w:rsidRDefault="00467B2B" w:rsidP="006E3C98">
      <w:r>
        <w:separator/>
      </w:r>
    </w:p>
  </w:footnote>
  <w:footnote w:type="continuationSeparator" w:id="0">
    <w:p w14:paraId="3318D465" w14:textId="77777777" w:rsidR="00467B2B" w:rsidRDefault="00467B2B" w:rsidP="006E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582"/>
    <w:multiLevelType w:val="hybridMultilevel"/>
    <w:tmpl w:val="4AB46F14"/>
    <w:lvl w:ilvl="0" w:tplc="B9ACB286">
      <w:start w:val="1"/>
      <w:numFmt w:val="bullet"/>
      <w:lvlText w:val="•"/>
      <w:lvlJc w:val="left"/>
      <w:pPr>
        <w:tabs>
          <w:tab w:val="num" w:pos="720"/>
        </w:tabs>
        <w:ind w:left="720" w:hanging="360"/>
      </w:pPr>
      <w:rPr>
        <w:rFonts w:ascii="Arial" w:hAnsi="Arial" w:hint="default"/>
      </w:rPr>
    </w:lvl>
    <w:lvl w:ilvl="1" w:tplc="3E1C28B2" w:tentative="1">
      <w:start w:val="1"/>
      <w:numFmt w:val="bullet"/>
      <w:lvlText w:val="•"/>
      <w:lvlJc w:val="left"/>
      <w:pPr>
        <w:tabs>
          <w:tab w:val="num" w:pos="1440"/>
        </w:tabs>
        <w:ind w:left="1440" w:hanging="360"/>
      </w:pPr>
      <w:rPr>
        <w:rFonts w:ascii="Arial" w:hAnsi="Arial" w:hint="default"/>
      </w:rPr>
    </w:lvl>
    <w:lvl w:ilvl="2" w:tplc="AC78220E" w:tentative="1">
      <w:start w:val="1"/>
      <w:numFmt w:val="bullet"/>
      <w:lvlText w:val="•"/>
      <w:lvlJc w:val="left"/>
      <w:pPr>
        <w:tabs>
          <w:tab w:val="num" w:pos="2160"/>
        </w:tabs>
        <w:ind w:left="2160" w:hanging="360"/>
      </w:pPr>
      <w:rPr>
        <w:rFonts w:ascii="Arial" w:hAnsi="Arial" w:hint="default"/>
      </w:rPr>
    </w:lvl>
    <w:lvl w:ilvl="3" w:tplc="EC481C7A" w:tentative="1">
      <w:start w:val="1"/>
      <w:numFmt w:val="bullet"/>
      <w:lvlText w:val="•"/>
      <w:lvlJc w:val="left"/>
      <w:pPr>
        <w:tabs>
          <w:tab w:val="num" w:pos="2880"/>
        </w:tabs>
        <w:ind w:left="2880" w:hanging="360"/>
      </w:pPr>
      <w:rPr>
        <w:rFonts w:ascii="Arial" w:hAnsi="Arial" w:hint="default"/>
      </w:rPr>
    </w:lvl>
    <w:lvl w:ilvl="4" w:tplc="EBAA8E58" w:tentative="1">
      <w:start w:val="1"/>
      <w:numFmt w:val="bullet"/>
      <w:lvlText w:val="•"/>
      <w:lvlJc w:val="left"/>
      <w:pPr>
        <w:tabs>
          <w:tab w:val="num" w:pos="3600"/>
        </w:tabs>
        <w:ind w:left="3600" w:hanging="360"/>
      </w:pPr>
      <w:rPr>
        <w:rFonts w:ascii="Arial" w:hAnsi="Arial" w:hint="default"/>
      </w:rPr>
    </w:lvl>
    <w:lvl w:ilvl="5" w:tplc="45926502" w:tentative="1">
      <w:start w:val="1"/>
      <w:numFmt w:val="bullet"/>
      <w:lvlText w:val="•"/>
      <w:lvlJc w:val="left"/>
      <w:pPr>
        <w:tabs>
          <w:tab w:val="num" w:pos="4320"/>
        </w:tabs>
        <w:ind w:left="4320" w:hanging="360"/>
      </w:pPr>
      <w:rPr>
        <w:rFonts w:ascii="Arial" w:hAnsi="Arial" w:hint="default"/>
      </w:rPr>
    </w:lvl>
    <w:lvl w:ilvl="6" w:tplc="604CA0AC" w:tentative="1">
      <w:start w:val="1"/>
      <w:numFmt w:val="bullet"/>
      <w:lvlText w:val="•"/>
      <w:lvlJc w:val="left"/>
      <w:pPr>
        <w:tabs>
          <w:tab w:val="num" w:pos="5040"/>
        </w:tabs>
        <w:ind w:left="5040" w:hanging="360"/>
      </w:pPr>
      <w:rPr>
        <w:rFonts w:ascii="Arial" w:hAnsi="Arial" w:hint="default"/>
      </w:rPr>
    </w:lvl>
    <w:lvl w:ilvl="7" w:tplc="98F0BDA6" w:tentative="1">
      <w:start w:val="1"/>
      <w:numFmt w:val="bullet"/>
      <w:lvlText w:val="•"/>
      <w:lvlJc w:val="left"/>
      <w:pPr>
        <w:tabs>
          <w:tab w:val="num" w:pos="5760"/>
        </w:tabs>
        <w:ind w:left="5760" w:hanging="360"/>
      </w:pPr>
      <w:rPr>
        <w:rFonts w:ascii="Arial" w:hAnsi="Arial" w:hint="default"/>
      </w:rPr>
    </w:lvl>
    <w:lvl w:ilvl="8" w:tplc="08E0DB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847B6"/>
    <w:multiLevelType w:val="hybridMultilevel"/>
    <w:tmpl w:val="BFA46848"/>
    <w:lvl w:ilvl="0" w:tplc="FCE0D4CE">
      <w:start w:val="1"/>
      <w:numFmt w:val="bullet"/>
      <w:lvlText w:val="•"/>
      <w:lvlJc w:val="left"/>
      <w:pPr>
        <w:tabs>
          <w:tab w:val="num" w:pos="720"/>
        </w:tabs>
        <w:ind w:left="720" w:hanging="360"/>
      </w:pPr>
      <w:rPr>
        <w:rFonts w:ascii="Arial" w:hAnsi="Arial" w:hint="default"/>
      </w:rPr>
    </w:lvl>
    <w:lvl w:ilvl="1" w:tplc="6F3E2D6A" w:tentative="1">
      <w:start w:val="1"/>
      <w:numFmt w:val="bullet"/>
      <w:lvlText w:val="•"/>
      <w:lvlJc w:val="left"/>
      <w:pPr>
        <w:tabs>
          <w:tab w:val="num" w:pos="1440"/>
        </w:tabs>
        <w:ind w:left="1440" w:hanging="360"/>
      </w:pPr>
      <w:rPr>
        <w:rFonts w:ascii="Arial" w:hAnsi="Arial" w:hint="default"/>
      </w:rPr>
    </w:lvl>
    <w:lvl w:ilvl="2" w:tplc="C010B0F8" w:tentative="1">
      <w:start w:val="1"/>
      <w:numFmt w:val="bullet"/>
      <w:lvlText w:val="•"/>
      <w:lvlJc w:val="left"/>
      <w:pPr>
        <w:tabs>
          <w:tab w:val="num" w:pos="2160"/>
        </w:tabs>
        <w:ind w:left="2160" w:hanging="360"/>
      </w:pPr>
      <w:rPr>
        <w:rFonts w:ascii="Arial" w:hAnsi="Arial" w:hint="default"/>
      </w:rPr>
    </w:lvl>
    <w:lvl w:ilvl="3" w:tplc="C39CB8FE" w:tentative="1">
      <w:start w:val="1"/>
      <w:numFmt w:val="bullet"/>
      <w:lvlText w:val="•"/>
      <w:lvlJc w:val="left"/>
      <w:pPr>
        <w:tabs>
          <w:tab w:val="num" w:pos="2880"/>
        </w:tabs>
        <w:ind w:left="2880" w:hanging="360"/>
      </w:pPr>
      <w:rPr>
        <w:rFonts w:ascii="Arial" w:hAnsi="Arial" w:hint="default"/>
      </w:rPr>
    </w:lvl>
    <w:lvl w:ilvl="4" w:tplc="5B205C8A" w:tentative="1">
      <w:start w:val="1"/>
      <w:numFmt w:val="bullet"/>
      <w:lvlText w:val="•"/>
      <w:lvlJc w:val="left"/>
      <w:pPr>
        <w:tabs>
          <w:tab w:val="num" w:pos="3600"/>
        </w:tabs>
        <w:ind w:left="3600" w:hanging="360"/>
      </w:pPr>
      <w:rPr>
        <w:rFonts w:ascii="Arial" w:hAnsi="Arial" w:hint="default"/>
      </w:rPr>
    </w:lvl>
    <w:lvl w:ilvl="5" w:tplc="B552BFDE" w:tentative="1">
      <w:start w:val="1"/>
      <w:numFmt w:val="bullet"/>
      <w:lvlText w:val="•"/>
      <w:lvlJc w:val="left"/>
      <w:pPr>
        <w:tabs>
          <w:tab w:val="num" w:pos="4320"/>
        </w:tabs>
        <w:ind w:left="4320" w:hanging="360"/>
      </w:pPr>
      <w:rPr>
        <w:rFonts w:ascii="Arial" w:hAnsi="Arial" w:hint="default"/>
      </w:rPr>
    </w:lvl>
    <w:lvl w:ilvl="6" w:tplc="58BA2A06" w:tentative="1">
      <w:start w:val="1"/>
      <w:numFmt w:val="bullet"/>
      <w:lvlText w:val="•"/>
      <w:lvlJc w:val="left"/>
      <w:pPr>
        <w:tabs>
          <w:tab w:val="num" w:pos="5040"/>
        </w:tabs>
        <w:ind w:left="5040" w:hanging="360"/>
      </w:pPr>
      <w:rPr>
        <w:rFonts w:ascii="Arial" w:hAnsi="Arial" w:hint="default"/>
      </w:rPr>
    </w:lvl>
    <w:lvl w:ilvl="7" w:tplc="77CEB1DE" w:tentative="1">
      <w:start w:val="1"/>
      <w:numFmt w:val="bullet"/>
      <w:lvlText w:val="•"/>
      <w:lvlJc w:val="left"/>
      <w:pPr>
        <w:tabs>
          <w:tab w:val="num" w:pos="5760"/>
        </w:tabs>
        <w:ind w:left="5760" w:hanging="360"/>
      </w:pPr>
      <w:rPr>
        <w:rFonts w:ascii="Arial" w:hAnsi="Arial" w:hint="default"/>
      </w:rPr>
    </w:lvl>
    <w:lvl w:ilvl="8" w:tplc="4132A9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BD60A9"/>
    <w:multiLevelType w:val="hybridMultilevel"/>
    <w:tmpl w:val="15A83EFA"/>
    <w:lvl w:ilvl="0" w:tplc="613810F4">
      <w:start w:val="1"/>
      <w:numFmt w:val="bullet"/>
      <w:lvlText w:val="•"/>
      <w:lvlJc w:val="left"/>
      <w:pPr>
        <w:tabs>
          <w:tab w:val="num" w:pos="720"/>
        </w:tabs>
        <w:ind w:left="720" w:hanging="360"/>
      </w:pPr>
      <w:rPr>
        <w:rFonts w:ascii="Arial" w:hAnsi="Arial" w:hint="default"/>
      </w:rPr>
    </w:lvl>
    <w:lvl w:ilvl="1" w:tplc="C2889404" w:tentative="1">
      <w:start w:val="1"/>
      <w:numFmt w:val="bullet"/>
      <w:lvlText w:val="•"/>
      <w:lvlJc w:val="left"/>
      <w:pPr>
        <w:tabs>
          <w:tab w:val="num" w:pos="1440"/>
        </w:tabs>
        <w:ind w:left="1440" w:hanging="360"/>
      </w:pPr>
      <w:rPr>
        <w:rFonts w:ascii="Arial" w:hAnsi="Arial" w:hint="default"/>
      </w:rPr>
    </w:lvl>
    <w:lvl w:ilvl="2" w:tplc="CB089A2A" w:tentative="1">
      <w:start w:val="1"/>
      <w:numFmt w:val="bullet"/>
      <w:lvlText w:val="•"/>
      <w:lvlJc w:val="left"/>
      <w:pPr>
        <w:tabs>
          <w:tab w:val="num" w:pos="2160"/>
        </w:tabs>
        <w:ind w:left="2160" w:hanging="360"/>
      </w:pPr>
      <w:rPr>
        <w:rFonts w:ascii="Arial" w:hAnsi="Arial" w:hint="default"/>
      </w:rPr>
    </w:lvl>
    <w:lvl w:ilvl="3" w:tplc="AD0E5D9C" w:tentative="1">
      <w:start w:val="1"/>
      <w:numFmt w:val="bullet"/>
      <w:lvlText w:val="•"/>
      <w:lvlJc w:val="left"/>
      <w:pPr>
        <w:tabs>
          <w:tab w:val="num" w:pos="2880"/>
        </w:tabs>
        <w:ind w:left="2880" w:hanging="360"/>
      </w:pPr>
      <w:rPr>
        <w:rFonts w:ascii="Arial" w:hAnsi="Arial" w:hint="default"/>
      </w:rPr>
    </w:lvl>
    <w:lvl w:ilvl="4" w:tplc="945E7F62" w:tentative="1">
      <w:start w:val="1"/>
      <w:numFmt w:val="bullet"/>
      <w:lvlText w:val="•"/>
      <w:lvlJc w:val="left"/>
      <w:pPr>
        <w:tabs>
          <w:tab w:val="num" w:pos="3600"/>
        </w:tabs>
        <w:ind w:left="3600" w:hanging="360"/>
      </w:pPr>
      <w:rPr>
        <w:rFonts w:ascii="Arial" w:hAnsi="Arial" w:hint="default"/>
      </w:rPr>
    </w:lvl>
    <w:lvl w:ilvl="5" w:tplc="65B44900" w:tentative="1">
      <w:start w:val="1"/>
      <w:numFmt w:val="bullet"/>
      <w:lvlText w:val="•"/>
      <w:lvlJc w:val="left"/>
      <w:pPr>
        <w:tabs>
          <w:tab w:val="num" w:pos="4320"/>
        </w:tabs>
        <w:ind w:left="4320" w:hanging="360"/>
      </w:pPr>
      <w:rPr>
        <w:rFonts w:ascii="Arial" w:hAnsi="Arial" w:hint="default"/>
      </w:rPr>
    </w:lvl>
    <w:lvl w:ilvl="6" w:tplc="1C0A14F8" w:tentative="1">
      <w:start w:val="1"/>
      <w:numFmt w:val="bullet"/>
      <w:lvlText w:val="•"/>
      <w:lvlJc w:val="left"/>
      <w:pPr>
        <w:tabs>
          <w:tab w:val="num" w:pos="5040"/>
        </w:tabs>
        <w:ind w:left="5040" w:hanging="360"/>
      </w:pPr>
      <w:rPr>
        <w:rFonts w:ascii="Arial" w:hAnsi="Arial" w:hint="default"/>
      </w:rPr>
    </w:lvl>
    <w:lvl w:ilvl="7" w:tplc="BC00FEC2" w:tentative="1">
      <w:start w:val="1"/>
      <w:numFmt w:val="bullet"/>
      <w:lvlText w:val="•"/>
      <w:lvlJc w:val="left"/>
      <w:pPr>
        <w:tabs>
          <w:tab w:val="num" w:pos="5760"/>
        </w:tabs>
        <w:ind w:left="5760" w:hanging="360"/>
      </w:pPr>
      <w:rPr>
        <w:rFonts w:ascii="Arial" w:hAnsi="Arial" w:hint="default"/>
      </w:rPr>
    </w:lvl>
    <w:lvl w:ilvl="8" w:tplc="FDE023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6420A5"/>
    <w:multiLevelType w:val="hybridMultilevel"/>
    <w:tmpl w:val="F3BE71EC"/>
    <w:lvl w:ilvl="0" w:tplc="3C88854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B158F"/>
    <w:multiLevelType w:val="hybridMultilevel"/>
    <w:tmpl w:val="ABEE3522"/>
    <w:lvl w:ilvl="0" w:tplc="CF28C03A">
      <w:start w:val="1"/>
      <w:numFmt w:val="bullet"/>
      <w:lvlText w:val="•"/>
      <w:lvlJc w:val="left"/>
      <w:pPr>
        <w:tabs>
          <w:tab w:val="num" w:pos="720"/>
        </w:tabs>
        <w:ind w:left="720" w:hanging="360"/>
      </w:pPr>
      <w:rPr>
        <w:rFonts w:ascii="Arial" w:hAnsi="Arial" w:hint="default"/>
      </w:rPr>
    </w:lvl>
    <w:lvl w:ilvl="1" w:tplc="FBDCE6C8" w:tentative="1">
      <w:start w:val="1"/>
      <w:numFmt w:val="bullet"/>
      <w:lvlText w:val="•"/>
      <w:lvlJc w:val="left"/>
      <w:pPr>
        <w:tabs>
          <w:tab w:val="num" w:pos="1440"/>
        </w:tabs>
        <w:ind w:left="1440" w:hanging="360"/>
      </w:pPr>
      <w:rPr>
        <w:rFonts w:ascii="Arial" w:hAnsi="Arial" w:hint="default"/>
      </w:rPr>
    </w:lvl>
    <w:lvl w:ilvl="2" w:tplc="41107544" w:tentative="1">
      <w:start w:val="1"/>
      <w:numFmt w:val="bullet"/>
      <w:lvlText w:val="•"/>
      <w:lvlJc w:val="left"/>
      <w:pPr>
        <w:tabs>
          <w:tab w:val="num" w:pos="2160"/>
        </w:tabs>
        <w:ind w:left="2160" w:hanging="360"/>
      </w:pPr>
      <w:rPr>
        <w:rFonts w:ascii="Arial" w:hAnsi="Arial" w:hint="default"/>
      </w:rPr>
    </w:lvl>
    <w:lvl w:ilvl="3" w:tplc="366C2C08" w:tentative="1">
      <w:start w:val="1"/>
      <w:numFmt w:val="bullet"/>
      <w:lvlText w:val="•"/>
      <w:lvlJc w:val="left"/>
      <w:pPr>
        <w:tabs>
          <w:tab w:val="num" w:pos="2880"/>
        </w:tabs>
        <w:ind w:left="2880" w:hanging="360"/>
      </w:pPr>
      <w:rPr>
        <w:rFonts w:ascii="Arial" w:hAnsi="Arial" w:hint="default"/>
      </w:rPr>
    </w:lvl>
    <w:lvl w:ilvl="4" w:tplc="9572E476" w:tentative="1">
      <w:start w:val="1"/>
      <w:numFmt w:val="bullet"/>
      <w:lvlText w:val="•"/>
      <w:lvlJc w:val="left"/>
      <w:pPr>
        <w:tabs>
          <w:tab w:val="num" w:pos="3600"/>
        </w:tabs>
        <w:ind w:left="3600" w:hanging="360"/>
      </w:pPr>
      <w:rPr>
        <w:rFonts w:ascii="Arial" w:hAnsi="Arial" w:hint="default"/>
      </w:rPr>
    </w:lvl>
    <w:lvl w:ilvl="5" w:tplc="0EC88FA8" w:tentative="1">
      <w:start w:val="1"/>
      <w:numFmt w:val="bullet"/>
      <w:lvlText w:val="•"/>
      <w:lvlJc w:val="left"/>
      <w:pPr>
        <w:tabs>
          <w:tab w:val="num" w:pos="4320"/>
        </w:tabs>
        <w:ind w:left="4320" w:hanging="360"/>
      </w:pPr>
      <w:rPr>
        <w:rFonts w:ascii="Arial" w:hAnsi="Arial" w:hint="default"/>
      </w:rPr>
    </w:lvl>
    <w:lvl w:ilvl="6" w:tplc="8D7097CE" w:tentative="1">
      <w:start w:val="1"/>
      <w:numFmt w:val="bullet"/>
      <w:lvlText w:val="•"/>
      <w:lvlJc w:val="left"/>
      <w:pPr>
        <w:tabs>
          <w:tab w:val="num" w:pos="5040"/>
        </w:tabs>
        <w:ind w:left="5040" w:hanging="360"/>
      </w:pPr>
      <w:rPr>
        <w:rFonts w:ascii="Arial" w:hAnsi="Arial" w:hint="default"/>
      </w:rPr>
    </w:lvl>
    <w:lvl w:ilvl="7" w:tplc="2A043D94" w:tentative="1">
      <w:start w:val="1"/>
      <w:numFmt w:val="bullet"/>
      <w:lvlText w:val="•"/>
      <w:lvlJc w:val="left"/>
      <w:pPr>
        <w:tabs>
          <w:tab w:val="num" w:pos="5760"/>
        </w:tabs>
        <w:ind w:left="5760" w:hanging="360"/>
      </w:pPr>
      <w:rPr>
        <w:rFonts w:ascii="Arial" w:hAnsi="Arial" w:hint="default"/>
      </w:rPr>
    </w:lvl>
    <w:lvl w:ilvl="8" w:tplc="D59C6A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B1"/>
    <w:rsid w:val="00006E24"/>
    <w:rsid w:val="00022C34"/>
    <w:rsid w:val="000233FB"/>
    <w:rsid w:val="00023933"/>
    <w:rsid w:val="000413A9"/>
    <w:rsid w:val="000420C4"/>
    <w:rsid w:val="00043EF2"/>
    <w:rsid w:val="0004435A"/>
    <w:rsid w:val="00045402"/>
    <w:rsid w:val="00050B3D"/>
    <w:rsid w:val="00054BB6"/>
    <w:rsid w:val="0005751C"/>
    <w:rsid w:val="00060EAD"/>
    <w:rsid w:val="00064147"/>
    <w:rsid w:val="00064D27"/>
    <w:rsid w:val="00067EF8"/>
    <w:rsid w:val="0007015F"/>
    <w:rsid w:val="000716AB"/>
    <w:rsid w:val="00072672"/>
    <w:rsid w:val="00074C5B"/>
    <w:rsid w:val="000756C5"/>
    <w:rsid w:val="00081583"/>
    <w:rsid w:val="0008570F"/>
    <w:rsid w:val="000943D4"/>
    <w:rsid w:val="00096BB3"/>
    <w:rsid w:val="00097500"/>
    <w:rsid w:val="000A06FE"/>
    <w:rsid w:val="000A1336"/>
    <w:rsid w:val="000A249C"/>
    <w:rsid w:val="000B37D9"/>
    <w:rsid w:val="000B4EB0"/>
    <w:rsid w:val="000B6CC5"/>
    <w:rsid w:val="000C464B"/>
    <w:rsid w:val="000C6B7A"/>
    <w:rsid w:val="000D171B"/>
    <w:rsid w:val="000D6564"/>
    <w:rsid w:val="000E0C05"/>
    <w:rsid w:val="000F05F8"/>
    <w:rsid w:val="000F0A48"/>
    <w:rsid w:val="000F15B4"/>
    <w:rsid w:val="000F1CC9"/>
    <w:rsid w:val="0010019F"/>
    <w:rsid w:val="00100214"/>
    <w:rsid w:val="00100852"/>
    <w:rsid w:val="001013C1"/>
    <w:rsid w:val="00104DDC"/>
    <w:rsid w:val="0011008E"/>
    <w:rsid w:val="00110926"/>
    <w:rsid w:val="00112AF4"/>
    <w:rsid w:val="00115BD5"/>
    <w:rsid w:val="0011683F"/>
    <w:rsid w:val="00121100"/>
    <w:rsid w:val="00124A1C"/>
    <w:rsid w:val="00136D3E"/>
    <w:rsid w:val="00137988"/>
    <w:rsid w:val="00142B78"/>
    <w:rsid w:val="001469C6"/>
    <w:rsid w:val="0015506A"/>
    <w:rsid w:val="00156A93"/>
    <w:rsid w:val="0016337D"/>
    <w:rsid w:val="00167AFA"/>
    <w:rsid w:val="0017109E"/>
    <w:rsid w:val="001802F5"/>
    <w:rsid w:val="001A3B91"/>
    <w:rsid w:val="001A4C38"/>
    <w:rsid w:val="001B3DAF"/>
    <w:rsid w:val="001B463C"/>
    <w:rsid w:val="001B4AB9"/>
    <w:rsid w:val="001B4EA1"/>
    <w:rsid w:val="001C4043"/>
    <w:rsid w:val="001C5321"/>
    <w:rsid w:val="001C6ECD"/>
    <w:rsid w:val="001D13AE"/>
    <w:rsid w:val="001D33C9"/>
    <w:rsid w:val="001D50A7"/>
    <w:rsid w:val="001D7DA7"/>
    <w:rsid w:val="001E2112"/>
    <w:rsid w:val="001E395F"/>
    <w:rsid w:val="001E4883"/>
    <w:rsid w:val="001F0EEA"/>
    <w:rsid w:val="001F375E"/>
    <w:rsid w:val="001F58A7"/>
    <w:rsid w:val="00201315"/>
    <w:rsid w:val="002039AB"/>
    <w:rsid w:val="002045DA"/>
    <w:rsid w:val="00207191"/>
    <w:rsid w:val="00216B6A"/>
    <w:rsid w:val="00222A41"/>
    <w:rsid w:val="00234E57"/>
    <w:rsid w:val="00237D7D"/>
    <w:rsid w:val="00240B3A"/>
    <w:rsid w:val="002417D6"/>
    <w:rsid w:val="00247ED8"/>
    <w:rsid w:val="00251A56"/>
    <w:rsid w:val="00256353"/>
    <w:rsid w:val="0026144E"/>
    <w:rsid w:val="00264CC9"/>
    <w:rsid w:val="00266002"/>
    <w:rsid w:val="00266786"/>
    <w:rsid w:val="00267168"/>
    <w:rsid w:val="00271660"/>
    <w:rsid w:val="0027504E"/>
    <w:rsid w:val="00283BB8"/>
    <w:rsid w:val="00292361"/>
    <w:rsid w:val="00293215"/>
    <w:rsid w:val="002A63DF"/>
    <w:rsid w:val="002A6D61"/>
    <w:rsid w:val="002A7BAA"/>
    <w:rsid w:val="002B0342"/>
    <w:rsid w:val="002C0BC0"/>
    <w:rsid w:val="002C1C8D"/>
    <w:rsid w:val="002C7B88"/>
    <w:rsid w:val="002D06B1"/>
    <w:rsid w:val="002D6393"/>
    <w:rsid w:val="002D6A40"/>
    <w:rsid w:val="002E66FE"/>
    <w:rsid w:val="002F1988"/>
    <w:rsid w:val="002F7170"/>
    <w:rsid w:val="002F747B"/>
    <w:rsid w:val="00300157"/>
    <w:rsid w:val="003005CF"/>
    <w:rsid w:val="0030185F"/>
    <w:rsid w:val="00301C09"/>
    <w:rsid w:val="00303847"/>
    <w:rsid w:val="00307F24"/>
    <w:rsid w:val="00320352"/>
    <w:rsid w:val="003246B9"/>
    <w:rsid w:val="0033027A"/>
    <w:rsid w:val="0033519B"/>
    <w:rsid w:val="0034507D"/>
    <w:rsid w:val="00345214"/>
    <w:rsid w:val="0035244C"/>
    <w:rsid w:val="00353B0C"/>
    <w:rsid w:val="0036605B"/>
    <w:rsid w:val="00370F92"/>
    <w:rsid w:val="0037387C"/>
    <w:rsid w:val="003767CC"/>
    <w:rsid w:val="00376C27"/>
    <w:rsid w:val="00377E4F"/>
    <w:rsid w:val="00380566"/>
    <w:rsid w:val="00381363"/>
    <w:rsid w:val="003834AB"/>
    <w:rsid w:val="00393EB4"/>
    <w:rsid w:val="00394EE9"/>
    <w:rsid w:val="003A3689"/>
    <w:rsid w:val="003A3D4D"/>
    <w:rsid w:val="003A6073"/>
    <w:rsid w:val="003A6A5B"/>
    <w:rsid w:val="003B03CB"/>
    <w:rsid w:val="003B33EE"/>
    <w:rsid w:val="003B7224"/>
    <w:rsid w:val="003D0D8F"/>
    <w:rsid w:val="003E08F6"/>
    <w:rsid w:val="003E1637"/>
    <w:rsid w:val="003E333A"/>
    <w:rsid w:val="003E5D06"/>
    <w:rsid w:val="003E77D5"/>
    <w:rsid w:val="003F1D77"/>
    <w:rsid w:val="003F7653"/>
    <w:rsid w:val="00400105"/>
    <w:rsid w:val="00400EAC"/>
    <w:rsid w:val="0040112B"/>
    <w:rsid w:val="004169C6"/>
    <w:rsid w:val="004175E2"/>
    <w:rsid w:val="0041764E"/>
    <w:rsid w:val="00420E1E"/>
    <w:rsid w:val="00426519"/>
    <w:rsid w:val="00432257"/>
    <w:rsid w:val="00434B18"/>
    <w:rsid w:val="004371EA"/>
    <w:rsid w:val="00440C7D"/>
    <w:rsid w:val="00455C27"/>
    <w:rsid w:val="00456F70"/>
    <w:rsid w:val="004603B9"/>
    <w:rsid w:val="00462FDF"/>
    <w:rsid w:val="00466E33"/>
    <w:rsid w:val="00467B2B"/>
    <w:rsid w:val="00471952"/>
    <w:rsid w:val="00475C2F"/>
    <w:rsid w:val="00477C68"/>
    <w:rsid w:val="00481AE4"/>
    <w:rsid w:val="00481AF2"/>
    <w:rsid w:val="00484E9C"/>
    <w:rsid w:val="004913EF"/>
    <w:rsid w:val="00495A35"/>
    <w:rsid w:val="004967CF"/>
    <w:rsid w:val="00496E8A"/>
    <w:rsid w:val="004A5678"/>
    <w:rsid w:val="004A6DA8"/>
    <w:rsid w:val="004A7CB5"/>
    <w:rsid w:val="004B5FDE"/>
    <w:rsid w:val="004C5418"/>
    <w:rsid w:val="004C5F59"/>
    <w:rsid w:val="004D0E38"/>
    <w:rsid w:val="004D1337"/>
    <w:rsid w:val="004D5CA0"/>
    <w:rsid w:val="004D61FE"/>
    <w:rsid w:val="004D76B0"/>
    <w:rsid w:val="004E0ED8"/>
    <w:rsid w:val="004E2404"/>
    <w:rsid w:val="004E40C1"/>
    <w:rsid w:val="004E7714"/>
    <w:rsid w:val="004F53CD"/>
    <w:rsid w:val="004F5B11"/>
    <w:rsid w:val="0050337A"/>
    <w:rsid w:val="00504529"/>
    <w:rsid w:val="00504AE9"/>
    <w:rsid w:val="00505C0E"/>
    <w:rsid w:val="00512A32"/>
    <w:rsid w:val="00515149"/>
    <w:rsid w:val="00515838"/>
    <w:rsid w:val="005334BA"/>
    <w:rsid w:val="0053350B"/>
    <w:rsid w:val="005352CB"/>
    <w:rsid w:val="0054006F"/>
    <w:rsid w:val="0054689B"/>
    <w:rsid w:val="00552985"/>
    <w:rsid w:val="005529B1"/>
    <w:rsid w:val="00553B1C"/>
    <w:rsid w:val="00557B77"/>
    <w:rsid w:val="005608E8"/>
    <w:rsid w:val="00560AF5"/>
    <w:rsid w:val="005615E7"/>
    <w:rsid w:val="00563604"/>
    <w:rsid w:val="00565B82"/>
    <w:rsid w:val="005764D2"/>
    <w:rsid w:val="00585A79"/>
    <w:rsid w:val="00592BC3"/>
    <w:rsid w:val="005943DB"/>
    <w:rsid w:val="0059766E"/>
    <w:rsid w:val="005978E3"/>
    <w:rsid w:val="005A306A"/>
    <w:rsid w:val="005A546C"/>
    <w:rsid w:val="005A5CB0"/>
    <w:rsid w:val="005A6A17"/>
    <w:rsid w:val="005B17F0"/>
    <w:rsid w:val="005B2780"/>
    <w:rsid w:val="005B5780"/>
    <w:rsid w:val="005B6E31"/>
    <w:rsid w:val="005B6E91"/>
    <w:rsid w:val="005C0FBD"/>
    <w:rsid w:val="005D0373"/>
    <w:rsid w:val="005D451C"/>
    <w:rsid w:val="005E47F4"/>
    <w:rsid w:val="005E7680"/>
    <w:rsid w:val="005F1D44"/>
    <w:rsid w:val="005F2054"/>
    <w:rsid w:val="005F6B66"/>
    <w:rsid w:val="00600D43"/>
    <w:rsid w:val="00605623"/>
    <w:rsid w:val="00607A9B"/>
    <w:rsid w:val="00624B6A"/>
    <w:rsid w:val="00624E18"/>
    <w:rsid w:val="0063051D"/>
    <w:rsid w:val="00636B2A"/>
    <w:rsid w:val="006375C3"/>
    <w:rsid w:val="00641F9F"/>
    <w:rsid w:val="00642AF6"/>
    <w:rsid w:val="00643D6C"/>
    <w:rsid w:val="00646644"/>
    <w:rsid w:val="00647293"/>
    <w:rsid w:val="006565A1"/>
    <w:rsid w:val="00662C1E"/>
    <w:rsid w:val="00666F30"/>
    <w:rsid w:val="00670DEB"/>
    <w:rsid w:val="00675A7C"/>
    <w:rsid w:val="0067636B"/>
    <w:rsid w:val="00680C3D"/>
    <w:rsid w:val="00681489"/>
    <w:rsid w:val="006839A2"/>
    <w:rsid w:val="0068614B"/>
    <w:rsid w:val="00694322"/>
    <w:rsid w:val="006A7D0D"/>
    <w:rsid w:val="006B19E5"/>
    <w:rsid w:val="006B4821"/>
    <w:rsid w:val="006B77C0"/>
    <w:rsid w:val="006C038E"/>
    <w:rsid w:val="006C0B25"/>
    <w:rsid w:val="006C2321"/>
    <w:rsid w:val="006C4C19"/>
    <w:rsid w:val="006D008C"/>
    <w:rsid w:val="006D3FBA"/>
    <w:rsid w:val="006D4C63"/>
    <w:rsid w:val="006D62B6"/>
    <w:rsid w:val="006E0FCD"/>
    <w:rsid w:val="006E3C98"/>
    <w:rsid w:val="006E45C7"/>
    <w:rsid w:val="006E7AEF"/>
    <w:rsid w:val="00701BED"/>
    <w:rsid w:val="00715F41"/>
    <w:rsid w:val="007234A2"/>
    <w:rsid w:val="00727619"/>
    <w:rsid w:val="00727EA2"/>
    <w:rsid w:val="00730C68"/>
    <w:rsid w:val="0073109D"/>
    <w:rsid w:val="007317B4"/>
    <w:rsid w:val="007329B7"/>
    <w:rsid w:val="00733B12"/>
    <w:rsid w:val="007344BA"/>
    <w:rsid w:val="00735ADA"/>
    <w:rsid w:val="00741CAA"/>
    <w:rsid w:val="007449E7"/>
    <w:rsid w:val="00755020"/>
    <w:rsid w:val="0075527A"/>
    <w:rsid w:val="007560B8"/>
    <w:rsid w:val="007565AA"/>
    <w:rsid w:val="00757064"/>
    <w:rsid w:val="00760B63"/>
    <w:rsid w:val="007675E1"/>
    <w:rsid w:val="0077183D"/>
    <w:rsid w:val="00771EB5"/>
    <w:rsid w:val="007779C7"/>
    <w:rsid w:val="00783119"/>
    <w:rsid w:val="007847A9"/>
    <w:rsid w:val="00793479"/>
    <w:rsid w:val="00794148"/>
    <w:rsid w:val="007A10BF"/>
    <w:rsid w:val="007B1277"/>
    <w:rsid w:val="007C044A"/>
    <w:rsid w:val="007C6E17"/>
    <w:rsid w:val="007C7F6C"/>
    <w:rsid w:val="007E0426"/>
    <w:rsid w:val="007E388B"/>
    <w:rsid w:val="007E5A14"/>
    <w:rsid w:val="007E6503"/>
    <w:rsid w:val="007F5BE6"/>
    <w:rsid w:val="00807A92"/>
    <w:rsid w:val="00807F39"/>
    <w:rsid w:val="0082175C"/>
    <w:rsid w:val="008239BF"/>
    <w:rsid w:val="00824D93"/>
    <w:rsid w:val="008277AD"/>
    <w:rsid w:val="00830D1E"/>
    <w:rsid w:val="00831AA2"/>
    <w:rsid w:val="00836F50"/>
    <w:rsid w:val="008413BE"/>
    <w:rsid w:val="008420B8"/>
    <w:rsid w:val="008423E4"/>
    <w:rsid w:val="00842481"/>
    <w:rsid w:val="00842765"/>
    <w:rsid w:val="00842DD4"/>
    <w:rsid w:val="00845601"/>
    <w:rsid w:val="00847451"/>
    <w:rsid w:val="00867D58"/>
    <w:rsid w:val="0087481A"/>
    <w:rsid w:val="00875CE9"/>
    <w:rsid w:val="00877BD3"/>
    <w:rsid w:val="00877D1F"/>
    <w:rsid w:val="008868D7"/>
    <w:rsid w:val="008A0028"/>
    <w:rsid w:val="008A2203"/>
    <w:rsid w:val="008B4770"/>
    <w:rsid w:val="008B48EB"/>
    <w:rsid w:val="008B6751"/>
    <w:rsid w:val="008B7AA5"/>
    <w:rsid w:val="008C7917"/>
    <w:rsid w:val="008D7179"/>
    <w:rsid w:val="008E0F5C"/>
    <w:rsid w:val="008E3D64"/>
    <w:rsid w:val="008E3F0A"/>
    <w:rsid w:val="008F1AFF"/>
    <w:rsid w:val="008F22A3"/>
    <w:rsid w:val="008F564F"/>
    <w:rsid w:val="008F6333"/>
    <w:rsid w:val="008F6481"/>
    <w:rsid w:val="0090017E"/>
    <w:rsid w:val="00900201"/>
    <w:rsid w:val="00903430"/>
    <w:rsid w:val="00911225"/>
    <w:rsid w:val="00911B48"/>
    <w:rsid w:val="0091256A"/>
    <w:rsid w:val="00916911"/>
    <w:rsid w:val="0093594F"/>
    <w:rsid w:val="009369CA"/>
    <w:rsid w:val="0093747F"/>
    <w:rsid w:val="00941020"/>
    <w:rsid w:val="00945A82"/>
    <w:rsid w:val="00947282"/>
    <w:rsid w:val="00950899"/>
    <w:rsid w:val="00953916"/>
    <w:rsid w:val="00962F44"/>
    <w:rsid w:val="009726D6"/>
    <w:rsid w:val="009756E4"/>
    <w:rsid w:val="009836F8"/>
    <w:rsid w:val="00986D8B"/>
    <w:rsid w:val="00991F28"/>
    <w:rsid w:val="009965A0"/>
    <w:rsid w:val="009A74DB"/>
    <w:rsid w:val="009B2FCB"/>
    <w:rsid w:val="009B4C6C"/>
    <w:rsid w:val="009B68DE"/>
    <w:rsid w:val="009C4263"/>
    <w:rsid w:val="009C55B1"/>
    <w:rsid w:val="009C5E9E"/>
    <w:rsid w:val="009C721A"/>
    <w:rsid w:val="009D08E3"/>
    <w:rsid w:val="009D6498"/>
    <w:rsid w:val="009E0EBF"/>
    <w:rsid w:val="009E7EFF"/>
    <w:rsid w:val="009F76C3"/>
    <w:rsid w:val="00A00121"/>
    <w:rsid w:val="00A10C09"/>
    <w:rsid w:val="00A1305C"/>
    <w:rsid w:val="00A15B53"/>
    <w:rsid w:val="00A223FE"/>
    <w:rsid w:val="00A22EBE"/>
    <w:rsid w:val="00A32002"/>
    <w:rsid w:val="00A33ABD"/>
    <w:rsid w:val="00A35490"/>
    <w:rsid w:val="00A36B7A"/>
    <w:rsid w:val="00A3708D"/>
    <w:rsid w:val="00A41934"/>
    <w:rsid w:val="00A45611"/>
    <w:rsid w:val="00A537F1"/>
    <w:rsid w:val="00A53B29"/>
    <w:rsid w:val="00A55FCA"/>
    <w:rsid w:val="00A57AA0"/>
    <w:rsid w:val="00A62669"/>
    <w:rsid w:val="00A65BE7"/>
    <w:rsid w:val="00A76555"/>
    <w:rsid w:val="00A7703D"/>
    <w:rsid w:val="00A804C9"/>
    <w:rsid w:val="00A84113"/>
    <w:rsid w:val="00A8451C"/>
    <w:rsid w:val="00A871FF"/>
    <w:rsid w:val="00A9173B"/>
    <w:rsid w:val="00A972C6"/>
    <w:rsid w:val="00AA1304"/>
    <w:rsid w:val="00AA3136"/>
    <w:rsid w:val="00AB14B1"/>
    <w:rsid w:val="00AB7F2C"/>
    <w:rsid w:val="00AC294E"/>
    <w:rsid w:val="00AC7BE3"/>
    <w:rsid w:val="00AD20D4"/>
    <w:rsid w:val="00AF5214"/>
    <w:rsid w:val="00AF732F"/>
    <w:rsid w:val="00B00347"/>
    <w:rsid w:val="00B02024"/>
    <w:rsid w:val="00B0654B"/>
    <w:rsid w:val="00B1269D"/>
    <w:rsid w:val="00B16FD8"/>
    <w:rsid w:val="00B237CD"/>
    <w:rsid w:val="00B3349E"/>
    <w:rsid w:val="00B3500A"/>
    <w:rsid w:val="00B44CC0"/>
    <w:rsid w:val="00B45A67"/>
    <w:rsid w:val="00B511F7"/>
    <w:rsid w:val="00B52D69"/>
    <w:rsid w:val="00B5679F"/>
    <w:rsid w:val="00B57401"/>
    <w:rsid w:val="00B62A4D"/>
    <w:rsid w:val="00B63E0B"/>
    <w:rsid w:val="00B71428"/>
    <w:rsid w:val="00B727F2"/>
    <w:rsid w:val="00B77F3E"/>
    <w:rsid w:val="00B81DBC"/>
    <w:rsid w:val="00B82D72"/>
    <w:rsid w:val="00B83C0A"/>
    <w:rsid w:val="00B95583"/>
    <w:rsid w:val="00B97808"/>
    <w:rsid w:val="00BA3ABD"/>
    <w:rsid w:val="00BA48A5"/>
    <w:rsid w:val="00BA4905"/>
    <w:rsid w:val="00BA5A1C"/>
    <w:rsid w:val="00BB5F96"/>
    <w:rsid w:val="00BB653B"/>
    <w:rsid w:val="00BC0823"/>
    <w:rsid w:val="00BC1FB4"/>
    <w:rsid w:val="00BC422F"/>
    <w:rsid w:val="00BC6B9B"/>
    <w:rsid w:val="00BF2F61"/>
    <w:rsid w:val="00C02320"/>
    <w:rsid w:val="00C04062"/>
    <w:rsid w:val="00C0632E"/>
    <w:rsid w:val="00C20806"/>
    <w:rsid w:val="00C2162F"/>
    <w:rsid w:val="00C32D4D"/>
    <w:rsid w:val="00C33315"/>
    <w:rsid w:val="00C363B6"/>
    <w:rsid w:val="00C4015C"/>
    <w:rsid w:val="00C43F8F"/>
    <w:rsid w:val="00C4407F"/>
    <w:rsid w:val="00C50606"/>
    <w:rsid w:val="00C57782"/>
    <w:rsid w:val="00C632C4"/>
    <w:rsid w:val="00C645E8"/>
    <w:rsid w:val="00C64D42"/>
    <w:rsid w:val="00C65776"/>
    <w:rsid w:val="00C74033"/>
    <w:rsid w:val="00C75905"/>
    <w:rsid w:val="00C80A2F"/>
    <w:rsid w:val="00C8232B"/>
    <w:rsid w:val="00C8379D"/>
    <w:rsid w:val="00C839E8"/>
    <w:rsid w:val="00C853BA"/>
    <w:rsid w:val="00C85D3D"/>
    <w:rsid w:val="00C866FE"/>
    <w:rsid w:val="00C9182F"/>
    <w:rsid w:val="00C964D0"/>
    <w:rsid w:val="00C97906"/>
    <w:rsid w:val="00CA0186"/>
    <w:rsid w:val="00CA193E"/>
    <w:rsid w:val="00CA350B"/>
    <w:rsid w:val="00CA44AF"/>
    <w:rsid w:val="00CA61A6"/>
    <w:rsid w:val="00CB362A"/>
    <w:rsid w:val="00CC0232"/>
    <w:rsid w:val="00CD09E0"/>
    <w:rsid w:val="00CD0F3B"/>
    <w:rsid w:val="00CD4241"/>
    <w:rsid w:val="00CE04FA"/>
    <w:rsid w:val="00CE0710"/>
    <w:rsid w:val="00CE0854"/>
    <w:rsid w:val="00CE3216"/>
    <w:rsid w:val="00CE361C"/>
    <w:rsid w:val="00CE7945"/>
    <w:rsid w:val="00CF2836"/>
    <w:rsid w:val="00CF3834"/>
    <w:rsid w:val="00CF3C60"/>
    <w:rsid w:val="00CF3D97"/>
    <w:rsid w:val="00CF4173"/>
    <w:rsid w:val="00CF5E7D"/>
    <w:rsid w:val="00D01698"/>
    <w:rsid w:val="00D04885"/>
    <w:rsid w:val="00D15BE6"/>
    <w:rsid w:val="00D166BF"/>
    <w:rsid w:val="00D16860"/>
    <w:rsid w:val="00D329B5"/>
    <w:rsid w:val="00D3373B"/>
    <w:rsid w:val="00D3789C"/>
    <w:rsid w:val="00D5151F"/>
    <w:rsid w:val="00D52AB1"/>
    <w:rsid w:val="00D548A3"/>
    <w:rsid w:val="00D63791"/>
    <w:rsid w:val="00D6482D"/>
    <w:rsid w:val="00D660E8"/>
    <w:rsid w:val="00D6682E"/>
    <w:rsid w:val="00D810DF"/>
    <w:rsid w:val="00D814F2"/>
    <w:rsid w:val="00D81F40"/>
    <w:rsid w:val="00D860C5"/>
    <w:rsid w:val="00D94CE4"/>
    <w:rsid w:val="00D95A98"/>
    <w:rsid w:val="00DA0772"/>
    <w:rsid w:val="00DA62C1"/>
    <w:rsid w:val="00DB310F"/>
    <w:rsid w:val="00DC110F"/>
    <w:rsid w:val="00DC4186"/>
    <w:rsid w:val="00DC7817"/>
    <w:rsid w:val="00DD03E5"/>
    <w:rsid w:val="00DD5F33"/>
    <w:rsid w:val="00DD6F66"/>
    <w:rsid w:val="00DE47A2"/>
    <w:rsid w:val="00DE5AA2"/>
    <w:rsid w:val="00DE5D0C"/>
    <w:rsid w:val="00DF152A"/>
    <w:rsid w:val="00DF31EC"/>
    <w:rsid w:val="00E103F3"/>
    <w:rsid w:val="00E10F56"/>
    <w:rsid w:val="00E12DFC"/>
    <w:rsid w:val="00E14C5C"/>
    <w:rsid w:val="00E16EF3"/>
    <w:rsid w:val="00E174B4"/>
    <w:rsid w:val="00E2350B"/>
    <w:rsid w:val="00E27D4A"/>
    <w:rsid w:val="00E31A52"/>
    <w:rsid w:val="00E32CBA"/>
    <w:rsid w:val="00E33D8A"/>
    <w:rsid w:val="00E34985"/>
    <w:rsid w:val="00E41BF7"/>
    <w:rsid w:val="00E4397E"/>
    <w:rsid w:val="00E43D25"/>
    <w:rsid w:val="00E43EBC"/>
    <w:rsid w:val="00E529A0"/>
    <w:rsid w:val="00E52C03"/>
    <w:rsid w:val="00E571C1"/>
    <w:rsid w:val="00E63192"/>
    <w:rsid w:val="00E645C5"/>
    <w:rsid w:val="00E73D7C"/>
    <w:rsid w:val="00E81443"/>
    <w:rsid w:val="00E82778"/>
    <w:rsid w:val="00E834F3"/>
    <w:rsid w:val="00E84C7F"/>
    <w:rsid w:val="00E851FE"/>
    <w:rsid w:val="00E867C3"/>
    <w:rsid w:val="00E92542"/>
    <w:rsid w:val="00E94816"/>
    <w:rsid w:val="00E96A26"/>
    <w:rsid w:val="00E97D1E"/>
    <w:rsid w:val="00EA218C"/>
    <w:rsid w:val="00EA7E75"/>
    <w:rsid w:val="00EB7281"/>
    <w:rsid w:val="00EB7290"/>
    <w:rsid w:val="00EC5294"/>
    <w:rsid w:val="00ED1A5D"/>
    <w:rsid w:val="00ED5857"/>
    <w:rsid w:val="00EE3086"/>
    <w:rsid w:val="00EE602F"/>
    <w:rsid w:val="00EF11C2"/>
    <w:rsid w:val="00EF1B12"/>
    <w:rsid w:val="00F00E6A"/>
    <w:rsid w:val="00F10B17"/>
    <w:rsid w:val="00F16EF8"/>
    <w:rsid w:val="00F208BB"/>
    <w:rsid w:val="00F24F5D"/>
    <w:rsid w:val="00F2615D"/>
    <w:rsid w:val="00F26FB7"/>
    <w:rsid w:val="00F312D6"/>
    <w:rsid w:val="00F414FC"/>
    <w:rsid w:val="00F50C19"/>
    <w:rsid w:val="00F52300"/>
    <w:rsid w:val="00F55324"/>
    <w:rsid w:val="00F5793C"/>
    <w:rsid w:val="00F614F2"/>
    <w:rsid w:val="00F6609A"/>
    <w:rsid w:val="00F7275D"/>
    <w:rsid w:val="00F74FAE"/>
    <w:rsid w:val="00F77750"/>
    <w:rsid w:val="00F77CBD"/>
    <w:rsid w:val="00F80806"/>
    <w:rsid w:val="00F83EC1"/>
    <w:rsid w:val="00F850BE"/>
    <w:rsid w:val="00F87A18"/>
    <w:rsid w:val="00F90F4E"/>
    <w:rsid w:val="00FA6ABA"/>
    <w:rsid w:val="00FB40FF"/>
    <w:rsid w:val="00FC72D1"/>
    <w:rsid w:val="00FD1C28"/>
    <w:rsid w:val="00FD5473"/>
    <w:rsid w:val="00FE4511"/>
    <w:rsid w:val="00FE5530"/>
    <w:rsid w:val="00FE75DC"/>
    <w:rsid w:val="00FF08ED"/>
    <w:rsid w:val="00FF1940"/>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5586C"/>
  <w15:docId w15:val="{3FE3802F-ABAD-432D-A4D3-AF2156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CommentReference">
    <w:name w:val="annotation reference"/>
    <w:basedOn w:val="DefaultParagraphFont"/>
    <w:uiPriority w:val="99"/>
    <w:semiHidden/>
    <w:unhideWhenUsed/>
    <w:rsid w:val="007565AA"/>
    <w:rPr>
      <w:sz w:val="18"/>
      <w:szCs w:val="18"/>
    </w:rPr>
  </w:style>
  <w:style w:type="paragraph" w:styleId="CommentText">
    <w:name w:val="annotation text"/>
    <w:basedOn w:val="Normal"/>
    <w:link w:val="CommentTextChar"/>
    <w:uiPriority w:val="99"/>
    <w:unhideWhenUsed/>
    <w:rsid w:val="007565AA"/>
    <w:rPr>
      <w:rFonts w:cstheme="minorBidi"/>
    </w:rPr>
  </w:style>
  <w:style w:type="character" w:customStyle="1" w:styleId="CommentTextChar">
    <w:name w:val="Comment Text Char"/>
    <w:basedOn w:val="DefaultParagraphFont"/>
    <w:link w:val="CommentText"/>
    <w:uiPriority w:val="99"/>
    <w:rsid w:val="007565AA"/>
    <w:rPr>
      <w:rFonts w:cstheme="minorBidi"/>
      <w:sz w:val="24"/>
      <w:szCs w:val="24"/>
    </w:rPr>
  </w:style>
  <w:style w:type="table" w:customStyle="1" w:styleId="GridTable42">
    <w:name w:val="Grid Table 42"/>
    <w:basedOn w:val="TableNormal"/>
    <w:uiPriority w:val="49"/>
    <w:rsid w:val="007565AA"/>
    <w:rPr>
      <w:rFonts w:cstheme="minorBidi"/>
      <w:sz w:val="24"/>
      <w:szCs w:val="24"/>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56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AA"/>
    <w:rPr>
      <w:rFonts w:ascii="Segoe UI" w:hAnsi="Segoe UI" w:cs="Segoe UI"/>
      <w:sz w:val="18"/>
      <w:szCs w:val="18"/>
    </w:rPr>
  </w:style>
  <w:style w:type="table" w:styleId="TableGrid">
    <w:name w:val="Table Grid"/>
    <w:basedOn w:val="TableNormal"/>
    <w:uiPriority w:val="39"/>
    <w:rsid w:val="0015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7988"/>
    <w:rPr>
      <w:rFonts w:cs="Times New Roman"/>
      <w:b/>
      <w:bCs/>
      <w:sz w:val="20"/>
      <w:szCs w:val="20"/>
    </w:rPr>
  </w:style>
  <w:style w:type="character" w:customStyle="1" w:styleId="CommentSubjectChar">
    <w:name w:val="Comment Subject Char"/>
    <w:basedOn w:val="CommentTextChar"/>
    <w:link w:val="CommentSubject"/>
    <w:uiPriority w:val="99"/>
    <w:semiHidden/>
    <w:rsid w:val="00137988"/>
    <w:rPr>
      <w:rFonts w:cstheme="minorBidi"/>
      <w:b/>
      <w:bCs/>
      <w:sz w:val="20"/>
      <w:szCs w:val="20"/>
    </w:rPr>
  </w:style>
  <w:style w:type="character" w:styleId="Hyperlink">
    <w:name w:val="Hyperlink"/>
    <w:basedOn w:val="DefaultParagraphFont"/>
    <w:uiPriority w:val="99"/>
    <w:unhideWhenUsed/>
    <w:rsid w:val="004A5678"/>
    <w:rPr>
      <w:color w:val="0000FF"/>
      <w:u w:val="single"/>
    </w:rPr>
  </w:style>
  <w:style w:type="paragraph" w:styleId="Revision">
    <w:name w:val="Revision"/>
    <w:hidden/>
    <w:uiPriority w:val="99"/>
    <w:semiHidden/>
    <w:rsid w:val="0037387C"/>
    <w:rPr>
      <w:sz w:val="24"/>
      <w:szCs w:val="24"/>
    </w:rPr>
  </w:style>
  <w:style w:type="character" w:styleId="UnresolvedMention">
    <w:name w:val="Unresolved Mention"/>
    <w:basedOn w:val="DefaultParagraphFont"/>
    <w:uiPriority w:val="99"/>
    <w:rsid w:val="00AD20D4"/>
    <w:rPr>
      <w:color w:val="605E5C"/>
      <w:shd w:val="clear" w:color="auto" w:fill="E1DFDD"/>
    </w:rPr>
  </w:style>
  <w:style w:type="character" w:styleId="LineNumber">
    <w:name w:val="line number"/>
    <w:basedOn w:val="DefaultParagraphFont"/>
    <w:uiPriority w:val="99"/>
    <w:semiHidden/>
    <w:unhideWhenUsed/>
    <w:rsid w:val="00643D6C"/>
  </w:style>
  <w:style w:type="paragraph" w:styleId="Header">
    <w:name w:val="header"/>
    <w:basedOn w:val="Normal"/>
    <w:link w:val="HeaderChar"/>
    <w:uiPriority w:val="99"/>
    <w:unhideWhenUsed/>
    <w:rsid w:val="006E3C98"/>
    <w:pPr>
      <w:tabs>
        <w:tab w:val="center" w:pos="4513"/>
        <w:tab w:val="right" w:pos="9026"/>
      </w:tabs>
    </w:pPr>
  </w:style>
  <w:style w:type="character" w:customStyle="1" w:styleId="HeaderChar">
    <w:name w:val="Header Char"/>
    <w:basedOn w:val="DefaultParagraphFont"/>
    <w:link w:val="Header"/>
    <w:uiPriority w:val="99"/>
    <w:rsid w:val="006E3C98"/>
    <w:rPr>
      <w:sz w:val="24"/>
      <w:szCs w:val="24"/>
    </w:rPr>
  </w:style>
  <w:style w:type="paragraph" w:styleId="Footer">
    <w:name w:val="footer"/>
    <w:basedOn w:val="Normal"/>
    <w:link w:val="FooterChar"/>
    <w:uiPriority w:val="99"/>
    <w:unhideWhenUsed/>
    <w:rsid w:val="006E3C98"/>
    <w:pPr>
      <w:tabs>
        <w:tab w:val="center" w:pos="4513"/>
        <w:tab w:val="right" w:pos="9026"/>
      </w:tabs>
    </w:pPr>
  </w:style>
  <w:style w:type="character" w:customStyle="1" w:styleId="FooterChar">
    <w:name w:val="Footer Char"/>
    <w:basedOn w:val="DefaultParagraphFont"/>
    <w:link w:val="Footer"/>
    <w:uiPriority w:val="99"/>
    <w:rsid w:val="006E3C98"/>
    <w:rPr>
      <w:sz w:val="24"/>
      <w:szCs w:val="24"/>
    </w:rPr>
  </w:style>
  <w:style w:type="character" w:styleId="PageNumber">
    <w:name w:val="page number"/>
    <w:basedOn w:val="DefaultParagraphFont"/>
    <w:uiPriority w:val="99"/>
    <w:semiHidden/>
    <w:unhideWhenUsed/>
    <w:rsid w:val="009C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9782">
      <w:bodyDiv w:val="1"/>
      <w:marLeft w:val="0"/>
      <w:marRight w:val="0"/>
      <w:marTop w:val="0"/>
      <w:marBottom w:val="0"/>
      <w:divBdr>
        <w:top w:val="none" w:sz="0" w:space="0" w:color="auto"/>
        <w:left w:val="none" w:sz="0" w:space="0" w:color="auto"/>
        <w:bottom w:val="none" w:sz="0" w:space="0" w:color="auto"/>
        <w:right w:val="none" w:sz="0" w:space="0" w:color="auto"/>
      </w:divBdr>
    </w:div>
    <w:div w:id="108860126">
      <w:bodyDiv w:val="1"/>
      <w:marLeft w:val="0"/>
      <w:marRight w:val="0"/>
      <w:marTop w:val="0"/>
      <w:marBottom w:val="0"/>
      <w:divBdr>
        <w:top w:val="none" w:sz="0" w:space="0" w:color="auto"/>
        <w:left w:val="none" w:sz="0" w:space="0" w:color="auto"/>
        <w:bottom w:val="none" w:sz="0" w:space="0" w:color="auto"/>
        <w:right w:val="none" w:sz="0" w:space="0" w:color="auto"/>
      </w:divBdr>
    </w:div>
    <w:div w:id="114955398">
      <w:bodyDiv w:val="1"/>
      <w:marLeft w:val="0"/>
      <w:marRight w:val="0"/>
      <w:marTop w:val="0"/>
      <w:marBottom w:val="0"/>
      <w:divBdr>
        <w:top w:val="none" w:sz="0" w:space="0" w:color="auto"/>
        <w:left w:val="none" w:sz="0" w:space="0" w:color="auto"/>
        <w:bottom w:val="none" w:sz="0" w:space="0" w:color="auto"/>
        <w:right w:val="none" w:sz="0" w:space="0" w:color="auto"/>
      </w:divBdr>
    </w:div>
    <w:div w:id="119105895">
      <w:bodyDiv w:val="1"/>
      <w:marLeft w:val="0"/>
      <w:marRight w:val="0"/>
      <w:marTop w:val="0"/>
      <w:marBottom w:val="0"/>
      <w:divBdr>
        <w:top w:val="none" w:sz="0" w:space="0" w:color="auto"/>
        <w:left w:val="none" w:sz="0" w:space="0" w:color="auto"/>
        <w:bottom w:val="none" w:sz="0" w:space="0" w:color="auto"/>
        <w:right w:val="none" w:sz="0" w:space="0" w:color="auto"/>
      </w:divBdr>
    </w:div>
    <w:div w:id="163129024">
      <w:bodyDiv w:val="1"/>
      <w:marLeft w:val="0"/>
      <w:marRight w:val="0"/>
      <w:marTop w:val="0"/>
      <w:marBottom w:val="0"/>
      <w:divBdr>
        <w:top w:val="none" w:sz="0" w:space="0" w:color="auto"/>
        <w:left w:val="none" w:sz="0" w:space="0" w:color="auto"/>
        <w:bottom w:val="none" w:sz="0" w:space="0" w:color="auto"/>
        <w:right w:val="none" w:sz="0" w:space="0" w:color="auto"/>
      </w:divBdr>
      <w:divsChild>
        <w:div w:id="173955802">
          <w:marLeft w:val="907"/>
          <w:marRight w:val="0"/>
          <w:marTop w:val="0"/>
          <w:marBottom w:val="0"/>
          <w:divBdr>
            <w:top w:val="none" w:sz="0" w:space="0" w:color="auto"/>
            <w:left w:val="none" w:sz="0" w:space="0" w:color="auto"/>
            <w:bottom w:val="none" w:sz="0" w:space="0" w:color="auto"/>
            <w:right w:val="none" w:sz="0" w:space="0" w:color="auto"/>
          </w:divBdr>
        </w:div>
      </w:divsChild>
    </w:div>
    <w:div w:id="184562242">
      <w:bodyDiv w:val="1"/>
      <w:marLeft w:val="0"/>
      <w:marRight w:val="0"/>
      <w:marTop w:val="0"/>
      <w:marBottom w:val="0"/>
      <w:divBdr>
        <w:top w:val="none" w:sz="0" w:space="0" w:color="auto"/>
        <w:left w:val="none" w:sz="0" w:space="0" w:color="auto"/>
        <w:bottom w:val="none" w:sz="0" w:space="0" w:color="auto"/>
        <w:right w:val="none" w:sz="0" w:space="0" w:color="auto"/>
      </w:divBdr>
    </w:div>
    <w:div w:id="207571744">
      <w:bodyDiv w:val="1"/>
      <w:marLeft w:val="0"/>
      <w:marRight w:val="0"/>
      <w:marTop w:val="0"/>
      <w:marBottom w:val="0"/>
      <w:divBdr>
        <w:top w:val="none" w:sz="0" w:space="0" w:color="auto"/>
        <w:left w:val="none" w:sz="0" w:space="0" w:color="auto"/>
        <w:bottom w:val="none" w:sz="0" w:space="0" w:color="auto"/>
        <w:right w:val="none" w:sz="0" w:space="0" w:color="auto"/>
      </w:divBdr>
    </w:div>
    <w:div w:id="277610752">
      <w:bodyDiv w:val="1"/>
      <w:marLeft w:val="0"/>
      <w:marRight w:val="0"/>
      <w:marTop w:val="0"/>
      <w:marBottom w:val="0"/>
      <w:divBdr>
        <w:top w:val="none" w:sz="0" w:space="0" w:color="auto"/>
        <w:left w:val="none" w:sz="0" w:space="0" w:color="auto"/>
        <w:bottom w:val="none" w:sz="0" w:space="0" w:color="auto"/>
        <w:right w:val="none" w:sz="0" w:space="0" w:color="auto"/>
      </w:divBdr>
    </w:div>
    <w:div w:id="359165794">
      <w:bodyDiv w:val="1"/>
      <w:marLeft w:val="0"/>
      <w:marRight w:val="0"/>
      <w:marTop w:val="0"/>
      <w:marBottom w:val="0"/>
      <w:divBdr>
        <w:top w:val="none" w:sz="0" w:space="0" w:color="auto"/>
        <w:left w:val="none" w:sz="0" w:space="0" w:color="auto"/>
        <w:bottom w:val="none" w:sz="0" w:space="0" w:color="auto"/>
        <w:right w:val="none" w:sz="0" w:space="0" w:color="auto"/>
      </w:divBdr>
    </w:div>
    <w:div w:id="439960711">
      <w:bodyDiv w:val="1"/>
      <w:marLeft w:val="0"/>
      <w:marRight w:val="0"/>
      <w:marTop w:val="0"/>
      <w:marBottom w:val="0"/>
      <w:divBdr>
        <w:top w:val="none" w:sz="0" w:space="0" w:color="auto"/>
        <w:left w:val="none" w:sz="0" w:space="0" w:color="auto"/>
        <w:bottom w:val="none" w:sz="0" w:space="0" w:color="auto"/>
        <w:right w:val="none" w:sz="0" w:space="0" w:color="auto"/>
      </w:divBdr>
    </w:div>
    <w:div w:id="483394883">
      <w:bodyDiv w:val="1"/>
      <w:marLeft w:val="0"/>
      <w:marRight w:val="0"/>
      <w:marTop w:val="0"/>
      <w:marBottom w:val="0"/>
      <w:divBdr>
        <w:top w:val="none" w:sz="0" w:space="0" w:color="auto"/>
        <w:left w:val="none" w:sz="0" w:space="0" w:color="auto"/>
        <w:bottom w:val="none" w:sz="0" w:space="0" w:color="auto"/>
        <w:right w:val="none" w:sz="0" w:space="0" w:color="auto"/>
      </w:divBdr>
    </w:div>
    <w:div w:id="563024313">
      <w:bodyDiv w:val="1"/>
      <w:marLeft w:val="0"/>
      <w:marRight w:val="0"/>
      <w:marTop w:val="0"/>
      <w:marBottom w:val="0"/>
      <w:divBdr>
        <w:top w:val="none" w:sz="0" w:space="0" w:color="auto"/>
        <w:left w:val="none" w:sz="0" w:space="0" w:color="auto"/>
        <w:bottom w:val="none" w:sz="0" w:space="0" w:color="auto"/>
        <w:right w:val="none" w:sz="0" w:space="0" w:color="auto"/>
      </w:divBdr>
      <w:divsChild>
        <w:div w:id="1420297964">
          <w:marLeft w:val="907"/>
          <w:marRight w:val="0"/>
          <w:marTop w:val="0"/>
          <w:marBottom w:val="0"/>
          <w:divBdr>
            <w:top w:val="none" w:sz="0" w:space="0" w:color="auto"/>
            <w:left w:val="none" w:sz="0" w:space="0" w:color="auto"/>
            <w:bottom w:val="none" w:sz="0" w:space="0" w:color="auto"/>
            <w:right w:val="none" w:sz="0" w:space="0" w:color="auto"/>
          </w:divBdr>
        </w:div>
      </w:divsChild>
    </w:div>
    <w:div w:id="597754135">
      <w:bodyDiv w:val="1"/>
      <w:marLeft w:val="0"/>
      <w:marRight w:val="0"/>
      <w:marTop w:val="0"/>
      <w:marBottom w:val="0"/>
      <w:divBdr>
        <w:top w:val="none" w:sz="0" w:space="0" w:color="auto"/>
        <w:left w:val="none" w:sz="0" w:space="0" w:color="auto"/>
        <w:bottom w:val="none" w:sz="0" w:space="0" w:color="auto"/>
        <w:right w:val="none" w:sz="0" w:space="0" w:color="auto"/>
      </w:divBdr>
    </w:div>
    <w:div w:id="603461070">
      <w:bodyDiv w:val="1"/>
      <w:marLeft w:val="0"/>
      <w:marRight w:val="0"/>
      <w:marTop w:val="0"/>
      <w:marBottom w:val="0"/>
      <w:divBdr>
        <w:top w:val="none" w:sz="0" w:space="0" w:color="auto"/>
        <w:left w:val="none" w:sz="0" w:space="0" w:color="auto"/>
        <w:bottom w:val="none" w:sz="0" w:space="0" w:color="auto"/>
        <w:right w:val="none" w:sz="0" w:space="0" w:color="auto"/>
      </w:divBdr>
      <w:divsChild>
        <w:div w:id="584149167">
          <w:marLeft w:val="907"/>
          <w:marRight w:val="0"/>
          <w:marTop w:val="0"/>
          <w:marBottom w:val="0"/>
          <w:divBdr>
            <w:top w:val="none" w:sz="0" w:space="0" w:color="auto"/>
            <w:left w:val="none" w:sz="0" w:space="0" w:color="auto"/>
            <w:bottom w:val="none" w:sz="0" w:space="0" w:color="auto"/>
            <w:right w:val="none" w:sz="0" w:space="0" w:color="auto"/>
          </w:divBdr>
        </w:div>
      </w:divsChild>
    </w:div>
    <w:div w:id="627323382">
      <w:bodyDiv w:val="1"/>
      <w:marLeft w:val="0"/>
      <w:marRight w:val="0"/>
      <w:marTop w:val="0"/>
      <w:marBottom w:val="0"/>
      <w:divBdr>
        <w:top w:val="none" w:sz="0" w:space="0" w:color="auto"/>
        <w:left w:val="none" w:sz="0" w:space="0" w:color="auto"/>
        <w:bottom w:val="none" w:sz="0" w:space="0" w:color="auto"/>
        <w:right w:val="none" w:sz="0" w:space="0" w:color="auto"/>
      </w:divBdr>
    </w:div>
    <w:div w:id="716974211">
      <w:bodyDiv w:val="1"/>
      <w:marLeft w:val="0"/>
      <w:marRight w:val="0"/>
      <w:marTop w:val="0"/>
      <w:marBottom w:val="0"/>
      <w:divBdr>
        <w:top w:val="none" w:sz="0" w:space="0" w:color="auto"/>
        <w:left w:val="none" w:sz="0" w:space="0" w:color="auto"/>
        <w:bottom w:val="none" w:sz="0" w:space="0" w:color="auto"/>
        <w:right w:val="none" w:sz="0" w:space="0" w:color="auto"/>
      </w:divBdr>
    </w:div>
    <w:div w:id="728725095">
      <w:bodyDiv w:val="1"/>
      <w:marLeft w:val="0"/>
      <w:marRight w:val="0"/>
      <w:marTop w:val="0"/>
      <w:marBottom w:val="0"/>
      <w:divBdr>
        <w:top w:val="none" w:sz="0" w:space="0" w:color="auto"/>
        <w:left w:val="none" w:sz="0" w:space="0" w:color="auto"/>
        <w:bottom w:val="none" w:sz="0" w:space="0" w:color="auto"/>
        <w:right w:val="none" w:sz="0" w:space="0" w:color="auto"/>
      </w:divBdr>
    </w:div>
    <w:div w:id="770857879">
      <w:bodyDiv w:val="1"/>
      <w:marLeft w:val="0"/>
      <w:marRight w:val="0"/>
      <w:marTop w:val="0"/>
      <w:marBottom w:val="0"/>
      <w:divBdr>
        <w:top w:val="none" w:sz="0" w:space="0" w:color="auto"/>
        <w:left w:val="none" w:sz="0" w:space="0" w:color="auto"/>
        <w:bottom w:val="none" w:sz="0" w:space="0" w:color="auto"/>
        <w:right w:val="none" w:sz="0" w:space="0" w:color="auto"/>
      </w:divBdr>
    </w:div>
    <w:div w:id="781068803">
      <w:bodyDiv w:val="1"/>
      <w:marLeft w:val="0"/>
      <w:marRight w:val="0"/>
      <w:marTop w:val="0"/>
      <w:marBottom w:val="0"/>
      <w:divBdr>
        <w:top w:val="none" w:sz="0" w:space="0" w:color="auto"/>
        <w:left w:val="none" w:sz="0" w:space="0" w:color="auto"/>
        <w:bottom w:val="none" w:sz="0" w:space="0" w:color="auto"/>
        <w:right w:val="none" w:sz="0" w:space="0" w:color="auto"/>
      </w:divBdr>
    </w:div>
    <w:div w:id="879509882">
      <w:bodyDiv w:val="1"/>
      <w:marLeft w:val="0"/>
      <w:marRight w:val="0"/>
      <w:marTop w:val="0"/>
      <w:marBottom w:val="0"/>
      <w:divBdr>
        <w:top w:val="none" w:sz="0" w:space="0" w:color="auto"/>
        <w:left w:val="none" w:sz="0" w:space="0" w:color="auto"/>
        <w:bottom w:val="none" w:sz="0" w:space="0" w:color="auto"/>
        <w:right w:val="none" w:sz="0" w:space="0" w:color="auto"/>
      </w:divBdr>
    </w:div>
    <w:div w:id="955990946">
      <w:bodyDiv w:val="1"/>
      <w:marLeft w:val="0"/>
      <w:marRight w:val="0"/>
      <w:marTop w:val="0"/>
      <w:marBottom w:val="0"/>
      <w:divBdr>
        <w:top w:val="none" w:sz="0" w:space="0" w:color="auto"/>
        <w:left w:val="none" w:sz="0" w:space="0" w:color="auto"/>
        <w:bottom w:val="none" w:sz="0" w:space="0" w:color="auto"/>
        <w:right w:val="none" w:sz="0" w:space="0" w:color="auto"/>
      </w:divBdr>
    </w:div>
    <w:div w:id="1045373653">
      <w:bodyDiv w:val="1"/>
      <w:marLeft w:val="0"/>
      <w:marRight w:val="0"/>
      <w:marTop w:val="0"/>
      <w:marBottom w:val="0"/>
      <w:divBdr>
        <w:top w:val="none" w:sz="0" w:space="0" w:color="auto"/>
        <w:left w:val="none" w:sz="0" w:space="0" w:color="auto"/>
        <w:bottom w:val="none" w:sz="0" w:space="0" w:color="auto"/>
        <w:right w:val="none" w:sz="0" w:space="0" w:color="auto"/>
      </w:divBdr>
    </w:div>
    <w:div w:id="1055851984">
      <w:bodyDiv w:val="1"/>
      <w:marLeft w:val="0"/>
      <w:marRight w:val="0"/>
      <w:marTop w:val="0"/>
      <w:marBottom w:val="0"/>
      <w:divBdr>
        <w:top w:val="none" w:sz="0" w:space="0" w:color="auto"/>
        <w:left w:val="none" w:sz="0" w:space="0" w:color="auto"/>
        <w:bottom w:val="none" w:sz="0" w:space="0" w:color="auto"/>
        <w:right w:val="none" w:sz="0" w:space="0" w:color="auto"/>
      </w:divBdr>
    </w:div>
    <w:div w:id="1224218553">
      <w:bodyDiv w:val="1"/>
      <w:marLeft w:val="0"/>
      <w:marRight w:val="0"/>
      <w:marTop w:val="0"/>
      <w:marBottom w:val="0"/>
      <w:divBdr>
        <w:top w:val="none" w:sz="0" w:space="0" w:color="auto"/>
        <w:left w:val="none" w:sz="0" w:space="0" w:color="auto"/>
        <w:bottom w:val="none" w:sz="0" w:space="0" w:color="auto"/>
        <w:right w:val="none" w:sz="0" w:space="0" w:color="auto"/>
      </w:divBdr>
      <w:divsChild>
        <w:div w:id="128714378">
          <w:marLeft w:val="907"/>
          <w:marRight w:val="0"/>
          <w:marTop w:val="0"/>
          <w:marBottom w:val="0"/>
          <w:divBdr>
            <w:top w:val="none" w:sz="0" w:space="0" w:color="auto"/>
            <w:left w:val="none" w:sz="0" w:space="0" w:color="auto"/>
            <w:bottom w:val="none" w:sz="0" w:space="0" w:color="auto"/>
            <w:right w:val="none" w:sz="0" w:space="0" w:color="auto"/>
          </w:divBdr>
        </w:div>
        <w:div w:id="273023108">
          <w:marLeft w:val="907"/>
          <w:marRight w:val="0"/>
          <w:marTop w:val="0"/>
          <w:marBottom w:val="0"/>
          <w:divBdr>
            <w:top w:val="none" w:sz="0" w:space="0" w:color="auto"/>
            <w:left w:val="none" w:sz="0" w:space="0" w:color="auto"/>
            <w:bottom w:val="none" w:sz="0" w:space="0" w:color="auto"/>
            <w:right w:val="none" w:sz="0" w:space="0" w:color="auto"/>
          </w:divBdr>
        </w:div>
        <w:div w:id="1113129104">
          <w:marLeft w:val="907"/>
          <w:marRight w:val="0"/>
          <w:marTop w:val="0"/>
          <w:marBottom w:val="0"/>
          <w:divBdr>
            <w:top w:val="none" w:sz="0" w:space="0" w:color="auto"/>
            <w:left w:val="none" w:sz="0" w:space="0" w:color="auto"/>
            <w:bottom w:val="none" w:sz="0" w:space="0" w:color="auto"/>
            <w:right w:val="none" w:sz="0" w:space="0" w:color="auto"/>
          </w:divBdr>
        </w:div>
      </w:divsChild>
    </w:div>
    <w:div w:id="1358119966">
      <w:bodyDiv w:val="1"/>
      <w:marLeft w:val="0"/>
      <w:marRight w:val="0"/>
      <w:marTop w:val="0"/>
      <w:marBottom w:val="0"/>
      <w:divBdr>
        <w:top w:val="none" w:sz="0" w:space="0" w:color="auto"/>
        <w:left w:val="none" w:sz="0" w:space="0" w:color="auto"/>
        <w:bottom w:val="none" w:sz="0" w:space="0" w:color="auto"/>
        <w:right w:val="none" w:sz="0" w:space="0" w:color="auto"/>
      </w:divBdr>
    </w:div>
    <w:div w:id="1388844118">
      <w:bodyDiv w:val="1"/>
      <w:marLeft w:val="0"/>
      <w:marRight w:val="0"/>
      <w:marTop w:val="0"/>
      <w:marBottom w:val="0"/>
      <w:divBdr>
        <w:top w:val="none" w:sz="0" w:space="0" w:color="auto"/>
        <w:left w:val="none" w:sz="0" w:space="0" w:color="auto"/>
        <w:bottom w:val="none" w:sz="0" w:space="0" w:color="auto"/>
        <w:right w:val="none" w:sz="0" w:space="0" w:color="auto"/>
      </w:divBdr>
      <w:divsChild>
        <w:div w:id="1007514806">
          <w:marLeft w:val="907"/>
          <w:marRight w:val="0"/>
          <w:marTop w:val="0"/>
          <w:marBottom w:val="0"/>
          <w:divBdr>
            <w:top w:val="none" w:sz="0" w:space="0" w:color="auto"/>
            <w:left w:val="none" w:sz="0" w:space="0" w:color="auto"/>
            <w:bottom w:val="none" w:sz="0" w:space="0" w:color="auto"/>
            <w:right w:val="none" w:sz="0" w:space="0" w:color="auto"/>
          </w:divBdr>
        </w:div>
        <w:div w:id="1509519857">
          <w:marLeft w:val="907"/>
          <w:marRight w:val="0"/>
          <w:marTop w:val="0"/>
          <w:marBottom w:val="0"/>
          <w:divBdr>
            <w:top w:val="none" w:sz="0" w:space="0" w:color="auto"/>
            <w:left w:val="none" w:sz="0" w:space="0" w:color="auto"/>
            <w:bottom w:val="none" w:sz="0" w:space="0" w:color="auto"/>
            <w:right w:val="none" w:sz="0" w:space="0" w:color="auto"/>
          </w:divBdr>
        </w:div>
      </w:divsChild>
    </w:div>
    <w:div w:id="1430347065">
      <w:bodyDiv w:val="1"/>
      <w:marLeft w:val="0"/>
      <w:marRight w:val="0"/>
      <w:marTop w:val="0"/>
      <w:marBottom w:val="0"/>
      <w:divBdr>
        <w:top w:val="none" w:sz="0" w:space="0" w:color="auto"/>
        <w:left w:val="none" w:sz="0" w:space="0" w:color="auto"/>
        <w:bottom w:val="none" w:sz="0" w:space="0" w:color="auto"/>
        <w:right w:val="none" w:sz="0" w:space="0" w:color="auto"/>
      </w:divBdr>
    </w:div>
    <w:div w:id="1615940965">
      <w:bodyDiv w:val="1"/>
      <w:marLeft w:val="0"/>
      <w:marRight w:val="0"/>
      <w:marTop w:val="0"/>
      <w:marBottom w:val="0"/>
      <w:divBdr>
        <w:top w:val="none" w:sz="0" w:space="0" w:color="auto"/>
        <w:left w:val="none" w:sz="0" w:space="0" w:color="auto"/>
        <w:bottom w:val="none" w:sz="0" w:space="0" w:color="auto"/>
        <w:right w:val="none" w:sz="0" w:space="0" w:color="auto"/>
      </w:divBdr>
    </w:div>
    <w:div w:id="1778059916">
      <w:bodyDiv w:val="1"/>
      <w:marLeft w:val="0"/>
      <w:marRight w:val="0"/>
      <w:marTop w:val="0"/>
      <w:marBottom w:val="0"/>
      <w:divBdr>
        <w:top w:val="none" w:sz="0" w:space="0" w:color="auto"/>
        <w:left w:val="none" w:sz="0" w:space="0" w:color="auto"/>
        <w:bottom w:val="none" w:sz="0" w:space="0" w:color="auto"/>
        <w:right w:val="none" w:sz="0" w:space="0" w:color="auto"/>
      </w:divBdr>
    </w:div>
    <w:div w:id="1796631612">
      <w:bodyDiv w:val="1"/>
      <w:marLeft w:val="0"/>
      <w:marRight w:val="0"/>
      <w:marTop w:val="0"/>
      <w:marBottom w:val="0"/>
      <w:divBdr>
        <w:top w:val="none" w:sz="0" w:space="0" w:color="auto"/>
        <w:left w:val="none" w:sz="0" w:space="0" w:color="auto"/>
        <w:bottom w:val="none" w:sz="0" w:space="0" w:color="auto"/>
        <w:right w:val="none" w:sz="0" w:space="0" w:color="auto"/>
      </w:divBdr>
    </w:div>
    <w:div w:id="1917737221">
      <w:bodyDiv w:val="1"/>
      <w:marLeft w:val="0"/>
      <w:marRight w:val="0"/>
      <w:marTop w:val="0"/>
      <w:marBottom w:val="0"/>
      <w:divBdr>
        <w:top w:val="none" w:sz="0" w:space="0" w:color="auto"/>
        <w:left w:val="none" w:sz="0" w:space="0" w:color="auto"/>
        <w:bottom w:val="none" w:sz="0" w:space="0" w:color="auto"/>
        <w:right w:val="none" w:sz="0" w:space="0" w:color="auto"/>
      </w:divBdr>
    </w:div>
    <w:div w:id="1951277558">
      <w:bodyDiv w:val="1"/>
      <w:marLeft w:val="0"/>
      <w:marRight w:val="0"/>
      <w:marTop w:val="0"/>
      <w:marBottom w:val="0"/>
      <w:divBdr>
        <w:top w:val="none" w:sz="0" w:space="0" w:color="auto"/>
        <w:left w:val="none" w:sz="0" w:space="0" w:color="auto"/>
        <w:bottom w:val="none" w:sz="0" w:space="0" w:color="auto"/>
        <w:right w:val="none" w:sz="0" w:space="0" w:color="auto"/>
      </w:divBdr>
      <w:divsChild>
        <w:div w:id="231157583">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little@ul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0E280312B8246A38E8D21F20B8236" ma:contentTypeVersion="11" ma:contentTypeDescription="Create a new document." ma:contentTypeScope="" ma:versionID="1869454de2be5ca514040de6f86454b9">
  <xsd:schema xmlns:xsd="http://www.w3.org/2001/XMLSchema" xmlns:xs="http://www.w3.org/2001/XMLSchema" xmlns:p="http://schemas.microsoft.com/office/2006/metadata/properties" xmlns:ns3="7ce54608-2b31-43c9-8c7e-219ec63543e1" xmlns:ns4="42b51ccb-9c32-499f-b61a-224a95ac02a0" targetNamespace="http://schemas.microsoft.com/office/2006/metadata/properties" ma:root="true" ma:fieldsID="bcec41a0021a4ae4eb981e21c69c446b" ns3:_="" ns4:_="">
    <xsd:import namespace="7ce54608-2b31-43c9-8c7e-219ec63543e1"/>
    <xsd:import namespace="42b51ccb-9c32-499f-b61a-224a95ac02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608-2b31-43c9-8c7e-219ec63543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51ccb-9c32-499f-b61a-224a95ac0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D63F-C111-4652-B580-31C73342212D}">
  <ds:schemaRefs>
    <ds:schemaRef ds:uri="http://schemas.microsoft.com/sharepoint/v3/contenttype/forms"/>
  </ds:schemaRefs>
</ds:datastoreItem>
</file>

<file path=customXml/itemProps2.xml><?xml version="1.0" encoding="utf-8"?>
<ds:datastoreItem xmlns:ds="http://schemas.openxmlformats.org/officeDocument/2006/customXml" ds:itemID="{323BE091-969A-45B3-B2CC-3C576A5EB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227DC-A579-4A70-9CA9-290B49E4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4608-2b31-43c9-8c7e-219ec63543e1"/>
    <ds:schemaRef ds:uri="42b51ccb-9c32-499f-b61a-224a95ac0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0EFA0-D764-314D-9609-46F9F8C7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Links>
    <vt:vector size="12" baseType="variant">
      <vt:variant>
        <vt:i4>2031709</vt:i4>
      </vt:variant>
      <vt:variant>
        <vt:i4>3</vt:i4>
      </vt:variant>
      <vt:variant>
        <vt:i4>0</vt:i4>
      </vt:variant>
      <vt:variant>
        <vt:i4>5</vt:i4>
      </vt:variant>
      <vt:variant>
        <vt:lpwstr>https://doi.org/10.1167/iovs.17-23596</vt:lpwstr>
      </vt:variant>
      <vt:variant>
        <vt:lpwstr/>
      </vt:variant>
      <vt:variant>
        <vt:i4>327738</vt:i4>
      </vt:variant>
      <vt:variant>
        <vt:i4>0</vt:i4>
      </vt:variant>
      <vt:variant>
        <vt:i4>0</vt:i4>
      </vt:variant>
      <vt:variant>
        <vt:i4>5</vt:i4>
      </vt:variant>
      <vt:variant>
        <vt:lpwstr>mailto:ja.little@ulster.ac.uk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Julie-Anne</dc:creator>
  <cp:keywords/>
  <dc:description/>
  <cp:lastModifiedBy>Little, Julie-Anne</cp:lastModifiedBy>
  <cp:revision>10</cp:revision>
  <dcterms:created xsi:type="dcterms:W3CDTF">2020-04-22T08:56:00Z</dcterms:created>
  <dcterms:modified xsi:type="dcterms:W3CDTF">2020-04-30T11:29:00Z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0x010100DD70E280312B8246A38E8D21F20B8236</vt:lpwstr>
  </property>
</Properties>
</file>