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B454E" w14:textId="6A5001A4" w:rsidR="00A12A2B" w:rsidRPr="00AF155A" w:rsidRDefault="00EC571A" w:rsidP="00AF155A">
      <w:pPr>
        <w:pStyle w:val="Title"/>
        <w:rPr>
          <w:rFonts w:ascii="Times New Roman" w:hAnsi="Times New Roman" w:cs="Times New Roman"/>
          <w:b/>
          <w:bCs/>
          <w:sz w:val="24"/>
          <w:szCs w:val="24"/>
        </w:rPr>
      </w:pPr>
      <w:r w:rsidRPr="003E7DB9">
        <w:rPr>
          <w:rFonts w:ascii="Times New Roman" w:hAnsi="Times New Roman" w:cs="Times New Roman"/>
          <w:b/>
          <w:bCs/>
          <w:sz w:val="24"/>
          <w:szCs w:val="24"/>
        </w:rPr>
        <w:t xml:space="preserve">Isolated together: </w:t>
      </w:r>
      <w:r w:rsidR="00AD49AD" w:rsidRPr="003E7DB9">
        <w:rPr>
          <w:rFonts w:ascii="Times New Roman" w:hAnsi="Times New Roman" w:cs="Times New Roman"/>
          <w:b/>
          <w:bCs/>
          <w:sz w:val="24"/>
          <w:szCs w:val="24"/>
        </w:rPr>
        <w:t xml:space="preserve">proximal pairs </w:t>
      </w:r>
      <w:r w:rsidR="0072466E" w:rsidRPr="003E7DB9">
        <w:rPr>
          <w:rFonts w:ascii="Times New Roman" w:hAnsi="Times New Roman" w:cs="Times New Roman"/>
          <w:b/>
          <w:bCs/>
          <w:sz w:val="24"/>
          <w:szCs w:val="24"/>
        </w:rPr>
        <w:t>of</w:t>
      </w:r>
      <w:r w:rsidRPr="003E7DB9">
        <w:rPr>
          <w:rFonts w:ascii="Times New Roman" w:hAnsi="Times New Roman" w:cs="Times New Roman"/>
          <w:b/>
          <w:bCs/>
          <w:sz w:val="24"/>
          <w:szCs w:val="24"/>
        </w:rPr>
        <w:t xml:space="preserve"> </w:t>
      </w:r>
      <w:r w:rsidR="00026813" w:rsidRPr="003E7DB9">
        <w:rPr>
          <w:rFonts w:ascii="Times New Roman" w:hAnsi="Times New Roman" w:cs="Times New Roman"/>
          <w:b/>
          <w:bCs/>
          <w:sz w:val="24"/>
          <w:szCs w:val="24"/>
        </w:rPr>
        <w:t>primar</w:t>
      </w:r>
      <w:r w:rsidR="00DE6FEF" w:rsidRPr="003E7DB9">
        <w:rPr>
          <w:rFonts w:ascii="Times New Roman" w:hAnsi="Times New Roman" w:cs="Times New Roman"/>
          <w:b/>
          <w:bCs/>
          <w:sz w:val="24"/>
          <w:szCs w:val="24"/>
        </w:rPr>
        <w:t xml:space="preserve">y </w:t>
      </w:r>
      <w:r w:rsidR="0072466E" w:rsidRPr="003E7DB9">
        <w:rPr>
          <w:rFonts w:ascii="Times New Roman" w:hAnsi="Times New Roman" w:cs="Times New Roman"/>
          <w:b/>
          <w:bCs/>
          <w:sz w:val="24"/>
          <w:szCs w:val="24"/>
        </w:rPr>
        <w:t>schools duplicating</w:t>
      </w:r>
      <w:r w:rsidRPr="003E7DB9">
        <w:rPr>
          <w:rFonts w:ascii="Times New Roman" w:hAnsi="Times New Roman" w:cs="Times New Roman"/>
          <w:b/>
          <w:bCs/>
          <w:sz w:val="24"/>
          <w:szCs w:val="24"/>
        </w:rPr>
        <w:t xml:space="preserve"> provision in Northern Ireland. </w:t>
      </w:r>
    </w:p>
    <w:p w14:paraId="5AF3D03C" w14:textId="56888768" w:rsidR="003E7DB9" w:rsidRDefault="003E7DB9" w:rsidP="000A05C7">
      <w:pPr>
        <w:rPr>
          <w:b/>
          <w:bCs/>
          <w:sz w:val="36"/>
          <w:szCs w:val="36"/>
        </w:rPr>
      </w:pPr>
    </w:p>
    <w:p w14:paraId="4EBF730D" w14:textId="1438DB97" w:rsidR="003E7DB9" w:rsidRPr="00787761" w:rsidRDefault="003E7DB9" w:rsidP="000A05C7">
      <w:r w:rsidRPr="00787761">
        <w:t>Stephen Roulston</w:t>
      </w:r>
    </w:p>
    <w:p w14:paraId="092CFF46" w14:textId="7C3DDBE0" w:rsidR="003E7DB9" w:rsidRPr="00787761" w:rsidRDefault="00787761" w:rsidP="000A05C7">
      <w:r w:rsidRPr="00787761">
        <w:t>School of Education</w:t>
      </w:r>
    </w:p>
    <w:p w14:paraId="6C290CDE" w14:textId="60F5D35E" w:rsidR="00787761" w:rsidRPr="00787761" w:rsidRDefault="00787761" w:rsidP="000A05C7">
      <w:r w:rsidRPr="00787761">
        <w:t>Ulster University</w:t>
      </w:r>
    </w:p>
    <w:p w14:paraId="51BAABD1" w14:textId="3FCDCC70" w:rsidR="00787761" w:rsidRPr="00787761" w:rsidRDefault="00787761" w:rsidP="000A05C7">
      <w:proofErr w:type="spellStart"/>
      <w:r w:rsidRPr="00787761">
        <w:t>ORC</w:t>
      </w:r>
      <w:r>
        <w:t>i</w:t>
      </w:r>
      <w:r w:rsidRPr="00787761">
        <w:t>D</w:t>
      </w:r>
      <w:proofErr w:type="spellEnd"/>
      <w:r w:rsidRPr="00787761">
        <w:t xml:space="preserve">: </w:t>
      </w:r>
      <w:r w:rsidR="00325F71">
        <w:t>0000-0001-6043-7261</w:t>
      </w:r>
    </w:p>
    <w:p w14:paraId="4135A498" w14:textId="77777777" w:rsidR="00787761" w:rsidRPr="00787761" w:rsidRDefault="00787761" w:rsidP="000A05C7"/>
    <w:p w14:paraId="1B07E020" w14:textId="50F7186D" w:rsidR="00787761" w:rsidRPr="00787761" w:rsidRDefault="00787761" w:rsidP="000A05C7">
      <w:r w:rsidRPr="00787761">
        <w:t>Sally Cook,</w:t>
      </w:r>
    </w:p>
    <w:p w14:paraId="10A4E087" w14:textId="77777777" w:rsidR="00787761" w:rsidRPr="00787761" w:rsidRDefault="00787761" w:rsidP="000A05C7">
      <w:r w:rsidRPr="00787761">
        <w:t>School of Geography and Environmental Sciences</w:t>
      </w:r>
    </w:p>
    <w:p w14:paraId="4F30D72D" w14:textId="41F82AA5" w:rsidR="00787761" w:rsidRPr="00787761" w:rsidRDefault="00787761" w:rsidP="000A05C7">
      <w:r w:rsidRPr="00787761">
        <w:t>Ulster University</w:t>
      </w:r>
    </w:p>
    <w:p w14:paraId="6888C418" w14:textId="7A7E230A" w:rsidR="00787761" w:rsidRPr="00787761" w:rsidRDefault="00787761" w:rsidP="000A05C7">
      <w:proofErr w:type="spellStart"/>
      <w:r w:rsidRPr="00787761">
        <w:t>ORC</w:t>
      </w:r>
      <w:r>
        <w:t>i</w:t>
      </w:r>
      <w:r w:rsidRPr="00787761">
        <w:t>D</w:t>
      </w:r>
      <w:proofErr w:type="spellEnd"/>
      <w:r w:rsidR="00325F71">
        <w:t>: 0000-0002-8287-4523</w:t>
      </w:r>
    </w:p>
    <w:p w14:paraId="4605418E" w14:textId="77777777" w:rsidR="00787761" w:rsidRPr="003E7DB9" w:rsidRDefault="00787761" w:rsidP="000A05C7">
      <w:pPr>
        <w:rPr>
          <w:b/>
          <w:bCs/>
          <w:sz w:val="36"/>
          <w:szCs w:val="36"/>
        </w:rPr>
      </w:pPr>
    </w:p>
    <w:p w14:paraId="426A2D10" w14:textId="058E9FF6" w:rsidR="007A37E7" w:rsidRPr="003E7DB9" w:rsidRDefault="00A12A2B" w:rsidP="000A05C7">
      <w:pPr>
        <w:rPr>
          <w:b/>
          <w:bCs/>
        </w:rPr>
      </w:pPr>
      <w:r w:rsidRPr="003E7DB9">
        <w:rPr>
          <w:b/>
          <w:bCs/>
        </w:rPr>
        <w:t>Abstract</w:t>
      </w:r>
    </w:p>
    <w:p w14:paraId="2CE71BC3" w14:textId="3920E0B5" w:rsidR="00A12A2B" w:rsidRPr="003E7DB9" w:rsidRDefault="00A12A2B" w:rsidP="00496D5A">
      <w:pPr>
        <w:spacing w:line="276" w:lineRule="auto"/>
        <w:rPr>
          <w:b/>
          <w:bCs/>
        </w:rPr>
      </w:pPr>
    </w:p>
    <w:p w14:paraId="6067FB18" w14:textId="21920E59" w:rsidR="003102CD" w:rsidRPr="003E7DB9" w:rsidRDefault="00496D5A" w:rsidP="00AF155A">
      <w:pPr>
        <w:jc w:val="both"/>
        <w:rPr>
          <w:sz w:val="21"/>
          <w:szCs w:val="21"/>
          <w:lang w:val="en-US"/>
        </w:rPr>
      </w:pPr>
      <w:r w:rsidRPr="003E7DB9">
        <w:rPr>
          <w:bCs/>
          <w:sz w:val="21"/>
          <w:szCs w:val="21"/>
        </w:rPr>
        <w:t xml:space="preserve">Divided societies emerging from conflict are found around the globe, and these divisions can cause, and may be </w:t>
      </w:r>
      <w:r w:rsidR="000631F4" w:rsidRPr="003E7DB9">
        <w:rPr>
          <w:bCs/>
          <w:sz w:val="21"/>
          <w:szCs w:val="21"/>
        </w:rPr>
        <w:t xml:space="preserve">perpetuated </w:t>
      </w:r>
      <w:r w:rsidRPr="003E7DB9">
        <w:rPr>
          <w:bCs/>
          <w:sz w:val="21"/>
          <w:szCs w:val="21"/>
        </w:rPr>
        <w:t xml:space="preserve">by, disunity in educational provision. </w:t>
      </w:r>
      <w:r w:rsidRPr="003E7DB9">
        <w:rPr>
          <w:sz w:val="21"/>
          <w:szCs w:val="21"/>
        </w:rPr>
        <w:t>Establishing sound and equitable education</w:t>
      </w:r>
      <w:r w:rsidR="00C725EE">
        <w:rPr>
          <w:sz w:val="21"/>
          <w:szCs w:val="21"/>
        </w:rPr>
        <w:t xml:space="preserve"> </w:t>
      </w:r>
      <w:r w:rsidRPr="003E7DB9">
        <w:rPr>
          <w:sz w:val="21"/>
          <w:szCs w:val="21"/>
        </w:rPr>
        <w:t>is considered vital in promoting reconciliation in places with apparently intractable conflict</w:t>
      </w:r>
      <w:r w:rsidR="0017306D" w:rsidRPr="003E7DB9">
        <w:rPr>
          <w:sz w:val="21"/>
          <w:szCs w:val="21"/>
        </w:rPr>
        <w:t>.</w:t>
      </w:r>
      <w:r w:rsidR="00AD49AD" w:rsidRPr="003E7DB9">
        <w:rPr>
          <w:sz w:val="21"/>
          <w:szCs w:val="21"/>
        </w:rPr>
        <w:t xml:space="preserve"> </w:t>
      </w:r>
      <w:r w:rsidR="00C725EE">
        <w:rPr>
          <w:sz w:val="21"/>
          <w:szCs w:val="21"/>
        </w:rPr>
        <w:t>Northern Ireland was involved in ethno-sectarian violence for 30 years. Society there is still fundamentally divided and there is</w:t>
      </w:r>
      <w:r w:rsidR="00C725EE">
        <w:rPr>
          <w:sz w:val="21"/>
          <w:szCs w:val="21"/>
          <w:lang w:val="en-US"/>
        </w:rPr>
        <w:t xml:space="preserve"> </w:t>
      </w:r>
      <w:r w:rsidR="0017306D" w:rsidRPr="003E7DB9">
        <w:rPr>
          <w:sz w:val="21"/>
          <w:szCs w:val="21"/>
          <w:lang w:val="en-US"/>
        </w:rPr>
        <w:t>considerable</w:t>
      </w:r>
      <w:r w:rsidR="003102CD" w:rsidRPr="003E7DB9">
        <w:rPr>
          <w:sz w:val="21"/>
          <w:szCs w:val="21"/>
          <w:lang w:val="en-US"/>
        </w:rPr>
        <w:t xml:space="preserve"> duplication of </w:t>
      </w:r>
      <w:r w:rsidR="00C725EE">
        <w:rPr>
          <w:sz w:val="21"/>
          <w:szCs w:val="21"/>
          <w:lang w:val="en-US"/>
        </w:rPr>
        <w:t>services supplying the needs of each community. This is true also of education</w:t>
      </w:r>
      <w:r w:rsidR="003102CD" w:rsidRPr="003E7DB9">
        <w:rPr>
          <w:sz w:val="21"/>
          <w:szCs w:val="21"/>
          <w:lang w:val="en-US"/>
        </w:rPr>
        <w:t xml:space="preserve"> </w:t>
      </w:r>
      <w:r w:rsidR="00C725EE">
        <w:rPr>
          <w:sz w:val="21"/>
          <w:szCs w:val="21"/>
          <w:lang w:val="en-US"/>
        </w:rPr>
        <w:t xml:space="preserve">with multiple schools </w:t>
      </w:r>
      <w:r w:rsidR="003102CD" w:rsidRPr="003E7DB9">
        <w:rPr>
          <w:sz w:val="21"/>
          <w:szCs w:val="21"/>
          <w:lang w:val="en-US"/>
        </w:rPr>
        <w:t xml:space="preserve">each catering </w:t>
      </w:r>
      <w:r w:rsidR="0017306D" w:rsidRPr="003E7DB9">
        <w:rPr>
          <w:sz w:val="21"/>
          <w:szCs w:val="21"/>
          <w:lang w:val="en-US"/>
        </w:rPr>
        <w:t xml:space="preserve">for </w:t>
      </w:r>
      <w:r w:rsidR="003102CD" w:rsidRPr="003E7DB9">
        <w:rPr>
          <w:sz w:val="21"/>
          <w:szCs w:val="21"/>
          <w:lang w:val="en-US"/>
        </w:rPr>
        <w:t>‘their own’ population</w:t>
      </w:r>
      <w:r w:rsidR="00C725EE">
        <w:rPr>
          <w:sz w:val="21"/>
          <w:szCs w:val="21"/>
          <w:lang w:val="en-US"/>
        </w:rPr>
        <w:t xml:space="preserve">. Sometimes </w:t>
      </w:r>
      <w:r w:rsidR="0017306D" w:rsidRPr="003E7DB9">
        <w:rPr>
          <w:sz w:val="21"/>
          <w:szCs w:val="21"/>
          <w:lang w:val="en-US"/>
        </w:rPr>
        <w:t>these can</w:t>
      </w:r>
      <w:r w:rsidR="003102CD" w:rsidRPr="003E7DB9">
        <w:rPr>
          <w:sz w:val="21"/>
          <w:szCs w:val="21"/>
          <w:lang w:val="en-US"/>
        </w:rPr>
        <w:t xml:space="preserve"> be too small to be sustainable and</w:t>
      </w:r>
      <w:r w:rsidR="0017306D" w:rsidRPr="003E7DB9">
        <w:rPr>
          <w:sz w:val="21"/>
          <w:szCs w:val="21"/>
          <w:lang w:val="en-US"/>
        </w:rPr>
        <w:t>/or may be inefficient.</w:t>
      </w:r>
      <w:r w:rsidR="003102CD" w:rsidRPr="003E7DB9">
        <w:rPr>
          <w:sz w:val="21"/>
          <w:szCs w:val="21"/>
          <w:lang w:val="en-US"/>
        </w:rPr>
        <w:t xml:space="preserve"> </w:t>
      </w:r>
      <w:r w:rsidR="00354791" w:rsidRPr="003E7DB9">
        <w:rPr>
          <w:sz w:val="21"/>
          <w:szCs w:val="21"/>
          <w:lang w:val="en-US"/>
        </w:rPr>
        <w:t>In this research</w:t>
      </w:r>
      <w:r w:rsidR="00AD49AD" w:rsidRPr="003E7DB9">
        <w:rPr>
          <w:sz w:val="21"/>
          <w:szCs w:val="21"/>
          <w:lang w:val="en-US"/>
        </w:rPr>
        <w:t xml:space="preserve"> GIS analysis </w:t>
      </w:r>
      <w:r w:rsidR="00354791" w:rsidRPr="003E7DB9">
        <w:rPr>
          <w:sz w:val="21"/>
          <w:szCs w:val="21"/>
          <w:lang w:val="en-US"/>
        </w:rPr>
        <w:t xml:space="preserve">is used </w:t>
      </w:r>
      <w:r w:rsidR="00AD49AD" w:rsidRPr="003E7DB9">
        <w:rPr>
          <w:sz w:val="21"/>
          <w:szCs w:val="21"/>
          <w:lang w:val="en-US"/>
        </w:rPr>
        <w:t xml:space="preserve">to identify </w:t>
      </w:r>
      <w:r w:rsidR="0017306D" w:rsidRPr="003E7DB9">
        <w:rPr>
          <w:sz w:val="21"/>
          <w:szCs w:val="21"/>
          <w:lang w:val="en-US"/>
        </w:rPr>
        <w:t xml:space="preserve">32 </w:t>
      </w:r>
      <w:r w:rsidR="00AD49AD" w:rsidRPr="003E7DB9">
        <w:rPr>
          <w:sz w:val="21"/>
          <w:szCs w:val="21"/>
          <w:lang w:val="en-US"/>
        </w:rPr>
        <w:t xml:space="preserve">pairs of </w:t>
      </w:r>
      <w:r w:rsidR="0017306D" w:rsidRPr="003E7DB9">
        <w:rPr>
          <w:sz w:val="21"/>
          <w:szCs w:val="21"/>
          <w:lang w:val="en-US"/>
        </w:rPr>
        <w:t xml:space="preserve">primary </w:t>
      </w:r>
      <w:r w:rsidR="00AD49AD" w:rsidRPr="003E7DB9">
        <w:rPr>
          <w:sz w:val="21"/>
          <w:szCs w:val="21"/>
          <w:lang w:val="en-US"/>
        </w:rPr>
        <w:t xml:space="preserve">schools and </w:t>
      </w:r>
      <w:r w:rsidR="00354791" w:rsidRPr="003E7DB9">
        <w:rPr>
          <w:sz w:val="21"/>
          <w:szCs w:val="21"/>
          <w:lang w:val="en-US"/>
        </w:rPr>
        <w:t xml:space="preserve">their levels of sustainability are estimated, alongside </w:t>
      </w:r>
      <w:r w:rsidR="00B432F6" w:rsidRPr="003E7DB9">
        <w:rPr>
          <w:sz w:val="21"/>
          <w:szCs w:val="21"/>
          <w:lang w:val="en-US"/>
        </w:rPr>
        <w:t xml:space="preserve">some </w:t>
      </w:r>
      <w:r w:rsidR="00113CB7" w:rsidRPr="003E7DB9">
        <w:rPr>
          <w:sz w:val="21"/>
          <w:szCs w:val="21"/>
          <w:lang w:val="en-US"/>
        </w:rPr>
        <w:t xml:space="preserve">additional </w:t>
      </w:r>
      <w:r w:rsidR="00AD49AD" w:rsidRPr="003E7DB9">
        <w:rPr>
          <w:sz w:val="21"/>
          <w:szCs w:val="21"/>
          <w:lang w:val="en-US"/>
        </w:rPr>
        <w:t>cost of the duplication</w:t>
      </w:r>
      <w:r w:rsidR="009435FC" w:rsidRPr="003E7DB9">
        <w:rPr>
          <w:sz w:val="21"/>
          <w:szCs w:val="21"/>
          <w:lang w:val="en-US"/>
        </w:rPr>
        <w:t xml:space="preserve">, although this </w:t>
      </w:r>
      <w:r w:rsidR="002F5275">
        <w:rPr>
          <w:sz w:val="21"/>
          <w:szCs w:val="21"/>
          <w:lang w:val="en-US"/>
        </w:rPr>
        <w:t>can be</w:t>
      </w:r>
      <w:r w:rsidR="002F5275" w:rsidRPr="003E7DB9">
        <w:rPr>
          <w:sz w:val="21"/>
          <w:szCs w:val="21"/>
          <w:lang w:val="en-US"/>
        </w:rPr>
        <w:t xml:space="preserve"> </w:t>
      </w:r>
      <w:r w:rsidR="009435FC" w:rsidRPr="003E7DB9">
        <w:rPr>
          <w:sz w:val="21"/>
          <w:szCs w:val="21"/>
          <w:lang w:val="en-US"/>
        </w:rPr>
        <w:t>difficult to quantify</w:t>
      </w:r>
      <w:r w:rsidR="00AD49AD" w:rsidRPr="003E7DB9">
        <w:rPr>
          <w:sz w:val="21"/>
          <w:szCs w:val="21"/>
          <w:lang w:val="en-US"/>
        </w:rPr>
        <w:t xml:space="preserve">. </w:t>
      </w:r>
      <w:r w:rsidR="00C725EE">
        <w:rPr>
          <w:sz w:val="21"/>
          <w:szCs w:val="21"/>
          <w:lang w:val="en-US"/>
        </w:rPr>
        <w:t>Bringing schools together in a society emerging from conflict will not be easy for communities. However, economic costs may drive difficult structural change. Perhaps an even more important driver, i</w:t>
      </w:r>
      <w:r w:rsidR="0017306D" w:rsidRPr="003E7DB9">
        <w:rPr>
          <w:sz w:val="21"/>
          <w:szCs w:val="21"/>
          <w:lang w:val="en-US"/>
        </w:rPr>
        <w:t xml:space="preserve">n addition to </w:t>
      </w:r>
      <w:r w:rsidR="00354791" w:rsidRPr="003E7DB9">
        <w:rPr>
          <w:sz w:val="21"/>
          <w:szCs w:val="21"/>
          <w:lang w:val="en-US"/>
        </w:rPr>
        <w:t xml:space="preserve">financial </w:t>
      </w:r>
      <w:r w:rsidR="00AD49AD" w:rsidRPr="003E7DB9">
        <w:rPr>
          <w:sz w:val="21"/>
          <w:szCs w:val="21"/>
          <w:lang w:val="en-US"/>
        </w:rPr>
        <w:t>costs</w:t>
      </w:r>
      <w:r w:rsidR="00354791" w:rsidRPr="003E7DB9">
        <w:rPr>
          <w:sz w:val="21"/>
          <w:szCs w:val="21"/>
          <w:lang w:val="en-US"/>
        </w:rPr>
        <w:t xml:space="preserve">, </w:t>
      </w:r>
      <w:r w:rsidR="00FF42C3">
        <w:rPr>
          <w:sz w:val="21"/>
          <w:szCs w:val="21"/>
          <w:lang w:val="en-US"/>
        </w:rPr>
        <w:t>is</w:t>
      </w:r>
      <w:r w:rsidR="00C725EE">
        <w:rPr>
          <w:sz w:val="21"/>
          <w:szCs w:val="21"/>
          <w:lang w:val="en-US"/>
        </w:rPr>
        <w:t xml:space="preserve"> the</w:t>
      </w:r>
      <w:r w:rsidR="00AD49AD" w:rsidRPr="003E7DB9">
        <w:rPr>
          <w:sz w:val="21"/>
          <w:szCs w:val="21"/>
          <w:lang w:val="en-US"/>
        </w:rPr>
        <w:t xml:space="preserve"> </w:t>
      </w:r>
      <w:r w:rsidR="00C725EE">
        <w:rPr>
          <w:sz w:val="21"/>
          <w:szCs w:val="21"/>
          <w:lang w:val="en-US"/>
        </w:rPr>
        <w:t xml:space="preserve">less tangible but </w:t>
      </w:r>
      <w:r w:rsidR="00354791" w:rsidRPr="003E7DB9">
        <w:rPr>
          <w:sz w:val="21"/>
          <w:szCs w:val="21"/>
          <w:lang w:val="en-US"/>
        </w:rPr>
        <w:t>even more important costs to future social cohesion</w:t>
      </w:r>
      <w:r w:rsidR="00C725EE">
        <w:rPr>
          <w:sz w:val="21"/>
          <w:szCs w:val="21"/>
          <w:lang w:val="en-US"/>
        </w:rPr>
        <w:t xml:space="preserve"> should separation continue</w:t>
      </w:r>
      <w:r w:rsidR="00AD49AD" w:rsidRPr="003E7DB9">
        <w:rPr>
          <w:sz w:val="21"/>
          <w:szCs w:val="21"/>
          <w:lang w:val="en-US"/>
        </w:rPr>
        <w:t>.</w:t>
      </w:r>
    </w:p>
    <w:p w14:paraId="6142A711" w14:textId="55101C41" w:rsidR="00DE6FEF" w:rsidRPr="003E7DB9" w:rsidRDefault="00DE6FEF" w:rsidP="005B1470">
      <w:pPr>
        <w:spacing w:line="276" w:lineRule="auto"/>
        <w:jc w:val="both"/>
        <w:rPr>
          <w:lang w:val="en-US"/>
        </w:rPr>
      </w:pPr>
    </w:p>
    <w:p w14:paraId="6618C4B9" w14:textId="75263A1E" w:rsidR="00DE6FEF" w:rsidRPr="003E7DB9" w:rsidRDefault="00DE6FEF" w:rsidP="005B1470">
      <w:pPr>
        <w:spacing w:line="276" w:lineRule="auto"/>
        <w:jc w:val="both"/>
        <w:rPr>
          <w:lang w:val="en-US"/>
        </w:rPr>
      </w:pPr>
      <w:r w:rsidRPr="003E7DB9">
        <w:rPr>
          <w:lang w:val="en-US"/>
        </w:rPr>
        <w:t>Key words: divided societies; rural schools; sustainability; duplication; Northern Ireland; isolated schools</w:t>
      </w:r>
    </w:p>
    <w:p w14:paraId="3D594391" w14:textId="08A94454" w:rsidR="00A12A2B" w:rsidRDefault="00A12A2B" w:rsidP="005B1470">
      <w:pPr>
        <w:spacing w:line="276" w:lineRule="auto"/>
        <w:jc w:val="both"/>
        <w:rPr>
          <w:b/>
          <w:bCs/>
        </w:rPr>
      </w:pPr>
    </w:p>
    <w:p w14:paraId="60AF0508" w14:textId="011A7239" w:rsidR="00787761" w:rsidRDefault="00787761" w:rsidP="005B1470">
      <w:pPr>
        <w:spacing w:line="276" w:lineRule="auto"/>
        <w:jc w:val="both"/>
        <w:rPr>
          <w:b/>
          <w:bCs/>
        </w:rPr>
      </w:pPr>
      <w:r>
        <w:rPr>
          <w:b/>
          <w:bCs/>
        </w:rPr>
        <w:t>Funding Details</w:t>
      </w:r>
    </w:p>
    <w:p w14:paraId="7152DD1F" w14:textId="669674CA" w:rsidR="00787761" w:rsidRDefault="00787761" w:rsidP="005B1470">
      <w:pPr>
        <w:spacing w:line="276" w:lineRule="auto"/>
        <w:jc w:val="both"/>
      </w:pPr>
      <w:r w:rsidRPr="00787761">
        <w:t>This work was supported by the Integrated Education Fund, Community Relations Northern Ireland and the UNESCO Centre, Ulster University</w:t>
      </w:r>
      <w:r>
        <w:t xml:space="preserve">, as part of Ulster </w:t>
      </w:r>
      <w:r w:rsidR="0037694B">
        <w:t>University’s Transforming</w:t>
      </w:r>
      <w:r>
        <w:t xml:space="preserve"> Education project</w:t>
      </w:r>
      <w:r w:rsidRPr="00787761">
        <w:t>.</w:t>
      </w:r>
    </w:p>
    <w:p w14:paraId="5B248D4F" w14:textId="77777777" w:rsidR="00787761" w:rsidRPr="00787761" w:rsidRDefault="00787761" w:rsidP="005B1470">
      <w:pPr>
        <w:spacing w:line="276" w:lineRule="auto"/>
        <w:jc w:val="both"/>
      </w:pPr>
    </w:p>
    <w:p w14:paraId="172A54FB" w14:textId="40BA1C2C" w:rsidR="00787761" w:rsidRDefault="00787761" w:rsidP="005B1470">
      <w:pPr>
        <w:spacing w:line="276" w:lineRule="auto"/>
        <w:jc w:val="both"/>
        <w:rPr>
          <w:b/>
          <w:bCs/>
        </w:rPr>
      </w:pPr>
      <w:r>
        <w:rPr>
          <w:b/>
          <w:bCs/>
        </w:rPr>
        <w:t>Disclosure statement</w:t>
      </w:r>
    </w:p>
    <w:p w14:paraId="3ED79DD3" w14:textId="164E548B" w:rsidR="00787761" w:rsidRDefault="00787761" w:rsidP="005B1470">
      <w:pPr>
        <w:spacing w:line="276" w:lineRule="auto"/>
        <w:jc w:val="both"/>
      </w:pPr>
      <w:r w:rsidRPr="00787761">
        <w:t xml:space="preserve">The authors declared no financial interest or benefit </w:t>
      </w:r>
      <w:r>
        <w:t>to them arising</w:t>
      </w:r>
      <w:r w:rsidRPr="00787761">
        <w:t xml:space="preserve"> from this research</w:t>
      </w:r>
      <w:r>
        <w:t>.</w:t>
      </w:r>
    </w:p>
    <w:p w14:paraId="5BE2A65B" w14:textId="77777777" w:rsidR="00787761" w:rsidRPr="00787761" w:rsidRDefault="00787761" w:rsidP="005B1470">
      <w:pPr>
        <w:spacing w:line="276" w:lineRule="auto"/>
        <w:jc w:val="both"/>
      </w:pPr>
    </w:p>
    <w:p w14:paraId="3C113E8B" w14:textId="73220A4F" w:rsidR="00787761" w:rsidRDefault="00787761" w:rsidP="005B1470">
      <w:pPr>
        <w:spacing w:line="276" w:lineRule="auto"/>
        <w:jc w:val="both"/>
        <w:rPr>
          <w:b/>
          <w:bCs/>
        </w:rPr>
      </w:pPr>
      <w:r>
        <w:rPr>
          <w:b/>
          <w:bCs/>
        </w:rPr>
        <w:t>Geolocation information</w:t>
      </w:r>
    </w:p>
    <w:p w14:paraId="7BF26A23" w14:textId="11146245" w:rsidR="00787761" w:rsidRPr="00787761" w:rsidRDefault="00787761" w:rsidP="005B1470">
      <w:pPr>
        <w:spacing w:line="276" w:lineRule="auto"/>
        <w:jc w:val="both"/>
      </w:pPr>
      <w:r w:rsidRPr="00787761">
        <w:t xml:space="preserve">Northern </w:t>
      </w:r>
      <w:proofErr w:type="gramStart"/>
      <w:r w:rsidRPr="00787761">
        <w:t>Ireland</w:t>
      </w:r>
      <w:r>
        <w:t xml:space="preserve">  </w:t>
      </w:r>
      <w:r w:rsidR="0037694B">
        <w:t>Latitude</w:t>
      </w:r>
      <w:proofErr w:type="gramEnd"/>
      <w:r w:rsidR="0037694B">
        <w:t>: +</w:t>
      </w:r>
      <w:r>
        <w:t>54.</w:t>
      </w:r>
      <w:r w:rsidR="0037694B">
        <w:t>6 Longitude: -6.5</w:t>
      </w:r>
    </w:p>
    <w:p w14:paraId="7FBC087E" w14:textId="5A3042CF" w:rsidR="003E7DB9" w:rsidRPr="003E7DB9" w:rsidRDefault="003E7DB9" w:rsidP="005B1470">
      <w:pPr>
        <w:spacing w:line="276" w:lineRule="auto"/>
        <w:jc w:val="both"/>
        <w:rPr>
          <w:b/>
          <w:bCs/>
          <w:color w:val="FF0000"/>
        </w:rPr>
      </w:pPr>
      <w:r w:rsidRPr="003E7DB9">
        <w:rPr>
          <w:b/>
          <w:bCs/>
          <w:color w:val="FF0000"/>
        </w:rPr>
        <w:t xml:space="preserve">Word count: </w:t>
      </w:r>
      <w:r w:rsidR="00BB792F">
        <w:rPr>
          <w:b/>
          <w:bCs/>
          <w:color w:val="FF0000"/>
        </w:rPr>
        <w:t>7033</w:t>
      </w:r>
    </w:p>
    <w:p w14:paraId="5D57194A" w14:textId="77777777" w:rsidR="003E7DB9" w:rsidRPr="003E7DB9" w:rsidRDefault="003E7DB9" w:rsidP="005B1470">
      <w:pPr>
        <w:spacing w:line="276" w:lineRule="auto"/>
        <w:jc w:val="both"/>
        <w:rPr>
          <w:b/>
          <w:bCs/>
        </w:rPr>
      </w:pPr>
    </w:p>
    <w:p w14:paraId="5D386DE4" w14:textId="58DCB664" w:rsidR="003102CD" w:rsidRPr="003E7DB9" w:rsidRDefault="003102CD" w:rsidP="00AF155A">
      <w:pPr>
        <w:jc w:val="both"/>
        <w:rPr>
          <w:b/>
          <w:bCs/>
        </w:rPr>
      </w:pPr>
      <w:r w:rsidRPr="003E7DB9">
        <w:rPr>
          <w:b/>
          <w:bCs/>
        </w:rPr>
        <w:t>Introduction</w:t>
      </w:r>
    </w:p>
    <w:p w14:paraId="264E101E" w14:textId="77777777" w:rsidR="003102CD" w:rsidRPr="003E7DB9" w:rsidRDefault="003102CD" w:rsidP="00AF155A">
      <w:pPr>
        <w:jc w:val="both"/>
        <w:rPr>
          <w:b/>
          <w:bCs/>
        </w:rPr>
      </w:pPr>
    </w:p>
    <w:p w14:paraId="11FEC9F7" w14:textId="0062AD6D" w:rsidR="00CB1355" w:rsidRPr="003E7DB9" w:rsidRDefault="003102CD" w:rsidP="00AF155A">
      <w:pPr>
        <w:jc w:val="both"/>
      </w:pPr>
      <w:r w:rsidRPr="003E7DB9">
        <w:t xml:space="preserve">Education is internationally recognised as a key element in peace building and reconciliation, particularly in divided societies (Horner </w:t>
      </w:r>
      <w:r w:rsidRPr="003E7DB9">
        <w:rPr>
          <w:i/>
          <w:iCs/>
        </w:rPr>
        <w:t>et al</w:t>
      </w:r>
      <w:r w:rsidRPr="003E7DB9">
        <w:t>., 2015</w:t>
      </w:r>
      <w:r w:rsidR="00AD73F5" w:rsidRPr="003E7DB9">
        <w:t xml:space="preserve">, </w:t>
      </w:r>
      <w:proofErr w:type="spellStart"/>
      <w:r w:rsidR="00AD73F5" w:rsidRPr="003E7DB9">
        <w:t>Novelli</w:t>
      </w:r>
      <w:proofErr w:type="spellEnd"/>
      <w:r w:rsidR="00AD73F5" w:rsidRPr="003E7DB9">
        <w:t xml:space="preserve"> </w:t>
      </w:r>
      <w:r w:rsidR="00AD73F5" w:rsidRPr="003E7DB9">
        <w:rPr>
          <w:i/>
          <w:iCs/>
        </w:rPr>
        <w:t>et al</w:t>
      </w:r>
      <w:r w:rsidR="00AD73F5" w:rsidRPr="003E7DB9">
        <w:t>., 2017</w:t>
      </w:r>
      <w:r w:rsidRPr="003E7DB9">
        <w:t xml:space="preserve">). </w:t>
      </w:r>
      <w:r w:rsidR="00CB1355" w:rsidRPr="003E7DB9">
        <w:t xml:space="preserve">A multicultural educational approach to education policy in divided societies can be argued to be contributing to social cohesion by breaking down social barriers, improving intergroup relations and allowing all communities to become full members of society.  Alternatively, conservative </w:t>
      </w:r>
      <w:r w:rsidR="00CB1355" w:rsidRPr="003E7DB9">
        <w:lastRenderedPageBreak/>
        <w:t xml:space="preserve">multiculturalism can be resented as </w:t>
      </w:r>
      <w:r w:rsidR="00161DC2" w:rsidRPr="003E7DB9">
        <w:t>‘</w:t>
      </w:r>
      <w:r w:rsidR="00CB1355" w:rsidRPr="003E7DB9">
        <w:t>…a cover for an ideology of assimilation</w:t>
      </w:r>
      <w:r w:rsidR="00161DC2" w:rsidRPr="003E7DB9">
        <w:t>’</w:t>
      </w:r>
      <w:r w:rsidR="00CB1355" w:rsidRPr="003E7DB9">
        <w:t xml:space="preserve"> (Al-Haj, 2002), with</w:t>
      </w:r>
      <w:r w:rsidR="0084023B" w:rsidRPr="003E7DB9">
        <w:t xml:space="preserve"> </w:t>
      </w:r>
      <w:r w:rsidR="00DE5AF3" w:rsidRPr="003E7DB9">
        <w:t>just one worldview accepted</w:t>
      </w:r>
      <w:r w:rsidR="0084023B" w:rsidRPr="003E7DB9">
        <w:t xml:space="preserve">. </w:t>
      </w:r>
      <w:r w:rsidR="00CB1355" w:rsidRPr="003E7DB9">
        <w:t xml:space="preserve">As agents of interventions, </w:t>
      </w:r>
      <w:r w:rsidR="00CB1355" w:rsidRPr="003E7DB9">
        <w:rPr>
          <w:rFonts w:eastAsiaTheme="minorHAnsi"/>
          <w:lang w:val="en-US"/>
        </w:rPr>
        <w:t xml:space="preserve">education systems can </w:t>
      </w:r>
      <w:r w:rsidR="00161DC2" w:rsidRPr="003E7DB9">
        <w:rPr>
          <w:rFonts w:eastAsiaTheme="minorHAnsi"/>
          <w:lang w:val="en-US"/>
        </w:rPr>
        <w:t>‘</w:t>
      </w:r>
      <w:r w:rsidR="00CB1355" w:rsidRPr="003E7DB9">
        <w:rPr>
          <w:rFonts w:eastAsiaTheme="minorHAnsi"/>
          <w:lang w:val="en-US"/>
        </w:rPr>
        <w:t>…</w:t>
      </w:r>
      <w:r w:rsidR="00CB1355" w:rsidRPr="003E7DB9">
        <w:t>influence situations of conflict—either contributing to violence or working against it</w:t>
      </w:r>
      <w:r w:rsidR="00161DC2" w:rsidRPr="003E7DB9">
        <w:t>’</w:t>
      </w:r>
      <w:r w:rsidR="00CB1355" w:rsidRPr="003E7DB9">
        <w:t xml:space="preserve"> </w:t>
      </w:r>
      <w:r w:rsidR="00CB1355" w:rsidRPr="003E7DB9">
        <w:rPr>
          <w:rFonts w:eastAsiaTheme="minorHAnsi"/>
          <w:lang w:val="en-US"/>
        </w:rPr>
        <w:t>(</w:t>
      </w:r>
      <w:proofErr w:type="spellStart"/>
      <w:r w:rsidR="00CB1355" w:rsidRPr="003E7DB9">
        <w:rPr>
          <w:rFonts w:eastAsiaTheme="minorHAnsi"/>
          <w:lang w:val="en-US"/>
        </w:rPr>
        <w:t>Novelli</w:t>
      </w:r>
      <w:proofErr w:type="spellEnd"/>
      <w:r w:rsidR="00CB1355" w:rsidRPr="003E7DB9">
        <w:rPr>
          <w:rFonts w:eastAsiaTheme="minorHAnsi"/>
          <w:lang w:val="en-US"/>
        </w:rPr>
        <w:t xml:space="preserve"> &amp; Lopes Cardozo, 2008:478).</w:t>
      </w:r>
    </w:p>
    <w:p w14:paraId="7696D2D5" w14:textId="77777777" w:rsidR="00CB1355" w:rsidRPr="003E7DB9" w:rsidRDefault="00CB1355" w:rsidP="00AF155A">
      <w:pPr>
        <w:jc w:val="both"/>
      </w:pPr>
    </w:p>
    <w:p w14:paraId="132327DF" w14:textId="63DF4417" w:rsidR="00CB1355" w:rsidRPr="003E7DB9" w:rsidRDefault="00CB1355" w:rsidP="00AF155A">
      <w:pPr>
        <w:autoSpaceDE w:val="0"/>
        <w:autoSpaceDN w:val="0"/>
        <w:adjustRightInd w:val="0"/>
        <w:jc w:val="both"/>
      </w:pPr>
      <w:r w:rsidRPr="003E7DB9">
        <w:t xml:space="preserve">Educational policy </w:t>
      </w:r>
      <w:r w:rsidR="00C71DA8" w:rsidRPr="003E7DB9">
        <w:t>may prioritise the</w:t>
      </w:r>
      <w:r w:rsidRPr="003E7DB9">
        <w:t xml:space="preserve"> provi</w:t>
      </w:r>
      <w:r w:rsidR="00C71DA8" w:rsidRPr="003E7DB9">
        <w:t>sion of</w:t>
      </w:r>
      <w:r w:rsidRPr="003E7DB9">
        <w:t xml:space="preserve"> schools where children from different communities are educated together. </w:t>
      </w:r>
      <w:r w:rsidR="00153F99" w:rsidRPr="003E7DB9">
        <w:t xml:space="preserve">Merely bringing the learners together into the same building may not address differences, and </w:t>
      </w:r>
      <w:proofErr w:type="spellStart"/>
      <w:r w:rsidRPr="003E7DB9">
        <w:t>Bekerman</w:t>
      </w:r>
      <w:proofErr w:type="spellEnd"/>
      <w:r w:rsidRPr="003E7DB9">
        <w:t xml:space="preserve"> </w:t>
      </w:r>
      <w:r w:rsidRPr="003E7DB9">
        <w:rPr>
          <w:i/>
        </w:rPr>
        <w:t>et al</w:t>
      </w:r>
      <w:r w:rsidRPr="003E7DB9">
        <w:t>. (2011) suggest that</w:t>
      </w:r>
      <w:r w:rsidR="00153F99" w:rsidRPr="003E7DB9">
        <w:t xml:space="preserve"> </w:t>
      </w:r>
      <w:r w:rsidRPr="003E7DB9">
        <w:t xml:space="preserve">schools </w:t>
      </w:r>
      <w:r w:rsidR="003102CD" w:rsidRPr="003E7DB9">
        <w:t xml:space="preserve">where children from different communities are educated together </w:t>
      </w:r>
      <w:r w:rsidRPr="003E7DB9">
        <w:t xml:space="preserve">should be </w:t>
      </w:r>
    </w:p>
    <w:p w14:paraId="46BD5E78" w14:textId="77777777" w:rsidR="00CB1355" w:rsidRPr="003E7DB9" w:rsidRDefault="00CB1355" w:rsidP="00AF155A">
      <w:pPr>
        <w:autoSpaceDE w:val="0"/>
        <w:autoSpaceDN w:val="0"/>
        <w:adjustRightInd w:val="0"/>
        <w:jc w:val="both"/>
      </w:pPr>
    </w:p>
    <w:p w14:paraId="69DDEDDE" w14:textId="157AE265" w:rsidR="00CB1355" w:rsidRPr="003E7DB9" w:rsidRDefault="00CB1355" w:rsidP="00AF155A">
      <w:pPr>
        <w:autoSpaceDE w:val="0"/>
        <w:autoSpaceDN w:val="0"/>
        <w:adjustRightInd w:val="0"/>
        <w:ind w:left="851" w:right="1082"/>
        <w:jc w:val="both"/>
        <w:rPr>
          <w:lang w:val="en-US"/>
        </w:rPr>
      </w:pPr>
      <w:r w:rsidRPr="003E7DB9">
        <w:t>…</w:t>
      </w:r>
      <w:r w:rsidRPr="003E7DB9">
        <w:rPr>
          <w:lang w:val="en-US"/>
        </w:rPr>
        <w:t xml:space="preserve">spheres in which the curriculum and the school ethos deal directly with areas of diversity while being committed to addressing cognitive and affective issues over </w:t>
      </w:r>
      <w:proofErr w:type="spellStart"/>
      <w:r w:rsidRPr="003E7DB9">
        <w:rPr>
          <w:lang w:val="en-US"/>
        </w:rPr>
        <w:t>behavioural</w:t>
      </w:r>
      <w:proofErr w:type="spellEnd"/>
      <w:r w:rsidRPr="003E7DB9">
        <w:rPr>
          <w:lang w:val="en-US"/>
        </w:rPr>
        <w:t xml:space="preserve"> ones (</w:t>
      </w:r>
      <w:r w:rsidR="00452D46" w:rsidRPr="003E7DB9">
        <w:rPr>
          <w:lang w:val="en-US"/>
        </w:rPr>
        <w:t>2011:</w:t>
      </w:r>
      <w:r w:rsidRPr="003E7DB9">
        <w:rPr>
          <w:lang w:val="en-US"/>
        </w:rPr>
        <w:t xml:space="preserve">391). </w:t>
      </w:r>
    </w:p>
    <w:p w14:paraId="01FB5A68" w14:textId="77777777" w:rsidR="00CB1355" w:rsidRPr="003E7DB9" w:rsidRDefault="00CB1355" w:rsidP="00AF155A">
      <w:pPr>
        <w:jc w:val="both"/>
      </w:pPr>
    </w:p>
    <w:p w14:paraId="22C80BD1" w14:textId="25C06344" w:rsidR="00CB1355" w:rsidRPr="003E7DB9" w:rsidRDefault="00CB1355" w:rsidP="00AF155A">
      <w:pPr>
        <w:jc w:val="both"/>
      </w:pPr>
      <w:r w:rsidRPr="003E7DB9">
        <w:t xml:space="preserve">In </w:t>
      </w:r>
      <w:r w:rsidR="00C71DA8" w:rsidRPr="003E7DB9">
        <w:t>some countries this poses a considerable challenge.</w:t>
      </w:r>
      <w:r w:rsidR="00E665D2" w:rsidRPr="003E7DB9">
        <w:t xml:space="preserve"> </w:t>
      </w:r>
    </w:p>
    <w:p w14:paraId="60ACF7A6" w14:textId="66A5943D" w:rsidR="00AD49AD" w:rsidRPr="003E7DB9" w:rsidRDefault="00AD49AD" w:rsidP="00AF155A">
      <w:pPr>
        <w:jc w:val="both"/>
      </w:pPr>
    </w:p>
    <w:p w14:paraId="7934C871" w14:textId="3DBEFD25" w:rsidR="00AD49AD" w:rsidRPr="003E7DB9" w:rsidRDefault="00AD49AD" w:rsidP="00AF155A">
      <w:pPr>
        <w:jc w:val="both"/>
        <w:rPr>
          <w:lang w:val="en-US"/>
        </w:rPr>
      </w:pPr>
      <w:r w:rsidRPr="003E7DB9">
        <w:t xml:space="preserve">This paper will examine the contested educational landscape of Northern Ireland by addressing an aspect of educational provision which </w:t>
      </w:r>
      <w:r w:rsidR="00153F99" w:rsidRPr="003E7DB9">
        <w:t>does</w:t>
      </w:r>
      <w:r w:rsidR="000631F4" w:rsidRPr="003E7DB9">
        <w:t xml:space="preserve"> not</w:t>
      </w:r>
      <w:r w:rsidR="00153F99" w:rsidRPr="003E7DB9">
        <w:t xml:space="preserve"> appear to have previously</w:t>
      </w:r>
      <w:r w:rsidRPr="003E7DB9">
        <w:t xml:space="preserve"> been researched:</w:t>
      </w:r>
      <w:r w:rsidR="000631F4" w:rsidRPr="003E7DB9">
        <w:t xml:space="preserve"> how common are</w:t>
      </w:r>
      <w:r w:rsidRPr="003E7DB9">
        <w:t xml:space="preserve"> </w:t>
      </w:r>
      <w:r w:rsidR="0084023B" w:rsidRPr="003E7DB9">
        <w:t xml:space="preserve">isolated </w:t>
      </w:r>
      <w:r w:rsidRPr="003E7DB9">
        <w:t xml:space="preserve">pairs of rural schools </w:t>
      </w:r>
      <w:r w:rsidR="00065229">
        <w:t xml:space="preserve">duplicating the provision of almost identical education for divided communities </w:t>
      </w:r>
      <w:r w:rsidR="000631F4" w:rsidRPr="003E7DB9">
        <w:t>and what challenges do they face</w:t>
      </w:r>
      <w:r w:rsidR="009E3CC1">
        <w:t>?</w:t>
      </w:r>
      <w:r w:rsidRPr="003E7DB9">
        <w:t xml:space="preserve"> </w:t>
      </w:r>
      <w:r w:rsidR="00C725EE">
        <w:t xml:space="preserve">A </w:t>
      </w:r>
      <w:r w:rsidR="00F326B1" w:rsidRPr="003E7DB9">
        <w:t xml:space="preserve">Geographical Information System </w:t>
      </w:r>
      <w:r w:rsidR="000631F4" w:rsidRPr="003E7DB9">
        <w:t xml:space="preserve">(GIS) </w:t>
      </w:r>
      <w:r w:rsidR="00113CB7" w:rsidRPr="003E7DB9">
        <w:t xml:space="preserve">was used for collation and analysis of </w:t>
      </w:r>
      <w:r w:rsidR="00F326B1" w:rsidRPr="003E7DB9">
        <w:t>data</w:t>
      </w:r>
      <w:r w:rsidR="000631F4" w:rsidRPr="003E7DB9">
        <w:t xml:space="preserve"> </w:t>
      </w:r>
      <w:r w:rsidR="00113CB7" w:rsidRPr="003E7DB9">
        <w:t>on educational provision</w:t>
      </w:r>
      <w:r w:rsidR="00F326B1" w:rsidRPr="003E7DB9">
        <w:t>. While t</w:t>
      </w:r>
      <w:r w:rsidRPr="003E7DB9">
        <w:t xml:space="preserve">his </w:t>
      </w:r>
      <w:r w:rsidR="00F326B1" w:rsidRPr="003E7DB9">
        <w:t xml:space="preserve">study is of particular importance </w:t>
      </w:r>
      <w:r w:rsidRPr="003E7DB9">
        <w:t>to educational structures in Northern Ireland</w:t>
      </w:r>
      <w:r w:rsidR="00F326B1" w:rsidRPr="003E7DB9">
        <w:t xml:space="preserve">, it </w:t>
      </w:r>
      <w:r w:rsidRPr="003E7DB9">
        <w:t>also</w:t>
      </w:r>
      <w:r w:rsidR="000631F4" w:rsidRPr="003E7DB9">
        <w:t xml:space="preserve"> may </w:t>
      </w:r>
      <w:r w:rsidRPr="003E7DB9">
        <w:t>contribut</w:t>
      </w:r>
      <w:r w:rsidR="000631F4" w:rsidRPr="003E7DB9">
        <w:t>e</w:t>
      </w:r>
      <w:r w:rsidRPr="003E7DB9">
        <w:t xml:space="preserve"> to </w:t>
      </w:r>
      <w:r w:rsidR="000631F4" w:rsidRPr="003E7DB9">
        <w:t xml:space="preserve">an understanding of </w:t>
      </w:r>
      <w:r w:rsidRPr="003E7DB9">
        <w:t>educational provision in divided societies</w:t>
      </w:r>
      <w:r w:rsidR="00F326B1" w:rsidRPr="003E7DB9">
        <w:t xml:space="preserve"> around the world</w:t>
      </w:r>
      <w:r w:rsidRPr="003E7DB9">
        <w:t>.</w:t>
      </w:r>
    </w:p>
    <w:p w14:paraId="6F7A2811" w14:textId="23FDAA86" w:rsidR="00CB1355" w:rsidRPr="003E7DB9" w:rsidRDefault="00CB1355" w:rsidP="00AF155A">
      <w:pPr>
        <w:jc w:val="both"/>
      </w:pPr>
    </w:p>
    <w:p w14:paraId="4CA0675C" w14:textId="490E8867" w:rsidR="007A37E7" w:rsidRPr="00C725EE" w:rsidRDefault="00AD49AD" w:rsidP="00C725EE">
      <w:pPr>
        <w:jc w:val="both"/>
        <w:rPr>
          <w:b/>
          <w:bCs/>
        </w:rPr>
      </w:pPr>
      <w:r w:rsidRPr="003E7DB9">
        <w:rPr>
          <w:b/>
          <w:bCs/>
        </w:rPr>
        <w:t>Context</w:t>
      </w:r>
      <w:r w:rsidR="00C725EE">
        <w:rPr>
          <w:b/>
          <w:bCs/>
        </w:rPr>
        <w:t xml:space="preserve">: </w:t>
      </w:r>
      <w:r w:rsidR="00A12A2B" w:rsidRPr="00C725EE">
        <w:rPr>
          <w:b/>
          <w:bCs/>
        </w:rPr>
        <w:t>Northern Ireland</w:t>
      </w:r>
    </w:p>
    <w:p w14:paraId="11D0EFB2" w14:textId="77777777" w:rsidR="000A05C7" w:rsidRPr="003E7DB9" w:rsidRDefault="000A05C7" w:rsidP="00AF155A">
      <w:pPr>
        <w:tabs>
          <w:tab w:val="left" w:pos="1276"/>
        </w:tabs>
        <w:jc w:val="both"/>
        <w:rPr>
          <w:b/>
          <w:bCs/>
          <w:lang w:val="en-US"/>
        </w:rPr>
      </w:pPr>
    </w:p>
    <w:p w14:paraId="66FF9E7A" w14:textId="1F8626D6" w:rsidR="000A05C7" w:rsidRPr="003E7DB9" w:rsidRDefault="00AF3E07" w:rsidP="00AF155A">
      <w:pPr>
        <w:tabs>
          <w:tab w:val="left" w:pos="1276"/>
        </w:tabs>
        <w:jc w:val="both"/>
        <w:rPr>
          <w:lang w:val="en-US"/>
        </w:rPr>
      </w:pPr>
      <w:r w:rsidRPr="003E7DB9">
        <w:rPr>
          <w:lang w:val="en-US"/>
        </w:rPr>
        <w:t xml:space="preserve">While geographically part of the island of Ireland, </w:t>
      </w:r>
      <w:r w:rsidR="000A05C7" w:rsidRPr="003E7DB9">
        <w:rPr>
          <w:lang w:val="en-US"/>
        </w:rPr>
        <w:t>Northern Ireland</w:t>
      </w:r>
      <w:r w:rsidR="004927BD" w:rsidRPr="003E7DB9">
        <w:rPr>
          <w:lang w:val="en-US"/>
        </w:rPr>
        <w:t xml:space="preserve"> (NI)</w:t>
      </w:r>
      <w:r w:rsidR="000A05C7" w:rsidRPr="003E7DB9">
        <w:rPr>
          <w:lang w:val="en-US"/>
        </w:rPr>
        <w:t xml:space="preserve"> is politically part of the United Kingdom</w:t>
      </w:r>
      <w:r w:rsidR="003102CD" w:rsidRPr="003E7DB9">
        <w:rPr>
          <w:lang w:val="en-US"/>
        </w:rPr>
        <w:t xml:space="preserve">. </w:t>
      </w:r>
      <w:r w:rsidR="004927BD" w:rsidRPr="003E7DB9">
        <w:rPr>
          <w:lang w:val="en-US"/>
        </w:rPr>
        <w:t>Socially d</w:t>
      </w:r>
      <w:r w:rsidR="00992CAB" w:rsidRPr="003E7DB9">
        <w:rPr>
          <w:lang w:val="en-US"/>
        </w:rPr>
        <w:t xml:space="preserve">ivided </w:t>
      </w:r>
      <w:r w:rsidR="00640E45" w:rsidRPr="003E7DB9">
        <w:rPr>
          <w:lang w:val="en-US"/>
        </w:rPr>
        <w:t xml:space="preserve">since its inception, </w:t>
      </w:r>
      <w:r w:rsidR="00992CAB" w:rsidRPr="003E7DB9">
        <w:rPr>
          <w:lang w:val="en-US"/>
        </w:rPr>
        <w:t xml:space="preserve">the major </w:t>
      </w:r>
      <w:r w:rsidR="00496D5A" w:rsidRPr="003E7DB9">
        <w:rPr>
          <w:lang w:val="en-US"/>
        </w:rPr>
        <w:t>cleavage</w:t>
      </w:r>
      <w:r w:rsidR="00992CAB" w:rsidRPr="003E7DB9">
        <w:rPr>
          <w:lang w:val="en-US"/>
        </w:rPr>
        <w:t xml:space="preserve"> </w:t>
      </w:r>
      <w:r w:rsidR="00640E45" w:rsidRPr="003E7DB9">
        <w:rPr>
          <w:lang w:val="en-US"/>
        </w:rPr>
        <w:t xml:space="preserve">is </w:t>
      </w:r>
      <w:r w:rsidR="00992CAB" w:rsidRPr="003E7DB9">
        <w:rPr>
          <w:lang w:val="en-US"/>
        </w:rPr>
        <w:t>characterised as ethno-sectarian</w:t>
      </w:r>
      <w:r w:rsidR="006B45A2">
        <w:rPr>
          <w:lang w:val="en-US"/>
        </w:rPr>
        <w:t>. There are two main communities: one can be characterised as Nationalist and Irish, as they generally wish for the re-unification of Ireland</w:t>
      </w:r>
      <w:r w:rsidR="009B4BB3">
        <w:rPr>
          <w:lang w:val="en-US"/>
        </w:rPr>
        <w:t>,</w:t>
      </w:r>
      <w:r w:rsidR="006B45A2">
        <w:rPr>
          <w:lang w:val="en-US"/>
        </w:rPr>
        <w:t xml:space="preserve"> and the other as Unionist and British, </w:t>
      </w:r>
      <w:r w:rsidR="009B4BB3">
        <w:rPr>
          <w:lang w:val="en-US"/>
        </w:rPr>
        <w:t>desiring to</w:t>
      </w:r>
      <w:r w:rsidR="006B45A2">
        <w:rPr>
          <w:lang w:val="en-US"/>
        </w:rPr>
        <w:t xml:space="preserve"> remain part of the United Kingdom. While </w:t>
      </w:r>
      <w:r w:rsidR="009B4BB3">
        <w:rPr>
          <w:lang w:val="en-US"/>
        </w:rPr>
        <w:t>far from</w:t>
      </w:r>
      <w:r w:rsidR="0068313E" w:rsidRPr="003E7DB9">
        <w:rPr>
          <w:lang w:val="en-US"/>
        </w:rPr>
        <w:t xml:space="preserve"> representative of the complexities of allegiance and political affiliations</w:t>
      </w:r>
      <w:r w:rsidR="003102CD" w:rsidRPr="003E7DB9">
        <w:rPr>
          <w:lang w:val="en-US"/>
        </w:rPr>
        <w:t xml:space="preserve">, </w:t>
      </w:r>
      <w:r w:rsidR="009B4BB3">
        <w:rPr>
          <w:lang w:val="en-US"/>
        </w:rPr>
        <w:t xml:space="preserve">and not necessarily implying theological adherence, </w:t>
      </w:r>
      <w:r w:rsidR="003102CD" w:rsidRPr="003E7DB9">
        <w:rPr>
          <w:lang w:val="en-US"/>
        </w:rPr>
        <w:t xml:space="preserve">the </w:t>
      </w:r>
      <w:r w:rsidR="006B45A2">
        <w:rPr>
          <w:lang w:val="en-US"/>
        </w:rPr>
        <w:t>shorthand</w:t>
      </w:r>
      <w:r w:rsidR="003102CD" w:rsidRPr="003E7DB9">
        <w:rPr>
          <w:lang w:val="en-US"/>
        </w:rPr>
        <w:t xml:space="preserve"> of </w:t>
      </w:r>
      <w:r w:rsidR="009B4BB3" w:rsidRPr="003E7DB9">
        <w:rPr>
          <w:lang w:val="en-US"/>
        </w:rPr>
        <w:t xml:space="preserve">‘Catholic’ </w:t>
      </w:r>
      <w:r w:rsidR="009B4BB3">
        <w:rPr>
          <w:lang w:val="en-US"/>
        </w:rPr>
        <w:t xml:space="preserve">and </w:t>
      </w:r>
      <w:r w:rsidR="00640E45" w:rsidRPr="003E7DB9">
        <w:rPr>
          <w:lang w:val="en-US"/>
        </w:rPr>
        <w:t>‘</w:t>
      </w:r>
      <w:r w:rsidR="003102CD" w:rsidRPr="003E7DB9">
        <w:rPr>
          <w:lang w:val="en-US"/>
        </w:rPr>
        <w:t>Protestant</w:t>
      </w:r>
      <w:r w:rsidR="00640E45" w:rsidRPr="003E7DB9">
        <w:rPr>
          <w:lang w:val="en-US"/>
        </w:rPr>
        <w:t>’</w:t>
      </w:r>
      <w:r w:rsidR="003102CD" w:rsidRPr="003E7DB9">
        <w:rPr>
          <w:lang w:val="en-US"/>
        </w:rPr>
        <w:t xml:space="preserve"> is often used for the</w:t>
      </w:r>
      <w:r w:rsidR="009B4BB3">
        <w:rPr>
          <w:lang w:val="en-US"/>
        </w:rPr>
        <w:t>se</w:t>
      </w:r>
      <w:r w:rsidR="003102CD" w:rsidRPr="003E7DB9">
        <w:rPr>
          <w:lang w:val="en-US"/>
        </w:rPr>
        <w:t xml:space="preserve"> opposing communities. </w:t>
      </w:r>
      <w:r w:rsidR="006377C5">
        <w:rPr>
          <w:lang w:val="en-US"/>
        </w:rPr>
        <w:t>Many divided societies around the world such as Belgium and New Zealand have managed to develop amicable intergroup relationships and effective political structures, avoiding violence, but conflict in Ireland has seemed ‘intractable’ (Bar-Tal, 2007). Ethno-sectarian</w:t>
      </w:r>
      <w:r w:rsidR="006377C5" w:rsidRPr="003E7DB9">
        <w:rPr>
          <w:lang w:val="en-US"/>
        </w:rPr>
        <w:t xml:space="preserve"> </w:t>
      </w:r>
      <w:r w:rsidR="00640E45" w:rsidRPr="003E7DB9">
        <w:rPr>
          <w:lang w:val="en-US"/>
        </w:rPr>
        <w:t>identities</w:t>
      </w:r>
      <w:r w:rsidR="0068313E" w:rsidRPr="003E7DB9">
        <w:rPr>
          <w:lang w:val="en-US"/>
        </w:rPr>
        <w:t xml:space="preserve"> remain strong</w:t>
      </w:r>
      <w:r w:rsidR="004927BD" w:rsidRPr="003E7DB9">
        <w:rPr>
          <w:lang w:val="en-US"/>
        </w:rPr>
        <w:t xml:space="preserve"> </w:t>
      </w:r>
      <w:r w:rsidR="0068313E" w:rsidRPr="003E7DB9">
        <w:rPr>
          <w:lang w:val="en-US"/>
        </w:rPr>
        <w:t>and</w:t>
      </w:r>
      <w:r w:rsidR="004E1599" w:rsidRPr="003E7DB9">
        <w:rPr>
          <w:lang w:val="en-US"/>
        </w:rPr>
        <w:t xml:space="preserve"> Northern Ireland </w:t>
      </w:r>
      <w:r w:rsidR="000A05C7" w:rsidRPr="003E7DB9">
        <w:rPr>
          <w:lang w:val="en-US"/>
        </w:rPr>
        <w:t xml:space="preserve">experienced a </w:t>
      </w:r>
      <w:r w:rsidR="004927BD" w:rsidRPr="003E7DB9">
        <w:rPr>
          <w:lang w:val="en-US"/>
        </w:rPr>
        <w:t xml:space="preserve">30-year </w:t>
      </w:r>
      <w:r w:rsidR="000A05C7" w:rsidRPr="003E7DB9">
        <w:rPr>
          <w:lang w:val="en-US"/>
        </w:rPr>
        <w:t>conflict until the signing of the Good Friday/Belfast Agreement in 1998</w:t>
      </w:r>
      <w:r w:rsidR="00B54F7D" w:rsidRPr="003E7DB9">
        <w:rPr>
          <w:lang w:val="en-US"/>
        </w:rPr>
        <w:t xml:space="preserve">. </w:t>
      </w:r>
      <w:r w:rsidR="00B54F7D" w:rsidRPr="003E7DB9">
        <w:rPr>
          <w:rFonts w:eastAsiaTheme="minorHAnsi"/>
        </w:rPr>
        <w:t>More than 3,</w:t>
      </w:r>
      <w:r w:rsidR="00B432F6" w:rsidRPr="003E7DB9">
        <w:rPr>
          <w:rFonts w:eastAsiaTheme="minorHAnsi"/>
        </w:rPr>
        <w:t>6</w:t>
      </w:r>
      <w:r w:rsidR="00B54F7D" w:rsidRPr="003E7DB9">
        <w:rPr>
          <w:rFonts w:eastAsiaTheme="minorHAnsi"/>
        </w:rPr>
        <w:t xml:space="preserve">00 people were killed and 30,000 injured </w:t>
      </w:r>
      <w:r w:rsidR="00B54F7D" w:rsidRPr="003E7DB9">
        <w:t xml:space="preserve">(McKittrick </w:t>
      </w:r>
      <w:r w:rsidR="00B54F7D" w:rsidRPr="003E7DB9">
        <w:rPr>
          <w:i/>
          <w:iCs/>
        </w:rPr>
        <w:t>et al</w:t>
      </w:r>
      <w:r w:rsidR="00B54F7D" w:rsidRPr="003E7DB9">
        <w:t xml:space="preserve">., </w:t>
      </w:r>
      <w:r w:rsidR="007137CB" w:rsidRPr="003E7DB9">
        <w:t>1999</w:t>
      </w:r>
      <w:r w:rsidR="00B54F7D" w:rsidRPr="003E7DB9">
        <w:t>)</w:t>
      </w:r>
      <w:r w:rsidR="0064014C" w:rsidRPr="003E7DB9">
        <w:t xml:space="preserve"> which, s</w:t>
      </w:r>
      <w:r w:rsidR="00B54F7D" w:rsidRPr="003E7DB9">
        <w:t>caled to the population of Great Britain, is the equivalent of 126,000 dead and 1.8 million injured (Horgan, 2006:659)</w:t>
      </w:r>
      <w:r w:rsidR="000A05C7" w:rsidRPr="003E7DB9">
        <w:rPr>
          <w:lang w:val="en-US"/>
        </w:rPr>
        <w:t xml:space="preserve">. Despite </w:t>
      </w:r>
      <w:r w:rsidR="004927BD" w:rsidRPr="003E7DB9">
        <w:rPr>
          <w:lang w:val="en-US"/>
        </w:rPr>
        <w:t xml:space="preserve">the agreement being signed </w:t>
      </w:r>
      <w:r w:rsidR="000A05C7" w:rsidRPr="003E7DB9">
        <w:rPr>
          <w:lang w:val="en-US"/>
        </w:rPr>
        <w:t xml:space="preserve">over 20 years </w:t>
      </w:r>
      <w:r w:rsidR="004927BD" w:rsidRPr="003E7DB9">
        <w:rPr>
          <w:lang w:val="en-US"/>
        </w:rPr>
        <w:t>ago</w:t>
      </w:r>
      <w:r w:rsidR="000A05C7" w:rsidRPr="003E7DB9">
        <w:rPr>
          <w:lang w:val="en-US"/>
        </w:rPr>
        <w:t xml:space="preserve">, </w:t>
      </w:r>
      <w:r w:rsidR="004927BD" w:rsidRPr="003E7DB9">
        <w:rPr>
          <w:lang w:val="en-US"/>
        </w:rPr>
        <w:t>NI</w:t>
      </w:r>
      <w:r w:rsidR="000A05C7" w:rsidRPr="003E7DB9">
        <w:rPr>
          <w:lang w:val="en-US"/>
        </w:rPr>
        <w:t xml:space="preserve"> society can still be characterised as emerging from conflict (</w:t>
      </w:r>
      <w:r w:rsidR="008E6A15" w:rsidRPr="003E7DB9">
        <w:rPr>
          <w:lang w:val="en-US"/>
        </w:rPr>
        <w:t>McQuaid, 2017</w:t>
      </w:r>
      <w:r w:rsidR="000A05C7" w:rsidRPr="003E7DB9">
        <w:rPr>
          <w:lang w:val="en-US"/>
        </w:rPr>
        <w:t xml:space="preserve">) and </w:t>
      </w:r>
      <w:r w:rsidR="009B4BB3">
        <w:rPr>
          <w:lang w:val="en-US"/>
        </w:rPr>
        <w:t>remains</w:t>
      </w:r>
      <w:r w:rsidR="000A05C7" w:rsidRPr="003E7DB9">
        <w:rPr>
          <w:lang w:val="en-US"/>
        </w:rPr>
        <w:t xml:space="preserve"> fundamentally divided </w:t>
      </w:r>
      <w:r w:rsidR="00D46872">
        <w:rPr>
          <w:lang w:val="en-US"/>
        </w:rPr>
        <w:t xml:space="preserve">economically, socially and </w:t>
      </w:r>
      <w:r w:rsidR="00E844AF">
        <w:rPr>
          <w:lang w:val="en-US"/>
        </w:rPr>
        <w:t>politically</w:t>
      </w:r>
      <w:r w:rsidR="00992CAB" w:rsidRPr="003E7DB9">
        <w:rPr>
          <w:lang w:val="en-US"/>
        </w:rPr>
        <w:t xml:space="preserve"> (</w:t>
      </w:r>
      <w:r w:rsidR="008E6A15" w:rsidRPr="003E7DB9">
        <w:rPr>
          <w:lang w:val="en-US"/>
        </w:rPr>
        <w:t>Ramsey and Waterhouse-Bradley, 2018</w:t>
      </w:r>
      <w:r w:rsidR="00992CAB" w:rsidRPr="003E7DB9">
        <w:rPr>
          <w:lang w:val="en-US"/>
        </w:rPr>
        <w:t>)</w:t>
      </w:r>
      <w:r w:rsidR="000A05C7" w:rsidRPr="003E7DB9">
        <w:rPr>
          <w:lang w:val="en-US"/>
        </w:rPr>
        <w:t xml:space="preserve">. </w:t>
      </w:r>
      <w:r w:rsidR="00992CAB" w:rsidRPr="003E7DB9">
        <w:rPr>
          <w:lang w:val="en-US"/>
        </w:rPr>
        <w:t xml:space="preserve">This is highlighted in the fact that there </w:t>
      </w:r>
      <w:r w:rsidR="005E4D4E" w:rsidRPr="003E7DB9">
        <w:rPr>
          <w:lang w:val="en-US"/>
        </w:rPr>
        <w:t xml:space="preserve">was </w:t>
      </w:r>
      <w:r w:rsidR="00992CAB" w:rsidRPr="003E7DB9">
        <w:rPr>
          <w:lang w:val="en-US"/>
        </w:rPr>
        <w:t xml:space="preserve">no </w:t>
      </w:r>
      <w:r w:rsidR="00D46872">
        <w:rPr>
          <w:lang w:val="en-US"/>
        </w:rPr>
        <w:t xml:space="preserve">devolved </w:t>
      </w:r>
      <w:r w:rsidR="00992CAB" w:rsidRPr="003E7DB9">
        <w:rPr>
          <w:lang w:val="en-US"/>
        </w:rPr>
        <w:t xml:space="preserve">government in </w:t>
      </w:r>
      <w:r w:rsidR="004927BD" w:rsidRPr="003E7DB9">
        <w:rPr>
          <w:lang w:val="en-US"/>
        </w:rPr>
        <w:t>NI</w:t>
      </w:r>
      <w:r w:rsidR="00C34454">
        <w:rPr>
          <w:lang w:val="en-US"/>
        </w:rPr>
        <w:t xml:space="preserve"> </w:t>
      </w:r>
      <w:r w:rsidR="005E4D4E" w:rsidRPr="003E7DB9">
        <w:rPr>
          <w:lang w:val="en-US"/>
        </w:rPr>
        <w:t xml:space="preserve">for a </w:t>
      </w:r>
      <w:r w:rsidR="00B432F6" w:rsidRPr="003E7DB9">
        <w:rPr>
          <w:lang w:val="en-US"/>
        </w:rPr>
        <w:t>three-year</w:t>
      </w:r>
      <w:r w:rsidR="005E4D4E" w:rsidRPr="003E7DB9">
        <w:rPr>
          <w:lang w:val="en-US"/>
        </w:rPr>
        <w:t xml:space="preserve"> period from </w:t>
      </w:r>
      <w:r w:rsidR="00992CAB" w:rsidRPr="003E7DB9">
        <w:rPr>
          <w:lang w:val="en-US"/>
        </w:rPr>
        <w:t xml:space="preserve">January 2017 </w:t>
      </w:r>
      <w:r w:rsidR="00B432F6" w:rsidRPr="003E7DB9">
        <w:rPr>
          <w:lang w:val="en-US"/>
        </w:rPr>
        <w:t xml:space="preserve">after disagreements </w:t>
      </w:r>
      <w:r w:rsidR="009B4BB3" w:rsidRPr="003E7DB9">
        <w:rPr>
          <w:lang w:val="en-US"/>
        </w:rPr>
        <w:t>in the regional parliament</w:t>
      </w:r>
      <w:r w:rsidR="009B4BB3">
        <w:rPr>
          <w:lang w:val="en-US"/>
        </w:rPr>
        <w:t xml:space="preserve"> between political parties representing the two opposing communities</w:t>
      </w:r>
      <w:r w:rsidR="00B432F6" w:rsidRPr="003E7DB9">
        <w:rPr>
          <w:lang w:val="en-US"/>
        </w:rPr>
        <w:t xml:space="preserve">. </w:t>
      </w:r>
      <w:r w:rsidR="000A05C7" w:rsidRPr="003E7DB9">
        <w:rPr>
          <w:lang w:val="en-US"/>
        </w:rPr>
        <w:t>It is that divi</w:t>
      </w:r>
      <w:r w:rsidR="00992CAB" w:rsidRPr="003E7DB9">
        <w:rPr>
          <w:lang w:val="en-US"/>
        </w:rPr>
        <w:t>ded society</w:t>
      </w:r>
      <w:r w:rsidR="000A05C7" w:rsidRPr="003E7DB9">
        <w:rPr>
          <w:lang w:val="en-US"/>
        </w:rPr>
        <w:t xml:space="preserve"> and the impact of that </w:t>
      </w:r>
      <w:r w:rsidRPr="003E7DB9">
        <w:rPr>
          <w:lang w:val="en-US"/>
        </w:rPr>
        <w:t xml:space="preserve">division </w:t>
      </w:r>
      <w:r w:rsidR="000A05C7" w:rsidRPr="003E7DB9">
        <w:rPr>
          <w:lang w:val="en-US"/>
        </w:rPr>
        <w:t xml:space="preserve">on </w:t>
      </w:r>
      <w:r w:rsidR="002D29AE" w:rsidRPr="003E7DB9">
        <w:rPr>
          <w:lang w:val="en-US"/>
        </w:rPr>
        <w:t xml:space="preserve">educational provision </w:t>
      </w:r>
      <w:r w:rsidR="000A05C7" w:rsidRPr="003E7DB9">
        <w:rPr>
          <w:lang w:val="en-US"/>
        </w:rPr>
        <w:t xml:space="preserve">that </w:t>
      </w:r>
      <w:r w:rsidR="004E1599" w:rsidRPr="003E7DB9">
        <w:rPr>
          <w:lang w:val="en-US"/>
        </w:rPr>
        <w:t>provide</w:t>
      </w:r>
      <w:r w:rsidR="009B4BB3">
        <w:rPr>
          <w:lang w:val="en-US"/>
        </w:rPr>
        <w:t>s</w:t>
      </w:r>
      <w:r w:rsidR="000A05C7" w:rsidRPr="003E7DB9">
        <w:rPr>
          <w:lang w:val="en-US"/>
        </w:rPr>
        <w:t xml:space="preserve"> the focus of this paper.</w:t>
      </w:r>
    </w:p>
    <w:p w14:paraId="1050D5D5" w14:textId="77777777" w:rsidR="000A05C7" w:rsidRPr="003E7DB9" w:rsidRDefault="000A05C7" w:rsidP="00AF155A">
      <w:pPr>
        <w:tabs>
          <w:tab w:val="left" w:pos="1276"/>
        </w:tabs>
        <w:jc w:val="both"/>
        <w:rPr>
          <w:lang w:val="en-US"/>
        </w:rPr>
      </w:pPr>
    </w:p>
    <w:p w14:paraId="4A7B3B1E" w14:textId="30BF88F6" w:rsidR="00043BFC" w:rsidRPr="003E7DB9" w:rsidRDefault="00A66332" w:rsidP="00AF155A">
      <w:pPr>
        <w:pStyle w:val="Default"/>
        <w:jc w:val="both"/>
        <w:rPr>
          <w:rFonts w:ascii="Times New Roman" w:hAnsi="Times New Roman" w:cs="Times New Roman"/>
          <w:color w:val="000000" w:themeColor="text1"/>
        </w:rPr>
      </w:pPr>
      <w:r w:rsidRPr="003E7DB9">
        <w:rPr>
          <w:rFonts w:ascii="Times New Roman" w:hAnsi="Times New Roman" w:cs="Times New Roman"/>
          <w:lang w:val="en-US"/>
        </w:rPr>
        <w:t>W</w:t>
      </w:r>
      <w:r w:rsidR="004F7155" w:rsidRPr="003E7DB9">
        <w:rPr>
          <w:rFonts w:ascii="Times New Roman" w:hAnsi="Times New Roman" w:cs="Times New Roman"/>
          <w:lang w:val="en-US"/>
        </w:rPr>
        <w:t xml:space="preserve">hile the </w:t>
      </w:r>
      <w:r w:rsidR="00640E45" w:rsidRPr="003E7DB9">
        <w:rPr>
          <w:rFonts w:ascii="Times New Roman" w:hAnsi="Times New Roman" w:cs="Times New Roman"/>
          <w:lang w:val="en-US"/>
        </w:rPr>
        <w:t>1998 peace</w:t>
      </w:r>
      <w:r w:rsidR="004F7155" w:rsidRPr="003E7DB9">
        <w:rPr>
          <w:rFonts w:ascii="Times New Roman" w:hAnsi="Times New Roman" w:cs="Times New Roman"/>
          <w:lang w:val="en-US"/>
        </w:rPr>
        <w:t xml:space="preserve"> </w:t>
      </w:r>
      <w:r w:rsidR="00640E45" w:rsidRPr="003E7DB9">
        <w:rPr>
          <w:rFonts w:ascii="Times New Roman" w:hAnsi="Times New Roman" w:cs="Times New Roman"/>
          <w:lang w:val="en-US"/>
        </w:rPr>
        <w:t>a</w:t>
      </w:r>
      <w:r w:rsidR="004F7155" w:rsidRPr="003E7DB9">
        <w:rPr>
          <w:rFonts w:ascii="Times New Roman" w:hAnsi="Times New Roman" w:cs="Times New Roman"/>
          <w:lang w:val="en-US"/>
        </w:rPr>
        <w:t xml:space="preserve">greement may have heralded an end to the large-scale conflict, many communities </w:t>
      </w:r>
      <w:r w:rsidR="008A42C1">
        <w:rPr>
          <w:rFonts w:ascii="Times New Roman" w:hAnsi="Times New Roman" w:cs="Times New Roman"/>
          <w:lang w:val="en-US"/>
        </w:rPr>
        <w:t xml:space="preserve">continue to </w:t>
      </w:r>
      <w:r w:rsidR="004F7155" w:rsidRPr="003E7DB9">
        <w:rPr>
          <w:rFonts w:ascii="Times New Roman" w:hAnsi="Times New Roman" w:cs="Times New Roman"/>
          <w:lang w:val="en-US"/>
        </w:rPr>
        <w:t xml:space="preserve">live apart </w:t>
      </w:r>
      <w:r w:rsidR="009B4BB3">
        <w:rPr>
          <w:rFonts w:ascii="Times New Roman" w:hAnsi="Times New Roman" w:cs="Times New Roman"/>
          <w:lang w:val="en-US"/>
        </w:rPr>
        <w:t xml:space="preserve">and socialise separately </w:t>
      </w:r>
      <w:r w:rsidR="004F7155" w:rsidRPr="003E7DB9">
        <w:rPr>
          <w:rFonts w:ascii="Times New Roman" w:hAnsi="Times New Roman" w:cs="Times New Roman"/>
          <w:lang w:val="en-US"/>
        </w:rPr>
        <w:t xml:space="preserve">(Roulston </w:t>
      </w:r>
      <w:r w:rsidR="004F7155" w:rsidRPr="003E7DB9">
        <w:rPr>
          <w:rFonts w:ascii="Times New Roman" w:hAnsi="Times New Roman" w:cs="Times New Roman"/>
          <w:i/>
          <w:iCs/>
          <w:lang w:val="en-US"/>
        </w:rPr>
        <w:t>et al</w:t>
      </w:r>
      <w:r w:rsidR="004F7155" w:rsidRPr="003E7DB9">
        <w:rPr>
          <w:rFonts w:ascii="Times New Roman" w:hAnsi="Times New Roman" w:cs="Times New Roman"/>
          <w:lang w:val="en-US"/>
        </w:rPr>
        <w:t>., 2017</w:t>
      </w:r>
      <w:r w:rsidR="00D227A3" w:rsidRPr="003E7DB9">
        <w:rPr>
          <w:rFonts w:ascii="Times New Roman" w:hAnsi="Times New Roman" w:cs="Times New Roman"/>
          <w:lang w:val="en-US"/>
        </w:rPr>
        <w:t>)</w:t>
      </w:r>
      <w:r w:rsidR="009B4BB3">
        <w:rPr>
          <w:rFonts w:ascii="Times New Roman" w:hAnsi="Times New Roman" w:cs="Times New Roman"/>
          <w:lang w:val="en-US"/>
        </w:rPr>
        <w:t>. In general, they are also</w:t>
      </w:r>
      <w:r w:rsidR="00D227A3" w:rsidRPr="003E7DB9">
        <w:rPr>
          <w:rFonts w:ascii="Times New Roman" w:hAnsi="Times New Roman" w:cs="Times New Roman"/>
          <w:lang w:val="en-US"/>
        </w:rPr>
        <w:t xml:space="preserve"> educated separately</w:t>
      </w:r>
      <w:r w:rsidR="004F7155" w:rsidRPr="003E7DB9">
        <w:rPr>
          <w:rFonts w:ascii="Times New Roman" w:hAnsi="Times New Roman" w:cs="Times New Roman"/>
          <w:lang w:val="en-US"/>
        </w:rPr>
        <w:t xml:space="preserve">. </w:t>
      </w:r>
      <w:r w:rsidR="003B7450" w:rsidRPr="003E7DB9">
        <w:rPr>
          <w:rFonts w:ascii="Times New Roman" w:hAnsi="Times New Roman" w:cs="Times New Roman"/>
          <w:color w:val="000000" w:themeColor="text1"/>
        </w:rPr>
        <w:t>In Northern Ireland</w:t>
      </w:r>
    </w:p>
    <w:p w14:paraId="419BA0D4" w14:textId="0A75C71A" w:rsidR="000631F4" w:rsidRPr="003E7DB9" w:rsidRDefault="000631F4" w:rsidP="00AF155A">
      <w:pPr>
        <w:pStyle w:val="Default"/>
        <w:jc w:val="both"/>
        <w:rPr>
          <w:rFonts w:ascii="Times New Roman" w:hAnsi="Times New Roman" w:cs="Times New Roman"/>
          <w:color w:val="000000" w:themeColor="text1"/>
        </w:rPr>
      </w:pPr>
    </w:p>
    <w:p w14:paraId="6363DB01" w14:textId="2006524E" w:rsidR="000631F4" w:rsidRPr="003E7DB9" w:rsidRDefault="003B7450" w:rsidP="00AF155A">
      <w:pPr>
        <w:pStyle w:val="Default"/>
        <w:ind w:left="851" w:right="804"/>
        <w:jc w:val="both"/>
        <w:rPr>
          <w:rFonts w:ascii="Times New Roman" w:hAnsi="Times New Roman" w:cs="Times New Roman"/>
          <w:lang w:val="en-US"/>
        </w:rPr>
      </w:pPr>
      <w:r w:rsidRPr="003E7DB9">
        <w:rPr>
          <w:rFonts w:ascii="Times New Roman" w:hAnsi="Times New Roman" w:cs="Times New Roman"/>
          <w:color w:val="000000" w:themeColor="text1"/>
        </w:rPr>
        <w:t xml:space="preserve">…the basis of enmity and territoriality remains largely undiminished and … fear and prejudice are both enduring edifices of ethno-sectarian practice [creating a] …burden that remains embedded in the segregated spaces that are a legacy of Northern Ireland’s distinctive sectarian history. (Shirlow, 2016)  </w:t>
      </w:r>
    </w:p>
    <w:p w14:paraId="1A7CC0E7" w14:textId="77777777" w:rsidR="00043BFC" w:rsidRPr="003E7DB9" w:rsidRDefault="00043BFC" w:rsidP="00AF155A">
      <w:pPr>
        <w:autoSpaceDE w:val="0"/>
        <w:autoSpaceDN w:val="0"/>
        <w:adjustRightInd w:val="0"/>
        <w:ind w:right="798"/>
        <w:jc w:val="both"/>
        <w:rPr>
          <w:rFonts w:eastAsiaTheme="minorHAnsi"/>
          <w:lang w:val="en-US"/>
        </w:rPr>
      </w:pPr>
    </w:p>
    <w:p w14:paraId="2D9D71DE" w14:textId="788C96D0" w:rsidR="00750A8D" w:rsidRPr="003E7DB9" w:rsidRDefault="00750A8D" w:rsidP="00AF155A">
      <w:pPr>
        <w:autoSpaceDE w:val="0"/>
        <w:autoSpaceDN w:val="0"/>
        <w:adjustRightInd w:val="0"/>
        <w:jc w:val="both"/>
        <w:rPr>
          <w:lang w:val="en-US"/>
        </w:rPr>
      </w:pPr>
      <w:r w:rsidRPr="003E7DB9">
        <w:rPr>
          <w:lang w:val="en-US"/>
        </w:rPr>
        <w:t>While</w:t>
      </w:r>
      <w:r w:rsidR="009B4BB3">
        <w:rPr>
          <w:lang w:val="en-US"/>
        </w:rPr>
        <w:t xml:space="preserve"> so-called</w:t>
      </w:r>
      <w:r w:rsidRPr="003E7DB9">
        <w:rPr>
          <w:lang w:val="en-US"/>
        </w:rPr>
        <w:t xml:space="preserve"> ‘Peace Lines’ </w:t>
      </w:r>
      <w:r w:rsidR="00D227A3" w:rsidRPr="003E7DB9">
        <w:rPr>
          <w:lang w:val="en-US"/>
        </w:rPr>
        <w:t xml:space="preserve">– fortified structures </w:t>
      </w:r>
      <w:r w:rsidRPr="003E7DB9">
        <w:rPr>
          <w:lang w:val="en-US"/>
        </w:rPr>
        <w:t>div</w:t>
      </w:r>
      <w:r w:rsidR="005D6A7E" w:rsidRPr="003E7DB9">
        <w:rPr>
          <w:lang w:val="en-US"/>
        </w:rPr>
        <w:t>id</w:t>
      </w:r>
      <w:r w:rsidRPr="003E7DB9">
        <w:rPr>
          <w:lang w:val="en-US"/>
        </w:rPr>
        <w:t xml:space="preserve">ing communities </w:t>
      </w:r>
      <w:r w:rsidR="00D227A3" w:rsidRPr="003E7DB9">
        <w:rPr>
          <w:lang w:val="en-US"/>
        </w:rPr>
        <w:t xml:space="preserve">– </w:t>
      </w:r>
      <w:r w:rsidRPr="003E7DB9">
        <w:rPr>
          <w:lang w:val="en-US"/>
        </w:rPr>
        <w:t xml:space="preserve">are restricted to Belfast and a couple of other urban areas, even small villages may be divided into areas perceived as ‘Protestant’ or ‘Catholic’. </w:t>
      </w:r>
      <w:r w:rsidR="009B4BB3">
        <w:rPr>
          <w:lang w:val="en-US"/>
        </w:rPr>
        <w:t xml:space="preserve">Harris (1972, 1979) </w:t>
      </w:r>
      <w:r w:rsidR="00DA1F4A">
        <w:rPr>
          <w:lang w:val="en-US"/>
        </w:rPr>
        <w:t>brought an anthropologist’s viewpoint and described the dual nature of service provision in small town Northern Ireland with ‘Catholic’ shops and ‘Protestant’ shops, for example. Such divisions are still current today</w:t>
      </w:r>
      <w:r w:rsidR="008A42C1">
        <w:rPr>
          <w:lang w:val="en-US"/>
        </w:rPr>
        <w:t xml:space="preserve">; </w:t>
      </w:r>
      <w:r w:rsidRPr="003E7DB9">
        <w:rPr>
          <w:lang w:val="en-US"/>
        </w:rPr>
        <w:t xml:space="preserve">Hamilton </w:t>
      </w:r>
      <w:r w:rsidRPr="003E7DB9">
        <w:rPr>
          <w:i/>
          <w:iCs/>
          <w:lang w:val="en-US"/>
        </w:rPr>
        <w:t>et al.</w:t>
      </w:r>
      <w:r w:rsidRPr="003E7DB9">
        <w:rPr>
          <w:lang w:val="en-US"/>
        </w:rPr>
        <w:t xml:space="preserve"> (2008) </w:t>
      </w:r>
      <w:r w:rsidR="00640E45" w:rsidRPr="003E7DB9">
        <w:rPr>
          <w:lang w:val="en-US"/>
        </w:rPr>
        <w:t>describe</w:t>
      </w:r>
      <w:r w:rsidRPr="003E7DB9">
        <w:rPr>
          <w:lang w:val="en-US"/>
        </w:rPr>
        <w:t xml:space="preserve"> one small </w:t>
      </w:r>
      <w:r w:rsidR="00640E45" w:rsidRPr="003E7DB9">
        <w:rPr>
          <w:lang w:val="en-US"/>
        </w:rPr>
        <w:t>settlement</w:t>
      </w:r>
      <w:r w:rsidRPr="003E7DB9">
        <w:rPr>
          <w:lang w:val="en-US"/>
        </w:rPr>
        <w:t xml:space="preserve"> </w:t>
      </w:r>
      <w:r w:rsidR="00640E45" w:rsidRPr="003E7DB9">
        <w:rPr>
          <w:lang w:val="en-US"/>
        </w:rPr>
        <w:t>with</w:t>
      </w:r>
      <w:r w:rsidRPr="003E7DB9">
        <w:rPr>
          <w:lang w:val="en-US"/>
        </w:rPr>
        <w:t xml:space="preserve"> ATM machines at different sides of the village, each used by one of the two communities. </w:t>
      </w:r>
    </w:p>
    <w:p w14:paraId="2EBE3353" w14:textId="77777777" w:rsidR="00750A8D" w:rsidRPr="003E7DB9" w:rsidRDefault="00750A8D" w:rsidP="00AF155A">
      <w:pPr>
        <w:autoSpaceDE w:val="0"/>
        <w:autoSpaceDN w:val="0"/>
        <w:adjustRightInd w:val="0"/>
        <w:jc w:val="both"/>
        <w:rPr>
          <w:lang w:val="en-US"/>
        </w:rPr>
      </w:pPr>
    </w:p>
    <w:p w14:paraId="198FC779" w14:textId="017ECE17" w:rsidR="005E08DC" w:rsidRPr="00C34454" w:rsidRDefault="00D665A6" w:rsidP="00AF155A">
      <w:pPr>
        <w:autoSpaceDE w:val="0"/>
        <w:autoSpaceDN w:val="0"/>
        <w:adjustRightInd w:val="0"/>
        <w:jc w:val="both"/>
        <w:rPr>
          <w:sz w:val="23"/>
          <w:szCs w:val="23"/>
        </w:rPr>
      </w:pPr>
      <w:r>
        <w:rPr>
          <w:sz w:val="23"/>
          <w:szCs w:val="23"/>
        </w:rPr>
        <w:t xml:space="preserve">In 2013, the Northern Ireland Assembly committed to </w:t>
      </w:r>
      <w:r w:rsidR="008A42C1">
        <w:rPr>
          <w:sz w:val="23"/>
          <w:szCs w:val="23"/>
        </w:rPr>
        <w:t>‘</w:t>
      </w:r>
      <w:r>
        <w:rPr>
          <w:sz w:val="23"/>
          <w:szCs w:val="23"/>
        </w:rPr>
        <w:t>…</w:t>
      </w:r>
      <w:r w:rsidR="00D46872">
        <w:rPr>
          <w:sz w:val="23"/>
          <w:szCs w:val="23"/>
        </w:rPr>
        <w:t>continuing the journey towards a more united and shared community</w:t>
      </w:r>
      <w:r>
        <w:rPr>
          <w:sz w:val="23"/>
          <w:szCs w:val="23"/>
        </w:rPr>
        <w:t>…[providing a] platform for us to continue to address the deep-rooted issues that have perpetuated segregation and resulted in some people living separate lives</w:t>
      </w:r>
      <w:r w:rsidR="008A42C1">
        <w:rPr>
          <w:sz w:val="23"/>
          <w:szCs w:val="23"/>
        </w:rPr>
        <w:t>’</w:t>
      </w:r>
      <w:r>
        <w:rPr>
          <w:sz w:val="23"/>
          <w:szCs w:val="23"/>
        </w:rPr>
        <w:t xml:space="preserve"> (NIA, 2013:</w:t>
      </w:r>
      <w:r w:rsidR="00D46872">
        <w:rPr>
          <w:sz w:val="23"/>
          <w:szCs w:val="23"/>
        </w:rPr>
        <w:t>11</w:t>
      </w:r>
      <w:r>
        <w:rPr>
          <w:sz w:val="23"/>
          <w:szCs w:val="23"/>
        </w:rPr>
        <w:t>-12</w:t>
      </w:r>
      <w:r w:rsidR="00E844AF">
        <w:rPr>
          <w:sz w:val="23"/>
          <w:szCs w:val="23"/>
        </w:rPr>
        <w:t>).</w:t>
      </w:r>
      <w:r>
        <w:rPr>
          <w:sz w:val="23"/>
          <w:szCs w:val="23"/>
        </w:rPr>
        <w:t xml:space="preserve"> </w:t>
      </w:r>
      <w:r>
        <w:rPr>
          <w:lang w:val="en-US"/>
        </w:rPr>
        <w:t>T</w:t>
      </w:r>
      <w:r w:rsidR="005E08DC" w:rsidRPr="003E7DB9">
        <w:rPr>
          <w:lang w:val="en-US"/>
        </w:rPr>
        <w:t xml:space="preserve">he </w:t>
      </w:r>
      <w:r w:rsidR="008A42C1">
        <w:rPr>
          <w:lang w:val="en-US"/>
        </w:rPr>
        <w:t>desire</w:t>
      </w:r>
      <w:r w:rsidR="008A42C1" w:rsidRPr="003E7DB9">
        <w:rPr>
          <w:lang w:val="en-US"/>
        </w:rPr>
        <w:t xml:space="preserve"> </w:t>
      </w:r>
      <w:r w:rsidR="005E08DC" w:rsidRPr="003E7DB9">
        <w:rPr>
          <w:lang w:val="en-US"/>
        </w:rPr>
        <w:t xml:space="preserve">to create some version of a ‘shared future’ </w:t>
      </w:r>
      <w:r w:rsidR="000A05C7" w:rsidRPr="003E7DB9">
        <w:rPr>
          <w:lang w:val="en-US"/>
        </w:rPr>
        <w:t xml:space="preserve">remains </w:t>
      </w:r>
      <w:r w:rsidR="005E08DC" w:rsidRPr="003E7DB9">
        <w:rPr>
          <w:lang w:val="en-US"/>
        </w:rPr>
        <w:t xml:space="preserve">the stated </w:t>
      </w:r>
      <w:r w:rsidR="00992CAB" w:rsidRPr="003E7DB9">
        <w:rPr>
          <w:lang w:val="en-US"/>
        </w:rPr>
        <w:t>goal for</w:t>
      </w:r>
      <w:r w:rsidR="000A05C7" w:rsidRPr="003E7DB9">
        <w:rPr>
          <w:lang w:val="en-US"/>
        </w:rPr>
        <w:t xml:space="preserve"> N</w:t>
      </w:r>
      <w:r w:rsidR="00640FD8" w:rsidRPr="003E7DB9">
        <w:rPr>
          <w:lang w:val="en-US"/>
        </w:rPr>
        <w:t>I</w:t>
      </w:r>
      <w:r w:rsidR="00992CAB" w:rsidRPr="003E7DB9">
        <w:rPr>
          <w:lang w:val="en-US"/>
        </w:rPr>
        <w:t>’s political classes</w:t>
      </w:r>
      <w:r w:rsidR="005E08DC" w:rsidRPr="003E7DB9">
        <w:rPr>
          <w:lang w:val="en-US"/>
        </w:rPr>
        <w:t xml:space="preserve">. However, some commentators have doubts about the sincerity of </w:t>
      </w:r>
      <w:r w:rsidR="00A66332" w:rsidRPr="003E7DB9">
        <w:rPr>
          <w:lang w:val="en-US"/>
        </w:rPr>
        <w:t>this aspiration</w:t>
      </w:r>
      <w:r w:rsidR="000A05C7" w:rsidRPr="003E7DB9">
        <w:rPr>
          <w:lang w:val="en-US"/>
        </w:rPr>
        <w:t>.</w:t>
      </w:r>
      <w:r w:rsidR="004F7155" w:rsidRPr="003E7DB9">
        <w:rPr>
          <w:lang w:val="en-US"/>
        </w:rPr>
        <w:t xml:space="preserve"> </w:t>
      </w:r>
      <w:proofErr w:type="spellStart"/>
      <w:r w:rsidR="00A66332" w:rsidRPr="003E7DB9">
        <w:rPr>
          <w:lang w:val="en-US"/>
        </w:rPr>
        <w:t>Herrault</w:t>
      </w:r>
      <w:proofErr w:type="spellEnd"/>
      <w:r w:rsidR="00A66332" w:rsidRPr="003E7DB9">
        <w:rPr>
          <w:lang w:val="en-US"/>
        </w:rPr>
        <w:t xml:space="preserve"> and Murtagh (2019), </w:t>
      </w:r>
      <w:r w:rsidR="004F7155" w:rsidRPr="003E7DB9">
        <w:rPr>
          <w:lang w:val="en-US"/>
        </w:rPr>
        <w:t xml:space="preserve">discussing shared space in Belfast, </w:t>
      </w:r>
      <w:r w:rsidR="005E08DC" w:rsidRPr="003E7DB9">
        <w:rPr>
          <w:lang w:val="en-US"/>
        </w:rPr>
        <w:t xml:space="preserve">cite </w:t>
      </w:r>
      <w:proofErr w:type="spellStart"/>
      <w:r w:rsidR="005E08DC" w:rsidRPr="003E7DB9">
        <w:rPr>
          <w:lang w:val="en-US"/>
        </w:rPr>
        <w:t>Bollens</w:t>
      </w:r>
      <w:proofErr w:type="spellEnd"/>
      <w:r w:rsidR="005E08DC" w:rsidRPr="003E7DB9">
        <w:rPr>
          <w:lang w:val="en-US"/>
        </w:rPr>
        <w:t xml:space="preserve">’ </w:t>
      </w:r>
      <w:r w:rsidR="00A66332" w:rsidRPr="003E7DB9">
        <w:rPr>
          <w:lang w:val="en-US"/>
        </w:rPr>
        <w:t>(</w:t>
      </w:r>
      <w:r w:rsidR="005E08DC" w:rsidRPr="003E7DB9">
        <w:rPr>
          <w:lang w:val="en-US"/>
        </w:rPr>
        <w:t>2018</w:t>
      </w:r>
      <w:r w:rsidR="00A66332" w:rsidRPr="003E7DB9">
        <w:rPr>
          <w:lang w:val="en-US"/>
        </w:rPr>
        <w:t>)</w:t>
      </w:r>
      <w:r w:rsidR="005E08DC" w:rsidRPr="003E7DB9">
        <w:rPr>
          <w:lang w:val="en-US"/>
        </w:rPr>
        <w:t xml:space="preserve"> argument that </w:t>
      </w:r>
      <w:r w:rsidR="00640FD8" w:rsidRPr="003E7DB9">
        <w:rPr>
          <w:lang w:val="en-US"/>
        </w:rPr>
        <w:t xml:space="preserve">the political </w:t>
      </w:r>
      <w:r w:rsidR="004F7155" w:rsidRPr="003E7DB9">
        <w:rPr>
          <w:lang w:val="en-US"/>
        </w:rPr>
        <w:t xml:space="preserve">commitment to sharing space </w:t>
      </w:r>
      <w:r w:rsidR="005E08DC" w:rsidRPr="003E7DB9">
        <w:rPr>
          <w:lang w:val="en-US"/>
        </w:rPr>
        <w:t>was ‘ambivalent and contradictory’ and quote one Community Relations Consultant</w:t>
      </w:r>
      <w:r w:rsidR="003102CD" w:rsidRPr="003E7DB9">
        <w:rPr>
          <w:lang w:val="en-US"/>
        </w:rPr>
        <w:t>’s view that</w:t>
      </w:r>
    </w:p>
    <w:p w14:paraId="399A958C" w14:textId="77777777" w:rsidR="005E08DC" w:rsidRPr="003E7DB9" w:rsidRDefault="005E08DC" w:rsidP="00AF155A">
      <w:pPr>
        <w:autoSpaceDE w:val="0"/>
        <w:autoSpaceDN w:val="0"/>
        <w:adjustRightInd w:val="0"/>
        <w:jc w:val="both"/>
        <w:rPr>
          <w:lang w:val="en-US"/>
        </w:rPr>
      </w:pPr>
    </w:p>
    <w:p w14:paraId="1FFA68B7" w14:textId="5A4C6652" w:rsidR="005E08DC" w:rsidRPr="003E7DB9" w:rsidRDefault="005E08DC" w:rsidP="00AF155A">
      <w:pPr>
        <w:autoSpaceDE w:val="0"/>
        <w:autoSpaceDN w:val="0"/>
        <w:adjustRightInd w:val="0"/>
        <w:ind w:left="567" w:right="804"/>
        <w:jc w:val="both"/>
        <w:rPr>
          <w:rFonts w:eastAsiaTheme="minorHAnsi"/>
        </w:rPr>
      </w:pPr>
      <w:r w:rsidRPr="003E7DB9">
        <w:rPr>
          <w:rFonts w:eastAsiaTheme="minorHAnsi"/>
        </w:rPr>
        <w:t>…if [the main political parties] were able to commit themselves to reconciliation, there would be no</w:t>
      </w:r>
      <w:r w:rsidR="004F7155" w:rsidRPr="003E7DB9">
        <w:rPr>
          <w:rFonts w:eastAsiaTheme="minorHAnsi"/>
        </w:rPr>
        <w:t xml:space="preserve"> </w:t>
      </w:r>
      <w:r w:rsidRPr="003E7DB9">
        <w:rPr>
          <w:rFonts w:eastAsiaTheme="minorHAnsi"/>
        </w:rPr>
        <w:t>reason for their existence. That’s the problem</w:t>
      </w:r>
      <w:r w:rsidR="004F7155" w:rsidRPr="003E7DB9">
        <w:rPr>
          <w:rFonts w:eastAsiaTheme="minorHAnsi"/>
        </w:rPr>
        <w:t xml:space="preserve"> (2019:7).</w:t>
      </w:r>
      <w:r w:rsidR="00F30072" w:rsidRPr="003E7DB9">
        <w:rPr>
          <w:rFonts w:eastAsiaTheme="minorHAnsi"/>
        </w:rPr>
        <w:t xml:space="preserve"> </w:t>
      </w:r>
    </w:p>
    <w:p w14:paraId="00916A5E" w14:textId="77777777" w:rsidR="005E08DC" w:rsidRPr="003E7DB9" w:rsidRDefault="005E08DC" w:rsidP="00AF155A">
      <w:pPr>
        <w:tabs>
          <w:tab w:val="left" w:pos="1276"/>
        </w:tabs>
        <w:jc w:val="both"/>
        <w:rPr>
          <w:rFonts w:eastAsiaTheme="minorHAnsi"/>
        </w:rPr>
      </w:pPr>
    </w:p>
    <w:p w14:paraId="62B80A47" w14:textId="2B6A6C1E" w:rsidR="005E08DC" w:rsidRPr="003E7DB9" w:rsidRDefault="00A66332" w:rsidP="00AF155A">
      <w:pPr>
        <w:jc w:val="both"/>
        <w:rPr>
          <w:rFonts w:eastAsiaTheme="minorHAnsi"/>
        </w:rPr>
      </w:pPr>
      <w:r w:rsidRPr="003E7DB9">
        <w:rPr>
          <w:rFonts w:eastAsiaTheme="minorHAnsi"/>
        </w:rPr>
        <w:t xml:space="preserve">In this view, the two main political parties in Northern Ireland (the </w:t>
      </w:r>
      <w:r w:rsidR="00D665A6">
        <w:rPr>
          <w:rFonts w:eastAsiaTheme="minorHAnsi"/>
        </w:rPr>
        <w:t>‘</w:t>
      </w:r>
      <w:r w:rsidRPr="003E7DB9">
        <w:rPr>
          <w:rFonts w:eastAsiaTheme="minorHAnsi"/>
        </w:rPr>
        <w:t>Protestant</w:t>
      </w:r>
      <w:r w:rsidR="00D665A6">
        <w:rPr>
          <w:rFonts w:eastAsiaTheme="minorHAnsi"/>
        </w:rPr>
        <w:t>’/Unionist</w:t>
      </w:r>
      <w:r w:rsidRPr="003E7DB9">
        <w:rPr>
          <w:rFonts w:eastAsiaTheme="minorHAnsi"/>
        </w:rPr>
        <w:t xml:space="preserve"> D</w:t>
      </w:r>
      <w:r w:rsidR="00B201C1" w:rsidRPr="003E7DB9">
        <w:rPr>
          <w:rFonts w:eastAsiaTheme="minorHAnsi"/>
        </w:rPr>
        <w:t xml:space="preserve">emocratic </w:t>
      </w:r>
      <w:r w:rsidRPr="003E7DB9">
        <w:rPr>
          <w:rFonts w:eastAsiaTheme="minorHAnsi"/>
        </w:rPr>
        <w:t>U</w:t>
      </w:r>
      <w:r w:rsidR="00B201C1" w:rsidRPr="003E7DB9">
        <w:rPr>
          <w:rFonts w:eastAsiaTheme="minorHAnsi"/>
        </w:rPr>
        <w:t xml:space="preserve">nionist </w:t>
      </w:r>
      <w:r w:rsidRPr="003E7DB9">
        <w:rPr>
          <w:rFonts w:eastAsiaTheme="minorHAnsi"/>
        </w:rPr>
        <w:t>P</w:t>
      </w:r>
      <w:r w:rsidR="00B201C1" w:rsidRPr="003E7DB9">
        <w:rPr>
          <w:rFonts w:eastAsiaTheme="minorHAnsi"/>
        </w:rPr>
        <w:t>arty or DUP</w:t>
      </w:r>
      <w:r w:rsidRPr="003E7DB9">
        <w:rPr>
          <w:rFonts w:eastAsiaTheme="minorHAnsi"/>
        </w:rPr>
        <w:t xml:space="preserve"> and the </w:t>
      </w:r>
      <w:r w:rsidR="00D665A6">
        <w:rPr>
          <w:rFonts w:eastAsiaTheme="minorHAnsi"/>
        </w:rPr>
        <w:t>‘</w:t>
      </w:r>
      <w:r w:rsidRPr="003E7DB9">
        <w:rPr>
          <w:rFonts w:eastAsiaTheme="minorHAnsi"/>
        </w:rPr>
        <w:t>Catholic’</w:t>
      </w:r>
      <w:r w:rsidR="00D665A6">
        <w:rPr>
          <w:rFonts w:eastAsiaTheme="minorHAnsi"/>
        </w:rPr>
        <w:t>/Nationalist</w:t>
      </w:r>
      <w:r w:rsidRPr="003E7DB9">
        <w:rPr>
          <w:rFonts w:eastAsiaTheme="minorHAnsi"/>
        </w:rPr>
        <w:t xml:space="preserve"> Sinn Féin) have a vested interest in retaining </w:t>
      </w:r>
      <w:r w:rsidR="00DA1F4A">
        <w:rPr>
          <w:rFonts w:eastAsiaTheme="minorHAnsi"/>
        </w:rPr>
        <w:t>separation of the communities</w:t>
      </w:r>
      <w:r w:rsidRPr="003E7DB9">
        <w:rPr>
          <w:rFonts w:eastAsiaTheme="minorHAnsi"/>
        </w:rPr>
        <w:t xml:space="preserve"> as an electoral mechanism to maximise support</w:t>
      </w:r>
      <w:r w:rsidRPr="003E7DB9">
        <w:rPr>
          <w:lang w:val="en-US"/>
        </w:rPr>
        <w:t xml:space="preserve"> (</w:t>
      </w:r>
      <w:proofErr w:type="spellStart"/>
      <w:r w:rsidR="005E08DC" w:rsidRPr="003E7DB9">
        <w:rPr>
          <w:lang w:val="en-US"/>
        </w:rPr>
        <w:t>Herrault</w:t>
      </w:r>
      <w:proofErr w:type="spellEnd"/>
      <w:r w:rsidR="005E08DC" w:rsidRPr="003E7DB9">
        <w:rPr>
          <w:lang w:val="en-US"/>
        </w:rPr>
        <w:t xml:space="preserve"> and Murtagh</w:t>
      </w:r>
      <w:r w:rsidRPr="003E7DB9">
        <w:rPr>
          <w:lang w:val="en-US"/>
        </w:rPr>
        <w:t xml:space="preserve">, </w:t>
      </w:r>
      <w:r w:rsidR="004F7155" w:rsidRPr="003E7DB9">
        <w:rPr>
          <w:lang w:val="en-US"/>
        </w:rPr>
        <w:t>2019</w:t>
      </w:r>
      <w:r w:rsidRPr="003E7DB9">
        <w:rPr>
          <w:lang w:val="en-US"/>
        </w:rPr>
        <w:t>:7</w:t>
      </w:r>
      <w:r w:rsidR="004F7155" w:rsidRPr="003E7DB9">
        <w:rPr>
          <w:lang w:val="en-US"/>
        </w:rPr>
        <w:t>)</w:t>
      </w:r>
      <w:r w:rsidR="004F7155" w:rsidRPr="003E7DB9">
        <w:rPr>
          <w:rFonts w:eastAsiaTheme="minorHAnsi"/>
        </w:rPr>
        <w:t xml:space="preserve">. If true for shared space, this may equally </w:t>
      </w:r>
      <w:r w:rsidRPr="003E7DB9">
        <w:rPr>
          <w:lang w:val="en-US"/>
        </w:rPr>
        <w:t xml:space="preserve">have resonance in </w:t>
      </w:r>
      <w:r w:rsidR="00640FD8" w:rsidRPr="003E7DB9">
        <w:rPr>
          <w:lang w:val="en-US"/>
        </w:rPr>
        <w:t xml:space="preserve">an </w:t>
      </w:r>
      <w:r w:rsidRPr="003E7DB9">
        <w:rPr>
          <w:lang w:val="en-US"/>
        </w:rPr>
        <w:t>education</w:t>
      </w:r>
      <w:r w:rsidR="00640FD8" w:rsidRPr="003E7DB9">
        <w:rPr>
          <w:lang w:val="en-US"/>
        </w:rPr>
        <w:t xml:space="preserve"> system which is already fundamentally divided.</w:t>
      </w:r>
      <w:r w:rsidRPr="003E7DB9">
        <w:rPr>
          <w:lang w:val="en-US"/>
        </w:rPr>
        <w:t xml:space="preserve"> </w:t>
      </w:r>
    </w:p>
    <w:p w14:paraId="635CCE0B" w14:textId="77777777" w:rsidR="00640FD8" w:rsidRPr="003E7DB9" w:rsidRDefault="00640FD8" w:rsidP="00AF155A">
      <w:pPr>
        <w:jc w:val="both"/>
        <w:rPr>
          <w:lang w:val="en-US"/>
        </w:rPr>
      </w:pPr>
    </w:p>
    <w:p w14:paraId="5618E92D" w14:textId="4B71114A" w:rsidR="00AE7A73" w:rsidRPr="003E7DB9" w:rsidRDefault="00AE7A73" w:rsidP="00AF155A">
      <w:pPr>
        <w:tabs>
          <w:tab w:val="left" w:pos="1276"/>
        </w:tabs>
        <w:jc w:val="both"/>
        <w:rPr>
          <w:lang w:val="en-US"/>
        </w:rPr>
      </w:pPr>
      <w:r w:rsidRPr="003E7DB9">
        <w:rPr>
          <w:lang w:val="en-US"/>
        </w:rPr>
        <w:t xml:space="preserve">Educational division in </w:t>
      </w:r>
      <w:r w:rsidR="00640FD8" w:rsidRPr="003E7DB9">
        <w:rPr>
          <w:lang w:val="en-US"/>
        </w:rPr>
        <w:t>NI</w:t>
      </w:r>
      <w:r w:rsidRPr="003E7DB9">
        <w:rPr>
          <w:lang w:val="en-US"/>
        </w:rPr>
        <w:t xml:space="preserve"> stems from a period following the establishment of National Schools in Ireland from 1831, one of the first systems of universal education in the world (Akenson, 2012).  Initially integrated, most of these schools eventually became reflective of the majority population of the areas in which they were located (Hyland, 1988). When the Northern Ireland state was established in 1921, the first Education minister attempted to re-establish an integrated education system, but pressure from the churches, both Protestant and Catholic, </w:t>
      </w:r>
      <w:r w:rsidR="008A424D" w:rsidRPr="003E7DB9">
        <w:rPr>
          <w:lang w:val="en-US"/>
        </w:rPr>
        <w:t>led to</w:t>
      </w:r>
      <w:r w:rsidRPr="003E7DB9">
        <w:rPr>
          <w:lang w:val="en-US"/>
        </w:rPr>
        <w:t xml:space="preserve"> an abandonment of that policy in favour of a divided system (Gardner, 2016:349). Those schools dominated by Protestant churches eventually accepted government control, </w:t>
      </w:r>
      <w:r w:rsidR="003B7450" w:rsidRPr="003E7DB9">
        <w:rPr>
          <w:lang w:val="en-US"/>
        </w:rPr>
        <w:t>albeit</w:t>
      </w:r>
      <w:r w:rsidRPr="003E7DB9">
        <w:rPr>
          <w:lang w:val="en-US"/>
        </w:rPr>
        <w:t xml:space="preserve"> retaining a strong </w:t>
      </w:r>
      <w:r w:rsidR="003B7450" w:rsidRPr="003E7DB9">
        <w:rPr>
          <w:lang w:val="en-US"/>
        </w:rPr>
        <w:t xml:space="preserve">church </w:t>
      </w:r>
      <w:r w:rsidRPr="003E7DB9">
        <w:rPr>
          <w:lang w:val="en-US"/>
        </w:rPr>
        <w:t xml:space="preserve">influence, </w:t>
      </w:r>
      <w:r w:rsidR="00640FD8" w:rsidRPr="003E7DB9">
        <w:rPr>
          <w:lang w:val="en-US"/>
        </w:rPr>
        <w:t>becoming</w:t>
      </w:r>
      <w:r w:rsidRPr="003E7DB9">
        <w:rPr>
          <w:lang w:val="en-US"/>
        </w:rPr>
        <w:t xml:space="preserve"> Controlled </w:t>
      </w:r>
      <w:r w:rsidR="00026813" w:rsidRPr="003E7DB9">
        <w:rPr>
          <w:lang w:val="en-US"/>
        </w:rPr>
        <w:t>school</w:t>
      </w:r>
      <w:r w:rsidRPr="003E7DB9">
        <w:rPr>
          <w:lang w:val="en-US"/>
        </w:rPr>
        <w:t>s</w:t>
      </w:r>
      <w:r w:rsidR="00640FD8" w:rsidRPr="003E7DB9">
        <w:rPr>
          <w:lang w:val="en-US"/>
        </w:rPr>
        <w:t>.</w:t>
      </w:r>
      <w:r w:rsidRPr="003E7DB9">
        <w:rPr>
          <w:lang w:val="en-US"/>
        </w:rPr>
        <w:t xml:space="preserve"> </w:t>
      </w:r>
      <w:r w:rsidR="00640FD8" w:rsidRPr="003E7DB9">
        <w:rPr>
          <w:lang w:val="en-US"/>
        </w:rPr>
        <w:t>Catholic church s</w:t>
      </w:r>
      <w:r w:rsidRPr="003E7DB9">
        <w:rPr>
          <w:lang w:val="en-US"/>
        </w:rPr>
        <w:t xml:space="preserve">chools did not </w:t>
      </w:r>
      <w:r w:rsidR="00640FD8" w:rsidRPr="003E7DB9">
        <w:rPr>
          <w:lang w:val="en-US"/>
        </w:rPr>
        <w:t xml:space="preserve">cede control to the state and became </w:t>
      </w:r>
      <w:r w:rsidRPr="003E7DB9">
        <w:rPr>
          <w:lang w:val="en-US"/>
        </w:rPr>
        <w:t xml:space="preserve">Catholic Maintained schools (Milliken </w:t>
      </w:r>
      <w:r w:rsidRPr="003E7DB9">
        <w:rPr>
          <w:i/>
          <w:iCs/>
          <w:lang w:val="en-US"/>
        </w:rPr>
        <w:t>et al</w:t>
      </w:r>
      <w:r w:rsidRPr="003E7DB9">
        <w:rPr>
          <w:lang w:val="en-US"/>
        </w:rPr>
        <w:t xml:space="preserve">., 2019). As the Northern Ireland government were explicitly establishing a ‘Protestant Government for a Protestant People’ from 1921 (Craig,1934:73), it is unsurprising that the Catholic Church wished to preserve control of their schools. </w:t>
      </w:r>
      <w:r w:rsidR="00640FD8" w:rsidRPr="003E7DB9">
        <w:rPr>
          <w:lang w:val="en-US"/>
        </w:rPr>
        <w:t>However, while t</w:t>
      </w:r>
      <w:r w:rsidRPr="003E7DB9">
        <w:rPr>
          <w:lang w:val="en-US"/>
        </w:rPr>
        <w:t>he Protestant hegemony may have largely faded, Church control of schools is still held tenaciously in Northern Ireland.  Gallagher (2019) notes ‘</w:t>
      </w:r>
      <w:r w:rsidR="007137CB" w:rsidRPr="003E7DB9">
        <w:t>t</w:t>
      </w:r>
      <w:r w:rsidRPr="003E7DB9">
        <w:t>he role of the Churches remains strong in school level education, as does the level of religious separation</w:t>
      </w:r>
      <w:r w:rsidRPr="003E7DB9">
        <w:rPr>
          <w:lang w:val="en-US"/>
        </w:rPr>
        <w:t xml:space="preserve">’ (2019:3); the divisions are such that the education system </w:t>
      </w:r>
      <w:r w:rsidR="00640FD8" w:rsidRPr="003E7DB9">
        <w:rPr>
          <w:lang w:val="en-US"/>
        </w:rPr>
        <w:t>in NI</w:t>
      </w:r>
      <w:r w:rsidRPr="003E7DB9">
        <w:rPr>
          <w:lang w:val="en-US"/>
        </w:rPr>
        <w:t xml:space="preserve"> is widely described as ‘segregated’.</w:t>
      </w:r>
    </w:p>
    <w:p w14:paraId="4B8A5A64" w14:textId="77777777" w:rsidR="00B201C1" w:rsidRPr="003E7DB9" w:rsidRDefault="00B201C1" w:rsidP="00AF155A">
      <w:pPr>
        <w:tabs>
          <w:tab w:val="left" w:pos="1276"/>
        </w:tabs>
        <w:jc w:val="both"/>
        <w:rPr>
          <w:lang w:val="en-US"/>
        </w:rPr>
      </w:pPr>
    </w:p>
    <w:p w14:paraId="1C89E41A" w14:textId="2CC283BB" w:rsidR="00AC0D3D" w:rsidRPr="003E7DB9" w:rsidRDefault="00AE7A73" w:rsidP="00AF155A">
      <w:pPr>
        <w:autoSpaceDE w:val="0"/>
        <w:autoSpaceDN w:val="0"/>
        <w:adjustRightInd w:val="0"/>
        <w:jc w:val="both"/>
        <w:rPr>
          <w:rFonts w:eastAsiaTheme="minorHAnsi"/>
        </w:rPr>
      </w:pPr>
      <w:r w:rsidRPr="003E7DB9">
        <w:rPr>
          <w:lang w:val="en-US"/>
        </w:rPr>
        <w:lastRenderedPageBreak/>
        <w:t>T</w:t>
      </w:r>
      <w:r w:rsidR="005E08DC" w:rsidRPr="003E7DB9">
        <w:rPr>
          <w:rFonts w:eastAsiaTheme="minorHAnsi"/>
        </w:rPr>
        <w:t>he last thirty years</w:t>
      </w:r>
      <w:r w:rsidR="00A66332" w:rsidRPr="003E7DB9">
        <w:rPr>
          <w:rFonts w:eastAsiaTheme="minorHAnsi"/>
        </w:rPr>
        <w:t xml:space="preserve"> have seen</w:t>
      </w:r>
      <w:r w:rsidR="005E08DC" w:rsidRPr="003E7DB9">
        <w:rPr>
          <w:rFonts w:eastAsiaTheme="minorHAnsi"/>
        </w:rPr>
        <w:t xml:space="preserve"> a range of formal and informal initiatives </w:t>
      </w:r>
      <w:r w:rsidR="00A66332" w:rsidRPr="003E7DB9">
        <w:rPr>
          <w:rFonts w:eastAsiaTheme="minorHAnsi"/>
        </w:rPr>
        <w:t>aimed at breaking down barriers in the school system. These included</w:t>
      </w:r>
      <w:r w:rsidR="00A66332" w:rsidRPr="003E7DB9">
        <w:rPr>
          <w:lang w:val="en-US"/>
        </w:rPr>
        <w:t xml:space="preserve"> </w:t>
      </w:r>
      <w:r w:rsidR="005E08DC" w:rsidRPr="003E7DB9">
        <w:rPr>
          <w:rFonts w:eastAsiaTheme="minorHAnsi"/>
        </w:rPr>
        <w:t>the Schools Community Relations Programme</w:t>
      </w:r>
      <w:r w:rsidR="00A66332" w:rsidRPr="003E7DB9">
        <w:rPr>
          <w:rFonts w:eastAsiaTheme="minorHAnsi"/>
        </w:rPr>
        <w:t xml:space="preserve"> and curriculum initiatives such as </w:t>
      </w:r>
      <w:r w:rsidR="005E08DC" w:rsidRPr="003E7DB9">
        <w:rPr>
          <w:rFonts w:eastAsiaTheme="minorHAnsi"/>
        </w:rPr>
        <w:t>Education for Mutual</w:t>
      </w:r>
      <w:r w:rsidR="00A66332" w:rsidRPr="003E7DB9">
        <w:rPr>
          <w:lang w:val="en-US"/>
        </w:rPr>
        <w:t xml:space="preserve"> </w:t>
      </w:r>
      <w:r w:rsidR="005E08DC" w:rsidRPr="003E7DB9">
        <w:rPr>
          <w:rFonts w:eastAsiaTheme="minorHAnsi"/>
        </w:rPr>
        <w:t>Understanding (EMU)</w:t>
      </w:r>
      <w:r w:rsidR="00A66332" w:rsidRPr="003E7DB9">
        <w:rPr>
          <w:rFonts w:eastAsiaTheme="minorHAnsi"/>
        </w:rPr>
        <w:t xml:space="preserve"> and</w:t>
      </w:r>
      <w:r w:rsidR="005E08DC" w:rsidRPr="003E7DB9">
        <w:rPr>
          <w:rFonts w:eastAsiaTheme="minorHAnsi"/>
        </w:rPr>
        <w:t xml:space="preserve"> Cultural Heritage and Local and Global Citizenship</w:t>
      </w:r>
      <w:r w:rsidR="00A66332" w:rsidRPr="003E7DB9">
        <w:rPr>
          <w:rFonts w:eastAsiaTheme="minorHAnsi"/>
        </w:rPr>
        <w:t xml:space="preserve"> (McGuinness </w:t>
      </w:r>
      <w:r w:rsidR="00A66332" w:rsidRPr="003E7DB9">
        <w:rPr>
          <w:rFonts w:eastAsiaTheme="minorHAnsi"/>
          <w:i/>
          <w:iCs/>
        </w:rPr>
        <w:t>et al</w:t>
      </w:r>
      <w:r w:rsidR="00A66332" w:rsidRPr="003E7DB9">
        <w:rPr>
          <w:rFonts w:eastAsiaTheme="minorHAnsi"/>
        </w:rPr>
        <w:t>., 201</w:t>
      </w:r>
      <w:r w:rsidR="003F0D69" w:rsidRPr="003E7DB9">
        <w:rPr>
          <w:rFonts w:eastAsiaTheme="minorHAnsi"/>
        </w:rPr>
        <w:t>8</w:t>
      </w:r>
      <w:r w:rsidR="00A66332" w:rsidRPr="003E7DB9">
        <w:rPr>
          <w:rFonts w:eastAsiaTheme="minorHAnsi"/>
        </w:rPr>
        <w:t>)</w:t>
      </w:r>
      <w:r w:rsidR="003F0D69" w:rsidRPr="003E7DB9">
        <w:rPr>
          <w:rFonts w:eastAsiaTheme="minorHAnsi"/>
        </w:rPr>
        <w:t xml:space="preserve">, primarily designed to </w:t>
      </w:r>
      <w:r w:rsidR="00D665A6">
        <w:rPr>
          <w:rFonts w:eastAsiaTheme="minorHAnsi"/>
        </w:rPr>
        <w:t>increase understanding</w:t>
      </w:r>
      <w:r w:rsidR="003F0D69" w:rsidRPr="003E7DB9">
        <w:rPr>
          <w:rFonts w:eastAsiaTheme="minorHAnsi"/>
        </w:rPr>
        <w:t xml:space="preserve"> between pupils from the </w:t>
      </w:r>
      <w:r w:rsidR="00640FD8" w:rsidRPr="003E7DB9">
        <w:rPr>
          <w:rFonts w:eastAsiaTheme="minorHAnsi"/>
        </w:rPr>
        <w:t>C</w:t>
      </w:r>
      <w:r w:rsidR="003F0D69" w:rsidRPr="003E7DB9">
        <w:rPr>
          <w:rFonts w:eastAsiaTheme="minorHAnsi"/>
        </w:rPr>
        <w:t>ontrolled (</w:t>
      </w:r>
      <w:r w:rsidR="003F0D69" w:rsidRPr="003E7DB9">
        <w:rPr>
          <w:rFonts w:eastAsiaTheme="minorHAnsi"/>
          <w:i/>
          <w:iCs/>
        </w:rPr>
        <w:t>de facto</w:t>
      </w:r>
      <w:r w:rsidR="003F0D69" w:rsidRPr="003E7DB9">
        <w:rPr>
          <w:rFonts w:eastAsiaTheme="minorHAnsi"/>
        </w:rPr>
        <w:t xml:space="preserve"> Protestant) and Catholic </w:t>
      </w:r>
      <w:r w:rsidR="00640FD8" w:rsidRPr="003E7DB9">
        <w:rPr>
          <w:rFonts w:eastAsiaTheme="minorHAnsi"/>
        </w:rPr>
        <w:t>M</w:t>
      </w:r>
      <w:r w:rsidR="003F0D69" w:rsidRPr="003E7DB9">
        <w:rPr>
          <w:rFonts w:eastAsiaTheme="minorHAnsi"/>
        </w:rPr>
        <w:t>aintained schools</w:t>
      </w:r>
      <w:r w:rsidR="00A66332" w:rsidRPr="003E7DB9">
        <w:rPr>
          <w:rFonts w:eastAsiaTheme="minorHAnsi"/>
        </w:rPr>
        <w:t>.</w:t>
      </w:r>
      <w:r w:rsidR="003F0D69" w:rsidRPr="003E7DB9">
        <w:rPr>
          <w:rFonts w:eastAsiaTheme="minorHAnsi"/>
        </w:rPr>
        <w:t xml:space="preserve"> </w:t>
      </w:r>
      <w:r w:rsidR="00640FD8" w:rsidRPr="003E7DB9">
        <w:rPr>
          <w:rFonts w:eastAsiaTheme="minorHAnsi"/>
        </w:rPr>
        <w:t>D</w:t>
      </w:r>
      <w:r w:rsidR="003F0D69" w:rsidRPr="003E7DB9">
        <w:rPr>
          <w:rFonts w:eastAsiaTheme="minorHAnsi"/>
        </w:rPr>
        <w:t xml:space="preserve">espite considerable commitment from </w:t>
      </w:r>
      <w:r w:rsidR="00B201C1" w:rsidRPr="003E7DB9">
        <w:rPr>
          <w:rFonts w:eastAsiaTheme="minorHAnsi"/>
        </w:rPr>
        <w:t>numerous</w:t>
      </w:r>
      <w:r w:rsidR="003F0D69" w:rsidRPr="003E7DB9">
        <w:rPr>
          <w:rFonts w:eastAsiaTheme="minorHAnsi"/>
        </w:rPr>
        <w:t xml:space="preserve"> teachers over many years</w:t>
      </w:r>
      <w:r w:rsidR="00640FD8" w:rsidRPr="003E7DB9">
        <w:rPr>
          <w:rFonts w:eastAsiaTheme="minorHAnsi"/>
        </w:rPr>
        <w:t xml:space="preserve">, </w:t>
      </w:r>
      <w:r w:rsidR="00A4081F" w:rsidRPr="003E7DB9">
        <w:rPr>
          <w:rFonts w:eastAsiaTheme="minorHAnsi"/>
        </w:rPr>
        <w:t xml:space="preserve">the impact </w:t>
      </w:r>
      <w:r w:rsidR="003102CD" w:rsidRPr="003E7DB9">
        <w:rPr>
          <w:rFonts w:eastAsiaTheme="minorHAnsi"/>
        </w:rPr>
        <w:t xml:space="preserve">of those initiatives </w:t>
      </w:r>
      <w:r w:rsidR="00A4081F" w:rsidRPr="003E7DB9">
        <w:rPr>
          <w:rFonts w:eastAsiaTheme="minorHAnsi"/>
        </w:rPr>
        <w:t>was limited (Richardson and Gallagher, 2010).</w:t>
      </w:r>
    </w:p>
    <w:p w14:paraId="38510C0E" w14:textId="77777777" w:rsidR="00AC0D3D" w:rsidRPr="003E7DB9" w:rsidRDefault="00AC0D3D" w:rsidP="00AF155A">
      <w:pPr>
        <w:autoSpaceDE w:val="0"/>
        <w:autoSpaceDN w:val="0"/>
        <w:adjustRightInd w:val="0"/>
        <w:jc w:val="both"/>
        <w:rPr>
          <w:rFonts w:eastAsiaTheme="minorHAnsi"/>
        </w:rPr>
      </w:pPr>
    </w:p>
    <w:p w14:paraId="4049206A" w14:textId="4288CF3D" w:rsidR="00D21909" w:rsidRDefault="00A4081F" w:rsidP="00C34454">
      <w:pPr>
        <w:autoSpaceDE w:val="0"/>
        <w:autoSpaceDN w:val="0"/>
        <w:adjustRightInd w:val="0"/>
        <w:jc w:val="both"/>
        <w:rPr>
          <w:rFonts w:eastAsiaTheme="minorHAnsi"/>
        </w:rPr>
      </w:pPr>
      <w:r w:rsidRPr="003E7DB9">
        <w:rPr>
          <w:rFonts w:eastAsiaTheme="minorHAnsi"/>
        </w:rPr>
        <w:t xml:space="preserve">The Education Reform </w:t>
      </w:r>
      <w:r w:rsidR="00452D46" w:rsidRPr="003E7DB9">
        <w:rPr>
          <w:rFonts w:eastAsiaTheme="minorHAnsi"/>
        </w:rPr>
        <w:t xml:space="preserve">(Northern Ireland) </w:t>
      </w:r>
      <w:r w:rsidRPr="003E7DB9">
        <w:rPr>
          <w:rFonts w:eastAsiaTheme="minorHAnsi"/>
        </w:rPr>
        <w:t>Order (</w:t>
      </w:r>
      <w:r w:rsidR="00E37BC2" w:rsidRPr="003E7DB9">
        <w:rPr>
          <w:rFonts w:eastAsiaTheme="minorHAnsi"/>
        </w:rPr>
        <w:t xml:space="preserve">HMSO, </w:t>
      </w:r>
      <w:r w:rsidRPr="003E7DB9">
        <w:rPr>
          <w:rFonts w:eastAsiaTheme="minorHAnsi"/>
        </w:rPr>
        <w:t xml:space="preserve">1989) committed the Department of Education to encourage the growth of Integrated schools, which educate Catholic and Protestant children together. Initiated by parents, this sector </w:t>
      </w:r>
      <w:r w:rsidR="00DA1F4A">
        <w:rPr>
          <w:rFonts w:eastAsiaTheme="minorHAnsi"/>
        </w:rPr>
        <w:t>witnessed</w:t>
      </w:r>
      <w:r w:rsidR="00B201C1" w:rsidRPr="003E7DB9">
        <w:rPr>
          <w:rFonts w:eastAsiaTheme="minorHAnsi"/>
        </w:rPr>
        <w:t xml:space="preserve"> </w:t>
      </w:r>
      <w:r w:rsidRPr="003E7DB9">
        <w:rPr>
          <w:rFonts w:eastAsiaTheme="minorHAnsi"/>
        </w:rPr>
        <w:t>rapid growth</w:t>
      </w:r>
      <w:r w:rsidR="008A424D" w:rsidRPr="003E7DB9">
        <w:rPr>
          <w:rFonts w:eastAsiaTheme="minorHAnsi"/>
        </w:rPr>
        <w:t xml:space="preserve"> </w:t>
      </w:r>
      <w:r w:rsidR="00E844AF">
        <w:rPr>
          <w:rFonts w:eastAsiaTheme="minorHAnsi"/>
        </w:rPr>
        <w:t>initi</w:t>
      </w:r>
      <w:r w:rsidR="008A42C1">
        <w:rPr>
          <w:rFonts w:eastAsiaTheme="minorHAnsi"/>
        </w:rPr>
        <w:t>ally</w:t>
      </w:r>
      <w:r w:rsidR="00C34454">
        <w:rPr>
          <w:rFonts w:eastAsiaTheme="minorHAnsi"/>
        </w:rPr>
        <w:t>,</w:t>
      </w:r>
      <w:r w:rsidR="008A42C1">
        <w:rPr>
          <w:rFonts w:eastAsiaTheme="minorHAnsi"/>
        </w:rPr>
        <w:t xml:space="preserve"> </w:t>
      </w:r>
      <w:r w:rsidR="00E844AF">
        <w:rPr>
          <w:rFonts w:eastAsiaTheme="minorHAnsi"/>
        </w:rPr>
        <w:t>but</w:t>
      </w:r>
      <w:r w:rsidR="00E844AF" w:rsidRPr="003E7DB9">
        <w:rPr>
          <w:rFonts w:eastAsiaTheme="minorHAnsi"/>
        </w:rPr>
        <w:t xml:space="preserve"> </w:t>
      </w:r>
      <w:r w:rsidR="008A424D" w:rsidRPr="003E7DB9">
        <w:rPr>
          <w:rFonts w:eastAsiaTheme="minorHAnsi"/>
        </w:rPr>
        <w:t>this has slowed in recent years</w:t>
      </w:r>
      <w:r w:rsidRPr="003E7DB9">
        <w:rPr>
          <w:rFonts w:eastAsiaTheme="minorHAnsi"/>
        </w:rPr>
        <w:t xml:space="preserve">. </w:t>
      </w:r>
      <w:r w:rsidR="00D07C17">
        <w:rPr>
          <w:rFonts w:eastAsiaTheme="minorHAnsi"/>
        </w:rPr>
        <w:t xml:space="preserve">There is evidence that integrated education has benefits </w:t>
      </w:r>
      <w:r w:rsidR="00D21909">
        <w:rPr>
          <w:rFonts w:eastAsiaTheme="minorHAnsi"/>
        </w:rPr>
        <w:t xml:space="preserve">in </w:t>
      </w:r>
      <w:r w:rsidR="00D07C17">
        <w:rPr>
          <w:rFonts w:eastAsiaTheme="minorHAnsi"/>
          <w:color w:val="000000"/>
        </w:rPr>
        <w:t xml:space="preserve">developing </w:t>
      </w:r>
      <w:r w:rsidR="00D07C17" w:rsidRPr="00C34454">
        <w:rPr>
          <w:rFonts w:eastAsiaTheme="minorHAnsi"/>
          <w:color w:val="000000"/>
        </w:rPr>
        <w:t>more moderate political views (</w:t>
      </w:r>
      <w:proofErr w:type="spellStart"/>
      <w:r w:rsidR="00D07C17" w:rsidRPr="00C34454">
        <w:rPr>
          <w:rFonts w:eastAsiaTheme="minorHAnsi"/>
          <w:color w:val="000000"/>
        </w:rPr>
        <w:t>Tausch</w:t>
      </w:r>
      <w:proofErr w:type="spellEnd"/>
      <w:r w:rsidR="00D07C17" w:rsidRPr="00C34454">
        <w:rPr>
          <w:rFonts w:eastAsiaTheme="minorHAnsi"/>
          <w:color w:val="000000"/>
        </w:rPr>
        <w:t xml:space="preserve"> </w:t>
      </w:r>
      <w:r w:rsidR="00D07C17" w:rsidRPr="00C34454">
        <w:rPr>
          <w:rFonts w:eastAsiaTheme="minorHAnsi"/>
          <w:i/>
          <w:iCs/>
          <w:color w:val="000000"/>
        </w:rPr>
        <w:t>et al</w:t>
      </w:r>
      <w:r w:rsidR="00D07C17" w:rsidRPr="00C34454">
        <w:rPr>
          <w:rFonts w:eastAsiaTheme="minorHAnsi"/>
          <w:color w:val="000000"/>
        </w:rPr>
        <w:t xml:space="preserve">., </w:t>
      </w:r>
      <w:r w:rsidR="00D07C17" w:rsidRPr="00C34454">
        <w:rPr>
          <w:rFonts w:eastAsiaTheme="minorHAnsi"/>
          <w:color w:val="000085"/>
        </w:rPr>
        <w:t>2010</w:t>
      </w:r>
      <w:r w:rsidR="00D07C17" w:rsidRPr="00C34454">
        <w:rPr>
          <w:rFonts w:eastAsiaTheme="minorHAnsi"/>
          <w:color w:val="000000"/>
        </w:rPr>
        <w:t>)</w:t>
      </w:r>
      <w:r w:rsidR="00D07C17">
        <w:rPr>
          <w:rFonts w:eastAsiaTheme="minorHAnsi"/>
          <w:color w:val="000000"/>
        </w:rPr>
        <w:t xml:space="preserve"> and an </w:t>
      </w:r>
      <w:r w:rsidR="00D07C17" w:rsidRPr="00C34454">
        <w:rPr>
          <w:rFonts w:eastAsiaTheme="minorHAnsi"/>
          <w:color w:val="000000"/>
        </w:rPr>
        <w:t>increase in mixed friendships (McGlynn</w:t>
      </w:r>
      <w:r w:rsidR="00D07C17">
        <w:rPr>
          <w:rFonts w:eastAsiaTheme="minorHAnsi"/>
          <w:color w:val="000000"/>
        </w:rPr>
        <w:t xml:space="preserve"> </w:t>
      </w:r>
      <w:r w:rsidR="00D07C17" w:rsidRPr="00C34454">
        <w:rPr>
          <w:rFonts w:eastAsiaTheme="minorHAnsi"/>
          <w:i/>
          <w:iCs/>
          <w:color w:val="000000"/>
        </w:rPr>
        <w:t>et al</w:t>
      </w:r>
      <w:r w:rsidR="00D07C17">
        <w:rPr>
          <w:rFonts w:eastAsiaTheme="minorHAnsi"/>
          <w:color w:val="000000"/>
        </w:rPr>
        <w:t>.</w:t>
      </w:r>
      <w:r w:rsidR="00D07C17" w:rsidRPr="00C34454">
        <w:rPr>
          <w:rFonts w:eastAsiaTheme="minorHAnsi"/>
          <w:color w:val="000000"/>
        </w:rPr>
        <w:t xml:space="preserve">, </w:t>
      </w:r>
      <w:r w:rsidR="00D07C17" w:rsidRPr="00C34454">
        <w:rPr>
          <w:rFonts w:eastAsiaTheme="minorHAnsi"/>
          <w:color w:val="000085"/>
        </w:rPr>
        <w:t>2004</w:t>
      </w:r>
      <w:r w:rsidR="00D07C17" w:rsidRPr="00C34454">
        <w:rPr>
          <w:rFonts w:eastAsiaTheme="minorHAnsi"/>
          <w:color w:val="000000"/>
        </w:rPr>
        <w:t xml:space="preserve">). </w:t>
      </w:r>
      <w:r w:rsidR="00D21909">
        <w:rPr>
          <w:rFonts w:eastAsiaTheme="minorHAnsi"/>
          <w:color w:val="000000"/>
        </w:rPr>
        <w:t xml:space="preserve">These </w:t>
      </w:r>
      <w:r w:rsidR="00D07C17" w:rsidRPr="00C34454">
        <w:rPr>
          <w:rFonts w:eastAsiaTheme="minorHAnsi"/>
          <w:color w:val="000000"/>
        </w:rPr>
        <w:t>positive impact</w:t>
      </w:r>
      <w:r w:rsidR="00D21909">
        <w:rPr>
          <w:rFonts w:eastAsiaTheme="minorHAnsi"/>
          <w:color w:val="000000"/>
        </w:rPr>
        <w:t>s</w:t>
      </w:r>
      <w:r w:rsidR="00D07C17" w:rsidRPr="00C34454">
        <w:rPr>
          <w:rFonts w:eastAsiaTheme="minorHAnsi"/>
          <w:color w:val="000000"/>
        </w:rPr>
        <w:t xml:space="preserve"> </w:t>
      </w:r>
      <w:r w:rsidR="00D21909">
        <w:rPr>
          <w:rFonts w:eastAsiaTheme="minorHAnsi"/>
          <w:color w:val="000000"/>
        </w:rPr>
        <w:t xml:space="preserve">have been found to </w:t>
      </w:r>
      <w:r w:rsidR="00D07C17" w:rsidRPr="00C34454">
        <w:rPr>
          <w:rFonts w:eastAsiaTheme="minorHAnsi"/>
          <w:color w:val="000000"/>
        </w:rPr>
        <w:t>extend into</w:t>
      </w:r>
      <w:r w:rsidR="00D21909">
        <w:rPr>
          <w:rFonts w:eastAsiaTheme="minorHAnsi"/>
          <w:color w:val="000000"/>
        </w:rPr>
        <w:t xml:space="preserve"> </w:t>
      </w:r>
      <w:r w:rsidR="00D07C17" w:rsidRPr="00C34454">
        <w:rPr>
          <w:rFonts w:eastAsiaTheme="minorHAnsi"/>
          <w:color w:val="000000"/>
        </w:rPr>
        <w:t>later life and ‘these individuals have the potential to create a new common</w:t>
      </w:r>
      <w:r w:rsidR="00D21909">
        <w:rPr>
          <w:rFonts w:eastAsiaTheme="minorHAnsi"/>
          <w:color w:val="000000"/>
        </w:rPr>
        <w:t xml:space="preserve"> </w:t>
      </w:r>
      <w:r w:rsidR="00D07C17" w:rsidRPr="00C34454">
        <w:rPr>
          <w:rFonts w:eastAsiaTheme="minorHAnsi"/>
          <w:color w:val="000000"/>
        </w:rPr>
        <w:t>ground in Northern Ireland politics’ (</w:t>
      </w:r>
      <w:r w:rsidR="00D21909" w:rsidRPr="009F51EE">
        <w:rPr>
          <w:rFonts w:eastAsiaTheme="minorHAnsi"/>
          <w:color w:val="000000"/>
        </w:rPr>
        <w:t>Hayes</w:t>
      </w:r>
      <w:r w:rsidR="00D21909">
        <w:rPr>
          <w:rFonts w:eastAsiaTheme="minorHAnsi"/>
          <w:color w:val="000000"/>
        </w:rPr>
        <w:t xml:space="preserve"> </w:t>
      </w:r>
      <w:r w:rsidR="00D21909" w:rsidRPr="009F51EE">
        <w:rPr>
          <w:rFonts w:eastAsiaTheme="minorHAnsi"/>
          <w:i/>
          <w:iCs/>
          <w:color w:val="000000"/>
        </w:rPr>
        <w:t>et al</w:t>
      </w:r>
      <w:r w:rsidR="00D21909" w:rsidRPr="009F51EE">
        <w:rPr>
          <w:rFonts w:eastAsiaTheme="minorHAnsi"/>
          <w:color w:val="000000"/>
        </w:rPr>
        <w:t>.</w:t>
      </w:r>
      <w:r w:rsidR="00D21909">
        <w:rPr>
          <w:rFonts w:eastAsiaTheme="minorHAnsi"/>
          <w:color w:val="000000"/>
        </w:rPr>
        <w:t xml:space="preserve">, </w:t>
      </w:r>
      <w:r w:rsidR="00D21909" w:rsidRPr="009F51EE">
        <w:rPr>
          <w:rFonts w:eastAsiaTheme="minorHAnsi"/>
          <w:color w:val="000085"/>
        </w:rPr>
        <w:t>2007</w:t>
      </w:r>
      <w:r w:rsidR="00D21909">
        <w:rPr>
          <w:rFonts w:eastAsiaTheme="minorHAnsi"/>
          <w:color w:val="000000"/>
        </w:rPr>
        <w:t>:</w:t>
      </w:r>
      <w:r w:rsidR="00D07C17" w:rsidRPr="00C34454">
        <w:rPr>
          <w:rFonts w:eastAsiaTheme="minorHAnsi"/>
          <w:color w:val="000000"/>
        </w:rPr>
        <w:t>477).</w:t>
      </w:r>
      <w:r w:rsidR="00D07C17">
        <w:rPr>
          <w:rFonts w:eastAsiaTheme="minorHAnsi"/>
        </w:rPr>
        <w:t xml:space="preserve"> </w:t>
      </w:r>
      <w:r w:rsidR="00D21909">
        <w:rPr>
          <w:rFonts w:eastAsiaTheme="minorHAnsi"/>
        </w:rPr>
        <w:t>However, n</w:t>
      </w:r>
      <w:r w:rsidR="00DA1F4A" w:rsidRPr="003E7DB9">
        <w:rPr>
          <w:rFonts w:eastAsiaTheme="minorHAnsi"/>
        </w:rPr>
        <w:t>otwithstanding</w:t>
      </w:r>
      <w:r w:rsidR="008A424D" w:rsidRPr="003E7DB9">
        <w:rPr>
          <w:rFonts w:eastAsiaTheme="minorHAnsi"/>
        </w:rPr>
        <w:t xml:space="preserve"> its initial </w:t>
      </w:r>
      <w:r w:rsidR="00DA1F4A">
        <w:rPr>
          <w:rFonts w:eastAsiaTheme="minorHAnsi"/>
        </w:rPr>
        <w:t xml:space="preserve">rapid </w:t>
      </w:r>
      <w:r w:rsidR="00DA1F4A" w:rsidRPr="003E7DB9">
        <w:rPr>
          <w:rFonts w:eastAsiaTheme="minorHAnsi"/>
        </w:rPr>
        <w:t>development</w:t>
      </w:r>
      <w:r w:rsidR="00DA1F4A">
        <w:rPr>
          <w:rFonts w:eastAsiaTheme="minorHAnsi"/>
        </w:rPr>
        <w:t xml:space="preserve"> and its continued growth</w:t>
      </w:r>
      <w:r w:rsidRPr="003E7DB9">
        <w:rPr>
          <w:rFonts w:eastAsiaTheme="minorHAnsi"/>
        </w:rPr>
        <w:t xml:space="preserve">, it </w:t>
      </w:r>
      <w:r w:rsidR="00DA1F4A">
        <w:rPr>
          <w:rFonts w:eastAsiaTheme="minorHAnsi"/>
        </w:rPr>
        <w:t xml:space="preserve">still </w:t>
      </w:r>
      <w:r w:rsidRPr="003E7DB9">
        <w:rPr>
          <w:rFonts w:eastAsiaTheme="minorHAnsi"/>
        </w:rPr>
        <w:t xml:space="preserve">comprises only 7% of the school-aged population, </w:t>
      </w:r>
      <w:r w:rsidR="00AC0D3D" w:rsidRPr="003E7DB9">
        <w:rPr>
          <w:rFonts w:eastAsiaTheme="minorHAnsi"/>
        </w:rPr>
        <w:t>with</w:t>
      </w:r>
      <w:r w:rsidRPr="003E7DB9">
        <w:rPr>
          <w:rFonts w:eastAsiaTheme="minorHAnsi"/>
        </w:rPr>
        <w:t xml:space="preserve"> the remainder </w:t>
      </w:r>
      <w:r w:rsidR="00AC0D3D" w:rsidRPr="003E7DB9">
        <w:rPr>
          <w:rFonts w:eastAsiaTheme="minorHAnsi"/>
        </w:rPr>
        <w:t xml:space="preserve">of learners </w:t>
      </w:r>
      <w:r w:rsidRPr="003E7DB9">
        <w:rPr>
          <w:rFonts w:eastAsiaTheme="minorHAnsi"/>
        </w:rPr>
        <w:t>educated in largely segregated settings (Bates</w:t>
      </w:r>
      <w:r w:rsidR="00B201C1" w:rsidRPr="003E7DB9">
        <w:rPr>
          <w:rFonts w:eastAsiaTheme="minorHAnsi"/>
        </w:rPr>
        <w:t xml:space="preserve"> </w:t>
      </w:r>
      <w:r w:rsidR="00B201C1" w:rsidRPr="003E7DB9">
        <w:rPr>
          <w:rFonts w:eastAsiaTheme="minorHAnsi"/>
          <w:i/>
          <w:iCs/>
        </w:rPr>
        <w:t>et al</w:t>
      </w:r>
      <w:r w:rsidR="00B201C1" w:rsidRPr="003E7DB9">
        <w:rPr>
          <w:rFonts w:eastAsiaTheme="minorHAnsi"/>
        </w:rPr>
        <w:t xml:space="preserve">., </w:t>
      </w:r>
      <w:r w:rsidRPr="003E7DB9">
        <w:rPr>
          <w:rFonts w:eastAsiaTheme="minorHAnsi"/>
        </w:rPr>
        <w:t xml:space="preserve">2017). </w:t>
      </w:r>
    </w:p>
    <w:p w14:paraId="0B85B626" w14:textId="77777777" w:rsidR="00D21909" w:rsidRDefault="00D21909" w:rsidP="00D21909">
      <w:pPr>
        <w:autoSpaceDE w:val="0"/>
        <w:autoSpaceDN w:val="0"/>
        <w:adjustRightInd w:val="0"/>
        <w:rPr>
          <w:rFonts w:eastAsiaTheme="minorHAnsi"/>
        </w:rPr>
      </w:pPr>
    </w:p>
    <w:p w14:paraId="13899586" w14:textId="6277BBA4" w:rsidR="003D69AB" w:rsidRPr="00C34454" w:rsidRDefault="00A4081F" w:rsidP="00C34454">
      <w:pPr>
        <w:autoSpaceDE w:val="0"/>
        <w:autoSpaceDN w:val="0"/>
        <w:adjustRightInd w:val="0"/>
        <w:jc w:val="both"/>
        <w:rPr>
          <w:rFonts w:eastAsiaTheme="minorHAnsi"/>
          <w:color w:val="000000"/>
        </w:rPr>
      </w:pPr>
      <w:r w:rsidRPr="003316B4">
        <w:rPr>
          <w:rFonts w:eastAsiaTheme="minorHAnsi"/>
        </w:rPr>
        <w:t>A more</w:t>
      </w:r>
      <w:r w:rsidRPr="003E7DB9">
        <w:rPr>
          <w:rFonts w:eastAsiaTheme="minorHAnsi"/>
        </w:rPr>
        <w:t xml:space="preserve"> recent initiative has been Shared Education. </w:t>
      </w:r>
      <w:r w:rsidR="003D69AB" w:rsidRPr="003E7DB9">
        <w:rPr>
          <w:rFonts w:eastAsiaTheme="minorHAnsi"/>
        </w:rPr>
        <w:t>Hughes and Loader (2015)</w:t>
      </w:r>
      <w:r w:rsidRPr="003E7DB9">
        <w:rPr>
          <w:rFonts w:eastAsiaTheme="minorHAnsi"/>
        </w:rPr>
        <w:t xml:space="preserve"> define </w:t>
      </w:r>
      <w:r w:rsidR="00E37BC2" w:rsidRPr="003E7DB9">
        <w:rPr>
          <w:rFonts w:eastAsiaTheme="minorHAnsi"/>
        </w:rPr>
        <w:t>this</w:t>
      </w:r>
      <w:r w:rsidRPr="003E7DB9">
        <w:rPr>
          <w:rFonts w:eastAsiaTheme="minorHAnsi"/>
        </w:rPr>
        <w:t xml:space="preserve"> as</w:t>
      </w:r>
      <w:r w:rsidR="003D69AB" w:rsidRPr="003E7DB9">
        <w:rPr>
          <w:rFonts w:eastAsiaTheme="minorHAnsi"/>
        </w:rPr>
        <w:t xml:space="preserve"> </w:t>
      </w:r>
      <w:r w:rsidR="00B201C1" w:rsidRPr="003E7DB9">
        <w:rPr>
          <w:rFonts w:eastAsiaTheme="minorHAnsi"/>
        </w:rPr>
        <w:t xml:space="preserve">a </w:t>
      </w:r>
      <w:r w:rsidR="003D69AB" w:rsidRPr="003E7DB9">
        <w:rPr>
          <w:rFonts w:eastAsiaTheme="minorHAnsi"/>
        </w:rPr>
        <w:t xml:space="preserve">curriculum-based </w:t>
      </w:r>
      <w:r w:rsidR="00B201C1" w:rsidRPr="003E7DB9">
        <w:rPr>
          <w:rFonts w:eastAsiaTheme="minorHAnsi"/>
        </w:rPr>
        <w:t xml:space="preserve">initiative </w:t>
      </w:r>
      <w:r w:rsidR="003D69AB" w:rsidRPr="003E7DB9">
        <w:rPr>
          <w:rFonts w:eastAsiaTheme="minorHAnsi"/>
        </w:rPr>
        <w:t>promoting interaction between pupils from school</w:t>
      </w:r>
      <w:r w:rsidR="00C3439D">
        <w:rPr>
          <w:rFonts w:eastAsiaTheme="minorHAnsi"/>
        </w:rPr>
        <w:t>s of all management types</w:t>
      </w:r>
      <w:r w:rsidR="003D69AB" w:rsidRPr="003E7DB9">
        <w:rPr>
          <w:rFonts w:eastAsiaTheme="minorHAnsi"/>
        </w:rPr>
        <w:t>, aimed at contributing to social harmony</w:t>
      </w:r>
      <w:r w:rsidR="008A42C1">
        <w:rPr>
          <w:rFonts w:eastAsiaTheme="minorHAnsi"/>
        </w:rPr>
        <w:t>, and</w:t>
      </w:r>
      <w:r w:rsidR="003D69AB" w:rsidRPr="003E7DB9">
        <w:rPr>
          <w:rFonts w:eastAsiaTheme="minorHAnsi"/>
        </w:rPr>
        <w:t xml:space="preserve"> </w:t>
      </w:r>
      <w:r w:rsidR="003316B4">
        <w:rPr>
          <w:rFonts w:eastAsiaTheme="minorHAnsi"/>
        </w:rPr>
        <w:t xml:space="preserve">Shared Education </w:t>
      </w:r>
      <w:r w:rsidR="00DC0522">
        <w:rPr>
          <w:rFonts w:eastAsiaTheme="minorHAnsi"/>
        </w:rPr>
        <w:t xml:space="preserve">has been shown to have success in promoting social cohesion (Hughes </w:t>
      </w:r>
      <w:r w:rsidR="00DC0522" w:rsidRPr="00C34454">
        <w:rPr>
          <w:rFonts w:eastAsiaTheme="minorHAnsi"/>
          <w:i/>
          <w:iCs/>
        </w:rPr>
        <w:t>et al</w:t>
      </w:r>
      <w:r w:rsidR="00DC0522">
        <w:rPr>
          <w:rFonts w:eastAsiaTheme="minorHAnsi"/>
        </w:rPr>
        <w:t>., 2012; RSM McClure Watters, 2014)</w:t>
      </w:r>
      <w:r w:rsidR="007563F9">
        <w:rPr>
          <w:rFonts w:eastAsiaTheme="minorHAnsi"/>
        </w:rPr>
        <w:t xml:space="preserve">. </w:t>
      </w:r>
      <w:r w:rsidR="003D69AB" w:rsidRPr="003E7DB9">
        <w:rPr>
          <w:rFonts w:eastAsiaTheme="minorHAnsi"/>
        </w:rPr>
        <w:t>However, despite getting considerable political support</w:t>
      </w:r>
      <w:r w:rsidR="005E4D4E" w:rsidRPr="003E7DB9">
        <w:rPr>
          <w:rFonts w:eastAsiaTheme="minorHAnsi"/>
        </w:rPr>
        <w:t>,</w:t>
      </w:r>
      <w:r w:rsidR="003D69AB" w:rsidRPr="003E7DB9">
        <w:rPr>
          <w:rFonts w:eastAsiaTheme="minorHAnsi"/>
        </w:rPr>
        <w:t xml:space="preserve"> even </w:t>
      </w:r>
      <w:r w:rsidR="003D69AB" w:rsidRPr="003E7DB9">
        <w:rPr>
          <w:color w:val="000000" w:themeColor="text1"/>
        </w:rPr>
        <w:t>one of the architects of the init</w:t>
      </w:r>
      <w:r w:rsidR="00750A8D" w:rsidRPr="003E7DB9">
        <w:rPr>
          <w:color w:val="000000" w:themeColor="text1"/>
        </w:rPr>
        <w:t>i</w:t>
      </w:r>
      <w:r w:rsidR="003D69AB" w:rsidRPr="003E7DB9">
        <w:rPr>
          <w:color w:val="000000" w:themeColor="text1"/>
        </w:rPr>
        <w:t>ative</w:t>
      </w:r>
      <w:r w:rsidR="002713A1" w:rsidRPr="003E7DB9">
        <w:rPr>
          <w:color w:val="000000" w:themeColor="text1"/>
        </w:rPr>
        <w:t xml:space="preserve"> </w:t>
      </w:r>
      <w:r w:rsidR="00B201C1" w:rsidRPr="003E7DB9">
        <w:rPr>
          <w:color w:val="000000" w:themeColor="text1"/>
        </w:rPr>
        <w:t xml:space="preserve">candidly </w:t>
      </w:r>
      <w:r w:rsidR="003D69AB" w:rsidRPr="003E7DB9">
        <w:rPr>
          <w:color w:val="000000" w:themeColor="text1"/>
        </w:rPr>
        <w:t xml:space="preserve">concedes that </w:t>
      </w:r>
    </w:p>
    <w:p w14:paraId="696A6CED" w14:textId="77777777" w:rsidR="003D69AB" w:rsidRPr="003E7DB9" w:rsidRDefault="003D69AB" w:rsidP="00AF155A">
      <w:pPr>
        <w:pStyle w:val="Default"/>
        <w:jc w:val="both"/>
        <w:rPr>
          <w:rFonts w:ascii="Times New Roman" w:hAnsi="Times New Roman" w:cs="Times New Roman"/>
        </w:rPr>
      </w:pPr>
    </w:p>
    <w:p w14:paraId="2F0CF6D6" w14:textId="4E23DDCE" w:rsidR="00A66332" w:rsidRPr="003E7DB9" w:rsidRDefault="003D69AB" w:rsidP="00AF155A">
      <w:pPr>
        <w:pStyle w:val="Default"/>
        <w:ind w:left="567" w:right="804"/>
        <w:jc w:val="both"/>
        <w:rPr>
          <w:rFonts w:ascii="Times New Roman" w:hAnsi="Times New Roman" w:cs="Times New Roman"/>
        </w:rPr>
      </w:pPr>
      <w:r w:rsidRPr="003E7DB9">
        <w:rPr>
          <w:rFonts w:ascii="Times New Roman" w:hAnsi="Times New Roman" w:cs="Times New Roman"/>
        </w:rPr>
        <w:t>…there are concerns by some that it represents little more than an enhanced version of the discredited contact programmes run under the Education for Mutual Understanding initiative and that the spirit of innovation present in its genesis may be dissipatin</w:t>
      </w:r>
      <w:r w:rsidR="003A33AC" w:rsidRPr="003E7DB9">
        <w:rPr>
          <w:rFonts w:ascii="Times New Roman" w:hAnsi="Times New Roman" w:cs="Times New Roman"/>
        </w:rPr>
        <w:t>g</w:t>
      </w:r>
      <w:r w:rsidRPr="003E7DB9">
        <w:rPr>
          <w:rFonts w:ascii="Times New Roman" w:hAnsi="Times New Roman" w:cs="Times New Roman"/>
        </w:rPr>
        <w:t xml:space="preserve"> (Gallagher, 2019:32).</w:t>
      </w:r>
    </w:p>
    <w:p w14:paraId="48AFDA16" w14:textId="77777777" w:rsidR="00B201C1" w:rsidRPr="003E7DB9" w:rsidRDefault="00B201C1" w:rsidP="00AF155A">
      <w:pPr>
        <w:jc w:val="both"/>
      </w:pPr>
    </w:p>
    <w:p w14:paraId="672ADACC" w14:textId="77777777" w:rsidR="003316B4" w:rsidRDefault="003D69AB" w:rsidP="00C34454">
      <w:pPr>
        <w:autoSpaceDE w:val="0"/>
        <w:autoSpaceDN w:val="0"/>
        <w:adjustRightInd w:val="0"/>
        <w:jc w:val="both"/>
        <w:rPr>
          <w:color w:val="000000"/>
        </w:rPr>
      </w:pPr>
      <w:r w:rsidRPr="003E7DB9">
        <w:t xml:space="preserve">Hughes </w:t>
      </w:r>
      <w:r w:rsidRPr="003E7DB9">
        <w:rPr>
          <w:i/>
          <w:iCs/>
        </w:rPr>
        <w:t>et al</w:t>
      </w:r>
      <w:r w:rsidRPr="003E7DB9">
        <w:t>. (2016) are concerned that</w:t>
      </w:r>
      <w:r w:rsidRPr="003E7DB9">
        <w:rPr>
          <w:lang w:val="en-US"/>
        </w:rPr>
        <w:t xml:space="preserve"> </w:t>
      </w:r>
      <w:r w:rsidR="00161DC2" w:rsidRPr="003E7DB9">
        <w:t>‘</w:t>
      </w:r>
      <w:r w:rsidRPr="003E7DB9">
        <w:t>there is little enthusiasm for the type of deep engagement with difference that can engender long-term social transformation</w:t>
      </w:r>
      <w:r w:rsidR="00161DC2" w:rsidRPr="003E7DB9">
        <w:t>’</w:t>
      </w:r>
      <w:r w:rsidRPr="003E7DB9">
        <w:t xml:space="preserve"> (2016:1096)</w:t>
      </w:r>
      <w:r w:rsidR="00AC0D3D" w:rsidRPr="003E7DB9">
        <w:t xml:space="preserve"> and t</w:t>
      </w:r>
      <w:r w:rsidR="00553A61" w:rsidRPr="003E7DB9">
        <w:rPr>
          <w:color w:val="000000"/>
        </w:rPr>
        <w:t xml:space="preserve">eachers leading Shared Education programmes have been found to be averse to exploring themes related to the conflict and community division with learners (ETI, 2018). </w:t>
      </w:r>
    </w:p>
    <w:p w14:paraId="36D1D50B" w14:textId="77777777" w:rsidR="003316B4" w:rsidRDefault="003316B4" w:rsidP="00C34454">
      <w:pPr>
        <w:autoSpaceDE w:val="0"/>
        <w:autoSpaceDN w:val="0"/>
        <w:adjustRightInd w:val="0"/>
        <w:jc w:val="both"/>
        <w:rPr>
          <w:color w:val="000000"/>
        </w:rPr>
      </w:pPr>
    </w:p>
    <w:p w14:paraId="05E7ED64" w14:textId="1451C6F7" w:rsidR="003D69AB" w:rsidRPr="00C34454" w:rsidRDefault="003316B4" w:rsidP="00C34454">
      <w:pPr>
        <w:autoSpaceDE w:val="0"/>
        <w:autoSpaceDN w:val="0"/>
        <w:adjustRightInd w:val="0"/>
        <w:jc w:val="both"/>
        <w:rPr>
          <w:rFonts w:eastAsiaTheme="minorHAnsi"/>
          <w:lang w:eastAsia="en-US"/>
        </w:rPr>
      </w:pPr>
      <w:r w:rsidRPr="003316B4">
        <w:rPr>
          <w:rFonts w:eastAsiaTheme="minorHAnsi"/>
        </w:rPr>
        <w:t xml:space="preserve">Shared Education prioritises educational benefits over addressing reconciliation, a pragmatic approach to ensure more acceptance by parents and schools. It does not </w:t>
      </w:r>
      <w:r w:rsidR="008A42C1">
        <w:rPr>
          <w:rFonts w:eastAsiaTheme="minorHAnsi"/>
        </w:rPr>
        <w:t>‘</w:t>
      </w:r>
      <w:r w:rsidR="00883A68">
        <w:rPr>
          <w:rFonts w:eastAsiaTheme="minorHAnsi"/>
        </w:rPr>
        <w:t>…</w:t>
      </w:r>
      <w:r w:rsidRPr="00C34454">
        <w:rPr>
          <w:rFonts w:eastAsiaTheme="minorHAnsi"/>
          <w:lang w:eastAsia="en-US"/>
        </w:rPr>
        <w:t>require any changes to existing school structures in order to achieve its twin objectives</w:t>
      </w:r>
      <w:r w:rsidR="008A42C1">
        <w:rPr>
          <w:rFonts w:eastAsiaTheme="minorHAnsi"/>
          <w:lang w:eastAsia="en-US"/>
        </w:rPr>
        <w:t>’</w:t>
      </w:r>
      <w:r w:rsidRPr="00C34454">
        <w:rPr>
          <w:rFonts w:eastAsiaTheme="minorHAnsi"/>
          <w:lang w:eastAsia="en-US"/>
        </w:rPr>
        <w:t xml:space="preserve"> (Hughes </w:t>
      </w:r>
      <w:r w:rsidRPr="00C34454">
        <w:rPr>
          <w:rFonts w:eastAsiaTheme="minorHAnsi"/>
          <w:i/>
          <w:iCs/>
          <w:lang w:eastAsia="en-US"/>
        </w:rPr>
        <w:t>et al</w:t>
      </w:r>
      <w:r w:rsidRPr="00C34454">
        <w:rPr>
          <w:rFonts w:eastAsiaTheme="minorHAnsi"/>
          <w:lang w:eastAsia="en-US"/>
        </w:rPr>
        <w:t>., 2012</w:t>
      </w:r>
      <w:r>
        <w:rPr>
          <w:rFonts w:eastAsiaTheme="minorHAnsi"/>
          <w:lang w:eastAsia="en-US"/>
        </w:rPr>
        <w:t>:530</w:t>
      </w:r>
      <w:r w:rsidRPr="00C34454">
        <w:rPr>
          <w:rFonts w:eastAsiaTheme="minorHAnsi"/>
          <w:lang w:eastAsia="en-US"/>
        </w:rPr>
        <w:t>) and</w:t>
      </w:r>
      <w:r w:rsidRPr="003316B4">
        <w:rPr>
          <w:rFonts w:eastAsiaTheme="minorHAnsi"/>
        </w:rPr>
        <w:t xml:space="preserve"> Shared Education retains separate school buildings, school grounds, staff and uniforms.</w:t>
      </w:r>
      <w:r>
        <w:rPr>
          <w:rFonts w:eastAsiaTheme="minorHAnsi"/>
        </w:rPr>
        <w:t xml:space="preserve"> </w:t>
      </w:r>
      <w:r w:rsidRPr="003316B4">
        <w:rPr>
          <w:color w:val="000000"/>
        </w:rPr>
        <w:t xml:space="preserve">Even if this initiative were to achieve </w:t>
      </w:r>
      <w:r>
        <w:rPr>
          <w:color w:val="000000"/>
        </w:rPr>
        <w:t xml:space="preserve">its </w:t>
      </w:r>
      <w:r w:rsidRPr="003316B4">
        <w:rPr>
          <w:color w:val="000000"/>
        </w:rPr>
        <w:t xml:space="preserve">reconciliation goals, </w:t>
      </w:r>
      <w:r>
        <w:rPr>
          <w:color w:val="000000"/>
        </w:rPr>
        <w:t xml:space="preserve">in </w:t>
      </w:r>
      <w:r w:rsidRPr="003316B4">
        <w:rPr>
          <w:color w:val="000000"/>
        </w:rPr>
        <w:t>structural</w:t>
      </w:r>
      <w:r>
        <w:rPr>
          <w:color w:val="000000"/>
        </w:rPr>
        <w:t xml:space="preserve"> terms</w:t>
      </w:r>
      <w:r w:rsidRPr="003316B4">
        <w:rPr>
          <w:color w:val="000000"/>
        </w:rPr>
        <w:t xml:space="preserve"> educational provision in Northern Ireland would be little changed. </w:t>
      </w:r>
      <w:r>
        <w:rPr>
          <w:color w:val="000000" w:themeColor="text1"/>
        </w:rPr>
        <w:t>Thus</w:t>
      </w:r>
      <w:r w:rsidR="00CD2519" w:rsidRPr="003316B4">
        <w:rPr>
          <w:color w:val="000000" w:themeColor="text1"/>
        </w:rPr>
        <w:t>, i</w:t>
      </w:r>
      <w:r w:rsidR="008A424D" w:rsidRPr="003316B4">
        <w:rPr>
          <w:color w:val="000000" w:themeColor="text1"/>
        </w:rPr>
        <w:t>t can be argued that</w:t>
      </w:r>
      <w:r w:rsidR="003D69AB" w:rsidRPr="003316B4">
        <w:rPr>
          <w:color w:val="000000" w:themeColor="text1"/>
        </w:rPr>
        <w:t xml:space="preserve"> </w:t>
      </w:r>
      <w:r w:rsidR="007563F9" w:rsidRPr="003316B4">
        <w:rPr>
          <w:color w:val="000000" w:themeColor="text1"/>
        </w:rPr>
        <w:t xml:space="preserve">Shared Education will not address the economic consequences of </w:t>
      </w:r>
      <w:r w:rsidR="00514402" w:rsidRPr="003316B4">
        <w:rPr>
          <w:color w:val="000000" w:themeColor="text1"/>
        </w:rPr>
        <w:t xml:space="preserve">school </w:t>
      </w:r>
      <w:r w:rsidR="007563F9" w:rsidRPr="003316B4">
        <w:rPr>
          <w:color w:val="000000" w:themeColor="text1"/>
        </w:rPr>
        <w:t xml:space="preserve">duplication and its impact </w:t>
      </w:r>
      <w:r w:rsidR="003D69AB" w:rsidRPr="003316B4">
        <w:rPr>
          <w:color w:val="000000" w:themeColor="text1"/>
        </w:rPr>
        <w:t>on systemic change in Northern Ireland may be negligible</w:t>
      </w:r>
      <w:r w:rsidR="00514402" w:rsidRPr="003316B4">
        <w:rPr>
          <w:rFonts w:eastAsiaTheme="majorEastAsia"/>
        </w:rPr>
        <w:t xml:space="preserve"> </w:t>
      </w:r>
      <w:r w:rsidR="003D69AB" w:rsidRPr="003316B4">
        <w:rPr>
          <w:rFonts w:eastAsiaTheme="majorEastAsia"/>
        </w:rPr>
        <w:t>(Roulston and Hansson, 2019)</w:t>
      </w:r>
      <w:r w:rsidR="003D69AB" w:rsidRPr="003316B4">
        <w:rPr>
          <w:color w:val="000000" w:themeColor="text1"/>
        </w:rPr>
        <w:t>.</w:t>
      </w:r>
    </w:p>
    <w:p w14:paraId="47EB2A04" w14:textId="23B7BA77" w:rsidR="00DA1F4A" w:rsidRDefault="00DA1F4A" w:rsidP="00AF155A">
      <w:pPr>
        <w:jc w:val="both"/>
        <w:rPr>
          <w:color w:val="000000" w:themeColor="text1"/>
        </w:rPr>
      </w:pPr>
    </w:p>
    <w:p w14:paraId="5A7926FE" w14:textId="23A63B2B" w:rsidR="00DA1F4A" w:rsidRPr="003E7DB9" w:rsidRDefault="00DA1F4A" w:rsidP="00AF155A">
      <w:pPr>
        <w:jc w:val="both"/>
      </w:pPr>
      <w:r>
        <w:rPr>
          <w:color w:val="000000" w:themeColor="text1"/>
        </w:rPr>
        <w:t>Some hope may rest in the New Decade, New Approach document (</w:t>
      </w:r>
      <w:r w:rsidR="00544B06">
        <w:rPr>
          <w:color w:val="000000" w:themeColor="text1"/>
        </w:rPr>
        <w:t xml:space="preserve">UK Govt and </w:t>
      </w:r>
      <w:r>
        <w:rPr>
          <w:color w:val="000000" w:themeColor="text1"/>
        </w:rPr>
        <w:t>I</w:t>
      </w:r>
      <w:r w:rsidR="00544B06">
        <w:rPr>
          <w:color w:val="000000" w:themeColor="text1"/>
        </w:rPr>
        <w:t xml:space="preserve">rish </w:t>
      </w:r>
      <w:r>
        <w:rPr>
          <w:color w:val="000000" w:themeColor="text1"/>
        </w:rPr>
        <w:t>G</w:t>
      </w:r>
      <w:r w:rsidR="00544B06">
        <w:rPr>
          <w:color w:val="000000" w:themeColor="text1"/>
        </w:rPr>
        <w:t>ovt, 2020)</w:t>
      </w:r>
      <w:r>
        <w:rPr>
          <w:color w:val="000000" w:themeColor="text1"/>
        </w:rPr>
        <w:t>, co-written by the British and Irish Governments to restore regional government in Northern Ireland in January 2020. Securing the support of the main parties, it commits</w:t>
      </w:r>
      <w:r w:rsidR="00544B06">
        <w:rPr>
          <w:color w:val="000000" w:themeColor="text1"/>
        </w:rPr>
        <w:t xml:space="preserve"> the newly reinstituted devolved Assembly</w:t>
      </w:r>
      <w:r>
        <w:rPr>
          <w:color w:val="000000" w:themeColor="text1"/>
        </w:rPr>
        <w:t xml:space="preserve">, </w:t>
      </w:r>
      <w:r w:rsidRPr="00544B06">
        <w:rPr>
          <w:i/>
          <w:iCs/>
          <w:color w:val="000000" w:themeColor="text1"/>
        </w:rPr>
        <w:t>inter alia</w:t>
      </w:r>
      <w:r>
        <w:rPr>
          <w:color w:val="000000" w:themeColor="text1"/>
        </w:rPr>
        <w:t xml:space="preserve">, to the </w:t>
      </w:r>
      <w:r w:rsidR="00544B06">
        <w:rPr>
          <w:color w:val="000000" w:themeColor="text1"/>
        </w:rPr>
        <w:t>establishment of ‘…an external, independent review of education provision, with a focus on securing greater efficiency in delivery costs … and the prospects of moving towards a single education system’.</w:t>
      </w:r>
    </w:p>
    <w:p w14:paraId="11E3B0BD" w14:textId="6F3D6374" w:rsidR="00EC571A" w:rsidRPr="003E7DB9" w:rsidRDefault="00EC571A" w:rsidP="00AF155A">
      <w:pPr>
        <w:tabs>
          <w:tab w:val="left" w:pos="1276"/>
        </w:tabs>
        <w:jc w:val="both"/>
        <w:rPr>
          <w:lang w:val="en-US"/>
        </w:rPr>
      </w:pPr>
    </w:p>
    <w:p w14:paraId="7A83FE8B" w14:textId="7A517363" w:rsidR="00AE7A73" w:rsidRPr="003E7DB9" w:rsidRDefault="00AE7A73" w:rsidP="00AF155A">
      <w:pPr>
        <w:tabs>
          <w:tab w:val="left" w:pos="1276"/>
        </w:tabs>
        <w:jc w:val="both"/>
        <w:rPr>
          <w:b/>
          <w:bCs/>
          <w:lang w:val="en-US"/>
        </w:rPr>
      </w:pPr>
      <w:r w:rsidRPr="003E7DB9">
        <w:rPr>
          <w:b/>
          <w:bCs/>
          <w:lang w:val="en-US"/>
        </w:rPr>
        <w:t>Primary school</w:t>
      </w:r>
      <w:r w:rsidR="004F6F20" w:rsidRPr="003E7DB9">
        <w:rPr>
          <w:b/>
          <w:bCs/>
          <w:lang w:val="en-US"/>
        </w:rPr>
        <w:t>s</w:t>
      </w:r>
      <w:r w:rsidR="00E52C01" w:rsidRPr="003E7DB9">
        <w:rPr>
          <w:b/>
          <w:bCs/>
          <w:lang w:val="en-US"/>
        </w:rPr>
        <w:t xml:space="preserve"> and small schools</w:t>
      </w:r>
    </w:p>
    <w:p w14:paraId="2C1146A5" w14:textId="77777777" w:rsidR="00AE7A73" w:rsidRPr="003E7DB9" w:rsidRDefault="00AE7A73" w:rsidP="00AF155A">
      <w:pPr>
        <w:tabs>
          <w:tab w:val="left" w:pos="1276"/>
        </w:tabs>
        <w:jc w:val="both"/>
        <w:rPr>
          <w:lang w:val="en-US"/>
        </w:rPr>
      </w:pPr>
    </w:p>
    <w:p w14:paraId="2E730EEA" w14:textId="5E9B82B6" w:rsidR="00EC571A" w:rsidRPr="003E7DB9" w:rsidRDefault="00AE7A73" w:rsidP="00AF155A">
      <w:pPr>
        <w:tabs>
          <w:tab w:val="left" w:pos="1276"/>
        </w:tabs>
        <w:jc w:val="both"/>
        <w:rPr>
          <w:lang w:val="en-US"/>
        </w:rPr>
      </w:pPr>
      <w:r w:rsidRPr="003E7DB9">
        <w:rPr>
          <w:lang w:val="en-US"/>
        </w:rPr>
        <w:t>Catholic Maintained and State</w:t>
      </w:r>
      <w:r w:rsidR="002713A1" w:rsidRPr="003E7DB9">
        <w:rPr>
          <w:lang w:val="en-US"/>
        </w:rPr>
        <w:t xml:space="preserve"> </w:t>
      </w:r>
      <w:r w:rsidRPr="003E7DB9">
        <w:rPr>
          <w:lang w:val="en-US"/>
        </w:rPr>
        <w:t xml:space="preserve">Controlled </w:t>
      </w:r>
      <w:r w:rsidR="002713A1" w:rsidRPr="003E7DB9">
        <w:rPr>
          <w:lang w:val="en-US"/>
        </w:rPr>
        <w:t xml:space="preserve">(effectively Protestant) </w:t>
      </w:r>
      <w:r w:rsidRPr="003E7DB9">
        <w:rPr>
          <w:lang w:val="en-US"/>
        </w:rPr>
        <w:t xml:space="preserve">schools make up 89% of all </w:t>
      </w:r>
      <w:r w:rsidR="00026813" w:rsidRPr="003E7DB9">
        <w:rPr>
          <w:lang w:val="en-US"/>
        </w:rPr>
        <w:t>primar</w:t>
      </w:r>
      <w:r w:rsidRPr="003E7DB9">
        <w:rPr>
          <w:lang w:val="en-US"/>
        </w:rPr>
        <w:t xml:space="preserve">y schools. Theoretically </w:t>
      </w:r>
      <w:r w:rsidR="00E52C01" w:rsidRPr="003E7DB9">
        <w:rPr>
          <w:lang w:val="en-US"/>
        </w:rPr>
        <w:t xml:space="preserve">these schools have a </w:t>
      </w:r>
      <w:r w:rsidRPr="003E7DB9">
        <w:rPr>
          <w:lang w:val="en-US"/>
        </w:rPr>
        <w:t xml:space="preserve">non-denominational </w:t>
      </w:r>
      <w:r w:rsidR="00E52C01" w:rsidRPr="003E7DB9">
        <w:rPr>
          <w:lang w:val="en-US"/>
        </w:rPr>
        <w:t xml:space="preserve">intake </w:t>
      </w:r>
      <w:r w:rsidRPr="003E7DB9">
        <w:rPr>
          <w:lang w:val="en-US"/>
        </w:rPr>
        <w:t>as ‘…few schools operate formal religious tests for admission’ (Gallagher, 2019:3)</w:t>
      </w:r>
      <w:r w:rsidR="00942467" w:rsidRPr="003E7DB9">
        <w:rPr>
          <w:lang w:val="en-US"/>
        </w:rPr>
        <w:t>;</w:t>
      </w:r>
      <w:r w:rsidRPr="003E7DB9">
        <w:rPr>
          <w:lang w:val="en-US"/>
        </w:rPr>
        <w:t xml:space="preserve"> nonetheless Catholic Maintained schools generally have a Catholic, Nationalist, Irish ethos and Controlled schools a Protestant, Unionist, British one</w:t>
      </w:r>
      <w:r w:rsidR="00AA07B9">
        <w:rPr>
          <w:lang w:val="en-US"/>
        </w:rPr>
        <w:t>. This i</w:t>
      </w:r>
      <w:r w:rsidR="00C3439D">
        <w:rPr>
          <w:lang w:val="en-US"/>
        </w:rPr>
        <w:t>s reflected, for example, in iconography found around the school, the sports that are played and the adherence or otherwise to religious holidays</w:t>
      </w:r>
      <w:r w:rsidRPr="003E7DB9">
        <w:rPr>
          <w:lang w:val="en-US"/>
        </w:rPr>
        <w:t xml:space="preserve"> (Murray, 1985). They also differ in terms of ownership, funding arrangements, governance and employment. </w:t>
      </w:r>
      <w:r w:rsidR="00F14CFF" w:rsidRPr="003E7DB9">
        <w:rPr>
          <w:lang w:val="en-US"/>
        </w:rPr>
        <w:t>In 2018-19, t</w:t>
      </w:r>
      <w:r w:rsidR="00EC571A" w:rsidRPr="003E7DB9">
        <w:rPr>
          <w:lang w:val="en-US"/>
        </w:rPr>
        <w:t>he</w:t>
      </w:r>
      <w:r w:rsidR="000B5EB1" w:rsidRPr="003E7DB9">
        <w:rPr>
          <w:lang w:val="en-US"/>
        </w:rPr>
        <w:t xml:space="preserve">re </w:t>
      </w:r>
      <w:r w:rsidR="00E52C01" w:rsidRPr="003E7DB9">
        <w:rPr>
          <w:lang w:val="en-US"/>
        </w:rPr>
        <w:t>we</w:t>
      </w:r>
      <w:r w:rsidR="000B5EB1" w:rsidRPr="003E7DB9">
        <w:rPr>
          <w:lang w:val="en-US"/>
        </w:rPr>
        <w:t>re</w:t>
      </w:r>
      <w:r w:rsidR="00EC571A" w:rsidRPr="003E7DB9">
        <w:rPr>
          <w:lang w:val="en-US"/>
        </w:rPr>
        <w:t xml:space="preserve"> 3</w:t>
      </w:r>
      <w:r w:rsidR="00F14CFF" w:rsidRPr="003E7DB9">
        <w:rPr>
          <w:lang w:val="en-US"/>
        </w:rPr>
        <w:t>62</w:t>
      </w:r>
      <w:r w:rsidR="00EC571A" w:rsidRPr="003E7DB9">
        <w:rPr>
          <w:lang w:val="en-US"/>
        </w:rPr>
        <w:t xml:space="preserve"> Catholic Maintained </w:t>
      </w:r>
      <w:r w:rsidR="00026813" w:rsidRPr="003E7DB9">
        <w:rPr>
          <w:lang w:val="en-US"/>
        </w:rPr>
        <w:t>primar</w:t>
      </w:r>
      <w:r w:rsidR="00EC571A" w:rsidRPr="003E7DB9">
        <w:rPr>
          <w:lang w:val="en-US"/>
        </w:rPr>
        <w:t>ies and 36</w:t>
      </w:r>
      <w:r w:rsidR="00F14CFF" w:rsidRPr="003E7DB9">
        <w:rPr>
          <w:lang w:val="en-US"/>
        </w:rPr>
        <w:t>3</w:t>
      </w:r>
      <w:r w:rsidR="00EC571A" w:rsidRPr="003E7DB9">
        <w:rPr>
          <w:lang w:val="en-US"/>
        </w:rPr>
        <w:t xml:space="preserve"> Controlled </w:t>
      </w:r>
      <w:r w:rsidR="00026813" w:rsidRPr="003E7DB9">
        <w:rPr>
          <w:lang w:val="en-US"/>
        </w:rPr>
        <w:t>primar</w:t>
      </w:r>
      <w:r w:rsidR="00EC571A" w:rsidRPr="003E7DB9">
        <w:rPr>
          <w:lang w:val="en-US"/>
        </w:rPr>
        <w:t xml:space="preserve">ies </w:t>
      </w:r>
      <w:r w:rsidR="000B5EB1" w:rsidRPr="003E7DB9">
        <w:rPr>
          <w:lang w:val="en-US"/>
        </w:rPr>
        <w:t xml:space="preserve">in </w:t>
      </w:r>
      <w:r w:rsidR="00E52C01" w:rsidRPr="003E7DB9">
        <w:rPr>
          <w:lang w:val="en-US"/>
        </w:rPr>
        <w:t>NI</w:t>
      </w:r>
      <w:r w:rsidR="000B5EB1" w:rsidRPr="003E7DB9">
        <w:rPr>
          <w:lang w:val="en-US"/>
        </w:rPr>
        <w:t xml:space="preserve">, </w:t>
      </w:r>
      <w:r w:rsidR="00EC571A" w:rsidRPr="003E7DB9">
        <w:rPr>
          <w:lang w:val="en-US"/>
        </w:rPr>
        <w:t xml:space="preserve">spread across </w:t>
      </w:r>
      <w:r w:rsidR="000B5EB1" w:rsidRPr="003E7DB9">
        <w:rPr>
          <w:lang w:val="en-US"/>
        </w:rPr>
        <w:t>the country</w:t>
      </w:r>
      <w:r w:rsidR="008843AD" w:rsidRPr="003E7DB9">
        <w:rPr>
          <w:lang w:val="en-US"/>
        </w:rPr>
        <w:t>.</w:t>
      </w:r>
      <w:r w:rsidR="003B6C77" w:rsidRPr="003E7DB9">
        <w:rPr>
          <w:lang w:val="en-US"/>
        </w:rPr>
        <w:t xml:space="preserve"> </w:t>
      </w:r>
      <w:r w:rsidR="00E52C01" w:rsidRPr="003E7DB9">
        <w:rPr>
          <w:lang w:val="en-US"/>
        </w:rPr>
        <w:t xml:space="preserve">Many </w:t>
      </w:r>
      <w:r w:rsidR="00EC571A" w:rsidRPr="003E7DB9">
        <w:rPr>
          <w:lang w:val="en-US"/>
        </w:rPr>
        <w:t xml:space="preserve">services </w:t>
      </w:r>
      <w:r w:rsidRPr="003E7DB9">
        <w:rPr>
          <w:lang w:val="en-US"/>
        </w:rPr>
        <w:t xml:space="preserve">are duplicated </w:t>
      </w:r>
      <w:r w:rsidR="00E52C01" w:rsidRPr="003E7DB9">
        <w:rPr>
          <w:lang w:val="en-US"/>
        </w:rPr>
        <w:t xml:space="preserve">in NI as a result of community divisions </w:t>
      </w:r>
      <w:r w:rsidR="000B5EB1" w:rsidRPr="003E7DB9">
        <w:rPr>
          <w:lang w:val="en-US"/>
        </w:rPr>
        <w:t>(</w:t>
      </w:r>
      <w:r w:rsidR="009C688F" w:rsidRPr="003E7DB9">
        <w:rPr>
          <w:lang w:val="en-US"/>
        </w:rPr>
        <w:t xml:space="preserve">Knox and Quirk, 2016) </w:t>
      </w:r>
      <w:r w:rsidR="00E52C01" w:rsidRPr="003E7DB9">
        <w:rPr>
          <w:lang w:val="en-US"/>
        </w:rPr>
        <w:t>and i</w:t>
      </w:r>
      <w:r w:rsidR="003B6C77" w:rsidRPr="003E7DB9">
        <w:rPr>
          <w:lang w:val="en-US"/>
        </w:rPr>
        <w:t>t is not uncommon to find</w:t>
      </w:r>
      <w:r w:rsidR="0013451C" w:rsidRPr="003E7DB9">
        <w:rPr>
          <w:lang w:val="en-US"/>
        </w:rPr>
        <w:t xml:space="preserve"> </w:t>
      </w:r>
      <w:r w:rsidR="00A758FE" w:rsidRPr="003E7DB9">
        <w:rPr>
          <w:lang w:val="en-US"/>
        </w:rPr>
        <w:t>neighbouring</w:t>
      </w:r>
      <w:r w:rsidR="003B6C77" w:rsidRPr="003E7DB9">
        <w:rPr>
          <w:lang w:val="en-US"/>
        </w:rPr>
        <w:t xml:space="preserve"> </w:t>
      </w:r>
      <w:r w:rsidR="00026813" w:rsidRPr="003E7DB9">
        <w:rPr>
          <w:lang w:val="en-US"/>
        </w:rPr>
        <w:t>primar</w:t>
      </w:r>
      <w:r w:rsidR="003B6C77" w:rsidRPr="003E7DB9">
        <w:rPr>
          <w:lang w:val="en-US"/>
        </w:rPr>
        <w:t xml:space="preserve">y schools, each serving their </w:t>
      </w:r>
      <w:r w:rsidR="00883A68">
        <w:rPr>
          <w:lang w:val="en-US"/>
        </w:rPr>
        <w:t>particular</w:t>
      </w:r>
      <w:r w:rsidR="00883A68" w:rsidRPr="003E7DB9">
        <w:rPr>
          <w:lang w:val="en-US"/>
        </w:rPr>
        <w:t xml:space="preserve"> </w:t>
      </w:r>
      <w:r w:rsidR="00AA07B9">
        <w:rPr>
          <w:lang w:val="en-US"/>
        </w:rPr>
        <w:t>ethno-sectarian</w:t>
      </w:r>
      <w:r w:rsidR="00C57B44">
        <w:rPr>
          <w:lang w:val="en-US"/>
        </w:rPr>
        <w:t xml:space="preserve"> </w:t>
      </w:r>
      <w:r w:rsidR="003B6C77" w:rsidRPr="003E7DB9">
        <w:rPr>
          <w:lang w:val="en-US"/>
        </w:rPr>
        <w:t>community, in</w:t>
      </w:r>
      <w:r w:rsidR="00EC571A" w:rsidRPr="003E7DB9">
        <w:rPr>
          <w:lang w:val="en-US"/>
        </w:rPr>
        <w:t xml:space="preserve"> small settlements </w:t>
      </w:r>
      <w:r w:rsidR="003B6C77" w:rsidRPr="003E7DB9">
        <w:rPr>
          <w:lang w:val="en-US"/>
        </w:rPr>
        <w:t>or rural</w:t>
      </w:r>
      <w:r w:rsidR="00E52C01" w:rsidRPr="003E7DB9">
        <w:rPr>
          <w:lang w:val="en-US"/>
        </w:rPr>
        <w:t xml:space="preserve"> areas</w:t>
      </w:r>
      <w:r w:rsidR="00EC571A" w:rsidRPr="003E7DB9">
        <w:rPr>
          <w:lang w:val="en-US"/>
        </w:rPr>
        <w:t>.</w:t>
      </w:r>
      <w:r w:rsidR="0076780E" w:rsidRPr="003E7DB9">
        <w:rPr>
          <w:lang w:val="en-US"/>
        </w:rPr>
        <w:t xml:space="preserve"> </w:t>
      </w:r>
      <w:r w:rsidR="00E52C01" w:rsidRPr="003E7DB9">
        <w:t>In a</w:t>
      </w:r>
      <w:r w:rsidR="003B6C77" w:rsidRPr="003E7DB9">
        <w:t xml:space="preserve"> review of education in Northern Ireland</w:t>
      </w:r>
      <w:r w:rsidR="00E52C01" w:rsidRPr="003E7DB9">
        <w:t xml:space="preserve">, </w:t>
      </w:r>
      <w:r w:rsidR="003B6C77" w:rsidRPr="003E7DB9">
        <w:t>Bain</w:t>
      </w:r>
      <w:r w:rsidR="00E52C01" w:rsidRPr="003E7DB9">
        <w:t xml:space="preserve"> (</w:t>
      </w:r>
      <w:r w:rsidR="003B6C77" w:rsidRPr="003E7DB9">
        <w:t xml:space="preserve">2006) noted the large number of small schools and </w:t>
      </w:r>
      <w:r w:rsidR="00E52C01" w:rsidRPr="003E7DB9">
        <w:t>suggested</w:t>
      </w:r>
      <w:r w:rsidR="003B6C77" w:rsidRPr="003E7DB9">
        <w:t xml:space="preserve"> sustainability limits for </w:t>
      </w:r>
      <w:r w:rsidR="00026813" w:rsidRPr="003E7DB9">
        <w:t>primar</w:t>
      </w:r>
      <w:r w:rsidR="003B6C77" w:rsidRPr="003E7DB9">
        <w:t xml:space="preserve">y schools </w:t>
      </w:r>
      <w:r w:rsidR="009C688F" w:rsidRPr="003E7DB9">
        <w:t>as</w:t>
      </w:r>
      <w:r w:rsidR="003B6C77" w:rsidRPr="003E7DB9">
        <w:t xml:space="preserve"> a total enrolment of </w:t>
      </w:r>
      <w:r w:rsidR="00EC571A" w:rsidRPr="003E7DB9">
        <w:t xml:space="preserve">105 in rural and 140 in urban </w:t>
      </w:r>
      <w:proofErr w:type="gramStart"/>
      <w:r w:rsidR="00EC571A" w:rsidRPr="003E7DB9">
        <w:t>areas</w:t>
      </w:r>
      <w:r w:rsidR="00544B06">
        <w:t xml:space="preserve">, </w:t>
      </w:r>
      <w:r w:rsidR="00AA07B9">
        <w:t>and</w:t>
      </w:r>
      <w:proofErr w:type="gramEnd"/>
      <w:r w:rsidR="00AA07B9">
        <w:t xml:space="preserve"> deemed </w:t>
      </w:r>
      <w:r w:rsidR="00544B06">
        <w:t xml:space="preserve">schools with lower enrolments than this </w:t>
      </w:r>
      <w:r w:rsidR="00AA07B9">
        <w:t xml:space="preserve">as </w:t>
      </w:r>
      <w:r w:rsidR="00544B06">
        <w:t>unsustainable</w:t>
      </w:r>
      <w:r w:rsidR="00EC571A" w:rsidRPr="003E7DB9">
        <w:t xml:space="preserve">. </w:t>
      </w:r>
      <w:r w:rsidR="00AC0D3D" w:rsidRPr="003E7DB9">
        <w:t xml:space="preserve">While </w:t>
      </w:r>
      <w:r w:rsidR="00E52C01" w:rsidRPr="003E7DB9">
        <w:t>consideration of the</w:t>
      </w:r>
      <w:r w:rsidR="00AC0D3D" w:rsidRPr="003E7DB9">
        <w:t xml:space="preserve"> closure of a school does not just take into account enrolment numbers, it is still concerning that i</w:t>
      </w:r>
      <w:r w:rsidR="00EC571A" w:rsidRPr="003E7DB9">
        <w:t>n 201</w:t>
      </w:r>
      <w:r w:rsidR="00A758FE" w:rsidRPr="003E7DB9">
        <w:t>8</w:t>
      </w:r>
      <w:r w:rsidR="00EC571A" w:rsidRPr="003E7DB9">
        <w:t>-1</w:t>
      </w:r>
      <w:r w:rsidR="00A758FE" w:rsidRPr="003E7DB9">
        <w:t>9</w:t>
      </w:r>
      <w:r w:rsidR="00EC571A" w:rsidRPr="003E7DB9">
        <w:t>, 2</w:t>
      </w:r>
      <w:r w:rsidR="00A23882" w:rsidRPr="003E7DB9">
        <w:t>9%</w:t>
      </w:r>
      <w:r w:rsidR="00EC571A" w:rsidRPr="003E7DB9">
        <w:t xml:space="preserve"> of </w:t>
      </w:r>
      <w:r w:rsidR="00A23882" w:rsidRPr="003E7DB9">
        <w:t>all</w:t>
      </w:r>
      <w:r w:rsidR="00EC571A" w:rsidRPr="003E7DB9">
        <w:t xml:space="preserve"> primary schools </w:t>
      </w:r>
      <w:r w:rsidR="00A23882" w:rsidRPr="003E7DB9">
        <w:t xml:space="preserve">were </w:t>
      </w:r>
      <w:r w:rsidR="00EC571A" w:rsidRPr="003E7DB9">
        <w:t xml:space="preserve">below </w:t>
      </w:r>
      <w:r w:rsidR="00A23882" w:rsidRPr="003E7DB9">
        <w:t>Bain’s</w:t>
      </w:r>
      <w:r w:rsidR="00EC571A" w:rsidRPr="003E7DB9">
        <w:t xml:space="preserve"> </w:t>
      </w:r>
      <w:r w:rsidR="001F2C90" w:rsidRPr="003E7DB9">
        <w:t>enrolment</w:t>
      </w:r>
      <w:r w:rsidR="001F2C90" w:rsidRPr="003E7DB9">
        <w:rPr>
          <w:rFonts w:eastAsiaTheme="majorEastAsia"/>
        </w:rPr>
        <w:t xml:space="preserve"> </w:t>
      </w:r>
      <w:r w:rsidR="00EC571A" w:rsidRPr="003E7DB9">
        <w:t>thresholds</w:t>
      </w:r>
      <w:r w:rsidR="00A758FE" w:rsidRPr="003E7DB9">
        <w:t xml:space="preserve"> </w:t>
      </w:r>
      <w:r w:rsidR="0013451C" w:rsidRPr="003E7DB9">
        <w:rPr>
          <w:rFonts w:eastAsiaTheme="majorEastAsia"/>
        </w:rPr>
        <w:t>(</w:t>
      </w:r>
      <w:r w:rsidR="00A758FE" w:rsidRPr="003E7DB9">
        <w:rPr>
          <w:rFonts w:eastAsiaTheme="majorEastAsia"/>
        </w:rPr>
        <w:t>DENI</w:t>
      </w:r>
      <w:r w:rsidR="0013451C" w:rsidRPr="003E7DB9">
        <w:rPr>
          <w:rFonts w:eastAsiaTheme="majorEastAsia"/>
        </w:rPr>
        <w:t>, 201</w:t>
      </w:r>
      <w:r w:rsidR="00A758FE" w:rsidRPr="003E7DB9">
        <w:rPr>
          <w:rFonts w:eastAsiaTheme="majorEastAsia"/>
        </w:rPr>
        <w:t>9</w:t>
      </w:r>
      <w:r w:rsidR="0013451C" w:rsidRPr="003E7DB9">
        <w:rPr>
          <w:rFonts w:eastAsiaTheme="majorEastAsia"/>
        </w:rPr>
        <w:t>)</w:t>
      </w:r>
      <w:r w:rsidR="00EC571A" w:rsidRPr="003E7DB9">
        <w:t xml:space="preserve">. </w:t>
      </w:r>
    </w:p>
    <w:p w14:paraId="707EF068" w14:textId="77777777" w:rsidR="00B23C2E" w:rsidRPr="003E7DB9" w:rsidRDefault="00B23C2E" w:rsidP="00AF155A">
      <w:pPr>
        <w:jc w:val="both"/>
      </w:pPr>
    </w:p>
    <w:p w14:paraId="6F4EAC6E" w14:textId="252D704D" w:rsidR="00EC571A" w:rsidRPr="003E7DB9" w:rsidRDefault="00942467" w:rsidP="00AF155A">
      <w:pPr>
        <w:jc w:val="both"/>
      </w:pPr>
      <w:r w:rsidRPr="003E7DB9">
        <w:t>Internationally, p</w:t>
      </w:r>
      <w:r w:rsidR="00026813" w:rsidRPr="003E7DB9">
        <w:t>rimar</w:t>
      </w:r>
      <w:r w:rsidR="00354791" w:rsidRPr="003E7DB9">
        <w:t xml:space="preserve">y schools </w:t>
      </w:r>
      <w:r w:rsidRPr="003E7DB9">
        <w:t>have been</w:t>
      </w:r>
      <w:r w:rsidR="00354791" w:rsidRPr="003E7DB9">
        <w:t xml:space="preserve"> defined </w:t>
      </w:r>
      <w:r w:rsidR="00B23C2E" w:rsidRPr="003E7DB9">
        <w:t xml:space="preserve">as ‘small’ </w:t>
      </w:r>
      <w:r w:rsidR="00354791" w:rsidRPr="003E7DB9">
        <w:t xml:space="preserve">by their teacher numbers (four or fewer teachers: Caul and Harbison, 1989) or enrolment (less than 120 pupils: Wilson and </w:t>
      </w:r>
      <w:proofErr w:type="spellStart"/>
      <w:r w:rsidR="00354791" w:rsidRPr="003E7DB9">
        <w:t>McPake</w:t>
      </w:r>
      <w:proofErr w:type="spellEnd"/>
      <w:r w:rsidR="00354791" w:rsidRPr="003E7DB9">
        <w:t>, 2000)</w:t>
      </w:r>
      <w:r w:rsidR="00376AC6" w:rsidRPr="003E7DB9">
        <w:t xml:space="preserve">. </w:t>
      </w:r>
      <w:proofErr w:type="gramStart"/>
      <w:r w:rsidR="00B23C2E" w:rsidRPr="003E7DB9">
        <w:t>However</w:t>
      </w:r>
      <w:proofErr w:type="gramEnd"/>
      <w:r w:rsidR="00376AC6" w:rsidRPr="003E7DB9">
        <w:t xml:space="preserve"> defined, </w:t>
      </w:r>
      <w:r w:rsidR="00B23C2E" w:rsidRPr="003E7DB9">
        <w:t>NI</w:t>
      </w:r>
      <w:r w:rsidR="00DB4FF1" w:rsidRPr="003E7DB9">
        <w:t xml:space="preserve"> has a lot of small schools</w:t>
      </w:r>
      <w:r w:rsidR="00376AC6" w:rsidRPr="003E7DB9">
        <w:t>, largely serving rural population</w:t>
      </w:r>
      <w:r w:rsidR="00DB4FF1" w:rsidRPr="003E7DB9">
        <w:t>s</w:t>
      </w:r>
      <w:r w:rsidR="00376AC6" w:rsidRPr="003E7DB9">
        <w:t xml:space="preserve">. </w:t>
      </w:r>
      <w:r w:rsidR="00B51BBA" w:rsidRPr="003E7DB9">
        <w:t>Small schools and their</w:t>
      </w:r>
      <w:r w:rsidR="00EC571A" w:rsidRPr="003E7DB9">
        <w:t xml:space="preserve"> impact </w:t>
      </w:r>
      <w:r w:rsidR="00B51BBA" w:rsidRPr="003E7DB9">
        <w:t xml:space="preserve">especially on academic outcomes </w:t>
      </w:r>
      <w:r w:rsidR="00EC571A" w:rsidRPr="003E7DB9">
        <w:t>ha</w:t>
      </w:r>
      <w:r w:rsidR="00B51BBA" w:rsidRPr="003E7DB9">
        <w:t>ve</w:t>
      </w:r>
      <w:r w:rsidR="00EC571A" w:rsidRPr="003E7DB9">
        <w:t xml:space="preserve"> been the subject of </w:t>
      </w:r>
      <w:r w:rsidR="00B51BBA" w:rsidRPr="003E7DB9">
        <w:t>considerable</w:t>
      </w:r>
      <w:r w:rsidR="00EC571A" w:rsidRPr="003E7DB9">
        <w:t xml:space="preserve"> research</w:t>
      </w:r>
      <w:r w:rsidR="00B23C2E" w:rsidRPr="003E7DB9">
        <w:t xml:space="preserve"> in the UK and further afield</w:t>
      </w:r>
      <w:r w:rsidR="00EC571A" w:rsidRPr="003E7DB9">
        <w:t xml:space="preserve">. </w:t>
      </w:r>
      <w:r w:rsidR="00E37BC2" w:rsidRPr="003E7DB9">
        <w:t>Back in the 1960s, t</w:t>
      </w:r>
      <w:r w:rsidR="00B51BBA" w:rsidRPr="003E7DB9">
        <w:t xml:space="preserve">he </w:t>
      </w:r>
      <w:r w:rsidR="0013451C" w:rsidRPr="003E7DB9">
        <w:t>Plowden Report</w:t>
      </w:r>
      <w:r w:rsidR="00EC571A" w:rsidRPr="003E7DB9">
        <w:t xml:space="preserve"> </w:t>
      </w:r>
      <w:r w:rsidR="0013451C" w:rsidRPr="003E7DB9">
        <w:t>(CACE, 1967)</w:t>
      </w:r>
      <w:r w:rsidR="00B51BBA" w:rsidRPr="003E7DB9">
        <w:t xml:space="preserve"> raised</w:t>
      </w:r>
      <w:r w:rsidR="0013451C" w:rsidRPr="003E7DB9">
        <w:t xml:space="preserve"> concerns </w:t>
      </w:r>
      <w:r w:rsidR="00B23C2E" w:rsidRPr="003E7DB9">
        <w:t>that</w:t>
      </w:r>
      <w:r w:rsidR="00EC571A" w:rsidRPr="003E7DB9">
        <w:t xml:space="preserve"> small schools </w:t>
      </w:r>
      <w:r w:rsidR="00B51BBA" w:rsidRPr="003E7DB9">
        <w:t>hav</w:t>
      </w:r>
      <w:r w:rsidR="00B23C2E" w:rsidRPr="003E7DB9">
        <w:t>e</w:t>
      </w:r>
      <w:r w:rsidR="00B51BBA" w:rsidRPr="003E7DB9">
        <w:t xml:space="preserve"> a narrower curriculum than larger schools and </w:t>
      </w:r>
      <w:r w:rsidR="00EC571A" w:rsidRPr="003E7DB9">
        <w:t>lack</w:t>
      </w:r>
      <w:r w:rsidR="00B51BBA" w:rsidRPr="003E7DB9">
        <w:t xml:space="preserve"> some </w:t>
      </w:r>
      <w:r w:rsidR="00DA5DD9" w:rsidRPr="003E7DB9">
        <w:t>specialist staff</w:t>
      </w:r>
      <w:r w:rsidR="0013451C" w:rsidRPr="003E7DB9">
        <w:rPr>
          <w:rFonts w:eastAsiaTheme="majorEastAsia"/>
        </w:rPr>
        <w:t>.</w:t>
      </w:r>
      <w:r w:rsidR="00EC571A" w:rsidRPr="003E7DB9">
        <w:t xml:space="preserve"> </w:t>
      </w:r>
      <w:r w:rsidR="00B51BBA" w:rsidRPr="003E7DB9">
        <w:t>S</w:t>
      </w:r>
      <w:r w:rsidR="00EC571A" w:rsidRPr="003E7DB9">
        <w:t xml:space="preserve">taff </w:t>
      </w:r>
      <w:r w:rsidR="00B51BBA" w:rsidRPr="003E7DB9">
        <w:t xml:space="preserve">in schools like these </w:t>
      </w:r>
      <w:r w:rsidR="00EC571A" w:rsidRPr="003E7DB9">
        <w:t xml:space="preserve">have to </w:t>
      </w:r>
      <w:r w:rsidR="00B51BBA" w:rsidRPr="003E7DB9">
        <w:t>adopt</w:t>
      </w:r>
      <w:r w:rsidR="00EC571A" w:rsidRPr="003E7DB9">
        <w:t xml:space="preserve"> multiple roles, </w:t>
      </w:r>
      <w:r w:rsidR="00B51BBA" w:rsidRPr="003E7DB9">
        <w:t>particularly</w:t>
      </w:r>
      <w:r w:rsidR="00EC571A" w:rsidRPr="003E7DB9">
        <w:t xml:space="preserve"> as teaching principals. </w:t>
      </w:r>
      <w:r w:rsidR="00B51BBA" w:rsidRPr="003E7DB9">
        <w:t xml:space="preserve">Additionally, </w:t>
      </w:r>
      <w:r w:rsidR="005410A4" w:rsidRPr="003E7DB9">
        <w:t>the prevalence of composite classes of learners of different ages in many small schools can be viewed as ‘inferior to more homogenous age grouping’</w:t>
      </w:r>
      <w:r w:rsidR="005410A4" w:rsidRPr="003E7DB9">
        <w:rPr>
          <w:rFonts w:eastAsiaTheme="majorEastAsia"/>
        </w:rPr>
        <w:t xml:space="preserve"> </w:t>
      </w:r>
      <w:r w:rsidR="005410A4" w:rsidRPr="003E7DB9">
        <w:t>(</w:t>
      </w:r>
      <w:proofErr w:type="spellStart"/>
      <w:r w:rsidR="005410A4" w:rsidRPr="003E7DB9">
        <w:t>Åberg</w:t>
      </w:r>
      <w:proofErr w:type="spellEnd"/>
      <w:r w:rsidR="005410A4" w:rsidRPr="003E7DB9">
        <w:t xml:space="preserve">-Bengtsson, 2009:102). </w:t>
      </w:r>
      <w:r w:rsidR="00B51BBA" w:rsidRPr="003E7DB9">
        <w:t>Furthermore</w:t>
      </w:r>
      <w:r w:rsidR="00EC571A" w:rsidRPr="003E7DB9">
        <w:t xml:space="preserve">, </w:t>
      </w:r>
      <w:r w:rsidR="005410A4" w:rsidRPr="003E7DB9">
        <w:t>small schools often draw pupils from a tightly defined locality, reducing social mixing and exposure to diversity which a larger school might provide (Smith and DeYoung, 1988).</w:t>
      </w:r>
      <w:r w:rsidR="005410A4">
        <w:t xml:space="preserve"> </w:t>
      </w:r>
      <w:r w:rsidR="00E06F8D">
        <w:t>Costs are also a concern with some research suggesting that expenditure per pupil is highest in schools in cities and more remote rural areas (</w:t>
      </w:r>
      <w:proofErr w:type="spellStart"/>
      <w:r w:rsidR="00E06F8D" w:rsidRPr="003E7DB9">
        <w:t>Åberg</w:t>
      </w:r>
      <w:proofErr w:type="spellEnd"/>
      <w:r w:rsidR="00E06F8D" w:rsidRPr="003E7DB9">
        <w:t>-Bengtsson, 2009:10</w:t>
      </w:r>
      <w:r w:rsidR="00E06F8D">
        <w:t>3)</w:t>
      </w:r>
    </w:p>
    <w:p w14:paraId="3839EFD9" w14:textId="65AF1A9C" w:rsidR="00EC571A" w:rsidRPr="003E7DB9" w:rsidRDefault="00EC571A" w:rsidP="00AF155A">
      <w:pPr>
        <w:jc w:val="both"/>
      </w:pPr>
    </w:p>
    <w:p w14:paraId="44AE5523" w14:textId="7CA25202" w:rsidR="005410A4" w:rsidRPr="003E7DB9" w:rsidRDefault="00B51BBA" w:rsidP="00AF155A">
      <w:pPr>
        <w:jc w:val="both"/>
      </w:pPr>
      <w:r w:rsidRPr="003E7DB9">
        <w:t>Other research emphasise</w:t>
      </w:r>
      <w:r w:rsidR="00DA5DD9" w:rsidRPr="003E7DB9">
        <w:t>s</w:t>
      </w:r>
      <w:r w:rsidRPr="003E7DB9">
        <w:t xml:space="preserve"> the advantages that small schools can provide. In a meta-study of 57 papers, </w:t>
      </w:r>
      <w:proofErr w:type="spellStart"/>
      <w:r w:rsidR="007A7C09" w:rsidRPr="003E7DB9">
        <w:t>Leithwood</w:t>
      </w:r>
      <w:proofErr w:type="spellEnd"/>
      <w:r w:rsidR="007A7C09" w:rsidRPr="003E7DB9">
        <w:t xml:space="preserve"> and </w:t>
      </w:r>
      <w:proofErr w:type="spellStart"/>
      <w:r w:rsidR="007A7C09" w:rsidRPr="003E7DB9">
        <w:t>Jantzi</w:t>
      </w:r>
      <w:proofErr w:type="spellEnd"/>
      <w:r w:rsidR="007A7C09" w:rsidRPr="003E7DB9">
        <w:t xml:space="preserve"> (2009)</w:t>
      </w:r>
      <w:r w:rsidR="00EC571A" w:rsidRPr="003E7DB9">
        <w:t xml:space="preserve"> </w:t>
      </w:r>
      <w:r w:rsidR="00DA5DD9" w:rsidRPr="003E7DB9">
        <w:t>find</w:t>
      </w:r>
      <w:r w:rsidR="00EC571A" w:rsidRPr="003E7DB9">
        <w:t xml:space="preserve"> that </w:t>
      </w:r>
      <w:r w:rsidR="00161DC2" w:rsidRPr="003E7DB9">
        <w:t>‘</w:t>
      </w:r>
      <w:r w:rsidR="00EC571A" w:rsidRPr="003E7DB9">
        <w:t>smaller schools are generally better for most purposes</w:t>
      </w:r>
      <w:r w:rsidR="00161DC2" w:rsidRPr="003E7DB9">
        <w:t>’</w:t>
      </w:r>
      <w:r w:rsidR="007A7C09" w:rsidRPr="003E7DB9">
        <w:rPr>
          <w:rStyle w:val="FootnoteReference"/>
          <w:rFonts w:eastAsiaTheme="majorEastAsia"/>
        </w:rPr>
        <w:t xml:space="preserve"> </w:t>
      </w:r>
      <w:r w:rsidR="007A7C09" w:rsidRPr="003E7DB9">
        <w:rPr>
          <w:rFonts w:eastAsiaTheme="majorEastAsia"/>
        </w:rPr>
        <w:t>(2009:</w:t>
      </w:r>
      <w:r w:rsidR="00352861" w:rsidRPr="003E7DB9">
        <w:rPr>
          <w:rFonts w:eastAsiaTheme="majorEastAsia"/>
        </w:rPr>
        <w:t>484</w:t>
      </w:r>
      <w:r w:rsidR="007A7C09" w:rsidRPr="003E7DB9">
        <w:rPr>
          <w:rFonts w:eastAsiaTheme="majorEastAsia"/>
        </w:rPr>
        <w:t>)</w:t>
      </w:r>
      <w:r w:rsidR="00352861" w:rsidRPr="003E7DB9">
        <w:rPr>
          <w:rFonts w:eastAsiaTheme="majorEastAsia"/>
        </w:rPr>
        <w:t>.</w:t>
      </w:r>
      <w:r w:rsidR="00EC571A" w:rsidRPr="003E7DB9">
        <w:t xml:space="preserve"> </w:t>
      </w:r>
      <w:r w:rsidR="00942467" w:rsidRPr="003E7DB9">
        <w:t>Having smaller and</w:t>
      </w:r>
      <w:r w:rsidR="00B23C2E" w:rsidRPr="003E7DB9">
        <w:t xml:space="preserve"> less dispersed staff teams</w:t>
      </w:r>
      <w:r w:rsidR="00942467" w:rsidRPr="003E7DB9">
        <w:t xml:space="preserve">, </w:t>
      </w:r>
      <w:r w:rsidR="00544B06">
        <w:t>these schools</w:t>
      </w:r>
      <w:r w:rsidR="00942467" w:rsidRPr="003E7DB9">
        <w:t xml:space="preserve"> may find</w:t>
      </w:r>
      <w:r w:rsidR="00EC571A" w:rsidRPr="003E7DB9">
        <w:t xml:space="preserve"> communication </w:t>
      </w:r>
      <w:r w:rsidR="00B23C2E" w:rsidRPr="003E7DB9">
        <w:t xml:space="preserve">internally and with </w:t>
      </w:r>
      <w:r w:rsidR="00EC571A" w:rsidRPr="003E7DB9">
        <w:t>the local community</w:t>
      </w:r>
      <w:r w:rsidR="00942467" w:rsidRPr="003E7DB9">
        <w:t xml:space="preserve"> easier</w:t>
      </w:r>
      <w:r w:rsidR="006228DB" w:rsidRPr="003E7DB9">
        <w:t xml:space="preserve">, and this has been suggested as an explanation </w:t>
      </w:r>
      <w:r w:rsidR="00DA5DD9" w:rsidRPr="003E7DB9">
        <w:rPr>
          <w:rFonts w:eastAsiaTheme="majorEastAsia"/>
        </w:rPr>
        <w:t>for the relative success</w:t>
      </w:r>
      <w:r w:rsidR="003C5F5A" w:rsidRPr="003E7DB9">
        <w:rPr>
          <w:rFonts w:eastAsiaTheme="majorEastAsia"/>
        </w:rPr>
        <w:t xml:space="preserve"> and high educational outcomes</w:t>
      </w:r>
      <w:r w:rsidR="00DA5DD9" w:rsidRPr="003E7DB9">
        <w:rPr>
          <w:rFonts w:eastAsiaTheme="majorEastAsia"/>
        </w:rPr>
        <w:t xml:space="preserve"> </w:t>
      </w:r>
      <w:r w:rsidR="008C40D0" w:rsidRPr="003E7DB9">
        <w:rPr>
          <w:rFonts w:eastAsiaTheme="majorEastAsia"/>
        </w:rPr>
        <w:t xml:space="preserve">of small schools </w:t>
      </w:r>
      <w:r w:rsidR="007A7C09" w:rsidRPr="003E7DB9">
        <w:rPr>
          <w:rFonts w:eastAsiaTheme="majorEastAsia"/>
        </w:rPr>
        <w:t>(see Hopkins and Ellis, 1991)</w:t>
      </w:r>
      <w:r w:rsidR="00DA5DD9" w:rsidRPr="003E7DB9">
        <w:rPr>
          <w:rFonts w:eastAsiaTheme="majorEastAsia"/>
        </w:rPr>
        <w:t>.</w:t>
      </w:r>
      <w:r w:rsidR="00EC571A" w:rsidRPr="003E7DB9">
        <w:t xml:space="preserve"> </w:t>
      </w:r>
      <w:r w:rsidR="006228DB" w:rsidRPr="003E7DB9">
        <w:t>Opportunities arising from composite classes for reciprocal learning and peer tutoring across age groups challenge the idea that composite classes are</w:t>
      </w:r>
      <w:r w:rsidR="00942467" w:rsidRPr="003E7DB9">
        <w:t xml:space="preserve"> necessarily</w:t>
      </w:r>
      <w:r w:rsidR="006228DB" w:rsidRPr="003E7DB9">
        <w:t xml:space="preserve"> inferior </w:t>
      </w:r>
      <w:r w:rsidR="00DA5DD9" w:rsidRPr="003E7DB9">
        <w:t>(</w:t>
      </w:r>
      <w:proofErr w:type="spellStart"/>
      <w:r w:rsidR="007A7C09" w:rsidRPr="003E7DB9">
        <w:t>Ragg</w:t>
      </w:r>
      <w:r w:rsidR="00544B06">
        <w:t>l</w:t>
      </w:r>
      <w:proofErr w:type="spellEnd"/>
      <w:r w:rsidR="00DA5DD9" w:rsidRPr="003E7DB9">
        <w:t xml:space="preserve">, </w:t>
      </w:r>
      <w:r w:rsidR="007A7C09" w:rsidRPr="003E7DB9">
        <w:t>2015)</w:t>
      </w:r>
      <w:r w:rsidR="00DA5DD9" w:rsidRPr="003E7DB9">
        <w:t>.</w:t>
      </w:r>
      <w:r w:rsidR="00EC571A" w:rsidRPr="003E7DB9">
        <w:t xml:space="preserve"> </w:t>
      </w:r>
      <w:r w:rsidR="00D17AD1" w:rsidRPr="003E7DB9">
        <w:t xml:space="preserve">Despite </w:t>
      </w:r>
      <w:r w:rsidR="004F6F20" w:rsidRPr="003E7DB9">
        <w:t>poor</w:t>
      </w:r>
      <w:r w:rsidR="00B23C2E" w:rsidRPr="003E7DB9">
        <w:t>er</w:t>
      </w:r>
      <w:r w:rsidR="004F6F20" w:rsidRPr="003E7DB9">
        <w:t xml:space="preserve"> extracurricular provision being supposed in </w:t>
      </w:r>
      <w:r w:rsidR="00D17AD1" w:rsidRPr="003E7DB9">
        <w:t xml:space="preserve">small schools, </w:t>
      </w:r>
      <w:r w:rsidR="00B0572F" w:rsidRPr="003E7DB9">
        <w:rPr>
          <w:rFonts w:eastAsiaTheme="minorHAnsi"/>
        </w:rPr>
        <w:t xml:space="preserve">Feldman and </w:t>
      </w:r>
      <w:proofErr w:type="spellStart"/>
      <w:r w:rsidR="00B0572F" w:rsidRPr="003E7DB9">
        <w:rPr>
          <w:rFonts w:eastAsiaTheme="minorHAnsi"/>
        </w:rPr>
        <w:t>Matjasko</w:t>
      </w:r>
      <w:proofErr w:type="spellEnd"/>
      <w:r w:rsidR="00B0572F" w:rsidRPr="003E7DB9">
        <w:rPr>
          <w:rFonts w:eastAsiaTheme="minorHAnsi"/>
        </w:rPr>
        <w:t xml:space="preserve"> (2007) found that the larger the school, the higher the rates of non-participation </w:t>
      </w:r>
      <w:r w:rsidR="006228DB" w:rsidRPr="003E7DB9">
        <w:t>in extracurricular activities</w:t>
      </w:r>
      <w:r w:rsidR="007A7C09" w:rsidRPr="003E7DB9">
        <w:t xml:space="preserve">. </w:t>
      </w:r>
      <w:r w:rsidR="006228DB" w:rsidRPr="003E7DB9">
        <w:t>Additionally, s</w:t>
      </w:r>
      <w:r w:rsidR="00EC571A" w:rsidRPr="003E7DB9">
        <w:t xml:space="preserve">mall rural schools </w:t>
      </w:r>
      <w:r w:rsidR="006228DB" w:rsidRPr="003E7DB9">
        <w:t>play a vital role</w:t>
      </w:r>
      <w:r w:rsidR="00DA5DD9" w:rsidRPr="003E7DB9">
        <w:t xml:space="preserve"> as </w:t>
      </w:r>
      <w:r w:rsidR="00EC571A" w:rsidRPr="003E7DB9">
        <w:t xml:space="preserve">the </w:t>
      </w:r>
      <w:r w:rsidR="00161DC2" w:rsidRPr="003E7DB9">
        <w:t>‘</w:t>
      </w:r>
      <w:r w:rsidR="00BE0896" w:rsidRPr="003E7DB9">
        <w:t>…</w:t>
      </w:r>
      <w:r w:rsidR="00EC571A" w:rsidRPr="003E7DB9">
        <w:t>heart of the villages …</w:t>
      </w:r>
      <w:r w:rsidR="00BE0896" w:rsidRPr="003E7DB9">
        <w:t>[</w:t>
      </w:r>
      <w:r w:rsidR="00EC571A" w:rsidRPr="003E7DB9">
        <w:t>involvin</w:t>
      </w:r>
      <w:r w:rsidR="00161DC2" w:rsidRPr="003E7DB9">
        <w:t>g]</w:t>
      </w:r>
      <w:r w:rsidR="00EC571A" w:rsidRPr="003E7DB9">
        <w:t xml:space="preserve"> the entire community</w:t>
      </w:r>
      <w:r w:rsidR="00161DC2" w:rsidRPr="003E7DB9">
        <w:t>’</w:t>
      </w:r>
      <w:r w:rsidR="007A7C09" w:rsidRPr="003E7DB9">
        <w:rPr>
          <w:rFonts w:eastAsiaTheme="majorEastAsia"/>
        </w:rPr>
        <w:t xml:space="preserve"> (</w:t>
      </w:r>
      <w:proofErr w:type="spellStart"/>
      <w:r w:rsidR="007A7C09" w:rsidRPr="003E7DB9">
        <w:rPr>
          <w:rFonts w:eastAsiaTheme="majorEastAsia"/>
        </w:rPr>
        <w:t>Autti</w:t>
      </w:r>
      <w:proofErr w:type="spellEnd"/>
      <w:r w:rsidR="007A7C09" w:rsidRPr="003E7DB9">
        <w:rPr>
          <w:rFonts w:eastAsiaTheme="majorEastAsia"/>
        </w:rPr>
        <w:t xml:space="preserve"> and </w:t>
      </w:r>
      <w:proofErr w:type="spellStart"/>
      <w:r w:rsidR="007A7C09" w:rsidRPr="003E7DB9">
        <w:rPr>
          <w:rFonts w:eastAsiaTheme="majorEastAsia"/>
        </w:rPr>
        <w:t>Hyry-Beihammer</w:t>
      </w:r>
      <w:proofErr w:type="spellEnd"/>
      <w:r w:rsidR="007A7C09" w:rsidRPr="003E7DB9">
        <w:rPr>
          <w:rFonts w:eastAsiaTheme="majorEastAsia"/>
        </w:rPr>
        <w:t>, 2014:</w:t>
      </w:r>
      <w:r w:rsidR="00BE0896" w:rsidRPr="003E7DB9">
        <w:rPr>
          <w:rFonts w:eastAsiaTheme="majorEastAsia"/>
        </w:rPr>
        <w:t>8</w:t>
      </w:r>
      <w:r w:rsidR="007A7C09" w:rsidRPr="003E7DB9">
        <w:rPr>
          <w:rFonts w:eastAsiaTheme="majorEastAsia"/>
        </w:rPr>
        <w:t>)</w:t>
      </w:r>
      <w:r w:rsidR="00DA5DD9" w:rsidRPr="003E7DB9">
        <w:t xml:space="preserve">, </w:t>
      </w:r>
      <w:r w:rsidR="00D335C4" w:rsidRPr="003E7DB9">
        <w:t>particularly</w:t>
      </w:r>
      <w:r w:rsidR="00EC571A" w:rsidRPr="003E7DB9">
        <w:t xml:space="preserve"> important in rural areas where </w:t>
      </w:r>
      <w:r w:rsidR="00942467" w:rsidRPr="003E7DB9">
        <w:t xml:space="preserve">there may be </w:t>
      </w:r>
      <w:r w:rsidR="00DA5DD9" w:rsidRPr="003E7DB9">
        <w:t>fewer opportunities</w:t>
      </w:r>
      <w:r w:rsidR="00EC571A" w:rsidRPr="003E7DB9">
        <w:t xml:space="preserve"> to bring communities together. </w:t>
      </w:r>
      <w:r w:rsidR="005410A4">
        <w:t xml:space="preserve">Some research even challenges the idea that smaller schools are more costly showing that they are at least ‘competitive’ </w:t>
      </w:r>
      <w:r w:rsidR="00883A68">
        <w:t xml:space="preserve">with larger schools </w:t>
      </w:r>
      <w:r w:rsidR="005410A4">
        <w:t>in terms of cost (</w:t>
      </w:r>
      <w:proofErr w:type="spellStart"/>
      <w:r w:rsidR="005410A4">
        <w:t>Flecknoe</w:t>
      </w:r>
      <w:proofErr w:type="spellEnd"/>
      <w:r w:rsidR="005410A4">
        <w:t>, 2003:59).</w:t>
      </w:r>
    </w:p>
    <w:p w14:paraId="05036D1B" w14:textId="77777777" w:rsidR="00EC571A" w:rsidRPr="003E7DB9" w:rsidRDefault="00EC571A" w:rsidP="00AF155A">
      <w:pPr>
        <w:jc w:val="both"/>
        <w:rPr>
          <w:color w:val="000000" w:themeColor="text1"/>
        </w:rPr>
      </w:pPr>
    </w:p>
    <w:p w14:paraId="6F7D6924" w14:textId="6B6BB529" w:rsidR="00EC571A" w:rsidRPr="003E7DB9" w:rsidRDefault="00EC571A" w:rsidP="00AF155A">
      <w:pPr>
        <w:jc w:val="both"/>
        <w:rPr>
          <w:color w:val="000000" w:themeColor="text1"/>
        </w:rPr>
      </w:pPr>
      <w:r w:rsidRPr="003E7DB9">
        <w:rPr>
          <w:color w:val="000000" w:themeColor="text1"/>
        </w:rPr>
        <w:lastRenderedPageBreak/>
        <w:t xml:space="preserve">Arguments could be advanced for retaining small schools or for moving to larger units but here the </w:t>
      </w:r>
      <w:r w:rsidR="008C40D0" w:rsidRPr="003E7DB9">
        <w:rPr>
          <w:color w:val="000000" w:themeColor="text1"/>
        </w:rPr>
        <w:t>case</w:t>
      </w:r>
      <w:r w:rsidRPr="003E7DB9">
        <w:rPr>
          <w:color w:val="000000" w:themeColor="text1"/>
        </w:rPr>
        <w:t xml:space="preserve"> is not the advantages or disadvantages of larger schools, but whether small communities </w:t>
      </w:r>
      <w:r w:rsidR="004F6F20" w:rsidRPr="003E7DB9">
        <w:rPr>
          <w:color w:val="000000" w:themeColor="text1"/>
        </w:rPr>
        <w:t>can</w:t>
      </w:r>
      <w:r w:rsidRPr="003E7DB9">
        <w:rPr>
          <w:color w:val="000000" w:themeColor="text1"/>
        </w:rPr>
        <w:t xml:space="preserve"> continue to </w:t>
      </w:r>
      <w:r w:rsidR="004F6F20" w:rsidRPr="003E7DB9">
        <w:rPr>
          <w:color w:val="000000" w:themeColor="text1"/>
        </w:rPr>
        <w:t>sustain</w:t>
      </w:r>
      <w:r w:rsidRPr="003E7DB9">
        <w:rPr>
          <w:color w:val="000000" w:themeColor="text1"/>
        </w:rPr>
        <w:t xml:space="preserve"> two neighbouring schools given the </w:t>
      </w:r>
      <w:r w:rsidR="00883A68">
        <w:rPr>
          <w:color w:val="000000" w:themeColor="text1"/>
        </w:rPr>
        <w:t xml:space="preserve">cost of </w:t>
      </w:r>
      <w:r w:rsidRPr="003E7DB9">
        <w:rPr>
          <w:color w:val="000000" w:themeColor="text1"/>
        </w:rPr>
        <w:t>duplication of resource and the potential impact on social cohesion.</w:t>
      </w:r>
      <w:r w:rsidR="00D07C17">
        <w:rPr>
          <w:color w:val="000000" w:themeColor="text1"/>
        </w:rPr>
        <w:t xml:space="preserve"> </w:t>
      </w:r>
    </w:p>
    <w:p w14:paraId="06D95A86" w14:textId="17693595" w:rsidR="00EC571A" w:rsidRPr="003E7DB9" w:rsidRDefault="00EC571A" w:rsidP="00AF155A">
      <w:pPr>
        <w:jc w:val="both"/>
        <w:rPr>
          <w:b/>
          <w:bCs/>
        </w:rPr>
      </w:pPr>
    </w:p>
    <w:p w14:paraId="3A3949BB" w14:textId="0F6E212A" w:rsidR="00C71C1D" w:rsidRPr="003E7DB9" w:rsidRDefault="00C71C1D" w:rsidP="00AF155A">
      <w:pPr>
        <w:jc w:val="both"/>
        <w:rPr>
          <w:b/>
          <w:bCs/>
        </w:rPr>
      </w:pPr>
      <w:r w:rsidRPr="003E7DB9">
        <w:rPr>
          <w:b/>
          <w:bCs/>
        </w:rPr>
        <w:t>Methodology</w:t>
      </w:r>
    </w:p>
    <w:p w14:paraId="0EFB0A6C" w14:textId="5A2D66C8" w:rsidR="00C71C1D" w:rsidRPr="003E7DB9" w:rsidRDefault="00C71C1D" w:rsidP="00AF155A">
      <w:pPr>
        <w:jc w:val="both"/>
      </w:pPr>
    </w:p>
    <w:p w14:paraId="421D8AAD" w14:textId="230B8446" w:rsidR="00E37BC2" w:rsidRPr="003E7DB9" w:rsidRDefault="00E37BC2" w:rsidP="00AF155A">
      <w:pPr>
        <w:jc w:val="both"/>
      </w:pPr>
      <w:r w:rsidRPr="003E7DB9">
        <w:t>This study uses GIS analysis of 2018/19 education data in the public domain to identify pairs of primary schools consisting of one Controlled and one Maintained school, located in close proximity to each other but not in the vicinity of other schools of the same management type</w:t>
      </w:r>
      <w:r w:rsidR="00337468">
        <w:rPr>
          <w:rStyle w:val="FootnoteReference"/>
        </w:rPr>
        <w:footnoteReference w:id="1"/>
      </w:r>
      <w:r w:rsidRPr="003E7DB9">
        <w:t xml:space="preserve">. </w:t>
      </w:r>
      <w:r w:rsidR="00FC7F6F">
        <w:t>The focus of the study is to examine whether the isolated pairs are examples of inefficiencies in the system and whether, if combined, there would be savings and other benefits.</w:t>
      </w:r>
    </w:p>
    <w:p w14:paraId="69B176A6" w14:textId="77777777" w:rsidR="00230C3F" w:rsidRPr="003E7DB9" w:rsidRDefault="00230C3F" w:rsidP="00AF155A">
      <w:pPr>
        <w:jc w:val="both"/>
      </w:pPr>
    </w:p>
    <w:p w14:paraId="025DF8CD" w14:textId="05B5CBDE" w:rsidR="00E37BC2" w:rsidRPr="003E7DB9" w:rsidRDefault="00E37BC2" w:rsidP="00AF155A">
      <w:pPr>
        <w:jc w:val="both"/>
      </w:pPr>
      <w:r w:rsidRPr="003E7DB9">
        <w:t>Locational data for primary schools were downloaded from the Northern Ireland Statistics and Research Agency (NISRA) Neighbourhood Information Service website (NI</w:t>
      </w:r>
      <w:r w:rsidR="00230C3F" w:rsidRPr="003E7DB9">
        <w:t>NIS</w:t>
      </w:r>
      <w:r w:rsidRPr="003E7DB9">
        <w:t xml:space="preserve">, n.d.). This data provides accurate locations in the form of x, y coordinates (Irish Grid eastings and northings), created using Ordnance Survey large scale vector data and the LPS/OSNI Pointer address database </w:t>
      </w:r>
      <w:r w:rsidR="00230C3F" w:rsidRPr="003E7DB9">
        <w:t>(</w:t>
      </w:r>
      <w:proofErr w:type="spellStart"/>
      <w:r w:rsidR="00230C3F" w:rsidRPr="003E7DB9">
        <w:t>NIDirect</w:t>
      </w:r>
      <w:proofErr w:type="spellEnd"/>
      <w:r w:rsidR="00230C3F" w:rsidRPr="003E7DB9">
        <w:t>, n.d.)</w:t>
      </w:r>
      <w:r w:rsidRPr="003E7DB9">
        <w:t xml:space="preserve">. Data on enrolments (2018-19) were obtained from the Department of Education website </w:t>
      </w:r>
      <w:r w:rsidR="00230C3F" w:rsidRPr="003E7DB9">
        <w:t>(DENI, 2019)</w:t>
      </w:r>
      <w:r w:rsidRPr="003E7DB9">
        <w:t>.  School locations were mapped using ArcGIS, and enrolment figures joined using the Dep</w:t>
      </w:r>
      <w:r w:rsidR="00883A68">
        <w:t>artment</w:t>
      </w:r>
      <w:r w:rsidRPr="003E7DB9">
        <w:t xml:space="preserve"> of Education </w:t>
      </w:r>
      <w:r w:rsidR="00883A68">
        <w:t xml:space="preserve">NI </w:t>
      </w:r>
      <w:r w:rsidRPr="003E7DB9">
        <w:t>school reference ID.</w:t>
      </w:r>
    </w:p>
    <w:p w14:paraId="075079CE" w14:textId="77777777" w:rsidR="00230C3F" w:rsidRPr="003E7DB9" w:rsidRDefault="00230C3F" w:rsidP="00AF155A">
      <w:pPr>
        <w:jc w:val="both"/>
      </w:pPr>
    </w:p>
    <w:p w14:paraId="6A1E7DCD" w14:textId="355D7C60" w:rsidR="00E37BC2" w:rsidRPr="003E7DB9" w:rsidRDefault="00E37BC2" w:rsidP="00AF155A">
      <w:pPr>
        <w:jc w:val="both"/>
      </w:pPr>
      <w:r w:rsidRPr="003E7DB9">
        <w:t>To identify schools that could be considered ‘isolated’ from schools in the same sector, all Maintained primaries that were not within one mile of another Maintained primary, measured as a straight-line distance, were identified. This was achieved by generating one-mile buffers (circles of one mile radius centred on each school) and carrying out a point-in-polygon overlay between the Maintained schools and their buffers, producing a count of the number of schools falling within each buffer; those with a count of one identified the schools that do not have another school of the same management type within a mile. This was repeated for Controlled schools. These isolated schools (264 Maintained and 226 Controlled) were then further examined to identify pairs consisting of a Controlled and a Maintained primary, by placing a buffer (0.5 mile) around each of the schools and carrying out a spatial selection to locate buffers that intersected. This identified 69 pairs within a mile of each other, and two clusters with three schools, which were discarded.</w:t>
      </w:r>
    </w:p>
    <w:p w14:paraId="2A6F50E4" w14:textId="77777777" w:rsidR="00E37BC2" w:rsidRPr="003E7DB9" w:rsidRDefault="00E37BC2" w:rsidP="00AF155A">
      <w:pPr>
        <w:jc w:val="both"/>
      </w:pPr>
    </w:p>
    <w:p w14:paraId="2ECD1D8F" w14:textId="0DC8FEC2" w:rsidR="00E37BC2" w:rsidRPr="003E7DB9" w:rsidRDefault="00E37BC2" w:rsidP="00AF155A">
      <w:pPr>
        <w:jc w:val="both"/>
      </w:pPr>
      <w:r w:rsidRPr="003E7DB9">
        <w:t xml:space="preserve">The ArcGIS network analyst extension was used in conjunction with the OSNI large-scale road network to create three-mile travel catchments around all schools that were not part of a Controlled-Maintained school pairing. </w:t>
      </w:r>
      <w:r w:rsidR="00230C3F" w:rsidRPr="003E7DB9">
        <w:rPr>
          <w:color w:val="000000" w:themeColor="text1"/>
        </w:rPr>
        <w:t>The 3-mile distance was selected to be representative of average travel to school by primary-aged children.</w:t>
      </w:r>
      <w:r w:rsidR="00CC0BF4" w:rsidRPr="003E7DB9">
        <w:rPr>
          <w:rStyle w:val="FootnoteReference"/>
          <w:color w:val="000000" w:themeColor="text1"/>
        </w:rPr>
        <w:footnoteReference w:id="2"/>
      </w:r>
      <w:r w:rsidR="00230C3F" w:rsidRPr="003E7DB9">
        <w:rPr>
          <w:color w:val="000000" w:themeColor="text1"/>
        </w:rPr>
        <w:t xml:space="preserve"> </w:t>
      </w:r>
      <w:r w:rsidRPr="003E7DB9">
        <w:t xml:space="preserve">Schools belonging to a pair but located inside a three-mile catchment of the same management type were identified using ArcGIS spatial selection tools and eliminated from the analysis. This left 32 ‘isolated pairs’, all of them in rural areas, catering for two different communities and isolated by at least 3 miles by road from a similar Maintained or Controlled school but located often only yards apart. </w:t>
      </w:r>
    </w:p>
    <w:p w14:paraId="001EC1D9" w14:textId="77777777" w:rsidR="00E37BC2" w:rsidRPr="003E7DB9" w:rsidRDefault="00E37BC2" w:rsidP="00AF155A">
      <w:pPr>
        <w:jc w:val="both"/>
        <w:rPr>
          <w:color w:val="000000" w:themeColor="text1"/>
        </w:rPr>
      </w:pPr>
    </w:p>
    <w:p w14:paraId="35A76774" w14:textId="1B580A3C" w:rsidR="001B63F7" w:rsidRPr="003E7DB9" w:rsidRDefault="001B63F7" w:rsidP="00AF155A">
      <w:pPr>
        <w:jc w:val="both"/>
        <w:rPr>
          <w:b/>
          <w:bCs/>
          <w:color w:val="000000" w:themeColor="text1"/>
        </w:rPr>
      </w:pPr>
      <w:r w:rsidRPr="003E7DB9">
        <w:rPr>
          <w:b/>
          <w:bCs/>
          <w:color w:val="000000" w:themeColor="text1"/>
        </w:rPr>
        <w:t>Results and discussion</w:t>
      </w:r>
    </w:p>
    <w:p w14:paraId="44243100" w14:textId="77777777" w:rsidR="00EC571A" w:rsidRPr="003E7DB9" w:rsidRDefault="00EC571A" w:rsidP="00AF155A">
      <w:pPr>
        <w:jc w:val="both"/>
        <w:rPr>
          <w:color w:val="000000" w:themeColor="text1"/>
        </w:rPr>
      </w:pPr>
    </w:p>
    <w:p w14:paraId="3B789B00" w14:textId="68EC1AE2" w:rsidR="00EC571A" w:rsidRPr="003E7DB9" w:rsidRDefault="00EC571A" w:rsidP="00AF155A">
      <w:pPr>
        <w:jc w:val="both"/>
        <w:rPr>
          <w:color w:val="000000" w:themeColor="text1"/>
        </w:rPr>
      </w:pPr>
      <w:r w:rsidRPr="003E7DB9">
        <w:rPr>
          <w:color w:val="000000" w:themeColor="text1"/>
        </w:rPr>
        <w:t>The results, shown in Table 1, indicate the 32 pairs</w:t>
      </w:r>
      <w:r w:rsidR="00216B7F" w:rsidRPr="003E7DB9">
        <w:rPr>
          <w:color w:val="000000" w:themeColor="text1"/>
        </w:rPr>
        <w:t xml:space="preserve"> identified</w:t>
      </w:r>
      <w:r w:rsidRPr="003E7DB9">
        <w:rPr>
          <w:color w:val="000000" w:themeColor="text1"/>
        </w:rPr>
        <w:t>. Despite being an average of just 670 yards apart, it is clear that these schools are serving the needs of two different communities</w:t>
      </w:r>
      <w:r w:rsidR="00F94A69" w:rsidRPr="003E7DB9">
        <w:rPr>
          <w:color w:val="000000" w:themeColor="text1"/>
        </w:rPr>
        <w:t>.</w:t>
      </w:r>
      <w:r w:rsidRPr="003E7DB9">
        <w:rPr>
          <w:color w:val="000000" w:themeColor="text1"/>
        </w:rPr>
        <w:t xml:space="preserve"> </w:t>
      </w:r>
      <w:r w:rsidR="00F94A69" w:rsidRPr="003E7DB9">
        <w:rPr>
          <w:color w:val="000000" w:themeColor="text1"/>
        </w:rPr>
        <w:lastRenderedPageBreak/>
        <w:t>E</w:t>
      </w:r>
      <w:r w:rsidRPr="003E7DB9">
        <w:rPr>
          <w:color w:val="000000" w:themeColor="text1"/>
        </w:rPr>
        <w:t xml:space="preserve">xcept for </w:t>
      </w:r>
      <w:r w:rsidR="001F2C90" w:rsidRPr="003E7DB9">
        <w:rPr>
          <w:color w:val="000000" w:themeColor="text1"/>
        </w:rPr>
        <w:t>four</w:t>
      </w:r>
      <w:r w:rsidRPr="003E7DB9">
        <w:rPr>
          <w:color w:val="000000" w:themeColor="text1"/>
        </w:rPr>
        <w:t xml:space="preserve"> instances, the proportion of Catholics in the Controlled schools is less than 10%</w:t>
      </w:r>
      <w:r w:rsidRPr="003E7DB9">
        <w:rPr>
          <w:rStyle w:val="FootnoteReference"/>
          <w:rFonts w:eastAsiaTheme="majorEastAsia"/>
        </w:rPr>
        <w:footnoteReference w:id="3"/>
      </w:r>
      <w:r w:rsidRPr="003E7DB9">
        <w:rPr>
          <w:color w:val="000000" w:themeColor="text1"/>
        </w:rPr>
        <w:t xml:space="preserve">, while Maintained </w:t>
      </w:r>
      <w:r w:rsidR="00026813" w:rsidRPr="003E7DB9">
        <w:rPr>
          <w:color w:val="000000" w:themeColor="text1"/>
        </w:rPr>
        <w:t>p</w:t>
      </w:r>
      <w:r w:rsidRPr="003E7DB9">
        <w:rPr>
          <w:color w:val="000000" w:themeColor="text1"/>
        </w:rPr>
        <w:t>rimaries have 98% Catholic enrolment, on average.</w:t>
      </w:r>
      <w:r w:rsidR="00787406" w:rsidRPr="003E7DB9">
        <w:rPr>
          <w:color w:val="000000" w:themeColor="text1"/>
        </w:rPr>
        <w:t xml:space="preserve"> </w:t>
      </w:r>
      <w:r w:rsidRPr="003E7DB9">
        <w:rPr>
          <w:color w:val="000000" w:themeColor="text1"/>
        </w:rPr>
        <w:t xml:space="preserve">The shaded cells indicate those schools that are below </w:t>
      </w:r>
      <w:r w:rsidR="008C40D0" w:rsidRPr="003E7DB9">
        <w:rPr>
          <w:color w:val="000000" w:themeColor="text1"/>
        </w:rPr>
        <w:t>Bain’s</w:t>
      </w:r>
      <w:r w:rsidRPr="003E7DB9">
        <w:rPr>
          <w:color w:val="000000" w:themeColor="text1"/>
        </w:rPr>
        <w:t xml:space="preserve"> sustainab</w:t>
      </w:r>
      <w:r w:rsidR="001F2C90" w:rsidRPr="003E7DB9">
        <w:rPr>
          <w:color w:val="000000" w:themeColor="text1"/>
        </w:rPr>
        <w:t>le enrolment</w:t>
      </w:r>
      <w:r w:rsidRPr="003E7DB9">
        <w:rPr>
          <w:color w:val="000000" w:themeColor="text1"/>
        </w:rPr>
        <w:t xml:space="preserve"> threshold. In </w:t>
      </w:r>
      <w:r w:rsidR="00F94A69" w:rsidRPr="003E7DB9">
        <w:rPr>
          <w:color w:val="000000" w:themeColor="text1"/>
        </w:rPr>
        <w:t>six</w:t>
      </w:r>
      <w:r w:rsidRPr="003E7DB9">
        <w:rPr>
          <w:color w:val="000000" w:themeColor="text1"/>
        </w:rPr>
        <w:t xml:space="preserve"> cases </w:t>
      </w:r>
      <w:r w:rsidR="00A20CE6" w:rsidRPr="003E7DB9">
        <w:rPr>
          <w:color w:val="000000" w:themeColor="text1"/>
        </w:rPr>
        <w:t xml:space="preserve">neither of </w:t>
      </w:r>
      <w:r w:rsidRPr="003E7DB9">
        <w:rPr>
          <w:color w:val="000000" w:themeColor="text1"/>
        </w:rPr>
        <w:t xml:space="preserve">the paired </w:t>
      </w:r>
      <w:r w:rsidR="00026813" w:rsidRPr="003E7DB9">
        <w:rPr>
          <w:color w:val="000000" w:themeColor="text1"/>
        </w:rPr>
        <w:t>primar</w:t>
      </w:r>
      <w:r w:rsidRPr="003E7DB9">
        <w:rPr>
          <w:color w:val="000000" w:themeColor="text1"/>
        </w:rPr>
        <w:t xml:space="preserve">y </w:t>
      </w:r>
      <w:r w:rsidR="00026813" w:rsidRPr="003E7DB9">
        <w:rPr>
          <w:color w:val="000000" w:themeColor="text1"/>
        </w:rPr>
        <w:t>school</w:t>
      </w:r>
      <w:r w:rsidRPr="003E7DB9">
        <w:rPr>
          <w:color w:val="000000" w:themeColor="text1"/>
        </w:rPr>
        <w:t xml:space="preserve">s are sustainable, </w:t>
      </w:r>
      <w:r w:rsidR="00A20CE6" w:rsidRPr="003E7DB9">
        <w:rPr>
          <w:color w:val="000000" w:themeColor="text1"/>
        </w:rPr>
        <w:t xml:space="preserve">and </w:t>
      </w:r>
      <w:r w:rsidRPr="003E7DB9">
        <w:rPr>
          <w:color w:val="000000" w:themeColor="text1"/>
        </w:rPr>
        <w:t xml:space="preserve">in </w:t>
      </w:r>
      <w:r w:rsidR="00F94A69" w:rsidRPr="003E7DB9">
        <w:rPr>
          <w:color w:val="000000" w:themeColor="text1"/>
        </w:rPr>
        <w:t>20</w:t>
      </w:r>
      <w:r w:rsidRPr="003E7DB9">
        <w:rPr>
          <w:color w:val="000000" w:themeColor="text1"/>
        </w:rPr>
        <w:t xml:space="preserve"> cases one school is not sustainable (8 Maintained and </w:t>
      </w:r>
      <w:r w:rsidR="00A20CE6" w:rsidRPr="003E7DB9">
        <w:rPr>
          <w:color w:val="000000" w:themeColor="text1"/>
        </w:rPr>
        <w:t xml:space="preserve">12 </w:t>
      </w:r>
      <w:r w:rsidRPr="003E7DB9">
        <w:rPr>
          <w:color w:val="000000" w:themeColor="text1"/>
        </w:rPr>
        <w:t>Controlled)</w:t>
      </w:r>
      <w:r w:rsidR="00F94A69" w:rsidRPr="003E7DB9">
        <w:rPr>
          <w:color w:val="000000" w:themeColor="text1"/>
        </w:rPr>
        <w:t>. I</w:t>
      </w:r>
      <w:r w:rsidR="001F2C90" w:rsidRPr="003E7DB9">
        <w:rPr>
          <w:color w:val="000000" w:themeColor="text1"/>
        </w:rPr>
        <w:t>n</w:t>
      </w:r>
      <w:r w:rsidR="00A20CE6" w:rsidRPr="003E7DB9">
        <w:rPr>
          <w:color w:val="000000" w:themeColor="text1"/>
        </w:rPr>
        <w:t xml:space="preserve"> the remaining</w:t>
      </w:r>
      <w:r w:rsidR="001F2C90" w:rsidRPr="003E7DB9">
        <w:rPr>
          <w:color w:val="000000" w:themeColor="text1"/>
        </w:rPr>
        <w:t xml:space="preserve"> </w:t>
      </w:r>
      <w:r w:rsidRPr="003E7DB9">
        <w:rPr>
          <w:color w:val="000000" w:themeColor="text1"/>
        </w:rPr>
        <w:t>six cases</w:t>
      </w:r>
      <w:r w:rsidR="001F2C90" w:rsidRPr="003E7DB9">
        <w:rPr>
          <w:color w:val="000000" w:themeColor="text1"/>
        </w:rPr>
        <w:t xml:space="preserve">, </w:t>
      </w:r>
      <w:r w:rsidR="00A20CE6" w:rsidRPr="003E7DB9">
        <w:rPr>
          <w:color w:val="000000" w:themeColor="text1"/>
        </w:rPr>
        <w:t xml:space="preserve">both </w:t>
      </w:r>
      <w:r w:rsidR="00F94A69" w:rsidRPr="003E7DB9">
        <w:rPr>
          <w:color w:val="000000" w:themeColor="text1"/>
        </w:rPr>
        <w:t xml:space="preserve">of the paired </w:t>
      </w:r>
      <w:r w:rsidRPr="003E7DB9">
        <w:rPr>
          <w:color w:val="000000" w:themeColor="text1"/>
        </w:rPr>
        <w:t>school</w:t>
      </w:r>
      <w:r w:rsidR="00F94A69" w:rsidRPr="003E7DB9">
        <w:rPr>
          <w:color w:val="000000" w:themeColor="text1"/>
        </w:rPr>
        <w:t>s</w:t>
      </w:r>
      <w:r w:rsidRPr="003E7DB9">
        <w:rPr>
          <w:color w:val="000000" w:themeColor="text1"/>
        </w:rPr>
        <w:t xml:space="preserve"> </w:t>
      </w:r>
      <w:r w:rsidR="00F94A69" w:rsidRPr="003E7DB9">
        <w:rPr>
          <w:color w:val="000000" w:themeColor="text1"/>
        </w:rPr>
        <w:t>are</w:t>
      </w:r>
      <w:r w:rsidRPr="003E7DB9">
        <w:rPr>
          <w:color w:val="000000" w:themeColor="text1"/>
        </w:rPr>
        <w:t xml:space="preserve"> sustainable</w:t>
      </w:r>
      <w:r w:rsidR="00A20CE6" w:rsidRPr="003E7DB9">
        <w:rPr>
          <w:color w:val="000000" w:themeColor="text1"/>
        </w:rPr>
        <w:t>, but barely so in some cases</w:t>
      </w:r>
      <w:r w:rsidRPr="003E7DB9">
        <w:rPr>
          <w:color w:val="000000" w:themeColor="text1"/>
        </w:rPr>
        <w:t>.</w:t>
      </w:r>
    </w:p>
    <w:p w14:paraId="1EE83D95" w14:textId="77777777" w:rsidR="006318FA" w:rsidRPr="003E7DB9" w:rsidRDefault="006318FA" w:rsidP="00AF155A">
      <w:pPr>
        <w:jc w:val="both"/>
        <w:rPr>
          <w:color w:val="000000" w:themeColor="text1"/>
          <w:highlight w:val="yellow"/>
        </w:rPr>
      </w:pPr>
    </w:p>
    <w:p w14:paraId="1CDF2C37" w14:textId="6179F63C" w:rsidR="00EC571A" w:rsidRPr="003E7DB9" w:rsidRDefault="006318FA" w:rsidP="00AF155A">
      <w:pPr>
        <w:jc w:val="both"/>
        <w:rPr>
          <w:color w:val="000000" w:themeColor="text1"/>
        </w:rPr>
      </w:pPr>
      <w:r w:rsidRPr="003E7DB9">
        <w:rPr>
          <w:color w:val="000000" w:themeColor="text1"/>
          <w:highlight w:val="yellow"/>
        </w:rPr>
        <w:t>Insert Table 1 close to here</w:t>
      </w:r>
    </w:p>
    <w:p w14:paraId="6800E61C" w14:textId="77777777" w:rsidR="00EC571A" w:rsidRPr="003E7DB9" w:rsidRDefault="00EC571A" w:rsidP="00AF155A">
      <w:pPr>
        <w:pStyle w:val="ListParagraph"/>
        <w:spacing w:line="240" w:lineRule="auto"/>
        <w:jc w:val="both"/>
        <w:rPr>
          <w:rFonts w:ascii="Times New Roman" w:hAnsi="Times New Roman" w:cs="Times New Roman"/>
          <w:color w:val="000000" w:themeColor="text1"/>
          <w:sz w:val="24"/>
          <w:szCs w:val="24"/>
        </w:rPr>
      </w:pPr>
    </w:p>
    <w:p w14:paraId="5CFDF3A5" w14:textId="2F323483" w:rsidR="00EC571A" w:rsidRPr="00C34454" w:rsidRDefault="001F2C90" w:rsidP="00C34454">
      <w:pPr>
        <w:autoSpaceDE w:val="0"/>
        <w:autoSpaceDN w:val="0"/>
        <w:adjustRightInd w:val="0"/>
        <w:jc w:val="both"/>
        <w:rPr>
          <w:rFonts w:eastAsiaTheme="minorHAnsi"/>
        </w:rPr>
      </w:pPr>
      <w:r w:rsidRPr="003E7DB9">
        <w:rPr>
          <w:color w:val="000000" w:themeColor="text1"/>
        </w:rPr>
        <w:t xml:space="preserve">Map 1 shows all Maintained and Controlled </w:t>
      </w:r>
      <w:r w:rsidR="00026813" w:rsidRPr="003E7DB9">
        <w:rPr>
          <w:color w:val="000000" w:themeColor="text1"/>
        </w:rPr>
        <w:t>primar</w:t>
      </w:r>
      <w:r w:rsidRPr="003E7DB9">
        <w:rPr>
          <w:color w:val="000000" w:themeColor="text1"/>
        </w:rPr>
        <w:t xml:space="preserve">y </w:t>
      </w:r>
      <w:r w:rsidR="00026813" w:rsidRPr="003E7DB9">
        <w:rPr>
          <w:color w:val="000000" w:themeColor="text1"/>
        </w:rPr>
        <w:t>school</w:t>
      </w:r>
      <w:r w:rsidRPr="003E7DB9">
        <w:rPr>
          <w:color w:val="000000" w:themeColor="text1"/>
        </w:rPr>
        <w:t>s and their 3-mile catchment areas, and the distribution of t</w:t>
      </w:r>
      <w:r w:rsidR="00EC571A" w:rsidRPr="003E7DB9">
        <w:rPr>
          <w:color w:val="000000" w:themeColor="text1"/>
        </w:rPr>
        <w:t xml:space="preserve">he 32 isolated pairs of </w:t>
      </w:r>
      <w:r w:rsidR="00026813" w:rsidRPr="003E7DB9">
        <w:rPr>
          <w:color w:val="000000" w:themeColor="text1"/>
        </w:rPr>
        <w:t>primar</w:t>
      </w:r>
      <w:r w:rsidR="00EC571A" w:rsidRPr="003E7DB9">
        <w:rPr>
          <w:color w:val="000000" w:themeColor="text1"/>
        </w:rPr>
        <w:t xml:space="preserve">y </w:t>
      </w:r>
      <w:r w:rsidR="00026813" w:rsidRPr="003E7DB9">
        <w:rPr>
          <w:color w:val="000000" w:themeColor="text1"/>
        </w:rPr>
        <w:t>school</w:t>
      </w:r>
      <w:r w:rsidR="00EC571A" w:rsidRPr="003E7DB9">
        <w:rPr>
          <w:color w:val="000000" w:themeColor="text1"/>
        </w:rPr>
        <w:t xml:space="preserve">s. </w:t>
      </w:r>
      <w:r w:rsidR="00D2708F" w:rsidRPr="003E7DB9">
        <w:rPr>
          <w:color w:val="000000" w:themeColor="text1"/>
        </w:rPr>
        <w:t xml:space="preserve">While </w:t>
      </w:r>
      <w:r w:rsidR="00D51FE8" w:rsidRPr="003E7DB9">
        <w:rPr>
          <w:color w:val="000000" w:themeColor="text1"/>
        </w:rPr>
        <w:t>eastern counties have four isolated pairs</w:t>
      </w:r>
      <w:r w:rsidR="00D2708F" w:rsidRPr="003E7DB9">
        <w:rPr>
          <w:color w:val="000000" w:themeColor="text1"/>
        </w:rPr>
        <w:t>, m</w:t>
      </w:r>
      <w:r w:rsidR="00EC571A" w:rsidRPr="003E7DB9">
        <w:rPr>
          <w:color w:val="000000" w:themeColor="text1"/>
        </w:rPr>
        <w:t xml:space="preserve">ost </w:t>
      </w:r>
      <w:r w:rsidRPr="003E7DB9">
        <w:rPr>
          <w:color w:val="000000" w:themeColor="text1"/>
        </w:rPr>
        <w:t>of the</w:t>
      </w:r>
      <w:r w:rsidR="00D51FE8" w:rsidRPr="003E7DB9">
        <w:rPr>
          <w:color w:val="000000" w:themeColor="text1"/>
        </w:rPr>
        <w:t xml:space="preserve">m </w:t>
      </w:r>
      <w:r w:rsidRPr="003E7DB9">
        <w:rPr>
          <w:color w:val="000000" w:themeColor="text1"/>
        </w:rPr>
        <w:t>are</w:t>
      </w:r>
      <w:r w:rsidR="00EC571A" w:rsidRPr="003E7DB9">
        <w:rPr>
          <w:color w:val="000000" w:themeColor="text1"/>
        </w:rPr>
        <w:t xml:space="preserve"> in the </w:t>
      </w:r>
      <w:r w:rsidRPr="003E7DB9">
        <w:rPr>
          <w:color w:val="000000" w:themeColor="text1"/>
        </w:rPr>
        <w:t xml:space="preserve">more rural </w:t>
      </w:r>
      <w:r w:rsidR="00376AC6" w:rsidRPr="003E7DB9">
        <w:rPr>
          <w:color w:val="000000" w:themeColor="text1"/>
        </w:rPr>
        <w:t xml:space="preserve">and less densely populated </w:t>
      </w:r>
      <w:r w:rsidR="00EC571A" w:rsidRPr="003E7DB9">
        <w:rPr>
          <w:color w:val="000000" w:themeColor="text1"/>
        </w:rPr>
        <w:t>south and west of Northern Ireland</w:t>
      </w:r>
      <w:r w:rsidR="00D2708F" w:rsidRPr="003E7DB9">
        <w:rPr>
          <w:color w:val="000000" w:themeColor="text1"/>
        </w:rPr>
        <w:t>,</w:t>
      </w:r>
      <w:r w:rsidR="00EC571A" w:rsidRPr="003E7DB9">
        <w:rPr>
          <w:color w:val="000000" w:themeColor="text1"/>
        </w:rPr>
        <w:t xml:space="preserve"> in</w:t>
      </w:r>
      <w:r w:rsidR="00216B7F" w:rsidRPr="003E7DB9">
        <w:rPr>
          <w:color w:val="000000" w:themeColor="text1"/>
        </w:rPr>
        <w:t xml:space="preserve"> Counties</w:t>
      </w:r>
      <w:r w:rsidR="00EC571A" w:rsidRPr="003E7DB9">
        <w:rPr>
          <w:color w:val="000000" w:themeColor="text1"/>
        </w:rPr>
        <w:t xml:space="preserve"> Tyrone, </w:t>
      </w:r>
      <w:r w:rsidR="00216B7F" w:rsidRPr="003E7DB9">
        <w:rPr>
          <w:color w:val="000000" w:themeColor="text1"/>
        </w:rPr>
        <w:t>Derry/</w:t>
      </w:r>
      <w:r w:rsidR="00EC571A" w:rsidRPr="003E7DB9">
        <w:rPr>
          <w:color w:val="000000" w:themeColor="text1"/>
        </w:rPr>
        <w:t xml:space="preserve">Londonderry and Fermanagh. </w:t>
      </w:r>
      <w:r w:rsidR="008F1A43">
        <w:rPr>
          <w:color w:val="000000" w:themeColor="text1"/>
        </w:rPr>
        <w:t xml:space="preserve">Some schools are located close to the border with the Republic of Ireland. </w:t>
      </w:r>
      <w:r w:rsidR="005A6219">
        <w:rPr>
          <w:color w:val="000000" w:themeColor="text1"/>
        </w:rPr>
        <w:t xml:space="preserve">Even with an open border for the last 20 years, a review of School transport found that  </w:t>
      </w:r>
      <w:r w:rsidR="005A6219">
        <w:rPr>
          <w:rFonts w:eastAsiaTheme="minorHAnsi"/>
        </w:rPr>
        <w:t>‘rela</w:t>
      </w:r>
      <w:r w:rsidR="005A6219">
        <w:rPr>
          <w:rFonts w:ascii="Ü'C ˛" w:eastAsiaTheme="minorHAnsi" w:hAnsi="Ü'C ˛" w:cs="Ü'C ˛"/>
        </w:rPr>
        <w:t>ti</w:t>
      </w:r>
      <w:r w:rsidR="005A6219">
        <w:rPr>
          <w:rFonts w:eastAsiaTheme="minorHAnsi"/>
        </w:rPr>
        <w:t>vely few pupils travel between home and schools across the border on a daily basis’ (Thornthwaite, 2014:197), although a former Principal of a post-Primary school close to the border estimated that hundreds of pupils cross into NI each day (Moore, 2019). It is possible that increasing the numbers of pupils attending NI schools from the Republic might be enough to influence the sustainability of a school, and this is something which deserves further research. However, formal collaboration between neighbouring schools across the border would be challenging given differences in funding and in curricula, and Brexit and a harder border between the UK and the EU may exacerbate the challenges of cross-border collaboration still further.</w:t>
      </w:r>
    </w:p>
    <w:p w14:paraId="351ADFC7" w14:textId="63079B0D" w:rsidR="006318FA" w:rsidRPr="003E7DB9" w:rsidRDefault="006318FA" w:rsidP="00AF155A">
      <w:pPr>
        <w:pStyle w:val="ListParagraph"/>
        <w:spacing w:line="240" w:lineRule="auto"/>
        <w:ind w:left="0"/>
        <w:jc w:val="both"/>
        <w:rPr>
          <w:rFonts w:ascii="Times New Roman" w:hAnsi="Times New Roman" w:cs="Times New Roman"/>
          <w:color w:val="000000" w:themeColor="text1"/>
          <w:sz w:val="24"/>
          <w:szCs w:val="24"/>
        </w:rPr>
      </w:pPr>
    </w:p>
    <w:p w14:paraId="35D41FAF" w14:textId="5EB75EB2" w:rsidR="006318FA" w:rsidRPr="003E7DB9" w:rsidRDefault="006318FA" w:rsidP="00AF155A">
      <w:pPr>
        <w:pStyle w:val="ListParagraph"/>
        <w:spacing w:line="240" w:lineRule="auto"/>
        <w:ind w:left="0"/>
        <w:jc w:val="both"/>
        <w:rPr>
          <w:rFonts w:ascii="Times New Roman" w:hAnsi="Times New Roman" w:cs="Times New Roman"/>
          <w:color w:val="000000" w:themeColor="text1"/>
          <w:sz w:val="24"/>
          <w:szCs w:val="24"/>
        </w:rPr>
      </w:pPr>
      <w:r w:rsidRPr="003E7DB9">
        <w:rPr>
          <w:rFonts w:ascii="Times New Roman" w:hAnsi="Times New Roman" w:cs="Times New Roman"/>
          <w:color w:val="000000" w:themeColor="text1"/>
          <w:sz w:val="24"/>
          <w:szCs w:val="24"/>
          <w:highlight w:val="yellow"/>
        </w:rPr>
        <w:t>Insert Map 1 close to here</w:t>
      </w:r>
    </w:p>
    <w:p w14:paraId="3BB8C6A7" w14:textId="77777777" w:rsidR="006318FA" w:rsidRPr="003E7DB9" w:rsidRDefault="006318FA" w:rsidP="00AF155A">
      <w:pPr>
        <w:pStyle w:val="ListParagraph"/>
        <w:spacing w:line="240" w:lineRule="auto"/>
        <w:ind w:left="0"/>
        <w:jc w:val="both"/>
        <w:rPr>
          <w:rFonts w:ascii="Times New Roman" w:hAnsi="Times New Roman" w:cs="Times New Roman"/>
          <w:color w:val="000000" w:themeColor="text1"/>
          <w:sz w:val="24"/>
          <w:szCs w:val="24"/>
        </w:rPr>
      </w:pPr>
    </w:p>
    <w:p w14:paraId="1578F216" w14:textId="23BC9FAE" w:rsidR="00EC571A" w:rsidRPr="003E7DB9" w:rsidRDefault="00D2708F" w:rsidP="00AF155A">
      <w:pPr>
        <w:jc w:val="both"/>
        <w:rPr>
          <w:b/>
          <w:bCs/>
          <w:color w:val="000000" w:themeColor="text1"/>
        </w:rPr>
      </w:pPr>
      <w:r w:rsidRPr="003E7DB9">
        <w:rPr>
          <w:b/>
          <w:bCs/>
          <w:color w:val="000000" w:themeColor="text1"/>
        </w:rPr>
        <w:t>T</w:t>
      </w:r>
      <w:r w:rsidR="00216B7F" w:rsidRPr="003E7DB9">
        <w:rPr>
          <w:b/>
          <w:bCs/>
          <w:color w:val="000000" w:themeColor="text1"/>
        </w:rPr>
        <w:t>he cost of duplication</w:t>
      </w:r>
    </w:p>
    <w:p w14:paraId="5BEBF41B" w14:textId="77777777" w:rsidR="00EC571A" w:rsidRPr="003E7DB9" w:rsidRDefault="00EC571A" w:rsidP="00AF155A">
      <w:pPr>
        <w:jc w:val="both"/>
      </w:pPr>
    </w:p>
    <w:p w14:paraId="06009FE8" w14:textId="2A5AC669" w:rsidR="00EC571A" w:rsidRPr="003E7DB9" w:rsidRDefault="001F2C90" w:rsidP="00AF155A">
      <w:pPr>
        <w:jc w:val="both"/>
      </w:pPr>
      <w:r w:rsidRPr="003E7DB9">
        <w:t>T</w:t>
      </w:r>
      <w:r w:rsidR="00EC571A" w:rsidRPr="003E7DB9">
        <w:t xml:space="preserve">he Northern Ireland Affairs Committee </w:t>
      </w:r>
      <w:r w:rsidR="00E2220C" w:rsidRPr="003E7DB9">
        <w:t>(</w:t>
      </w:r>
      <w:r w:rsidR="00EC571A" w:rsidRPr="003E7DB9">
        <w:t>2019</w:t>
      </w:r>
      <w:r w:rsidR="00E2220C" w:rsidRPr="003E7DB9">
        <w:t>)</w:t>
      </w:r>
      <w:r w:rsidR="00EC571A" w:rsidRPr="003E7DB9">
        <w:t xml:space="preserve"> </w:t>
      </w:r>
      <w:r w:rsidRPr="003E7DB9">
        <w:t>acknowledged</w:t>
      </w:r>
      <w:r w:rsidR="00EC571A" w:rsidRPr="003E7DB9">
        <w:t xml:space="preserve"> </w:t>
      </w:r>
      <w:r w:rsidR="00161DC2" w:rsidRPr="003E7DB9">
        <w:t>‘</w:t>
      </w:r>
      <w:r w:rsidR="00EC571A" w:rsidRPr="003E7DB9">
        <w:t>…a large amount of wasted capacity in the [education] system</w:t>
      </w:r>
      <w:r w:rsidR="00161DC2" w:rsidRPr="003E7DB9">
        <w:t>’</w:t>
      </w:r>
      <w:r w:rsidR="00EC571A" w:rsidRPr="003E7DB9">
        <w:t xml:space="preserve">. </w:t>
      </w:r>
      <w:r w:rsidRPr="003E7DB9">
        <w:t xml:space="preserve">In his </w:t>
      </w:r>
      <w:r w:rsidR="00D91F2C" w:rsidRPr="003E7DB9">
        <w:t xml:space="preserve">submission, </w:t>
      </w:r>
      <w:r w:rsidR="00EC571A" w:rsidRPr="003E7DB9">
        <w:t xml:space="preserve">Sir Robert Salisbury contrasted duplicated provision in his local town in </w:t>
      </w:r>
      <w:r w:rsidR="00B1335C" w:rsidRPr="003E7DB9">
        <w:t>NI</w:t>
      </w:r>
      <w:r w:rsidR="00EC571A" w:rsidRPr="003E7DB9">
        <w:t xml:space="preserve"> with a similarly sized town in </w:t>
      </w:r>
      <w:proofErr w:type="gramStart"/>
      <w:r w:rsidR="00EC571A" w:rsidRPr="003E7DB9">
        <w:t>England, and</w:t>
      </w:r>
      <w:proofErr w:type="gramEnd"/>
      <w:r w:rsidR="00EC571A" w:rsidRPr="003E7DB9">
        <w:t xml:space="preserve"> concluded </w:t>
      </w:r>
      <w:r w:rsidR="00161DC2" w:rsidRPr="003E7DB9">
        <w:t>‘</w:t>
      </w:r>
      <w:r w:rsidR="00EC571A" w:rsidRPr="003E7DB9">
        <w:t>…</w:t>
      </w:r>
      <w:r w:rsidR="00A01D0F" w:rsidRPr="003E7DB9">
        <w:t>because of the nature of the schools in Northern Ireland and the historic structure, the money is spread too thinly</w:t>
      </w:r>
      <w:r w:rsidR="008A42C1">
        <w:t>’</w:t>
      </w:r>
      <w:r w:rsidR="00A01D0F" w:rsidRPr="003E7DB9">
        <w:t xml:space="preserve"> </w:t>
      </w:r>
      <w:r w:rsidR="00E4738F" w:rsidRPr="003E7DB9">
        <w:t>(NIAC, 2019:</w:t>
      </w:r>
      <w:r w:rsidR="00A01D0F" w:rsidRPr="003E7DB9">
        <w:t>19</w:t>
      </w:r>
      <w:r w:rsidR="00E4738F" w:rsidRPr="003E7DB9">
        <w:t>)</w:t>
      </w:r>
      <w:r w:rsidR="00EC571A" w:rsidRPr="003E7DB9">
        <w:t xml:space="preserve">.  </w:t>
      </w:r>
    </w:p>
    <w:p w14:paraId="61033091" w14:textId="77777777" w:rsidR="00EC571A" w:rsidRPr="003E7DB9" w:rsidRDefault="00EC571A" w:rsidP="00AF155A">
      <w:pPr>
        <w:jc w:val="both"/>
      </w:pPr>
    </w:p>
    <w:p w14:paraId="526B07BC" w14:textId="44527BFC" w:rsidR="00EC571A" w:rsidRPr="003E7DB9" w:rsidRDefault="00D2708F" w:rsidP="00AF155A">
      <w:pPr>
        <w:jc w:val="both"/>
      </w:pPr>
      <w:r w:rsidRPr="003E7DB9">
        <w:t xml:space="preserve">To deliver the </w:t>
      </w:r>
      <w:r w:rsidR="00A01D0F" w:rsidRPr="003E7DB9">
        <w:t xml:space="preserve">mandatory </w:t>
      </w:r>
      <w:r w:rsidR="005E7210" w:rsidRPr="003E7DB9">
        <w:t>NI C</w:t>
      </w:r>
      <w:r w:rsidRPr="003E7DB9">
        <w:t>urriculum</w:t>
      </w:r>
      <w:r w:rsidR="005E7210" w:rsidRPr="003E7DB9">
        <w:t xml:space="preserve"> (</w:t>
      </w:r>
      <w:r w:rsidR="00376AC6" w:rsidRPr="003E7DB9">
        <w:t>CCEA, 2007</w:t>
      </w:r>
      <w:r w:rsidR="005E7210" w:rsidRPr="003E7DB9">
        <w:t>)</w:t>
      </w:r>
      <w:r w:rsidR="003C5F5A" w:rsidRPr="003E7DB9">
        <w:t xml:space="preserve"> </w:t>
      </w:r>
      <w:r w:rsidRPr="003E7DB9">
        <w:t>to 4 to 11-year olds in their community</w:t>
      </w:r>
      <w:r w:rsidR="003C5F5A" w:rsidRPr="003E7DB9">
        <w:t xml:space="preserve">, </w:t>
      </w:r>
      <w:r w:rsidRPr="003E7DB9">
        <w:t>e</w:t>
      </w:r>
      <w:r w:rsidR="00EC571A" w:rsidRPr="003E7DB9">
        <w:t>ach of the 32 pairs of schools identified here requires sufficient teachers. Even in very small schools, and 1</w:t>
      </w:r>
      <w:r w:rsidR="00D91F2C" w:rsidRPr="003E7DB9">
        <w:t>4</w:t>
      </w:r>
      <w:r w:rsidR="00EC571A" w:rsidRPr="003E7DB9">
        <w:t xml:space="preserve"> of these schools have </w:t>
      </w:r>
      <w:r w:rsidR="00F9492C" w:rsidRPr="003E7DB9">
        <w:t xml:space="preserve">fewer </w:t>
      </w:r>
      <w:r w:rsidR="00EC571A" w:rsidRPr="003E7DB9">
        <w:t xml:space="preserve">than </w:t>
      </w:r>
      <w:r w:rsidR="00D91F2C" w:rsidRPr="003E7DB9">
        <w:t>6</w:t>
      </w:r>
      <w:r w:rsidR="00EC571A" w:rsidRPr="003E7DB9">
        <w:t>0 pupils, there must still be a Principal with responsibility for running the school</w:t>
      </w:r>
      <w:r w:rsidR="00D91F2C" w:rsidRPr="003E7DB9">
        <w:t>, for instance</w:t>
      </w:r>
      <w:r w:rsidR="00EC571A" w:rsidRPr="003E7DB9">
        <w:t xml:space="preserve">. </w:t>
      </w:r>
      <w:r w:rsidR="00013D7D" w:rsidRPr="003E7DB9">
        <w:t>Additionally, of th</w:t>
      </w:r>
      <w:r w:rsidRPr="003E7DB9">
        <w:t xml:space="preserve">ose </w:t>
      </w:r>
      <w:r w:rsidR="00013D7D" w:rsidRPr="003E7DB9">
        <w:t xml:space="preserve">schools </w:t>
      </w:r>
      <w:r w:rsidRPr="003E7DB9">
        <w:t xml:space="preserve">with unsustainable enrolment figures </w:t>
      </w:r>
      <w:r w:rsidR="00013D7D" w:rsidRPr="003E7DB9">
        <w:t>on Table 1</w:t>
      </w:r>
      <w:r w:rsidR="00A01D0F" w:rsidRPr="003E7DB9">
        <w:t>,</w:t>
      </w:r>
      <w:r w:rsidR="00013D7D" w:rsidRPr="003E7DB9">
        <w:t xml:space="preserve"> </w:t>
      </w:r>
      <w:r w:rsidR="00A01D0F" w:rsidRPr="003E7DB9">
        <w:t xml:space="preserve">the ratio of pupils to </w:t>
      </w:r>
      <w:r w:rsidR="00013D7D" w:rsidRPr="003E7DB9">
        <w:t>teacher</w:t>
      </w:r>
      <w:r w:rsidR="00A01D0F" w:rsidRPr="003E7DB9">
        <w:t>s</w:t>
      </w:r>
      <w:r w:rsidR="00013D7D" w:rsidRPr="003E7DB9">
        <w:t xml:space="preserve"> </w:t>
      </w:r>
      <w:r w:rsidR="00A01D0F" w:rsidRPr="003E7DB9">
        <w:t>is lower</w:t>
      </w:r>
      <w:r w:rsidR="00013D7D" w:rsidRPr="003E7DB9">
        <w:t xml:space="preserve"> than the Northern Ireland </w:t>
      </w:r>
      <w:r w:rsidR="00B1335C" w:rsidRPr="003E7DB9">
        <w:t xml:space="preserve">primary school </w:t>
      </w:r>
      <w:r w:rsidR="00013D7D" w:rsidRPr="003E7DB9">
        <w:t>average of 22</w:t>
      </w:r>
      <w:r w:rsidR="00161DC2" w:rsidRPr="003E7DB9">
        <w:t>.3</w:t>
      </w:r>
      <w:r w:rsidR="00013D7D" w:rsidRPr="003E7DB9">
        <w:t xml:space="preserve"> (201</w:t>
      </w:r>
      <w:r w:rsidR="00161DC2" w:rsidRPr="003E7DB9">
        <w:t>8</w:t>
      </w:r>
      <w:r w:rsidR="00013D7D" w:rsidRPr="003E7DB9">
        <w:t>-1</w:t>
      </w:r>
      <w:r w:rsidR="00161DC2" w:rsidRPr="003E7DB9">
        <w:t>9</w:t>
      </w:r>
      <w:r w:rsidR="00013D7D" w:rsidRPr="003E7DB9">
        <w:t>) in 9</w:t>
      </w:r>
      <w:r w:rsidR="00161DC2" w:rsidRPr="003E7DB9">
        <w:t>4</w:t>
      </w:r>
      <w:r w:rsidR="00013D7D" w:rsidRPr="003E7DB9">
        <w:t>% of cases</w:t>
      </w:r>
      <w:r w:rsidR="00CC0BF4" w:rsidRPr="003E7DB9">
        <w:t>, suggesting an excessive duplication of teaching across schools</w:t>
      </w:r>
      <w:r w:rsidR="00EC571A" w:rsidRPr="003E7DB9">
        <w:t xml:space="preserve">. In </w:t>
      </w:r>
      <w:r w:rsidR="00013D7D" w:rsidRPr="003E7DB9">
        <w:t>one</w:t>
      </w:r>
      <w:r w:rsidR="00EC571A" w:rsidRPr="003E7DB9">
        <w:t xml:space="preserve"> case, </w:t>
      </w:r>
      <w:r w:rsidR="00B1335C" w:rsidRPr="003E7DB9">
        <w:t xml:space="preserve">the </w:t>
      </w:r>
      <w:r w:rsidR="00EC571A" w:rsidRPr="003E7DB9">
        <w:t xml:space="preserve">ratio </w:t>
      </w:r>
      <w:r w:rsidR="00B1335C" w:rsidRPr="003E7DB9">
        <w:t>is</w:t>
      </w:r>
      <w:r w:rsidR="00EC571A" w:rsidRPr="003E7DB9">
        <w:t xml:space="preserve"> 1 teacher for </w:t>
      </w:r>
      <w:r w:rsidR="00013D7D" w:rsidRPr="003E7DB9">
        <w:t>8.2</w:t>
      </w:r>
      <w:r w:rsidR="00EC571A" w:rsidRPr="003E7DB9">
        <w:t xml:space="preserve"> pupils. </w:t>
      </w:r>
      <w:r w:rsidR="00A01D0F" w:rsidRPr="003E7DB9">
        <w:t>The neig</w:t>
      </w:r>
      <w:r w:rsidR="0092516D" w:rsidRPr="003E7DB9">
        <w:t>h</w:t>
      </w:r>
      <w:r w:rsidR="00A01D0F" w:rsidRPr="003E7DB9">
        <w:t>bouring</w:t>
      </w:r>
      <w:r w:rsidR="00EC571A" w:rsidRPr="003E7DB9">
        <w:t xml:space="preserve"> school just a few hundred yards</w:t>
      </w:r>
      <w:r w:rsidRPr="003E7DB9">
        <w:t xml:space="preserve"> </w:t>
      </w:r>
      <w:r w:rsidR="00EC571A" w:rsidRPr="003E7DB9">
        <w:t xml:space="preserve">away </w:t>
      </w:r>
      <w:r w:rsidR="0092516D" w:rsidRPr="003E7DB9">
        <w:t>is</w:t>
      </w:r>
      <w:r w:rsidR="00013D7D" w:rsidRPr="003E7DB9">
        <w:t xml:space="preserve"> just over the average</w:t>
      </w:r>
      <w:r w:rsidR="00EC571A" w:rsidRPr="003E7DB9">
        <w:t>.</w:t>
      </w:r>
      <w:r w:rsidR="00F9492C" w:rsidRPr="003E7DB9">
        <w:t xml:space="preserve"> In another case, both schools in the pair are below the average by a large margin (with ratios of 17.0 and 12.3)</w:t>
      </w:r>
      <w:r w:rsidR="00544B06">
        <w:t xml:space="preserve"> again suggesting inefficiencies through duplication</w:t>
      </w:r>
      <w:r w:rsidR="00502E0A">
        <w:t xml:space="preserve"> of teachers delivering the same curriculum</w:t>
      </w:r>
      <w:r w:rsidR="00F9492C" w:rsidRPr="003E7DB9">
        <w:t xml:space="preserve">. </w:t>
      </w:r>
    </w:p>
    <w:p w14:paraId="6F14A810" w14:textId="77777777" w:rsidR="00EC571A" w:rsidRPr="003E7DB9" w:rsidRDefault="00EC571A" w:rsidP="00AF155A">
      <w:pPr>
        <w:jc w:val="both"/>
      </w:pPr>
    </w:p>
    <w:p w14:paraId="48084755" w14:textId="313D56B2" w:rsidR="00EC571A" w:rsidRPr="003E7DB9" w:rsidRDefault="00B1335C" w:rsidP="00AF155A">
      <w:pPr>
        <w:jc w:val="both"/>
      </w:pPr>
      <w:r w:rsidRPr="003E7DB9">
        <w:t>A</w:t>
      </w:r>
      <w:r w:rsidR="00EC571A" w:rsidRPr="003E7DB9">
        <w:t>ncillary staff</w:t>
      </w:r>
      <w:r w:rsidRPr="003E7DB9">
        <w:t xml:space="preserve"> </w:t>
      </w:r>
      <w:r w:rsidR="00544B06">
        <w:t>are</w:t>
      </w:r>
      <w:r w:rsidRPr="003E7DB9">
        <w:t xml:space="preserve"> also duplicated</w:t>
      </w:r>
      <w:r w:rsidR="00F44B94" w:rsidRPr="003E7DB9">
        <w:t>.</w:t>
      </w:r>
      <w:r w:rsidR="00EC571A" w:rsidRPr="003E7DB9">
        <w:t xml:space="preserve"> </w:t>
      </w:r>
      <w:r w:rsidRPr="003E7DB9">
        <w:t>Where</w:t>
      </w:r>
      <w:r w:rsidR="00EC571A" w:rsidRPr="003E7DB9">
        <w:t xml:space="preserve"> on-site catering is </w:t>
      </w:r>
      <w:r w:rsidRPr="003E7DB9">
        <w:t>available</w:t>
      </w:r>
      <w:r w:rsidR="00F44B94" w:rsidRPr="003E7DB9">
        <w:t xml:space="preserve">, </w:t>
      </w:r>
      <w:r w:rsidR="00EC571A" w:rsidRPr="003E7DB9">
        <w:t>a cook and other staff</w:t>
      </w:r>
      <w:r w:rsidR="006852D7" w:rsidRPr="003E7DB9">
        <w:t xml:space="preserve"> are required</w:t>
      </w:r>
      <w:r w:rsidR="00EC571A" w:rsidRPr="003E7DB9">
        <w:t xml:space="preserve">. </w:t>
      </w:r>
      <w:r w:rsidRPr="003E7DB9">
        <w:t>Almost</w:t>
      </w:r>
      <w:r w:rsidR="00EC571A" w:rsidRPr="003E7DB9">
        <w:t xml:space="preserve"> invariably</w:t>
      </w:r>
      <w:r w:rsidRPr="003E7DB9">
        <w:t xml:space="preserve"> schools will</w:t>
      </w:r>
      <w:r w:rsidR="00EC571A" w:rsidRPr="003E7DB9">
        <w:t xml:space="preserve"> have a number of classroom assistants, a secretary, </w:t>
      </w:r>
      <w:r w:rsidR="00EC571A" w:rsidRPr="003E7DB9">
        <w:lastRenderedPageBreak/>
        <w:t>a Building Supervisor/caretaker and a range of other staff. School websites</w:t>
      </w:r>
      <w:r w:rsidR="00EC571A" w:rsidRPr="003E7DB9">
        <w:rPr>
          <w:rStyle w:val="FootnoteReference"/>
          <w:rFonts w:eastAsiaTheme="majorEastAsia"/>
        </w:rPr>
        <w:footnoteReference w:id="4"/>
      </w:r>
      <w:r w:rsidR="00EC571A" w:rsidRPr="003E7DB9">
        <w:t xml:space="preserve"> indicate an average of over 11 ancillary staff, including 6 classroom assistants, in each of these 64 schools. </w:t>
      </w:r>
      <w:r w:rsidR="00013D7D" w:rsidRPr="003E7DB9">
        <w:t>M</w:t>
      </w:r>
      <w:r w:rsidR="00EC571A" w:rsidRPr="003E7DB9">
        <w:t xml:space="preserve">any of these staff may be part-time, particularly in the smaller schools, </w:t>
      </w:r>
      <w:r w:rsidR="00013D7D" w:rsidRPr="003E7DB9">
        <w:t xml:space="preserve">but </w:t>
      </w:r>
      <w:r w:rsidRPr="003E7DB9">
        <w:t xml:space="preserve">there will inevitably be </w:t>
      </w:r>
      <w:r w:rsidR="00EC571A" w:rsidRPr="003E7DB9">
        <w:t xml:space="preserve">duplication. </w:t>
      </w:r>
      <w:r w:rsidRPr="003E7DB9">
        <w:t>S</w:t>
      </w:r>
      <w:r w:rsidR="00EC571A" w:rsidRPr="003E7DB9">
        <w:t xml:space="preserve">mall schools </w:t>
      </w:r>
      <w:r w:rsidRPr="003E7DB9">
        <w:t>could not fully support the</w:t>
      </w:r>
      <w:r w:rsidR="001627CD" w:rsidRPr="003E7DB9">
        <w:t xml:space="preserve"> </w:t>
      </w:r>
      <w:r w:rsidRPr="003E7DB9">
        <w:t xml:space="preserve">operation of the school without </w:t>
      </w:r>
      <w:r w:rsidR="00EC571A" w:rsidRPr="003E7DB9">
        <w:t xml:space="preserve">these </w:t>
      </w:r>
      <w:r w:rsidR="00331029" w:rsidRPr="003E7DB9">
        <w:t xml:space="preserve">ancillary </w:t>
      </w:r>
      <w:r w:rsidR="00EC571A" w:rsidRPr="003E7DB9">
        <w:t>staff</w:t>
      </w:r>
      <w:r w:rsidR="00544B06">
        <w:t xml:space="preserve"> who are essential to the effective delivery of the curriculum</w:t>
      </w:r>
      <w:r w:rsidR="00FD40FB">
        <w:t xml:space="preserve"> as well as pastoral and other support,</w:t>
      </w:r>
      <w:r w:rsidR="00EC571A" w:rsidRPr="003E7DB9">
        <w:t xml:space="preserve"> but these schools </w:t>
      </w:r>
      <w:r w:rsidRPr="003E7DB9">
        <w:t>have</w:t>
      </w:r>
      <w:r w:rsidR="00EC571A" w:rsidRPr="003E7DB9">
        <w:t xml:space="preserve"> </w:t>
      </w:r>
      <w:r w:rsidR="00D2708F" w:rsidRPr="003E7DB9">
        <w:t xml:space="preserve">very </w:t>
      </w:r>
      <w:r w:rsidR="00EC571A" w:rsidRPr="003E7DB9">
        <w:t>close neighbour</w:t>
      </w:r>
      <w:r w:rsidRPr="003E7DB9">
        <w:t>ing schools</w:t>
      </w:r>
      <w:r w:rsidR="00EC571A" w:rsidRPr="003E7DB9">
        <w:t xml:space="preserve"> </w:t>
      </w:r>
      <w:r w:rsidRPr="003E7DB9">
        <w:t>offering</w:t>
      </w:r>
      <w:r w:rsidR="00EC571A" w:rsidRPr="003E7DB9">
        <w:t xml:space="preserve"> identical service</w:t>
      </w:r>
      <w:r w:rsidR="00502E0A">
        <w:t>s</w:t>
      </w:r>
      <w:r w:rsidR="00EC571A" w:rsidRPr="003E7DB9">
        <w:t xml:space="preserve">. </w:t>
      </w:r>
    </w:p>
    <w:p w14:paraId="00A55030" w14:textId="77777777" w:rsidR="00EC571A" w:rsidRPr="003E7DB9" w:rsidRDefault="00EC571A" w:rsidP="00AF155A">
      <w:pPr>
        <w:jc w:val="both"/>
      </w:pPr>
    </w:p>
    <w:p w14:paraId="6101FFC7" w14:textId="48436167" w:rsidR="00EC571A" w:rsidRPr="003E7DB9" w:rsidRDefault="00076C03" w:rsidP="00AF155A">
      <w:pPr>
        <w:jc w:val="both"/>
      </w:pPr>
      <w:r w:rsidRPr="003E7DB9">
        <w:t>S</w:t>
      </w:r>
      <w:r w:rsidR="007F45C5" w:rsidRPr="003E7DB9">
        <w:t>ince the Education Reform Order in Northern Ireland in 1989, s</w:t>
      </w:r>
      <w:r w:rsidRPr="003E7DB9">
        <w:t xml:space="preserve">chools in Northern Ireland </w:t>
      </w:r>
      <w:r w:rsidR="007F45C5" w:rsidRPr="003E7DB9">
        <w:t xml:space="preserve">have had delegated budgets, including for staffing costs, </w:t>
      </w:r>
      <w:r w:rsidR="00013D7D" w:rsidRPr="003E7DB9">
        <w:t>with schools’</w:t>
      </w:r>
      <w:r w:rsidRPr="003E7DB9">
        <w:t xml:space="preserve"> funding </w:t>
      </w:r>
      <w:r w:rsidR="00013D7D" w:rsidRPr="003E7DB9">
        <w:t>calculated using</w:t>
      </w:r>
      <w:r w:rsidRPr="003E7DB9">
        <w:t xml:space="preserve"> a Common Funding Formula. </w:t>
      </w:r>
      <w:r w:rsidR="006852D7" w:rsidRPr="003E7DB9">
        <w:t xml:space="preserve">How the funding is calculated and the amounts which each school receives is transparent </w:t>
      </w:r>
      <w:r w:rsidR="007F45C5" w:rsidRPr="003E7DB9">
        <w:t>and published</w:t>
      </w:r>
      <w:r w:rsidRPr="003E7DB9">
        <w:t xml:space="preserve"> </w:t>
      </w:r>
      <w:r w:rsidR="007F45C5" w:rsidRPr="003E7DB9">
        <w:t xml:space="preserve">annually </w:t>
      </w:r>
      <w:r w:rsidRPr="003E7DB9">
        <w:t>(DE</w:t>
      </w:r>
      <w:r w:rsidR="00596B87" w:rsidRPr="003E7DB9">
        <w:t>NI</w:t>
      </w:r>
      <w:r w:rsidRPr="003E7DB9">
        <w:t>, n.d.)</w:t>
      </w:r>
      <w:r w:rsidR="00101CB2" w:rsidRPr="003E7DB9">
        <w:t xml:space="preserve">. </w:t>
      </w:r>
      <w:r w:rsidR="006852D7" w:rsidRPr="003E7DB9">
        <w:t>A</w:t>
      </w:r>
      <w:r w:rsidR="00F277C0" w:rsidRPr="003E7DB9">
        <w:t xml:space="preserve"> wide range of social and other measures</w:t>
      </w:r>
      <w:r w:rsidR="006852D7" w:rsidRPr="003E7DB9">
        <w:t xml:space="preserve"> are used to determine the funding to individual schools including</w:t>
      </w:r>
      <w:r w:rsidR="00F277C0" w:rsidRPr="003E7DB9">
        <w:t xml:space="preserve"> </w:t>
      </w:r>
      <w:r w:rsidR="006852D7" w:rsidRPr="003E7DB9">
        <w:t xml:space="preserve">social deprivation, </w:t>
      </w:r>
      <w:r w:rsidR="00F277C0" w:rsidRPr="003E7DB9">
        <w:t>age weightings for pupils</w:t>
      </w:r>
      <w:r w:rsidR="006852D7" w:rsidRPr="003E7DB9">
        <w:t xml:space="preserve"> </w:t>
      </w:r>
      <w:r w:rsidR="00F277C0" w:rsidRPr="003E7DB9">
        <w:t xml:space="preserve">and provision for </w:t>
      </w:r>
      <w:r w:rsidR="006852D7" w:rsidRPr="003E7DB9">
        <w:t>pupils who are</w:t>
      </w:r>
      <w:r w:rsidR="00F277C0" w:rsidRPr="003E7DB9">
        <w:t xml:space="preserve"> </w:t>
      </w:r>
      <w:r w:rsidR="006852D7" w:rsidRPr="003E7DB9">
        <w:t xml:space="preserve">newcomers or </w:t>
      </w:r>
      <w:r w:rsidR="00F277C0" w:rsidRPr="003E7DB9">
        <w:t>Traveller</w:t>
      </w:r>
      <w:r w:rsidR="006852D7" w:rsidRPr="003E7DB9">
        <w:t>s</w:t>
      </w:r>
      <w:r w:rsidR="00F277C0" w:rsidRPr="003E7DB9">
        <w:t xml:space="preserve">. </w:t>
      </w:r>
      <w:r w:rsidR="006852D7" w:rsidRPr="003E7DB9">
        <w:t>As there are a</w:t>
      </w:r>
      <w:r w:rsidR="00EC571A" w:rsidRPr="003E7DB9">
        <w:t xml:space="preserve"> larger number of individual schools to support the range of school management types</w:t>
      </w:r>
      <w:r w:rsidR="006852D7" w:rsidRPr="003E7DB9">
        <w:t xml:space="preserve"> than would otherwise be necessary,</w:t>
      </w:r>
      <w:r w:rsidR="00EC571A" w:rsidRPr="003E7DB9">
        <w:t xml:space="preserve"> </w:t>
      </w:r>
      <w:r w:rsidR="006852D7" w:rsidRPr="003E7DB9">
        <w:t>t</w:t>
      </w:r>
      <w:r w:rsidR="00EC571A" w:rsidRPr="003E7DB9">
        <w:t xml:space="preserve">his may </w:t>
      </w:r>
      <w:r w:rsidR="006852D7" w:rsidRPr="003E7DB9">
        <w:t>partly explain</w:t>
      </w:r>
      <w:r w:rsidR="00EC571A" w:rsidRPr="003E7DB9">
        <w:t xml:space="preserve"> the need for a Small Schools’ Support factor in the Common Funding</w:t>
      </w:r>
      <w:r w:rsidR="009E3CC1" w:rsidRPr="009E3CC1">
        <w:t xml:space="preserve"> </w:t>
      </w:r>
      <w:r w:rsidR="009E3CC1" w:rsidRPr="003E7DB9">
        <w:t>Formula</w:t>
      </w:r>
      <w:r w:rsidR="00EC571A" w:rsidRPr="003E7DB9">
        <w:t xml:space="preserve">. </w:t>
      </w:r>
      <w:r w:rsidR="006852D7" w:rsidRPr="003E7DB9">
        <w:t xml:space="preserve">The equivalent of an additional teacher salary to each school up to 100 pupils, tapering to zero for a school of 300 pupils, is provided as a lump sum to all small primary schools through this </w:t>
      </w:r>
      <w:r w:rsidR="00EC571A" w:rsidRPr="003E7DB9">
        <w:t xml:space="preserve">Small Schools Support </w:t>
      </w:r>
      <w:r w:rsidR="0048353F" w:rsidRPr="003E7DB9">
        <w:rPr>
          <w:rFonts w:eastAsiaTheme="majorEastAsia"/>
        </w:rPr>
        <w:t>(DENI</w:t>
      </w:r>
      <w:r w:rsidR="007F45C5" w:rsidRPr="003E7DB9">
        <w:rPr>
          <w:rFonts w:eastAsiaTheme="majorEastAsia"/>
        </w:rPr>
        <w:t>, n.d.</w:t>
      </w:r>
      <w:r w:rsidR="0048353F" w:rsidRPr="003E7DB9">
        <w:rPr>
          <w:rFonts w:eastAsiaTheme="majorEastAsia"/>
        </w:rPr>
        <w:t>)</w:t>
      </w:r>
      <w:r w:rsidR="00EC571A" w:rsidRPr="003E7DB9">
        <w:t xml:space="preserve">.  </w:t>
      </w:r>
    </w:p>
    <w:p w14:paraId="617E9B29" w14:textId="08B8F484" w:rsidR="006318FA" w:rsidRPr="003E7DB9" w:rsidRDefault="006318FA" w:rsidP="00AF155A">
      <w:pPr>
        <w:jc w:val="both"/>
      </w:pPr>
    </w:p>
    <w:p w14:paraId="3A892114" w14:textId="01CE8BB3" w:rsidR="006318FA" w:rsidRPr="003E7DB9" w:rsidRDefault="006318FA" w:rsidP="00AF155A">
      <w:pPr>
        <w:jc w:val="both"/>
      </w:pPr>
      <w:r w:rsidRPr="003E7DB9">
        <w:rPr>
          <w:highlight w:val="yellow"/>
        </w:rPr>
        <w:t>Insert graph 1 close to here</w:t>
      </w:r>
    </w:p>
    <w:p w14:paraId="24BE53EE" w14:textId="3771ED5D" w:rsidR="00EC571A" w:rsidRPr="003E7DB9" w:rsidRDefault="00EC571A" w:rsidP="00AF155A">
      <w:pPr>
        <w:jc w:val="both"/>
      </w:pPr>
    </w:p>
    <w:p w14:paraId="34A6A036" w14:textId="42C652EA" w:rsidR="00EC571A" w:rsidRPr="003E7DB9" w:rsidRDefault="00EC571A" w:rsidP="00AF155A">
      <w:pPr>
        <w:jc w:val="both"/>
        <w:rPr>
          <w:color w:val="000000" w:themeColor="text1"/>
        </w:rPr>
      </w:pPr>
      <w:r w:rsidRPr="003E7DB9">
        <w:rPr>
          <w:color w:val="000000" w:themeColor="text1"/>
        </w:rPr>
        <w:t xml:space="preserve">Graph 1 shows the funding for the 32 pairs of isolated schools and the average given to single schools of a similar size. It is clear that pairs of schools, when </w:t>
      </w:r>
      <w:r w:rsidR="00101CB2" w:rsidRPr="003E7DB9">
        <w:rPr>
          <w:color w:val="000000" w:themeColor="text1"/>
        </w:rPr>
        <w:t>their funding is aggregated for the purpose of comparison</w:t>
      </w:r>
      <w:r w:rsidRPr="003E7DB9">
        <w:rPr>
          <w:color w:val="000000" w:themeColor="text1"/>
        </w:rPr>
        <w:t xml:space="preserve">, receive higher overall funding than </w:t>
      </w:r>
      <w:r w:rsidR="0092516D" w:rsidRPr="003E7DB9">
        <w:rPr>
          <w:color w:val="000000" w:themeColor="text1"/>
        </w:rPr>
        <w:t xml:space="preserve">unitary </w:t>
      </w:r>
      <w:r w:rsidRPr="003E7DB9">
        <w:rPr>
          <w:color w:val="000000" w:themeColor="text1"/>
        </w:rPr>
        <w:t>schools which are comparable in size</w:t>
      </w:r>
      <w:r w:rsidR="00101CB2" w:rsidRPr="003E7DB9">
        <w:rPr>
          <w:color w:val="000000" w:themeColor="text1"/>
        </w:rPr>
        <w:t>. This is</w:t>
      </w:r>
      <w:r w:rsidRPr="003E7DB9">
        <w:rPr>
          <w:color w:val="000000" w:themeColor="text1"/>
        </w:rPr>
        <w:t xml:space="preserve"> unsurprising given the Small School Support Factor in the funding of school budgets. In the smallest of schools, the difference in proportional terms is greatest. Two schools with combined enrolment of 119 were allocated funding, if added together, of £510,000</w:t>
      </w:r>
      <w:r w:rsidR="00E2220C" w:rsidRPr="003E7DB9">
        <w:rPr>
          <w:color w:val="000000" w:themeColor="text1"/>
        </w:rPr>
        <w:t xml:space="preserve"> (DENI, </w:t>
      </w:r>
      <w:r w:rsidR="007F45C5" w:rsidRPr="003E7DB9">
        <w:rPr>
          <w:color w:val="000000" w:themeColor="text1"/>
        </w:rPr>
        <w:t>n.d.</w:t>
      </w:r>
      <w:r w:rsidR="00E2220C" w:rsidRPr="003E7DB9">
        <w:rPr>
          <w:color w:val="000000" w:themeColor="text1"/>
        </w:rPr>
        <w:t xml:space="preserve">) </w:t>
      </w:r>
      <w:r w:rsidRPr="003E7DB9">
        <w:rPr>
          <w:color w:val="000000" w:themeColor="text1"/>
        </w:rPr>
        <w:t>in 2019-20 with each of the 2 schools getting the equivalent of an additional teacher salary.</w:t>
      </w:r>
      <w:r w:rsidR="001C7070" w:rsidRPr="003E7DB9">
        <w:rPr>
          <w:color w:val="000000" w:themeColor="text1"/>
        </w:rPr>
        <w:t xml:space="preserve"> We can compare this to the funding provided to single schools </w:t>
      </w:r>
      <w:r w:rsidR="00FD40FB">
        <w:rPr>
          <w:color w:val="000000" w:themeColor="text1"/>
        </w:rPr>
        <w:t xml:space="preserve">with an enrolment of </w:t>
      </w:r>
      <w:r w:rsidR="001C7070" w:rsidRPr="003E7DB9">
        <w:rPr>
          <w:color w:val="000000" w:themeColor="text1"/>
        </w:rPr>
        <w:t xml:space="preserve">119. Five schools, in this case </w:t>
      </w:r>
      <w:r w:rsidR="00502E0A">
        <w:rPr>
          <w:color w:val="000000" w:themeColor="text1"/>
        </w:rPr>
        <w:t xml:space="preserve">each </w:t>
      </w:r>
      <w:r w:rsidR="001C7070" w:rsidRPr="003E7DB9">
        <w:rPr>
          <w:color w:val="000000" w:themeColor="text1"/>
        </w:rPr>
        <w:t>with exactly 119 pupils, received</w:t>
      </w:r>
      <w:r w:rsidRPr="003E7DB9">
        <w:rPr>
          <w:color w:val="000000" w:themeColor="text1"/>
        </w:rPr>
        <w:t xml:space="preserve"> an average </w:t>
      </w:r>
      <w:r w:rsidR="001C7070" w:rsidRPr="003E7DB9">
        <w:rPr>
          <w:color w:val="000000" w:themeColor="text1"/>
        </w:rPr>
        <w:t xml:space="preserve">funding </w:t>
      </w:r>
      <w:r w:rsidRPr="003E7DB9">
        <w:rPr>
          <w:color w:val="000000" w:themeColor="text1"/>
        </w:rPr>
        <w:t>of just £386,000</w:t>
      </w:r>
      <w:r w:rsidR="0087151F">
        <w:rPr>
          <w:rStyle w:val="FootnoteReference"/>
          <w:color w:val="000000" w:themeColor="text1"/>
        </w:rPr>
        <w:footnoteReference w:id="5"/>
      </w:r>
      <w:r w:rsidRPr="003E7DB9">
        <w:rPr>
          <w:color w:val="000000" w:themeColor="text1"/>
        </w:rPr>
        <w:t xml:space="preserve">. Two schools with a combined enrolment of 292 received funding, if it were combined, of £989,000, compared to </w:t>
      </w:r>
      <w:r w:rsidR="001C7070" w:rsidRPr="003E7DB9">
        <w:rPr>
          <w:color w:val="000000" w:themeColor="text1"/>
        </w:rPr>
        <w:t xml:space="preserve">an average of five </w:t>
      </w:r>
      <w:r w:rsidRPr="003E7DB9">
        <w:rPr>
          <w:color w:val="000000" w:themeColor="text1"/>
        </w:rPr>
        <w:t xml:space="preserve">single schools of this </w:t>
      </w:r>
      <w:r w:rsidR="00101CB2" w:rsidRPr="003E7DB9">
        <w:rPr>
          <w:color w:val="000000" w:themeColor="text1"/>
        </w:rPr>
        <w:t>aggregate size</w:t>
      </w:r>
      <w:r w:rsidRPr="003E7DB9">
        <w:rPr>
          <w:color w:val="000000" w:themeColor="text1"/>
        </w:rPr>
        <w:t xml:space="preserve"> getting, on average, just £761,000. </w:t>
      </w:r>
    </w:p>
    <w:p w14:paraId="775D0DC8" w14:textId="77777777" w:rsidR="00EC571A" w:rsidRPr="003E7DB9" w:rsidRDefault="00EC571A" w:rsidP="00AF155A">
      <w:pPr>
        <w:jc w:val="both"/>
        <w:rPr>
          <w:color w:val="000000" w:themeColor="text1"/>
        </w:rPr>
      </w:pPr>
    </w:p>
    <w:p w14:paraId="282A42A4" w14:textId="1933B8AB" w:rsidR="00101CB2" w:rsidRPr="003E7DB9" w:rsidRDefault="00EC571A" w:rsidP="00AF155A">
      <w:pPr>
        <w:jc w:val="both"/>
        <w:rPr>
          <w:color w:val="000000" w:themeColor="text1"/>
        </w:rPr>
      </w:pPr>
      <w:r w:rsidRPr="003E7DB9">
        <w:t>However, t</w:t>
      </w:r>
      <w:r w:rsidRPr="003E7DB9">
        <w:rPr>
          <w:color w:val="000000" w:themeColor="text1"/>
        </w:rPr>
        <w:t xml:space="preserve">he difference in funding becomes negligible in larger schools, with the tapering of </w:t>
      </w:r>
      <w:r w:rsidR="008F2D3F" w:rsidRPr="003E7DB9">
        <w:rPr>
          <w:color w:val="000000" w:themeColor="text1"/>
        </w:rPr>
        <w:t>th</w:t>
      </w:r>
      <w:r w:rsidR="00101CB2" w:rsidRPr="003E7DB9">
        <w:rPr>
          <w:color w:val="000000" w:themeColor="text1"/>
        </w:rPr>
        <w:t>e Small School Support Factor, as the trend line</w:t>
      </w:r>
      <w:r w:rsidR="0092516D" w:rsidRPr="003E7DB9">
        <w:rPr>
          <w:color w:val="000000" w:themeColor="text1"/>
        </w:rPr>
        <w:t>s</w:t>
      </w:r>
      <w:r w:rsidR="00101CB2" w:rsidRPr="003E7DB9">
        <w:rPr>
          <w:color w:val="000000" w:themeColor="text1"/>
        </w:rPr>
        <w:t xml:space="preserve"> show</w:t>
      </w:r>
      <w:r w:rsidRPr="003E7DB9">
        <w:rPr>
          <w:color w:val="000000" w:themeColor="text1"/>
        </w:rPr>
        <w:t xml:space="preserve">. This might be thought to challenge the perception that duplication of provision, whether from having two Principals or two sets of catering and other ancillary staff, would </w:t>
      </w:r>
      <w:r w:rsidR="0015402A" w:rsidRPr="003E7DB9">
        <w:rPr>
          <w:color w:val="000000" w:themeColor="text1"/>
        </w:rPr>
        <w:t xml:space="preserve">have an </w:t>
      </w:r>
      <w:r w:rsidRPr="003E7DB9">
        <w:rPr>
          <w:color w:val="000000" w:themeColor="text1"/>
        </w:rPr>
        <w:t xml:space="preserve">impact whatever the size of the schools. </w:t>
      </w:r>
      <w:r w:rsidR="00101CB2" w:rsidRPr="003E7DB9">
        <w:rPr>
          <w:color w:val="000000"/>
        </w:rPr>
        <w:t xml:space="preserve">However, </w:t>
      </w:r>
      <w:r w:rsidR="001C7070" w:rsidRPr="003E7DB9">
        <w:rPr>
          <w:color w:val="000000"/>
        </w:rPr>
        <w:t xml:space="preserve">we can compare the case of two schools with an enrolment of 300 pupils (and so </w:t>
      </w:r>
      <w:r w:rsidR="0049476B" w:rsidRPr="003E7DB9">
        <w:rPr>
          <w:color w:val="000000"/>
        </w:rPr>
        <w:t xml:space="preserve">just outside </w:t>
      </w:r>
      <w:r w:rsidR="001C7070" w:rsidRPr="003E7DB9">
        <w:rPr>
          <w:color w:val="000000"/>
        </w:rPr>
        <w:t>eligib</w:t>
      </w:r>
      <w:r w:rsidR="0049476B" w:rsidRPr="003E7DB9">
        <w:rPr>
          <w:color w:val="000000"/>
        </w:rPr>
        <w:t>ility</w:t>
      </w:r>
      <w:r w:rsidR="001C7070" w:rsidRPr="003E7DB9">
        <w:rPr>
          <w:color w:val="000000"/>
        </w:rPr>
        <w:t xml:space="preserve"> for Small School Support) and a single school with 600 pupils. The funding for these schools will be </w:t>
      </w:r>
      <w:r w:rsidR="0092516D" w:rsidRPr="003E7DB9">
        <w:rPr>
          <w:color w:val="000000"/>
        </w:rPr>
        <w:t>identical</w:t>
      </w:r>
      <w:r w:rsidR="00967394" w:rsidRPr="003E7DB9">
        <w:rPr>
          <w:color w:val="000000"/>
        </w:rPr>
        <w:t xml:space="preserve">, all </w:t>
      </w:r>
      <w:r w:rsidR="0049476B" w:rsidRPr="003E7DB9">
        <w:rPr>
          <w:color w:val="000000"/>
        </w:rPr>
        <w:t xml:space="preserve">other </w:t>
      </w:r>
      <w:r w:rsidR="00967394" w:rsidRPr="003E7DB9">
        <w:rPr>
          <w:color w:val="000000"/>
        </w:rPr>
        <w:t>things being equal.</w:t>
      </w:r>
      <w:r w:rsidR="001C7070" w:rsidRPr="003E7DB9">
        <w:rPr>
          <w:color w:val="000000"/>
        </w:rPr>
        <w:t xml:space="preserve"> </w:t>
      </w:r>
      <w:r w:rsidR="00967394" w:rsidRPr="003E7DB9">
        <w:rPr>
          <w:color w:val="000000"/>
        </w:rPr>
        <w:t>However, as the unitary school does not have to fund duplication</w:t>
      </w:r>
      <w:r w:rsidR="001C7070" w:rsidRPr="003E7DB9">
        <w:rPr>
          <w:color w:val="000000"/>
        </w:rPr>
        <w:t xml:space="preserve">, </w:t>
      </w:r>
      <w:r w:rsidR="00101CB2" w:rsidRPr="003E7DB9">
        <w:rPr>
          <w:color w:val="000000"/>
        </w:rPr>
        <w:t xml:space="preserve">it is likely that </w:t>
      </w:r>
      <w:r w:rsidR="00967394" w:rsidRPr="003E7DB9">
        <w:rPr>
          <w:color w:val="000000"/>
        </w:rPr>
        <w:t>it</w:t>
      </w:r>
      <w:r w:rsidR="00101CB2" w:rsidRPr="003E7DB9">
        <w:rPr>
          <w:color w:val="000000"/>
        </w:rPr>
        <w:t xml:space="preserve"> </w:t>
      </w:r>
      <w:r w:rsidR="00967394" w:rsidRPr="003E7DB9">
        <w:rPr>
          <w:color w:val="000000"/>
        </w:rPr>
        <w:t xml:space="preserve">has more to spend on pupil education and on specialised staff, </w:t>
      </w:r>
      <w:r w:rsidR="00101CB2" w:rsidRPr="003E7DB9">
        <w:rPr>
          <w:color w:val="000000"/>
        </w:rPr>
        <w:t xml:space="preserve">not possible in two 300 pupil </w:t>
      </w:r>
      <w:r w:rsidR="00026813" w:rsidRPr="003E7DB9">
        <w:rPr>
          <w:color w:val="000000"/>
        </w:rPr>
        <w:t>primar</w:t>
      </w:r>
      <w:r w:rsidR="00101CB2" w:rsidRPr="003E7DB9">
        <w:rPr>
          <w:color w:val="000000"/>
        </w:rPr>
        <w:t>y schools. Smit</w:t>
      </w:r>
      <w:r w:rsidR="00F269DC" w:rsidRPr="003E7DB9">
        <w:rPr>
          <w:color w:val="000000"/>
        </w:rPr>
        <w:t xml:space="preserve"> </w:t>
      </w:r>
      <w:r w:rsidR="00101CB2" w:rsidRPr="003E7DB9">
        <w:rPr>
          <w:i/>
          <w:iCs/>
          <w:color w:val="000000"/>
        </w:rPr>
        <w:t>et al</w:t>
      </w:r>
      <w:r w:rsidR="00101CB2" w:rsidRPr="003E7DB9">
        <w:rPr>
          <w:color w:val="000000"/>
        </w:rPr>
        <w:t xml:space="preserve">. (2015) note that, in smaller schools, </w:t>
      </w:r>
      <w:r w:rsidR="0092516D" w:rsidRPr="003E7DB9">
        <w:rPr>
          <w:color w:val="000000"/>
        </w:rPr>
        <w:t>‘</w:t>
      </w:r>
      <w:r w:rsidR="00101CB2" w:rsidRPr="003E7DB9">
        <w:rPr>
          <w:color w:val="000000"/>
          <w:lang w:val="en-US"/>
        </w:rPr>
        <w:t xml:space="preserve">…it is not possible to </w:t>
      </w:r>
      <w:proofErr w:type="spellStart"/>
      <w:r w:rsidR="00101CB2" w:rsidRPr="003E7DB9">
        <w:rPr>
          <w:color w:val="000000"/>
          <w:lang w:val="en-US"/>
        </w:rPr>
        <w:t>specialise</w:t>
      </w:r>
      <w:proofErr w:type="spellEnd"/>
      <w:r w:rsidR="00101CB2" w:rsidRPr="003E7DB9">
        <w:rPr>
          <w:color w:val="000000"/>
          <w:lang w:val="en-US"/>
        </w:rPr>
        <w:t xml:space="preserve"> in a </w:t>
      </w:r>
      <w:proofErr w:type="gramStart"/>
      <w:r w:rsidR="00101CB2" w:rsidRPr="003E7DB9">
        <w:rPr>
          <w:color w:val="000000"/>
          <w:lang w:val="en-US"/>
        </w:rPr>
        <w:t>subject and subject</w:t>
      </w:r>
      <w:r w:rsidR="00331029" w:rsidRPr="003E7DB9">
        <w:rPr>
          <w:color w:val="000000"/>
          <w:lang w:val="en-US"/>
        </w:rPr>
        <w:t xml:space="preserve"> </w:t>
      </w:r>
      <w:r w:rsidR="00101CB2" w:rsidRPr="003E7DB9">
        <w:rPr>
          <w:color w:val="000000"/>
          <w:lang w:val="en-US"/>
        </w:rPr>
        <w:t>specific exchanges</w:t>
      </w:r>
      <w:proofErr w:type="gramEnd"/>
      <w:r w:rsidR="00101CB2" w:rsidRPr="003E7DB9">
        <w:rPr>
          <w:color w:val="000000"/>
          <w:lang w:val="en-US"/>
        </w:rPr>
        <w:t xml:space="preserve"> within a school are limited</w:t>
      </w:r>
      <w:r w:rsidR="0092516D" w:rsidRPr="003E7DB9">
        <w:rPr>
          <w:color w:val="000000"/>
          <w:lang w:val="en-US"/>
        </w:rPr>
        <w:t>’</w:t>
      </w:r>
      <w:r w:rsidR="00101CB2" w:rsidRPr="003E7DB9">
        <w:rPr>
          <w:color w:val="000000"/>
          <w:lang w:val="en-US"/>
        </w:rPr>
        <w:t xml:space="preserve">. </w:t>
      </w:r>
      <w:r w:rsidR="00101CB2" w:rsidRPr="003E7DB9">
        <w:rPr>
          <w:color w:val="000000"/>
        </w:rPr>
        <w:t xml:space="preserve">While smaller schools of 300 might be able to provide </w:t>
      </w:r>
      <w:r w:rsidR="00967394" w:rsidRPr="003E7DB9">
        <w:rPr>
          <w:color w:val="000000"/>
        </w:rPr>
        <w:t xml:space="preserve">some </w:t>
      </w:r>
      <w:r w:rsidR="00967394" w:rsidRPr="003E7DB9">
        <w:rPr>
          <w:color w:val="000000"/>
        </w:rPr>
        <w:lastRenderedPageBreak/>
        <w:t>specialist teachers</w:t>
      </w:r>
      <w:r w:rsidR="00101CB2" w:rsidRPr="003E7DB9">
        <w:rPr>
          <w:color w:val="000000"/>
        </w:rPr>
        <w:t xml:space="preserve">, </w:t>
      </w:r>
      <w:r w:rsidR="00456A7E">
        <w:rPr>
          <w:color w:val="000000"/>
        </w:rPr>
        <w:t>most are likely to be generalists and they will have less access to school-funded professional development</w:t>
      </w:r>
      <w:r w:rsidR="00101CB2" w:rsidRPr="003E7DB9">
        <w:rPr>
          <w:color w:val="000000"/>
        </w:rPr>
        <w:t xml:space="preserve">, even with exactly the same formula funding.  </w:t>
      </w:r>
      <w:r w:rsidRPr="003E7DB9">
        <w:rPr>
          <w:color w:val="000000" w:themeColor="text1"/>
        </w:rPr>
        <w:t xml:space="preserve">If that is the case, the apparent similarity in funding for larger duplicate and unitary schools found in this sample might </w:t>
      </w:r>
      <w:r w:rsidR="00967394" w:rsidRPr="003E7DB9">
        <w:rPr>
          <w:color w:val="000000" w:themeColor="text1"/>
        </w:rPr>
        <w:t>disguise varied impact on</w:t>
      </w:r>
      <w:r w:rsidRPr="003E7DB9">
        <w:rPr>
          <w:color w:val="000000" w:themeColor="text1"/>
        </w:rPr>
        <w:t xml:space="preserve"> </w:t>
      </w:r>
      <w:r w:rsidR="00967394" w:rsidRPr="003E7DB9">
        <w:rPr>
          <w:color w:val="000000" w:themeColor="text1"/>
        </w:rPr>
        <w:t xml:space="preserve">learning for pupils and </w:t>
      </w:r>
      <w:r w:rsidRPr="003E7DB9">
        <w:rPr>
          <w:color w:val="000000" w:themeColor="text1"/>
        </w:rPr>
        <w:t xml:space="preserve">career opportunities for staff. More research is required to investigate this. </w:t>
      </w:r>
    </w:p>
    <w:p w14:paraId="7BCED373" w14:textId="77777777" w:rsidR="00101CB2" w:rsidRPr="003E7DB9" w:rsidRDefault="00101CB2" w:rsidP="00AF155A">
      <w:pPr>
        <w:jc w:val="both"/>
        <w:rPr>
          <w:color w:val="000000" w:themeColor="text1"/>
        </w:rPr>
      </w:pPr>
    </w:p>
    <w:p w14:paraId="3960399E" w14:textId="210CC0A5" w:rsidR="009435FC" w:rsidRPr="003E7DB9" w:rsidRDefault="00967394" w:rsidP="00AF155A">
      <w:pPr>
        <w:autoSpaceDE w:val="0"/>
        <w:autoSpaceDN w:val="0"/>
        <w:adjustRightInd w:val="0"/>
        <w:jc w:val="both"/>
      </w:pPr>
      <w:r w:rsidRPr="003E7DB9">
        <w:rPr>
          <w:color w:val="000000" w:themeColor="text1"/>
        </w:rPr>
        <w:t>Overall</w:t>
      </w:r>
      <w:r w:rsidR="00EC571A" w:rsidRPr="003E7DB9">
        <w:rPr>
          <w:color w:val="000000" w:themeColor="text1"/>
        </w:rPr>
        <w:t>, the</w:t>
      </w:r>
      <w:r w:rsidRPr="003E7DB9">
        <w:rPr>
          <w:color w:val="000000" w:themeColor="text1"/>
        </w:rPr>
        <w:t>se</w:t>
      </w:r>
      <w:r w:rsidR="00EC571A" w:rsidRPr="003E7DB9">
        <w:rPr>
          <w:color w:val="000000" w:themeColor="text1"/>
        </w:rPr>
        <w:t xml:space="preserve"> 32 pairs of schools received an additional £2.3M each year, compared to the average cost to support the same pupils in combined schools</w:t>
      </w:r>
      <w:r w:rsidRPr="003E7DB9">
        <w:rPr>
          <w:color w:val="000000" w:themeColor="text1"/>
        </w:rPr>
        <w:t xml:space="preserve"> of the same aggregate size</w:t>
      </w:r>
      <w:r w:rsidR="00EC571A" w:rsidRPr="003E7DB9">
        <w:rPr>
          <w:color w:val="000000" w:themeColor="text1"/>
        </w:rPr>
        <w:t>. The</w:t>
      </w:r>
      <w:r w:rsidR="00EC571A" w:rsidRPr="003E7DB9">
        <w:t xml:space="preserve"> Small Schools’ Support factor, calculated as 3.82% of the overall budget to schools across Northern Ireland</w:t>
      </w:r>
      <w:r w:rsidR="00E2220C" w:rsidRPr="003E7DB9">
        <w:t xml:space="preserve"> (Education Authority 2017)</w:t>
      </w:r>
      <w:r w:rsidR="00EC571A" w:rsidRPr="003E7DB9">
        <w:t>, cost more than £44 million in 2018-19.</w:t>
      </w:r>
      <w:r w:rsidR="00331029" w:rsidRPr="003E7DB9">
        <w:t xml:space="preserve"> While this regional cost could be argued to be </w:t>
      </w:r>
      <w:r w:rsidR="00CB5E48" w:rsidRPr="003E7DB9">
        <w:t xml:space="preserve">merely a reflection of </w:t>
      </w:r>
      <w:r w:rsidR="00331029" w:rsidRPr="003E7DB9">
        <w:t xml:space="preserve">the </w:t>
      </w:r>
      <w:r w:rsidR="00472EE0" w:rsidRPr="003E7DB9">
        <w:t xml:space="preserve">relatively high </w:t>
      </w:r>
      <w:r w:rsidR="00331029" w:rsidRPr="003E7DB9">
        <w:t xml:space="preserve">number of small rural </w:t>
      </w:r>
      <w:r w:rsidR="00CB5E48" w:rsidRPr="003E7DB9">
        <w:t xml:space="preserve">primary </w:t>
      </w:r>
      <w:r w:rsidR="00331029" w:rsidRPr="003E7DB9">
        <w:t xml:space="preserve">schools in Northern Ireland, it is likely that duplication contributes in large part to the persistence of small schools as each </w:t>
      </w:r>
      <w:r w:rsidR="00CC2D36">
        <w:t xml:space="preserve">of the two main </w:t>
      </w:r>
      <w:r w:rsidR="00331029" w:rsidRPr="003E7DB9">
        <w:t>communit</w:t>
      </w:r>
      <w:r w:rsidR="00CC2D36">
        <w:t>ies</w:t>
      </w:r>
      <w:r w:rsidR="00331029" w:rsidRPr="003E7DB9">
        <w:t xml:space="preserve"> tries to retain the schools that serve their </w:t>
      </w:r>
      <w:r w:rsidR="00CB5E48" w:rsidRPr="003E7DB9">
        <w:t>‘people’</w:t>
      </w:r>
      <w:r w:rsidR="00331029" w:rsidRPr="003E7DB9">
        <w:t xml:space="preserve">. </w:t>
      </w:r>
      <w:r w:rsidR="00C26E34" w:rsidRPr="003E7DB9">
        <w:t xml:space="preserve">These costs are simply those that are required to sustain a network of small schools across Northern Ireland. </w:t>
      </w:r>
    </w:p>
    <w:p w14:paraId="00884787" w14:textId="77777777" w:rsidR="009435FC" w:rsidRPr="003E7DB9" w:rsidRDefault="009435FC" w:rsidP="00AF155A">
      <w:pPr>
        <w:autoSpaceDE w:val="0"/>
        <w:autoSpaceDN w:val="0"/>
        <w:adjustRightInd w:val="0"/>
        <w:jc w:val="both"/>
      </w:pPr>
    </w:p>
    <w:p w14:paraId="1E7880D3" w14:textId="269F9F37" w:rsidR="00EC571A" w:rsidRPr="003E7DB9" w:rsidRDefault="00743530" w:rsidP="00AF155A">
      <w:pPr>
        <w:autoSpaceDE w:val="0"/>
        <w:autoSpaceDN w:val="0"/>
        <w:adjustRightInd w:val="0"/>
        <w:jc w:val="both"/>
        <w:rPr>
          <w:rFonts w:eastAsiaTheme="minorHAnsi"/>
        </w:rPr>
      </w:pPr>
      <w:r>
        <w:t xml:space="preserve">Calculating precise </w:t>
      </w:r>
      <w:r w:rsidR="009435FC" w:rsidRPr="003E7DB9">
        <w:t xml:space="preserve">savings from combining duplicated primary schools </w:t>
      </w:r>
      <w:r>
        <w:t>is difficult</w:t>
      </w:r>
      <w:r w:rsidR="009435FC" w:rsidRPr="003E7DB9">
        <w:t xml:space="preserve">. Only one </w:t>
      </w:r>
      <w:r w:rsidR="001627CD" w:rsidRPr="003E7DB9">
        <w:t>p</w:t>
      </w:r>
      <w:r w:rsidR="009435FC" w:rsidRPr="003E7DB9">
        <w:t xml:space="preserve">rincipal would be required, but </w:t>
      </w:r>
      <w:r>
        <w:t>if</w:t>
      </w:r>
      <w:r w:rsidRPr="003E7DB9">
        <w:t xml:space="preserve"> </w:t>
      </w:r>
      <w:r w:rsidR="009435FC" w:rsidRPr="003E7DB9">
        <w:t xml:space="preserve">the ‘surplus’ principal </w:t>
      </w:r>
      <w:r>
        <w:t xml:space="preserve">were </w:t>
      </w:r>
      <w:r w:rsidR="009435FC" w:rsidRPr="003E7DB9">
        <w:t>redeployed, or offered a financial package</w:t>
      </w:r>
      <w:r>
        <w:t>, th</w:t>
      </w:r>
      <w:r w:rsidR="00CC2D36">
        <w:t>e</w:t>
      </w:r>
      <w:r>
        <w:t xml:space="preserve"> </w:t>
      </w:r>
      <w:r w:rsidR="00CC2D36">
        <w:t>savings might be reduced somewhat</w:t>
      </w:r>
      <w:r>
        <w:t>.</w:t>
      </w:r>
      <w:r w:rsidR="009435FC" w:rsidRPr="003E7DB9">
        <w:t xml:space="preserve"> </w:t>
      </w:r>
      <w:r w:rsidR="00CC2D36">
        <w:t>Fewer teachers will be required and t</w:t>
      </w:r>
      <w:r w:rsidR="001627CD" w:rsidRPr="003E7DB9">
        <w:t>eaching s</w:t>
      </w:r>
      <w:r w:rsidR="009435FC" w:rsidRPr="003E7DB9">
        <w:t xml:space="preserve">taff costs </w:t>
      </w:r>
      <w:r w:rsidR="00CC2D36">
        <w:t>will</w:t>
      </w:r>
      <w:r w:rsidR="009435FC" w:rsidRPr="003E7DB9">
        <w:t xml:space="preserve"> be reduced but </w:t>
      </w:r>
      <w:r>
        <w:t>the degree of savings</w:t>
      </w:r>
      <w:r w:rsidR="009435FC" w:rsidRPr="003E7DB9">
        <w:t xml:space="preserve"> is difficult to quantify and will depend, for instance</w:t>
      </w:r>
      <w:r w:rsidR="001627CD" w:rsidRPr="003E7DB9">
        <w:t>,</w:t>
      </w:r>
      <w:r w:rsidR="009435FC" w:rsidRPr="003E7DB9">
        <w:t xml:space="preserve"> on the size of classes in any combined school or on the </w:t>
      </w:r>
      <w:r w:rsidR="001627CD" w:rsidRPr="003E7DB9">
        <w:t xml:space="preserve">career stage, and thus salary band, of the ‘surplus’ teachers. Similarly, reducing ancillary staff </w:t>
      </w:r>
      <w:r>
        <w:t xml:space="preserve">will </w:t>
      </w:r>
      <w:r w:rsidR="00CC2D36">
        <w:t>lower</w:t>
      </w:r>
      <w:r>
        <w:t xml:space="preserve"> costs</w:t>
      </w:r>
      <w:r w:rsidR="001627CD" w:rsidRPr="003E7DB9">
        <w:t>, but quantifying those</w:t>
      </w:r>
      <w:r>
        <w:t xml:space="preserve"> too</w:t>
      </w:r>
      <w:r w:rsidR="001627CD" w:rsidRPr="003E7DB9">
        <w:t xml:space="preserve"> is problematic. Having one building </w:t>
      </w:r>
      <w:r>
        <w:t>will</w:t>
      </w:r>
      <w:r w:rsidRPr="003E7DB9">
        <w:t xml:space="preserve"> </w:t>
      </w:r>
      <w:r w:rsidR="001627CD" w:rsidRPr="003E7DB9">
        <w:t xml:space="preserve">be </w:t>
      </w:r>
      <w:r w:rsidR="00FD40FB">
        <w:t xml:space="preserve">much </w:t>
      </w:r>
      <w:r w:rsidR="001627CD" w:rsidRPr="003E7DB9">
        <w:t xml:space="preserve">more efficient to run, but the </w:t>
      </w:r>
      <w:r>
        <w:t xml:space="preserve">overall </w:t>
      </w:r>
      <w:r w:rsidR="001627CD" w:rsidRPr="003E7DB9">
        <w:t>savings would vary according to many parameters.</w:t>
      </w:r>
      <w:r w:rsidR="009435FC" w:rsidRPr="003E7DB9">
        <w:t xml:space="preserve"> </w:t>
      </w:r>
      <w:r>
        <w:t xml:space="preserve">What is </w:t>
      </w:r>
      <w:r w:rsidR="00CC2D36">
        <w:t>evident</w:t>
      </w:r>
      <w:r>
        <w:t xml:space="preserve"> is that the present duplication of provision is unnecessarily expensive. </w:t>
      </w:r>
      <w:r w:rsidR="001627CD" w:rsidRPr="003E7DB9">
        <w:t>It has long been accepted that calculating the o</w:t>
      </w:r>
      <w:r w:rsidR="008E011A" w:rsidRPr="003E7DB9">
        <w:t xml:space="preserve">verall cost of </w:t>
      </w:r>
      <w:r w:rsidR="00B94226" w:rsidRPr="003E7DB9">
        <w:t>educational division</w:t>
      </w:r>
      <w:r w:rsidR="008E011A" w:rsidRPr="003E7DB9">
        <w:t xml:space="preserve"> in Northern Ireland is challenging</w:t>
      </w:r>
      <w:r w:rsidR="00B94226" w:rsidRPr="003E7DB9">
        <w:t xml:space="preserve"> (Deloitte,</w:t>
      </w:r>
      <w:r w:rsidR="00FD40FB">
        <w:t xml:space="preserve"> </w:t>
      </w:r>
      <w:r w:rsidR="00B94226" w:rsidRPr="003E7DB9">
        <w:t>2007:61)</w:t>
      </w:r>
      <w:r w:rsidR="008E011A" w:rsidRPr="003E7DB9">
        <w:t xml:space="preserve">, but </w:t>
      </w:r>
      <w:r w:rsidR="001627CD" w:rsidRPr="003E7DB9">
        <w:t xml:space="preserve">nonetheless it is clear </w:t>
      </w:r>
      <w:r w:rsidR="00B94226" w:rsidRPr="003E7DB9">
        <w:t>that ‘</w:t>
      </w:r>
      <w:r w:rsidR="00B94226" w:rsidRPr="003E7DB9">
        <w:rPr>
          <w:rFonts w:eastAsiaTheme="minorHAnsi"/>
        </w:rPr>
        <w:t>the divide has resulted in an inefficient schools system’ (</w:t>
      </w:r>
      <w:r w:rsidR="00FD40FB">
        <w:rPr>
          <w:rFonts w:eastAsiaTheme="minorHAnsi"/>
        </w:rPr>
        <w:t>Ibid</w:t>
      </w:r>
      <w:r w:rsidR="00B94226" w:rsidRPr="003E7DB9">
        <w:rPr>
          <w:rFonts w:eastAsiaTheme="minorHAnsi"/>
        </w:rPr>
        <w:t>.:</w:t>
      </w:r>
      <w:r w:rsidR="009D1883" w:rsidRPr="003E7DB9">
        <w:rPr>
          <w:rFonts w:eastAsiaTheme="minorHAnsi"/>
        </w:rPr>
        <w:t xml:space="preserve">61). </w:t>
      </w:r>
      <w:r w:rsidR="00472EE0" w:rsidRPr="003E7DB9">
        <w:rPr>
          <w:rFonts w:eastAsiaTheme="minorHAnsi"/>
        </w:rPr>
        <w:t xml:space="preserve">An independent review </w:t>
      </w:r>
      <w:r w:rsidR="009015E2" w:rsidRPr="003E7DB9">
        <w:rPr>
          <w:rFonts w:eastAsiaTheme="minorHAnsi"/>
        </w:rPr>
        <w:t>estimated</w:t>
      </w:r>
      <w:r w:rsidR="00472EE0" w:rsidRPr="003E7DB9">
        <w:rPr>
          <w:rFonts w:eastAsiaTheme="minorHAnsi"/>
        </w:rPr>
        <w:t xml:space="preserve"> the </w:t>
      </w:r>
      <w:r w:rsidR="009015E2" w:rsidRPr="003E7DB9">
        <w:rPr>
          <w:rFonts w:eastAsiaTheme="minorHAnsi"/>
        </w:rPr>
        <w:t xml:space="preserve">overall </w:t>
      </w:r>
      <w:r w:rsidR="00472EE0" w:rsidRPr="003E7DB9">
        <w:rPr>
          <w:rFonts w:eastAsiaTheme="minorHAnsi"/>
        </w:rPr>
        <w:t xml:space="preserve">cost of division </w:t>
      </w:r>
      <w:r w:rsidR="009015E2" w:rsidRPr="003E7DB9">
        <w:rPr>
          <w:rFonts w:eastAsiaTheme="minorHAnsi"/>
        </w:rPr>
        <w:t xml:space="preserve">in education </w:t>
      </w:r>
      <w:r w:rsidR="00472EE0" w:rsidRPr="003E7DB9">
        <w:rPr>
          <w:rFonts w:eastAsiaTheme="minorHAnsi"/>
        </w:rPr>
        <w:t xml:space="preserve">in Northern Ireland </w:t>
      </w:r>
      <w:r w:rsidR="009015E2" w:rsidRPr="003E7DB9">
        <w:rPr>
          <w:rFonts w:eastAsiaTheme="minorHAnsi"/>
        </w:rPr>
        <w:t>to be</w:t>
      </w:r>
      <w:r w:rsidR="00472EE0" w:rsidRPr="003E7DB9">
        <w:rPr>
          <w:rFonts w:eastAsiaTheme="minorHAnsi"/>
        </w:rPr>
        <w:t xml:space="preserve"> between £16.5M and £95M</w:t>
      </w:r>
      <w:r w:rsidR="009015E2" w:rsidRPr="003E7DB9">
        <w:rPr>
          <w:rFonts w:eastAsiaTheme="minorHAnsi"/>
        </w:rPr>
        <w:t xml:space="preserve"> (Ulster University, 20</w:t>
      </w:r>
      <w:r w:rsidR="00AF24B0" w:rsidRPr="003E7DB9">
        <w:rPr>
          <w:rFonts w:eastAsiaTheme="minorHAnsi"/>
        </w:rPr>
        <w:t>1</w:t>
      </w:r>
      <w:r w:rsidR="009015E2" w:rsidRPr="003E7DB9">
        <w:rPr>
          <w:rFonts w:eastAsiaTheme="minorHAnsi"/>
        </w:rPr>
        <w:t>6)</w:t>
      </w:r>
      <w:r w:rsidR="00472EE0" w:rsidRPr="003E7DB9">
        <w:rPr>
          <w:rFonts w:eastAsiaTheme="minorHAnsi"/>
        </w:rPr>
        <w:t xml:space="preserve">. </w:t>
      </w:r>
      <w:r w:rsidR="009015E2" w:rsidRPr="003E7DB9">
        <w:t xml:space="preserve">Despite the challenges in identifying actual </w:t>
      </w:r>
      <w:r>
        <w:t>figures</w:t>
      </w:r>
      <w:r w:rsidR="009015E2" w:rsidRPr="003E7DB9">
        <w:t>, w</w:t>
      </w:r>
      <w:r w:rsidR="00C26E34" w:rsidRPr="003E7DB9">
        <w:t>ere schools to join together there would be considerable savings in the reduction of duplication</w:t>
      </w:r>
      <w:r w:rsidR="009D1883" w:rsidRPr="003E7DB9">
        <w:t>,</w:t>
      </w:r>
      <w:r w:rsidR="009015E2" w:rsidRPr="003E7DB9">
        <w:t xml:space="preserve"> particularly for </w:t>
      </w:r>
      <w:r>
        <w:t xml:space="preserve">these </w:t>
      </w:r>
      <w:r w:rsidR="009015E2" w:rsidRPr="003E7DB9">
        <w:t xml:space="preserve">schools </w:t>
      </w:r>
      <w:r>
        <w:t xml:space="preserve">that are </w:t>
      </w:r>
      <w:r w:rsidR="009015E2" w:rsidRPr="003E7DB9">
        <w:t>already close together</w:t>
      </w:r>
      <w:r w:rsidR="00C26E34" w:rsidRPr="003E7DB9">
        <w:t xml:space="preserve">. </w:t>
      </w:r>
      <w:r w:rsidR="00CC0BF4" w:rsidRPr="003E7DB9">
        <w:t>In any case</w:t>
      </w:r>
      <w:r w:rsidR="009D1883" w:rsidRPr="003E7DB9">
        <w:t>, t</w:t>
      </w:r>
      <w:r w:rsidR="00331029" w:rsidRPr="003E7DB9">
        <w:t xml:space="preserve">he </w:t>
      </w:r>
      <w:r w:rsidR="00CC2D36">
        <w:t>prize</w:t>
      </w:r>
      <w:r w:rsidRPr="003E7DB9">
        <w:t xml:space="preserve"> </w:t>
      </w:r>
      <w:r w:rsidR="00CB5E48" w:rsidRPr="003E7DB9">
        <w:t>may</w:t>
      </w:r>
      <w:r w:rsidR="00331029" w:rsidRPr="003E7DB9">
        <w:t xml:space="preserve"> be </w:t>
      </w:r>
      <w:r w:rsidR="00CC2D36">
        <w:t>greater</w:t>
      </w:r>
      <w:r w:rsidR="00CC2D36" w:rsidRPr="003E7DB9">
        <w:t xml:space="preserve"> </w:t>
      </w:r>
      <w:r w:rsidR="00331029" w:rsidRPr="003E7DB9">
        <w:t>tha</w:t>
      </w:r>
      <w:r w:rsidR="009E3CC1">
        <w:t>n</w:t>
      </w:r>
      <w:r w:rsidR="00331029" w:rsidRPr="003E7DB9">
        <w:t xml:space="preserve"> </w:t>
      </w:r>
      <w:r>
        <w:t>reducing waste by</w:t>
      </w:r>
      <w:r w:rsidRPr="003E7DB9">
        <w:t xml:space="preserve"> </w:t>
      </w:r>
      <w:r w:rsidR="009D1883" w:rsidRPr="003E7DB9">
        <w:t>elim</w:t>
      </w:r>
      <w:r w:rsidR="001627CD" w:rsidRPr="003E7DB9">
        <w:t>in</w:t>
      </w:r>
      <w:r w:rsidR="009D1883" w:rsidRPr="003E7DB9">
        <w:t>at</w:t>
      </w:r>
      <w:r w:rsidR="001627CD" w:rsidRPr="003E7DB9">
        <w:t>ing</w:t>
      </w:r>
      <w:r w:rsidR="009D1883" w:rsidRPr="003E7DB9">
        <w:t xml:space="preserve"> duplication</w:t>
      </w:r>
      <w:r w:rsidR="00CC2D36">
        <w:t>, as</w:t>
      </w:r>
      <w:r w:rsidR="00CB5E48" w:rsidRPr="003E7DB9">
        <w:t xml:space="preserve"> </w:t>
      </w:r>
      <w:r w:rsidR="00331029" w:rsidRPr="003E7DB9">
        <w:t xml:space="preserve">continued segregation </w:t>
      </w:r>
      <w:r w:rsidR="00CC2D36">
        <w:t>and</w:t>
      </w:r>
      <w:r w:rsidR="00CC2D36" w:rsidRPr="003E7DB9">
        <w:t xml:space="preserve"> </w:t>
      </w:r>
      <w:r w:rsidR="00331029" w:rsidRPr="003E7DB9">
        <w:t xml:space="preserve">reduced community cohesion </w:t>
      </w:r>
      <w:r w:rsidR="00CC2D36">
        <w:t>could</w:t>
      </w:r>
      <w:r w:rsidR="00CC2D36" w:rsidRPr="003E7DB9">
        <w:t xml:space="preserve"> </w:t>
      </w:r>
      <w:r w:rsidR="00CB5E48" w:rsidRPr="003E7DB9">
        <w:t>bring</w:t>
      </w:r>
      <w:r w:rsidR="00331029" w:rsidRPr="003E7DB9">
        <w:t xml:space="preserve"> even greater</w:t>
      </w:r>
      <w:r w:rsidR="00CB5E48" w:rsidRPr="003E7DB9">
        <w:t xml:space="preserve"> </w:t>
      </w:r>
      <w:r w:rsidR="00CC2D36" w:rsidRPr="003E7DB9">
        <w:t xml:space="preserve">social </w:t>
      </w:r>
      <w:r w:rsidR="00CB5E48" w:rsidRPr="003E7DB9">
        <w:t>costs</w:t>
      </w:r>
      <w:r w:rsidR="00331029" w:rsidRPr="003E7DB9">
        <w:t xml:space="preserve"> in the long term.</w:t>
      </w:r>
    </w:p>
    <w:p w14:paraId="6890978F" w14:textId="77777777" w:rsidR="001627CD" w:rsidRPr="003E7DB9" w:rsidRDefault="001627CD" w:rsidP="00AF155A">
      <w:pPr>
        <w:jc w:val="both"/>
      </w:pPr>
    </w:p>
    <w:p w14:paraId="00E2E6BD" w14:textId="6188E5FF" w:rsidR="00C414A8" w:rsidRPr="003E7DB9" w:rsidRDefault="008F2D3F" w:rsidP="00AF155A">
      <w:pPr>
        <w:jc w:val="both"/>
        <w:rPr>
          <w:color w:val="000000" w:themeColor="text1"/>
        </w:rPr>
      </w:pPr>
      <w:r w:rsidRPr="003E7DB9">
        <w:rPr>
          <w:color w:val="000000" w:themeColor="text1"/>
        </w:rPr>
        <w:t xml:space="preserve">In the context of a divided society emerging from a period of social unrest and community division, the prospect of schools </w:t>
      </w:r>
      <w:r w:rsidR="00A8384C" w:rsidRPr="003E7DB9">
        <w:rPr>
          <w:color w:val="000000" w:themeColor="text1"/>
        </w:rPr>
        <w:t xml:space="preserve">joining </w:t>
      </w:r>
      <w:r w:rsidRPr="003E7DB9">
        <w:rPr>
          <w:color w:val="000000" w:themeColor="text1"/>
        </w:rPr>
        <w:t xml:space="preserve">together </w:t>
      </w:r>
      <w:r w:rsidR="00967394" w:rsidRPr="003E7DB9">
        <w:rPr>
          <w:color w:val="000000" w:themeColor="text1"/>
        </w:rPr>
        <w:t>will not be straightforward</w:t>
      </w:r>
      <w:r w:rsidRPr="003E7DB9">
        <w:rPr>
          <w:color w:val="000000" w:themeColor="text1"/>
        </w:rPr>
        <w:t xml:space="preserve">. </w:t>
      </w:r>
      <w:r w:rsidR="00C414A8" w:rsidRPr="003E7DB9">
        <w:rPr>
          <w:color w:val="000000" w:themeColor="text1"/>
        </w:rPr>
        <w:t xml:space="preserve">Communities </w:t>
      </w:r>
      <w:r w:rsidR="0004466E">
        <w:rPr>
          <w:color w:val="000000" w:themeColor="text1"/>
        </w:rPr>
        <w:t>which</w:t>
      </w:r>
      <w:r w:rsidR="0004466E" w:rsidRPr="003E7DB9">
        <w:rPr>
          <w:color w:val="000000" w:themeColor="text1"/>
        </w:rPr>
        <w:t xml:space="preserve"> </w:t>
      </w:r>
      <w:r w:rsidR="00C414A8" w:rsidRPr="003E7DB9">
        <w:rPr>
          <w:color w:val="000000" w:themeColor="text1"/>
        </w:rPr>
        <w:t xml:space="preserve">have lived through intense intercommunal violence are likely to find </w:t>
      </w:r>
      <w:r w:rsidR="0049476B" w:rsidRPr="003E7DB9">
        <w:rPr>
          <w:color w:val="000000" w:themeColor="text1"/>
        </w:rPr>
        <w:t xml:space="preserve">the concept of sharing a school building challenging to their </w:t>
      </w:r>
      <w:r w:rsidR="00967394" w:rsidRPr="003E7DB9">
        <w:rPr>
          <w:color w:val="000000" w:themeColor="text1"/>
        </w:rPr>
        <w:t>cultural affiliations and identity;</w:t>
      </w:r>
      <w:r w:rsidR="00893B3B" w:rsidRPr="003E7DB9">
        <w:rPr>
          <w:color w:val="000000" w:themeColor="text1"/>
        </w:rPr>
        <w:t xml:space="preserve"> the </w:t>
      </w:r>
      <w:r w:rsidR="00967394" w:rsidRPr="003E7DB9">
        <w:rPr>
          <w:color w:val="000000" w:themeColor="text1"/>
        </w:rPr>
        <w:t>difficulties</w:t>
      </w:r>
      <w:r w:rsidR="00893B3B" w:rsidRPr="003E7DB9">
        <w:rPr>
          <w:color w:val="000000" w:themeColor="text1"/>
        </w:rPr>
        <w:t xml:space="preserve"> that </w:t>
      </w:r>
      <w:r w:rsidR="00F269DC" w:rsidRPr="003E7DB9">
        <w:rPr>
          <w:color w:val="000000" w:themeColor="text1"/>
        </w:rPr>
        <w:t>poses to social structures</w:t>
      </w:r>
      <w:r w:rsidR="00893B3B" w:rsidRPr="003E7DB9">
        <w:rPr>
          <w:color w:val="000000" w:themeColor="text1"/>
        </w:rPr>
        <w:t xml:space="preserve"> in </w:t>
      </w:r>
      <w:r w:rsidR="00FD40FB">
        <w:rPr>
          <w:color w:val="000000" w:themeColor="text1"/>
        </w:rPr>
        <w:t xml:space="preserve">other </w:t>
      </w:r>
      <w:r w:rsidR="00893B3B" w:rsidRPr="003E7DB9">
        <w:rPr>
          <w:color w:val="000000" w:themeColor="text1"/>
        </w:rPr>
        <w:t>places</w:t>
      </w:r>
      <w:r w:rsidR="008A79CE" w:rsidRPr="003E7DB9">
        <w:rPr>
          <w:color w:val="000000" w:themeColor="text1"/>
        </w:rPr>
        <w:t xml:space="preserve"> </w:t>
      </w:r>
      <w:r w:rsidR="00FD40FB">
        <w:rPr>
          <w:color w:val="000000" w:themeColor="text1"/>
        </w:rPr>
        <w:t>which are emerging from ethno</w:t>
      </w:r>
      <w:r w:rsidR="00A8384C">
        <w:rPr>
          <w:color w:val="000000" w:themeColor="text1"/>
        </w:rPr>
        <w:t>-</w:t>
      </w:r>
      <w:r w:rsidR="00FD40FB">
        <w:rPr>
          <w:color w:val="000000" w:themeColor="text1"/>
        </w:rPr>
        <w:t xml:space="preserve">sectarian violence </w:t>
      </w:r>
      <w:r w:rsidR="00967394" w:rsidRPr="003E7DB9">
        <w:rPr>
          <w:color w:val="000000" w:themeColor="text1"/>
        </w:rPr>
        <w:t>such as</w:t>
      </w:r>
      <w:r w:rsidR="00893B3B" w:rsidRPr="003E7DB9">
        <w:rPr>
          <w:color w:val="000000" w:themeColor="text1"/>
        </w:rPr>
        <w:t xml:space="preserve"> Bosnia and Herzegovina</w:t>
      </w:r>
      <w:r w:rsidR="0017306D" w:rsidRPr="003E7DB9">
        <w:rPr>
          <w:color w:val="000000" w:themeColor="text1"/>
        </w:rPr>
        <w:t xml:space="preserve"> are clear</w:t>
      </w:r>
      <w:r w:rsidR="00C725EE">
        <w:rPr>
          <w:color w:val="000000" w:themeColor="text1"/>
        </w:rPr>
        <w:t xml:space="preserve"> (</w:t>
      </w:r>
      <w:proofErr w:type="spellStart"/>
      <w:r w:rsidR="00C725EE" w:rsidRPr="003E7DB9">
        <w:rPr>
          <w:color w:val="000000" w:themeColor="text1"/>
        </w:rPr>
        <w:t>Bozic</w:t>
      </w:r>
      <w:proofErr w:type="spellEnd"/>
      <w:r w:rsidR="00C725EE" w:rsidRPr="003E7DB9">
        <w:rPr>
          <w:color w:val="000000" w:themeColor="text1"/>
        </w:rPr>
        <w:t>,</w:t>
      </w:r>
      <w:r w:rsidR="00FD40FB">
        <w:rPr>
          <w:color w:val="000000" w:themeColor="text1"/>
        </w:rPr>
        <w:t xml:space="preserve"> </w:t>
      </w:r>
      <w:r w:rsidR="00C725EE" w:rsidRPr="003E7DB9">
        <w:rPr>
          <w:color w:val="000000" w:themeColor="text1"/>
        </w:rPr>
        <w:t>2006</w:t>
      </w:r>
      <w:r w:rsidR="00C725EE">
        <w:rPr>
          <w:color w:val="000000" w:themeColor="text1"/>
        </w:rPr>
        <w:t xml:space="preserve">, </w:t>
      </w:r>
      <w:proofErr w:type="spellStart"/>
      <w:r w:rsidR="00C725EE">
        <w:rPr>
          <w:color w:val="000000" w:themeColor="text1"/>
        </w:rPr>
        <w:t>Palmberger</w:t>
      </w:r>
      <w:proofErr w:type="spellEnd"/>
      <w:r w:rsidR="00C725EE">
        <w:rPr>
          <w:color w:val="000000" w:themeColor="text1"/>
        </w:rPr>
        <w:t>,</w:t>
      </w:r>
      <w:r w:rsidR="00FD40FB">
        <w:rPr>
          <w:color w:val="000000" w:themeColor="text1"/>
        </w:rPr>
        <w:t xml:space="preserve"> </w:t>
      </w:r>
      <w:r w:rsidR="00C725EE">
        <w:rPr>
          <w:color w:val="000000" w:themeColor="text1"/>
        </w:rPr>
        <w:t>2018)</w:t>
      </w:r>
      <w:r w:rsidR="00C414A8" w:rsidRPr="003E7DB9">
        <w:rPr>
          <w:color w:val="000000" w:themeColor="text1"/>
        </w:rPr>
        <w:t xml:space="preserve">. </w:t>
      </w:r>
      <w:r w:rsidR="00F269DC" w:rsidRPr="003E7DB9">
        <w:rPr>
          <w:color w:val="000000" w:themeColor="text1"/>
        </w:rPr>
        <w:t>Encouragingly, t</w:t>
      </w:r>
      <w:r w:rsidR="00A614FE" w:rsidRPr="003E7DB9">
        <w:rPr>
          <w:color w:val="000000" w:themeColor="text1"/>
        </w:rPr>
        <w:t xml:space="preserve">here is </w:t>
      </w:r>
      <w:r w:rsidR="00F269DC" w:rsidRPr="003E7DB9">
        <w:rPr>
          <w:color w:val="000000" w:themeColor="text1"/>
        </w:rPr>
        <w:t xml:space="preserve">some </w:t>
      </w:r>
      <w:r w:rsidR="00A614FE" w:rsidRPr="003E7DB9">
        <w:rPr>
          <w:color w:val="000000" w:themeColor="text1"/>
        </w:rPr>
        <w:t xml:space="preserve">evidence of </w:t>
      </w:r>
      <w:r w:rsidR="00F269DC" w:rsidRPr="003E7DB9">
        <w:rPr>
          <w:color w:val="000000" w:themeColor="text1"/>
        </w:rPr>
        <w:t xml:space="preserve">successful </w:t>
      </w:r>
      <w:r w:rsidR="00A614FE" w:rsidRPr="003E7DB9">
        <w:rPr>
          <w:color w:val="000000" w:themeColor="text1"/>
        </w:rPr>
        <w:t xml:space="preserve">efforts to promote community engagement to secure long-term viability of </w:t>
      </w:r>
      <w:r w:rsidR="00774850" w:rsidRPr="003E7DB9">
        <w:rPr>
          <w:color w:val="000000" w:themeColor="text1"/>
        </w:rPr>
        <w:t>schools</w:t>
      </w:r>
      <w:r w:rsidR="00A614FE" w:rsidRPr="003E7DB9">
        <w:rPr>
          <w:color w:val="000000" w:themeColor="text1"/>
        </w:rPr>
        <w:t xml:space="preserve"> in </w:t>
      </w:r>
      <w:r w:rsidR="00FD40FB">
        <w:rPr>
          <w:color w:val="000000" w:themeColor="text1"/>
        </w:rPr>
        <w:t>Northern Ireland</w:t>
      </w:r>
      <w:r w:rsidR="00A614FE" w:rsidRPr="003E7DB9">
        <w:rPr>
          <w:color w:val="000000" w:themeColor="text1"/>
        </w:rPr>
        <w:t xml:space="preserve">. </w:t>
      </w:r>
      <w:r w:rsidR="003A33AC" w:rsidRPr="003E7DB9">
        <w:rPr>
          <w:color w:val="000000" w:themeColor="text1"/>
        </w:rPr>
        <w:t xml:space="preserve">Hunter </w:t>
      </w:r>
      <w:r w:rsidR="003A33AC" w:rsidRPr="003E7DB9">
        <w:rPr>
          <w:i/>
          <w:iCs/>
          <w:color w:val="000000" w:themeColor="text1"/>
        </w:rPr>
        <w:t>et al.</w:t>
      </w:r>
      <w:r w:rsidR="003A33AC" w:rsidRPr="003E7DB9">
        <w:rPr>
          <w:color w:val="000000" w:themeColor="text1"/>
        </w:rPr>
        <w:t xml:space="preserve"> (2012) showed how staff</w:t>
      </w:r>
      <w:r w:rsidR="001C5FC7" w:rsidRPr="003E7DB9">
        <w:rPr>
          <w:color w:val="000000" w:themeColor="text1"/>
        </w:rPr>
        <w:t>, school governors, parents</w:t>
      </w:r>
      <w:r w:rsidR="003A33AC" w:rsidRPr="003E7DB9">
        <w:rPr>
          <w:color w:val="000000" w:themeColor="text1"/>
        </w:rPr>
        <w:t xml:space="preserve"> and pupils from neighbouring rural schools can work together</w:t>
      </w:r>
      <w:r w:rsidR="001C5FC7" w:rsidRPr="003E7DB9">
        <w:rPr>
          <w:color w:val="000000" w:themeColor="text1"/>
        </w:rPr>
        <w:t xml:space="preserve"> effectively, albeit on a shared rather than </w:t>
      </w:r>
      <w:r w:rsidR="00FD40FB">
        <w:rPr>
          <w:color w:val="000000" w:themeColor="text1"/>
        </w:rPr>
        <w:t>a combined</w:t>
      </w:r>
      <w:r w:rsidR="001C5FC7" w:rsidRPr="003E7DB9">
        <w:rPr>
          <w:color w:val="000000" w:themeColor="text1"/>
        </w:rPr>
        <w:t xml:space="preserve"> basis</w:t>
      </w:r>
      <w:r w:rsidR="003A33AC" w:rsidRPr="003E7DB9">
        <w:rPr>
          <w:color w:val="000000" w:themeColor="text1"/>
        </w:rPr>
        <w:t xml:space="preserve">. </w:t>
      </w:r>
      <w:r w:rsidR="00DC0522">
        <w:rPr>
          <w:color w:val="000000" w:themeColor="text1"/>
        </w:rPr>
        <w:t xml:space="preserve">Shared education cannot address the cost of duplication in any meaningful way, nor guarantee long-term sustainability for schools, but it can play an important reconciliation role. </w:t>
      </w:r>
      <w:r w:rsidRPr="003E7DB9">
        <w:rPr>
          <w:color w:val="000000" w:themeColor="text1"/>
        </w:rPr>
        <w:t xml:space="preserve">Bates and O’Connor-Bones (2018) have shown that </w:t>
      </w:r>
      <w:r w:rsidR="00FD40FB">
        <w:rPr>
          <w:color w:val="000000" w:themeColor="text1"/>
        </w:rPr>
        <w:t xml:space="preserve">structures can be developed which will allow </w:t>
      </w:r>
      <w:r w:rsidRPr="003E7DB9">
        <w:rPr>
          <w:color w:val="000000" w:themeColor="text1"/>
        </w:rPr>
        <w:t xml:space="preserve">long-divided communities in Northern Ireland </w:t>
      </w:r>
      <w:r w:rsidR="00FD40FB" w:rsidRPr="00FD40FB">
        <w:rPr>
          <w:color w:val="000000" w:themeColor="text1"/>
        </w:rPr>
        <w:t>to</w:t>
      </w:r>
      <w:r w:rsidRPr="00FD40FB">
        <w:rPr>
          <w:color w:val="000000" w:themeColor="text1"/>
        </w:rPr>
        <w:t xml:space="preserve"> </w:t>
      </w:r>
      <w:r w:rsidRPr="003E7DB9">
        <w:rPr>
          <w:color w:val="000000" w:themeColor="text1"/>
        </w:rPr>
        <w:t xml:space="preserve">collaborate and decide </w:t>
      </w:r>
      <w:r w:rsidR="001C5FC7" w:rsidRPr="003E7DB9">
        <w:rPr>
          <w:color w:val="000000" w:themeColor="text1"/>
        </w:rPr>
        <w:t>together what model of</w:t>
      </w:r>
      <w:r w:rsidRPr="003E7DB9">
        <w:rPr>
          <w:color w:val="000000" w:themeColor="text1"/>
        </w:rPr>
        <w:t xml:space="preserve"> future educational provision </w:t>
      </w:r>
      <w:r w:rsidR="001C5FC7" w:rsidRPr="003E7DB9">
        <w:rPr>
          <w:color w:val="000000" w:themeColor="text1"/>
        </w:rPr>
        <w:t>they prefer in their area</w:t>
      </w:r>
      <w:r w:rsidRPr="003E7DB9">
        <w:rPr>
          <w:color w:val="000000" w:themeColor="text1"/>
        </w:rPr>
        <w:t xml:space="preserve">. Sometimes this may result in more young people </w:t>
      </w:r>
      <w:r w:rsidR="00A8384C">
        <w:rPr>
          <w:color w:val="000000" w:themeColor="text1"/>
        </w:rPr>
        <w:t xml:space="preserve">from both communities </w:t>
      </w:r>
      <w:r w:rsidRPr="003E7DB9">
        <w:rPr>
          <w:color w:val="000000" w:themeColor="text1"/>
        </w:rPr>
        <w:t>being educated in the same building with a common uniform and staff group, and with a shared purpose</w:t>
      </w:r>
      <w:r w:rsidR="0049476B" w:rsidRPr="003E7DB9">
        <w:rPr>
          <w:color w:val="000000" w:themeColor="text1"/>
        </w:rPr>
        <w:t>, an</w:t>
      </w:r>
      <w:r w:rsidRPr="003E7DB9">
        <w:rPr>
          <w:color w:val="000000" w:themeColor="text1"/>
        </w:rPr>
        <w:t xml:space="preserve"> outcome likely to contribute to social cohesion. Additionally, such community engagement </w:t>
      </w:r>
      <w:r w:rsidRPr="003E7DB9">
        <w:rPr>
          <w:color w:val="000000" w:themeColor="text1"/>
        </w:rPr>
        <w:lastRenderedPageBreak/>
        <w:t>will make it more likely that currently unsustainable duplicated educational services can be</w:t>
      </w:r>
      <w:r w:rsidR="00A8384C">
        <w:rPr>
          <w:color w:val="000000" w:themeColor="text1"/>
        </w:rPr>
        <w:t xml:space="preserve"> retained </w:t>
      </w:r>
      <w:r w:rsidRPr="003E7DB9">
        <w:rPr>
          <w:color w:val="000000" w:themeColor="text1"/>
        </w:rPr>
        <w:t>and provide a</w:t>
      </w:r>
      <w:r w:rsidR="00967394" w:rsidRPr="003E7DB9">
        <w:rPr>
          <w:color w:val="000000" w:themeColor="text1"/>
        </w:rPr>
        <w:t>n ongoing</w:t>
      </w:r>
      <w:r w:rsidRPr="003E7DB9">
        <w:rPr>
          <w:color w:val="000000" w:themeColor="text1"/>
        </w:rPr>
        <w:t xml:space="preserve"> community facility for all of the people in those communities.</w:t>
      </w:r>
    </w:p>
    <w:p w14:paraId="1DFFD0C4" w14:textId="77777777" w:rsidR="00E2220C" w:rsidRPr="003E7DB9" w:rsidRDefault="00E2220C" w:rsidP="00AF155A">
      <w:pPr>
        <w:jc w:val="both"/>
        <w:rPr>
          <w:color w:val="000000" w:themeColor="text1"/>
        </w:rPr>
      </w:pPr>
    </w:p>
    <w:p w14:paraId="56B83434" w14:textId="77777777" w:rsidR="00E2220C" w:rsidRPr="003E7DB9" w:rsidRDefault="00E2220C" w:rsidP="00AF155A">
      <w:pPr>
        <w:jc w:val="both"/>
        <w:rPr>
          <w:b/>
          <w:bCs/>
          <w:color w:val="000000" w:themeColor="text1"/>
        </w:rPr>
      </w:pPr>
      <w:r w:rsidRPr="003E7DB9">
        <w:rPr>
          <w:b/>
          <w:bCs/>
          <w:color w:val="000000" w:themeColor="text1"/>
        </w:rPr>
        <w:t>Conclusion</w:t>
      </w:r>
    </w:p>
    <w:p w14:paraId="646C8F70" w14:textId="77777777" w:rsidR="00E2220C" w:rsidRPr="003E7DB9" w:rsidRDefault="00E2220C" w:rsidP="00AF155A">
      <w:pPr>
        <w:jc w:val="both"/>
        <w:rPr>
          <w:color w:val="000000" w:themeColor="text1"/>
        </w:rPr>
      </w:pPr>
    </w:p>
    <w:p w14:paraId="71968C1B" w14:textId="7E845F56" w:rsidR="00EC571A" w:rsidRPr="003E7DB9" w:rsidRDefault="00051C84" w:rsidP="00AF155A">
      <w:pPr>
        <w:jc w:val="both"/>
        <w:rPr>
          <w:color w:val="000000" w:themeColor="text1"/>
        </w:rPr>
      </w:pPr>
      <w:r w:rsidRPr="003E7DB9">
        <w:rPr>
          <w:color w:val="000000" w:themeColor="text1"/>
        </w:rPr>
        <w:t>There has been a period of continued r</w:t>
      </w:r>
      <w:r w:rsidR="00EC571A" w:rsidRPr="003E7DB9">
        <w:rPr>
          <w:color w:val="000000" w:themeColor="text1"/>
        </w:rPr>
        <w:t xml:space="preserve">ationalisation of provision of small </w:t>
      </w:r>
      <w:r w:rsidR="00026813" w:rsidRPr="003E7DB9">
        <w:rPr>
          <w:color w:val="000000" w:themeColor="text1"/>
        </w:rPr>
        <w:t>primar</w:t>
      </w:r>
      <w:r w:rsidR="00EC571A" w:rsidRPr="003E7DB9">
        <w:rPr>
          <w:color w:val="000000" w:themeColor="text1"/>
        </w:rPr>
        <w:t xml:space="preserve">y schools in </w:t>
      </w:r>
      <w:r w:rsidRPr="003E7DB9">
        <w:rPr>
          <w:color w:val="000000" w:themeColor="text1"/>
        </w:rPr>
        <w:t>NI</w:t>
      </w:r>
      <w:r w:rsidR="00EC571A" w:rsidRPr="003E7DB9">
        <w:rPr>
          <w:color w:val="000000" w:themeColor="text1"/>
        </w:rPr>
        <w:t xml:space="preserve">. </w:t>
      </w:r>
      <w:r w:rsidRPr="003E7DB9">
        <w:rPr>
          <w:color w:val="000000" w:themeColor="text1"/>
        </w:rPr>
        <w:t xml:space="preserve">That </w:t>
      </w:r>
      <w:r w:rsidR="00FD40FB">
        <w:rPr>
          <w:color w:val="000000" w:themeColor="text1"/>
        </w:rPr>
        <w:t>A</w:t>
      </w:r>
      <w:r w:rsidR="00EC571A" w:rsidRPr="003E7DB9">
        <w:rPr>
          <w:color w:val="000000" w:themeColor="text1"/>
        </w:rPr>
        <w:t xml:space="preserve">rea </w:t>
      </w:r>
      <w:r w:rsidR="00FD40FB">
        <w:rPr>
          <w:color w:val="000000" w:themeColor="text1"/>
        </w:rPr>
        <w:t>P</w:t>
      </w:r>
      <w:r w:rsidR="00EC571A" w:rsidRPr="003E7DB9">
        <w:rPr>
          <w:color w:val="000000" w:themeColor="text1"/>
        </w:rPr>
        <w:t xml:space="preserve">lanning </w:t>
      </w:r>
      <w:r w:rsidRPr="003E7DB9">
        <w:rPr>
          <w:color w:val="000000" w:themeColor="text1"/>
        </w:rPr>
        <w:t xml:space="preserve">process is cognisant of </w:t>
      </w:r>
      <w:r w:rsidR="00EC571A" w:rsidRPr="003E7DB9">
        <w:rPr>
          <w:color w:val="000000" w:themeColor="text1"/>
        </w:rPr>
        <w:t xml:space="preserve">enrolment numbers, but also </w:t>
      </w:r>
      <w:r w:rsidRPr="003E7DB9">
        <w:rPr>
          <w:color w:val="000000" w:themeColor="text1"/>
        </w:rPr>
        <w:t xml:space="preserve">trends in those numbers, </w:t>
      </w:r>
      <w:r w:rsidR="00EC571A" w:rsidRPr="003E7DB9">
        <w:t>the school's financial situation, school leadership and management</w:t>
      </w:r>
      <w:r w:rsidRPr="003E7DB9">
        <w:t xml:space="preserve"> and the school’s</w:t>
      </w:r>
      <w:r w:rsidR="00EC571A" w:rsidRPr="003E7DB9">
        <w:t xml:space="preserve"> location and the potential impact on the community should a school close. </w:t>
      </w:r>
      <w:r w:rsidRPr="003E7DB9">
        <w:t>It is stressed that t</w:t>
      </w:r>
      <w:r w:rsidR="00EC571A" w:rsidRPr="003E7DB9">
        <w:t xml:space="preserve">he quality of the educational experience </w:t>
      </w:r>
      <w:r w:rsidRPr="003E7DB9">
        <w:t>for learners</w:t>
      </w:r>
      <w:r w:rsidR="00EC571A" w:rsidRPr="003E7DB9">
        <w:t xml:space="preserve"> </w:t>
      </w:r>
      <w:r w:rsidR="0049476B" w:rsidRPr="003E7DB9">
        <w:t xml:space="preserve">is paramount </w:t>
      </w:r>
      <w:r w:rsidR="00EC571A" w:rsidRPr="003E7DB9">
        <w:t xml:space="preserve">and, even </w:t>
      </w:r>
      <w:r w:rsidRPr="003E7DB9">
        <w:t xml:space="preserve">a school </w:t>
      </w:r>
      <w:r w:rsidR="0049476B" w:rsidRPr="003E7DB9">
        <w:t xml:space="preserve">in a sound financial position </w:t>
      </w:r>
      <w:r w:rsidRPr="003E7DB9">
        <w:t>with sustainable enrolment figures</w:t>
      </w:r>
      <w:r w:rsidR="00EC571A" w:rsidRPr="003E7DB9">
        <w:t xml:space="preserve">, would not be </w:t>
      </w:r>
      <w:r w:rsidR="00B31F60" w:rsidRPr="003E7DB9">
        <w:t>‘</w:t>
      </w:r>
      <w:r w:rsidR="00EC571A" w:rsidRPr="003E7DB9">
        <w:t>…considered viable if the quality and breadth of the education it provides is less than satisfactory</w:t>
      </w:r>
      <w:r w:rsidR="00B31F60" w:rsidRPr="003E7DB9">
        <w:t>’</w:t>
      </w:r>
      <w:r w:rsidR="00E2220C" w:rsidRPr="003E7DB9">
        <w:t xml:space="preserve"> (DENI, 2009)</w:t>
      </w:r>
      <w:r w:rsidR="00EC571A" w:rsidRPr="003E7DB9">
        <w:t>.</w:t>
      </w:r>
    </w:p>
    <w:p w14:paraId="3789DC79" w14:textId="77777777" w:rsidR="00EC571A" w:rsidRPr="003E7DB9" w:rsidRDefault="00EC571A" w:rsidP="00AF155A">
      <w:pPr>
        <w:jc w:val="both"/>
        <w:rPr>
          <w:color w:val="000000" w:themeColor="text1"/>
        </w:rPr>
      </w:pPr>
    </w:p>
    <w:p w14:paraId="4581DC1B" w14:textId="341C0494" w:rsidR="00C414A8" w:rsidRPr="003E7DB9" w:rsidRDefault="00051C84" w:rsidP="00AF155A">
      <w:pPr>
        <w:jc w:val="both"/>
        <w:rPr>
          <w:color w:val="000000" w:themeColor="text1"/>
        </w:rPr>
      </w:pPr>
      <w:r w:rsidRPr="003E7DB9">
        <w:rPr>
          <w:color w:val="000000" w:themeColor="text1"/>
        </w:rPr>
        <w:t xml:space="preserve">In their </w:t>
      </w:r>
      <w:r w:rsidRPr="003E7DB9">
        <w:rPr>
          <w:color w:val="000000"/>
        </w:rPr>
        <w:t>Strategic Area Plan for School Provision</w:t>
      </w:r>
      <w:r w:rsidR="0049476B" w:rsidRPr="003E7DB9">
        <w:rPr>
          <w:color w:val="000000"/>
        </w:rPr>
        <w:t>,</w:t>
      </w:r>
      <w:r w:rsidRPr="003E7DB9">
        <w:rPr>
          <w:color w:val="000000"/>
        </w:rPr>
        <w:t xml:space="preserve"> t</w:t>
      </w:r>
      <w:r w:rsidR="00EC571A" w:rsidRPr="003E7DB9">
        <w:rPr>
          <w:color w:val="000000" w:themeColor="text1"/>
        </w:rPr>
        <w:t xml:space="preserve">he </w:t>
      </w:r>
      <w:r w:rsidR="00E2220C" w:rsidRPr="003E7DB9">
        <w:rPr>
          <w:color w:val="000000" w:themeColor="text1"/>
        </w:rPr>
        <w:t>Education Authority</w:t>
      </w:r>
      <w:r w:rsidR="00B31F60" w:rsidRPr="003E7DB9">
        <w:rPr>
          <w:color w:val="000000" w:themeColor="text1"/>
        </w:rPr>
        <w:t xml:space="preserve"> (</w:t>
      </w:r>
      <w:r w:rsidR="00E2220C" w:rsidRPr="003E7DB9">
        <w:rPr>
          <w:color w:val="000000" w:themeColor="text1"/>
        </w:rPr>
        <w:t>2017)</w:t>
      </w:r>
      <w:r w:rsidR="00EC571A" w:rsidRPr="003E7DB9">
        <w:rPr>
          <w:color w:val="000000" w:themeColor="text1"/>
        </w:rPr>
        <w:t xml:space="preserve"> is </w:t>
      </w:r>
      <w:r w:rsidRPr="003E7DB9">
        <w:rPr>
          <w:color w:val="000000" w:themeColor="text1"/>
        </w:rPr>
        <w:t>clear</w:t>
      </w:r>
      <w:r w:rsidR="00EC571A" w:rsidRPr="003E7DB9">
        <w:rPr>
          <w:color w:val="000000" w:themeColor="text1"/>
        </w:rPr>
        <w:t xml:space="preserve"> about the </w:t>
      </w:r>
      <w:r w:rsidRPr="003E7DB9">
        <w:rPr>
          <w:color w:val="000000" w:themeColor="text1"/>
        </w:rPr>
        <w:t>requirement</w:t>
      </w:r>
      <w:r w:rsidR="00EC571A" w:rsidRPr="003E7DB9">
        <w:rPr>
          <w:color w:val="000000" w:themeColor="text1"/>
        </w:rPr>
        <w:t xml:space="preserve"> </w:t>
      </w:r>
    </w:p>
    <w:p w14:paraId="06B7555B" w14:textId="77777777" w:rsidR="00C414A8" w:rsidRPr="003E7DB9" w:rsidRDefault="00C414A8" w:rsidP="00AF155A">
      <w:pPr>
        <w:jc w:val="both"/>
        <w:rPr>
          <w:color w:val="000000" w:themeColor="text1"/>
        </w:rPr>
      </w:pPr>
    </w:p>
    <w:p w14:paraId="64B3D0C3" w14:textId="5BEC582D" w:rsidR="00C414A8" w:rsidRPr="003E7DB9" w:rsidRDefault="00EC571A" w:rsidP="00AF155A">
      <w:pPr>
        <w:ind w:left="567" w:right="521"/>
        <w:jc w:val="both"/>
        <w:rPr>
          <w:color w:val="000000" w:themeColor="text1"/>
        </w:rPr>
      </w:pPr>
      <w:r w:rsidRPr="003E7DB9">
        <w:rPr>
          <w:color w:val="000000" w:themeColor="text1"/>
        </w:rPr>
        <w:t>to ensure that all pupils have access to a broad and balanced curriculum that meets their needs in sustainable schools … in particular the need to raise standards and close the attainment gap through a network of sustainable schools</w:t>
      </w:r>
      <w:r w:rsidR="00E2220C" w:rsidRPr="003E7DB9">
        <w:rPr>
          <w:rStyle w:val="FootnoteReference"/>
          <w:rFonts w:eastAsiaTheme="majorEastAsia"/>
        </w:rPr>
        <w:t xml:space="preserve"> </w:t>
      </w:r>
      <w:r w:rsidR="00E2220C" w:rsidRPr="003E7DB9">
        <w:rPr>
          <w:rFonts w:eastAsiaTheme="majorEastAsia"/>
        </w:rPr>
        <w:t>(EA, 2017)</w:t>
      </w:r>
      <w:r w:rsidR="00A8384C">
        <w:rPr>
          <w:color w:val="000000" w:themeColor="text1"/>
        </w:rPr>
        <w:t>.</w:t>
      </w:r>
    </w:p>
    <w:p w14:paraId="3CCDBCDF" w14:textId="77777777" w:rsidR="00C414A8" w:rsidRPr="003E7DB9" w:rsidRDefault="00C414A8" w:rsidP="00AF155A">
      <w:pPr>
        <w:jc w:val="both"/>
        <w:rPr>
          <w:color w:val="000000" w:themeColor="text1"/>
        </w:rPr>
      </w:pPr>
    </w:p>
    <w:p w14:paraId="3EDBE0C1" w14:textId="6F2CC21A" w:rsidR="00EC571A" w:rsidRPr="003E7DB9" w:rsidRDefault="001E0C3E" w:rsidP="00AF155A">
      <w:pPr>
        <w:jc w:val="both"/>
        <w:rPr>
          <w:color w:val="000000" w:themeColor="text1"/>
        </w:rPr>
      </w:pPr>
      <w:r w:rsidRPr="003E7DB9">
        <w:rPr>
          <w:color w:val="000000" w:themeColor="text1"/>
        </w:rPr>
        <w:t>T</w:t>
      </w:r>
      <w:r w:rsidR="00EC571A" w:rsidRPr="003E7DB9">
        <w:rPr>
          <w:color w:val="000000" w:themeColor="text1"/>
        </w:rPr>
        <w:t xml:space="preserve">here is a strong suggestion </w:t>
      </w:r>
      <w:r w:rsidRPr="003E7DB9">
        <w:rPr>
          <w:color w:val="000000" w:themeColor="text1"/>
        </w:rPr>
        <w:t xml:space="preserve">here </w:t>
      </w:r>
      <w:r w:rsidR="00EC571A" w:rsidRPr="003E7DB9">
        <w:rPr>
          <w:color w:val="000000" w:themeColor="text1"/>
        </w:rPr>
        <w:t xml:space="preserve">that smaller schools </w:t>
      </w:r>
      <w:r w:rsidR="00FD40FB">
        <w:rPr>
          <w:color w:val="000000" w:themeColor="text1"/>
        </w:rPr>
        <w:t>may not be able to</w:t>
      </w:r>
      <w:r w:rsidR="00EC571A" w:rsidRPr="003E7DB9">
        <w:rPr>
          <w:color w:val="000000" w:themeColor="text1"/>
        </w:rPr>
        <w:t xml:space="preserve"> offer </w:t>
      </w:r>
      <w:r w:rsidRPr="003E7DB9">
        <w:rPr>
          <w:color w:val="000000" w:themeColor="text1"/>
        </w:rPr>
        <w:t>‘</w:t>
      </w:r>
      <w:r w:rsidR="00EC571A" w:rsidRPr="003E7DB9">
        <w:rPr>
          <w:color w:val="000000" w:themeColor="text1"/>
        </w:rPr>
        <w:t>a broad and balanced curriculum</w:t>
      </w:r>
      <w:r w:rsidRPr="003E7DB9">
        <w:rPr>
          <w:color w:val="000000" w:themeColor="text1"/>
        </w:rPr>
        <w:t>’</w:t>
      </w:r>
      <w:r w:rsidR="00EC571A" w:rsidRPr="003E7DB9">
        <w:rPr>
          <w:color w:val="000000" w:themeColor="text1"/>
        </w:rPr>
        <w:t xml:space="preserve">, and that </w:t>
      </w:r>
      <w:r w:rsidR="00290AB9">
        <w:rPr>
          <w:color w:val="000000" w:themeColor="text1"/>
        </w:rPr>
        <w:t xml:space="preserve">only larger schools </w:t>
      </w:r>
      <w:r w:rsidR="00A8384C">
        <w:rPr>
          <w:color w:val="000000" w:themeColor="text1"/>
        </w:rPr>
        <w:t xml:space="preserve">are needed to </w:t>
      </w:r>
      <w:r w:rsidR="00290AB9">
        <w:rPr>
          <w:color w:val="000000" w:themeColor="text1"/>
        </w:rPr>
        <w:t xml:space="preserve">address the </w:t>
      </w:r>
      <w:r w:rsidR="00EC571A" w:rsidRPr="003E7DB9">
        <w:rPr>
          <w:color w:val="000000" w:themeColor="text1"/>
        </w:rPr>
        <w:t xml:space="preserve">attainment </w:t>
      </w:r>
      <w:r w:rsidR="00290AB9">
        <w:rPr>
          <w:color w:val="000000" w:themeColor="text1"/>
        </w:rPr>
        <w:t>gap</w:t>
      </w:r>
      <w:r w:rsidR="00EC571A" w:rsidRPr="003E7DB9">
        <w:rPr>
          <w:color w:val="000000" w:themeColor="text1"/>
        </w:rPr>
        <w:t xml:space="preserve">. </w:t>
      </w:r>
    </w:p>
    <w:p w14:paraId="144A1AF1" w14:textId="77777777" w:rsidR="00EC571A" w:rsidRPr="003E7DB9" w:rsidRDefault="00EC571A" w:rsidP="00AF155A">
      <w:pPr>
        <w:jc w:val="both"/>
        <w:rPr>
          <w:color w:val="000000" w:themeColor="text1"/>
        </w:rPr>
      </w:pPr>
    </w:p>
    <w:p w14:paraId="238CB095" w14:textId="50EDD7E8" w:rsidR="00EC571A" w:rsidRPr="003E7DB9" w:rsidRDefault="00EC571A" w:rsidP="00AF155A">
      <w:pPr>
        <w:jc w:val="both"/>
        <w:rPr>
          <w:color w:val="000000" w:themeColor="text1"/>
        </w:rPr>
      </w:pPr>
      <w:r w:rsidRPr="003E7DB9">
        <w:rPr>
          <w:color w:val="000000" w:themeColor="text1"/>
        </w:rPr>
        <w:t xml:space="preserve">Despite the </w:t>
      </w:r>
      <w:r w:rsidR="001E0C3E" w:rsidRPr="003E7DB9">
        <w:rPr>
          <w:color w:val="000000" w:themeColor="text1"/>
        </w:rPr>
        <w:t>advantages of composite classes highlighted in some research</w:t>
      </w:r>
      <w:r w:rsidRPr="003E7DB9">
        <w:rPr>
          <w:color w:val="000000" w:themeColor="text1"/>
        </w:rPr>
        <w:t xml:space="preserve">, the Department of Education are clear that </w:t>
      </w:r>
      <w:r w:rsidR="00B31F60" w:rsidRPr="003E7DB9">
        <w:rPr>
          <w:color w:val="000000" w:themeColor="text1"/>
        </w:rPr>
        <w:t>‘</w:t>
      </w:r>
      <w:r w:rsidRPr="003E7DB9">
        <w:rPr>
          <w:color w:val="000000" w:themeColor="text1"/>
        </w:rPr>
        <w:t xml:space="preserve">Primary schools with fewer than seven classes </w:t>
      </w:r>
      <w:r w:rsidR="0049476B" w:rsidRPr="003E7DB9">
        <w:rPr>
          <w:color w:val="000000" w:themeColor="text1"/>
        </w:rPr>
        <w:t xml:space="preserve">[one for each year group] </w:t>
      </w:r>
      <w:r w:rsidRPr="003E7DB9">
        <w:rPr>
          <w:color w:val="000000" w:themeColor="text1"/>
        </w:rPr>
        <w:t>often encounter problems</w:t>
      </w:r>
      <w:r w:rsidR="00B31F60" w:rsidRPr="003E7DB9">
        <w:rPr>
          <w:color w:val="000000" w:themeColor="text1"/>
        </w:rPr>
        <w:t>’</w:t>
      </w:r>
      <w:r w:rsidR="00E2220C" w:rsidRPr="003E7DB9">
        <w:rPr>
          <w:color w:val="000000" w:themeColor="text1"/>
        </w:rPr>
        <w:t xml:space="preserve"> (DENI, 2009:22)</w:t>
      </w:r>
      <w:r w:rsidRPr="003E7DB9">
        <w:rPr>
          <w:color w:val="000000" w:themeColor="text1"/>
        </w:rPr>
        <w:t xml:space="preserve"> and that there are additional challenges in meeting educational requirements of children when there are composite classes.</w:t>
      </w:r>
      <w:r w:rsidR="001B59B5" w:rsidRPr="003E7DB9">
        <w:rPr>
          <w:color w:val="000000" w:themeColor="text1"/>
        </w:rPr>
        <w:t xml:space="preserve"> </w:t>
      </w:r>
      <w:r w:rsidR="0048353F" w:rsidRPr="003E7DB9">
        <w:rPr>
          <w:color w:val="000000" w:themeColor="text1"/>
        </w:rPr>
        <w:t>T</w:t>
      </w:r>
      <w:r w:rsidRPr="003E7DB9">
        <w:rPr>
          <w:color w:val="000000" w:themeColor="text1"/>
        </w:rPr>
        <w:t xml:space="preserve">he literature </w:t>
      </w:r>
      <w:r w:rsidR="0048353F" w:rsidRPr="003E7DB9">
        <w:rPr>
          <w:color w:val="000000" w:themeColor="text1"/>
        </w:rPr>
        <w:t>suggests</w:t>
      </w:r>
      <w:r w:rsidRPr="003E7DB9">
        <w:rPr>
          <w:color w:val="000000" w:themeColor="text1"/>
        </w:rPr>
        <w:t xml:space="preserve"> that small rural schools can actually be quite efficient, and that educational outcomes from such schools can be excellent. The </w:t>
      </w:r>
      <w:r w:rsidR="001B59B5" w:rsidRPr="003E7DB9">
        <w:rPr>
          <w:color w:val="000000" w:themeColor="text1"/>
        </w:rPr>
        <w:t>case</w:t>
      </w:r>
      <w:r w:rsidRPr="003E7DB9">
        <w:rPr>
          <w:color w:val="000000" w:themeColor="text1"/>
        </w:rPr>
        <w:t xml:space="preserve"> here is not that small schools should </w:t>
      </w:r>
      <w:r w:rsidR="001B59B5" w:rsidRPr="003E7DB9">
        <w:rPr>
          <w:color w:val="000000" w:themeColor="text1"/>
        </w:rPr>
        <w:t xml:space="preserve">necessarily </w:t>
      </w:r>
      <w:r w:rsidRPr="003E7DB9">
        <w:rPr>
          <w:color w:val="000000" w:themeColor="text1"/>
        </w:rPr>
        <w:t xml:space="preserve">close, but that more effective local arrangements </w:t>
      </w:r>
      <w:r w:rsidR="001B59B5" w:rsidRPr="003E7DB9">
        <w:rPr>
          <w:color w:val="000000" w:themeColor="text1"/>
        </w:rPr>
        <w:t>could</w:t>
      </w:r>
      <w:r w:rsidRPr="003E7DB9">
        <w:rPr>
          <w:color w:val="000000" w:themeColor="text1"/>
        </w:rPr>
        <w:t xml:space="preserve"> be made, particularly in situations where schools are located very close to each other and are duplicating what they do.</w:t>
      </w:r>
    </w:p>
    <w:p w14:paraId="675F0683" w14:textId="77777777" w:rsidR="00EC571A" w:rsidRPr="003E7DB9" w:rsidRDefault="00EC571A" w:rsidP="00AF155A">
      <w:pPr>
        <w:jc w:val="both"/>
        <w:rPr>
          <w:color w:val="000000" w:themeColor="text1"/>
        </w:rPr>
      </w:pPr>
    </w:p>
    <w:p w14:paraId="65C37456" w14:textId="06AE6C70" w:rsidR="006318FA" w:rsidRPr="003E7DB9" w:rsidRDefault="00FD40FB" w:rsidP="00AF155A">
      <w:pPr>
        <w:jc w:val="both"/>
        <w:rPr>
          <w:color w:val="000000" w:themeColor="text1"/>
        </w:rPr>
      </w:pPr>
      <w:r>
        <w:rPr>
          <w:color w:val="000000" w:themeColor="text1"/>
        </w:rPr>
        <w:t xml:space="preserve">The promised independent review of education in the New Decade, New Approach document (UK Govt, Irish Govt, 2020) commits politicians in Northern Ireland to seek </w:t>
      </w:r>
      <w:r w:rsidR="006A1A17">
        <w:rPr>
          <w:color w:val="000000" w:themeColor="text1"/>
        </w:rPr>
        <w:t xml:space="preserve">greater efficiency in school provision while delivering a single education system. </w:t>
      </w:r>
      <w:r>
        <w:rPr>
          <w:color w:val="000000" w:themeColor="text1"/>
        </w:rPr>
        <w:t xml:space="preserve"> </w:t>
      </w:r>
      <w:r w:rsidR="006A1A17">
        <w:rPr>
          <w:color w:val="000000" w:themeColor="text1"/>
        </w:rPr>
        <w:t>However, i</w:t>
      </w:r>
      <w:r w:rsidR="001B59B5" w:rsidRPr="003E7DB9">
        <w:rPr>
          <w:color w:val="000000" w:themeColor="text1"/>
        </w:rPr>
        <w:t xml:space="preserve">t is important to recognise that this is not just about funding and efficiency savings. </w:t>
      </w:r>
      <w:r w:rsidR="00C642A8" w:rsidRPr="003E7DB9">
        <w:rPr>
          <w:color w:val="000000" w:themeColor="text1"/>
        </w:rPr>
        <w:t xml:space="preserve">Northern Ireland’s </w:t>
      </w:r>
      <w:r w:rsidR="00EC571A" w:rsidRPr="003E7DB9">
        <w:rPr>
          <w:color w:val="000000" w:themeColor="text1"/>
        </w:rPr>
        <w:t xml:space="preserve">Area Planning authorities for both Maintained and Controlled </w:t>
      </w:r>
      <w:r w:rsidR="001B59B5" w:rsidRPr="003E7DB9">
        <w:rPr>
          <w:color w:val="000000" w:themeColor="text1"/>
        </w:rPr>
        <w:t>schools</w:t>
      </w:r>
      <w:r w:rsidR="00EC571A" w:rsidRPr="003E7DB9">
        <w:rPr>
          <w:color w:val="000000" w:themeColor="text1"/>
        </w:rPr>
        <w:t xml:space="preserve"> will be very familiar with the schools in these 32 pairs, and with the </w:t>
      </w:r>
      <w:r w:rsidR="0049476B" w:rsidRPr="003E7DB9">
        <w:rPr>
          <w:color w:val="000000" w:themeColor="text1"/>
        </w:rPr>
        <w:t xml:space="preserve">often deeply divided </w:t>
      </w:r>
      <w:r w:rsidR="00EC571A" w:rsidRPr="003E7DB9">
        <w:rPr>
          <w:color w:val="000000" w:themeColor="text1"/>
        </w:rPr>
        <w:t xml:space="preserve">communities that they serve. There may </w:t>
      </w:r>
      <w:r w:rsidR="001B59B5" w:rsidRPr="003E7DB9">
        <w:rPr>
          <w:color w:val="000000" w:themeColor="text1"/>
        </w:rPr>
        <w:t xml:space="preserve">well </w:t>
      </w:r>
      <w:r w:rsidR="00EC571A" w:rsidRPr="003E7DB9">
        <w:rPr>
          <w:color w:val="000000" w:themeColor="text1"/>
        </w:rPr>
        <w:t>be a strong desire for choice in education, including faith-based provisio</w:t>
      </w:r>
      <w:r w:rsidR="003C5F5A" w:rsidRPr="003E7DB9">
        <w:rPr>
          <w:color w:val="000000" w:themeColor="text1"/>
        </w:rPr>
        <w:t xml:space="preserve">n and </w:t>
      </w:r>
      <w:r w:rsidR="007B0EB4" w:rsidRPr="003E7DB9">
        <w:rPr>
          <w:color w:val="000000" w:themeColor="text1"/>
        </w:rPr>
        <w:t>other factors</w:t>
      </w:r>
      <w:r w:rsidR="00EC571A" w:rsidRPr="003E7DB9">
        <w:rPr>
          <w:color w:val="000000" w:themeColor="text1"/>
        </w:rPr>
        <w:t>.</w:t>
      </w:r>
      <w:r w:rsidR="00F269DC" w:rsidRPr="003E7DB9">
        <w:rPr>
          <w:color w:val="000000" w:themeColor="text1"/>
        </w:rPr>
        <w:t xml:space="preserve"> Nonetheless, in a period </w:t>
      </w:r>
      <w:r w:rsidR="003C5F5A" w:rsidRPr="003E7DB9">
        <w:rPr>
          <w:color w:val="000000" w:themeColor="text1"/>
        </w:rPr>
        <w:t>of budget cuts to schools</w:t>
      </w:r>
      <w:r w:rsidR="00F269DC" w:rsidRPr="003E7DB9">
        <w:rPr>
          <w:color w:val="000000" w:themeColor="text1"/>
        </w:rPr>
        <w:t xml:space="preserve"> and </w:t>
      </w:r>
      <w:r w:rsidR="003C5F5A" w:rsidRPr="003E7DB9">
        <w:rPr>
          <w:color w:val="000000" w:themeColor="text1"/>
        </w:rPr>
        <w:t xml:space="preserve">concomitant </w:t>
      </w:r>
      <w:r w:rsidR="00037C05" w:rsidRPr="003E7DB9">
        <w:rPr>
          <w:color w:val="000000" w:themeColor="text1"/>
        </w:rPr>
        <w:t>pressures on</w:t>
      </w:r>
      <w:r w:rsidR="00F269DC" w:rsidRPr="003E7DB9">
        <w:rPr>
          <w:color w:val="000000" w:themeColor="text1"/>
        </w:rPr>
        <w:t xml:space="preserve"> education budgets, the financial benefits of </w:t>
      </w:r>
      <w:r w:rsidR="00037C05" w:rsidRPr="003E7DB9">
        <w:rPr>
          <w:color w:val="000000" w:themeColor="text1"/>
        </w:rPr>
        <w:t xml:space="preserve">combining </w:t>
      </w:r>
      <w:r w:rsidR="00F269DC" w:rsidRPr="003E7DB9">
        <w:rPr>
          <w:color w:val="000000" w:themeColor="text1"/>
        </w:rPr>
        <w:t xml:space="preserve">isolated </w:t>
      </w:r>
      <w:r w:rsidR="00037C05" w:rsidRPr="003E7DB9">
        <w:rPr>
          <w:color w:val="000000" w:themeColor="text1"/>
        </w:rPr>
        <w:t xml:space="preserve">pairs of </w:t>
      </w:r>
      <w:r w:rsidR="00F269DC" w:rsidRPr="003E7DB9">
        <w:rPr>
          <w:color w:val="000000" w:themeColor="text1"/>
        </w:rPr>
        <w:t xml:space="preserve">schools are clear. There are also </w:t>
      </w:r>
      <w:r w:rsidR="00A8384C">
        <w:rPr>
          <w:color w:val="000000" w:themeColor="text1"/>
        </w:rPr>
        <w:t xml:space="preserve">considerable </w:t>
      </w:r>
      <w:r w:rsidR="00F269DC" w:rsidRPr="003E7DB9">
        <w:rPr>
          <w:color w:val="000000" w:themeColor="text1"/>
        </w:rPr>
        <w:t xml:space="preserve">social benefits in </w:t>
      </w:r>
      <w:r w:rsidR="00037C05" w:rsidRPr="003E7DB9">
        <w:rPr>
          <w:color w:val="000000" w:themeColor="text1"/>
        </w:rPr>
        <w:t>ensuring that</w:t>
      </w:r>
      <w:r w:rsidR="00F269DC" w:rsidRPr="003E7DB9">
        <w:rPr>
          <w:color w:val="000000" w:themeColor="text1"/>
        </w:rPr>
        <w:t xml:space="preserve"> a local hub for communities</w:t>
      </w:r>
      <w:r w:rsidR="00037C05" w:rsidRPr="003E7DB9">
        <w:rPr>
          <w:color w:val="000000" w:themeColor="text1"/>
        </w:rPr>
        <w:t xml:space="preserve"> is retained</w:t>
      </w:r>
      <w:r w:rsidR="00F269DC" w:rsidRPr="003E7DB9">
        <w:rPr>
          <w:color w:val="000000" w:themeColor="text1"/>
        </w:rPr>
        <w:t xml:space="preserve">. Furthermore, and arguably most important, bringing communities together may result in moves towards reconciliation and peace building, which </w:t>
      </w:r>
      <w:r w:rsidR="00037C05" w:rsidRPr="003E7DB9">
        <w:rPr>
          <w:color w:val="000000" w:themeColor="text1"/>
        </w:rPr>
        <w:t>can work to reduce the potential of renewed conflict in the future</w:t>
      </w:r>
      <w:r w:rsidR="00F269DC" w:rsidRPr="003E7DB9">
        <w:rPr>
          <w:color w:val="000000" w:themeColor="text1"/>
        </w:rPr>
        <w:t>.</w:t>
      </w:r>
    </w:p>
    <w:p w14:paraId="2F4E4B2C" w14:textId="434DE511" w:rsidR="00652E40" w:rsidRPr="003E7DB9" w:rsidRDefault="00652E40">
      <w:pPr>
        <w:rPr>
          <w:color w:val="000000" w:themeColor="text1"/>
        </w:rPr>
      </w:pPr>
      <w:r w:rsidRPr="003E7DB9">
        <w:rPr>
          <w:color w:val="000000" w:themeColor="text1"/>
        </w:rPr>
        <w:br w:type="page"/>
      </w:r>
    </w:p>
    <w:p w14:paraId="1E5985A2" w14:textId="778BE71E" w:rsidR="00774850" w:rsidRPr="003E7DB9" w:rsidRDefault="00652E40" w:rsidP="00774850">
      <w:pPr>
        <w:spacing w:line="276" w:lineRule="auto"/>
        <w:rPr>
          <w:b/>
          <w:bCs/>
          <w:color w:val="000000" w:themeColor="text1"/>
        </w:rPr>
      </w:pPr>
      <w:r w:rsidRPr="003E7DB9">
        <w:rPr>
          <w:b/>
          <w:bCs/>
          <w:color w:val="000000" w:themeColor="text1"/>
        </w:rPr>
        <w:lastRenderedPageBreak/>
        <w:t>References</w:t>
      </w:r>
    </w:p>
    <w:p w14:paraId="4D2E62FB" w14:textId="77777777" w:rsidR="00652E40" w:rsidRPr="003E7DB9" w:rsidRDefault="00652E40" w:rsidP="00774850">
      <w:pPr>
        <w:spacing w:line="276" w:lineRule="auto"/>
        <w:rPr>
          <w:color w:val="000000" w:themeColor="text1"/>
        </w:rPr>
      </w:pPr>
    </w:p>
    <w:p w14:paraId="44F5AD88" w14:textId="646A5FB6" w:rsidR="0013451C" w:rsidRPr="003E7DB9" w:rsidRDefault="0013451C" w:rsidP="000A05C7">
      <w:pPr>
        <w:spacing w:line="276" w:lineRule="auto"/>
        <w:rPr>
          <w:i/>
          <w:iCs/>
        </w:rPr>
      </w:pPr>
      <w:proofErr w:type="spellStart"/>
      <w:r w:rsidRPr="003E7DB9">
        <w:t>Åberg-</w:t>
      </w:r>
      <w:proofErr w:type="gramStart"/>
      <w:r w:rsidRPr="003E7DB9">
        <w:t>Bengtsson,L</w:t>
      </w:r>
      <w:proofErr w:type="spellEnd"/>
      <w:r w:rsidRPr="003E7DB9">
        <w:t>.</w:t>
      </w:r>
      <w:proofErr w:type="gramEnd"/>
      <w:r w:rsidRPr="003E7DB9">
        <w:t xml:space="preserve"> (2009) The smaller the better? A review of research on small rural schools in Sweden. </w:t>
      </w:r>
      <w:r w:rsidRPr="003E7DB9">
        <w:rPr>
          <w:i/>
          <w:iCs/>
        </w:rPr>
        <w:t>International Journal of Educational Research 48</w:t>
      </w:r>
    </w:p>
    <w:p w14:paraId="5FE6C0DA" w14:textId="32814F13" w:rsidR="00573B12" w:rsidRPr="003E7DB9" w:rsidRDefault="00573B12" w:rsidP="000A05C7">
      <w:pPr>
        <w:spacing w:line="276" w:lineRule="auto"/>
        <w:rPr>
          <w:i/>
          <w:iCs/>
          <w:highlight w:val="green"/>
        </w:rPr>
      </w:pPr>
    </w:p>
    <w:p w14:paraId="25C36A9D" w14:textId="1F524677" w:rsidR="00573B12" w:rsidRPr="003E7DB9" w:rsidRDefault="00573B12" w:rsidP="00573B12">
      <w:r w:rsidRPr="003E7DB9">
        <w:t xml:space="preserve">Akenson, D.H. (2012) </w:t>
      </w:r>
      <w:r w:rsidRPr="003E7DB9">
        <w:rPr>
          <w:i/>
          <w:iCs/>
        </w:rPr>
        <w:t>The Irish education experiment: The national system of education in the nineteenth century</w:t>
      </w:r>
      <w:r w:rsidRPr="003E7DB9">
        <w:t>. Routledge.</w:t>
      </w:r>
    </w:p>
    <w:p w14:paraId="61416038" w14:textId="24152980" w:rsidR="00CB1355" w:rsidRPr="003E7DB9" w:rsidRDefault="00CB1355" w:rsidP="000A05C7">
      <w:pPr>
        <w:spacing w:line="276" w:lineRule="auto"/>
        <w:rPr>
          <w:i/>
          <w:iCs/>
          <w:highlight w:val="green"/>
        </w:rPr>
      </w:pPr>
    </w:p>
    <w:p w14:paraId="5AE5CF37" w14:textId="6E56E163" w:rsidR="00CB1355" w:rsidRPr="003E7DB9" w:rsidRDefault="00CB1355" w:rsidP="00CB1355">
      <w:r w:rsidRPr="003E7DB9">
        <w:t xml:space="preserve">Al-Haj, M. (2002) Multiculturalism in deeply divided societies: the Israeli case. </w:t>
      </w:r>
      <w:r w:rsidRPr="003E7DB9">
        <w:rPr>
          <w:i/>
          <w:iCs/>
        </w:rPr>
        <w:t>International Journal if Intercultural Relations 26</w:t>
      </w:r>
      <w:r w:rsidRPr="003E7DB9">
        <w:t>:169-183.</w:t>
      </w:r>
    </w:p>
    <w:p w14:paraId="06CC9B31" w14:textId="77777777" w:rsidR="001570C3" w:rsidRPr="003E7DB9" w:rsidRDefault="001570C3" w:rsidP="001570C3">
      <w:pPr>
        <w:spacing w:line="276" w:lineRule="auto"/>
        <w:rPr>
          <w:i/>
          <w:iCs/>
          <w:highlight w:val="green"/>
        </w:rPr>
      </w:pPr>
    </w:p>
    <w:p w14:paraId="571F92DD" w14:textId="71521108" w:rsidR="007A7C09" w:rsidRPr="003E7DB9" w:rsidRDefault="007A7C09" w:rsidP="000A05C7">
      <w:pPr>
        <w:spacing w:line="276" w:lineRule="auto"/>
        <w:rPr>
          <w:i/>
          <w:iCs/>
        </w:rPr>
      </w:pPr>
      <w:proofErr w:type="spellStart"/>
      <w:r w:rsidRPr="003E7DB9">
        <w:rPr>
          <w:color w:val="000000" w:themeColor="text1"/>
        </w:rPr>
        <w:t>Autti</w:t>
      </w:r>
      <w:proofErr w:type="spellEnd"/>
      <w:r w:rsidRPr="003E7DB9">
        <w:rPr>
          <w:color w:val="000000" w:themeColor="text1"/>
        </w:rPr>
        <w:t xml:space="preserve">, O. and </w:t>
      </w:r>
      <w:proofErr w:type="spellStart"/>
      <w:r w:rsidRPr="003E7DB9">
        <w:rPr>
          <w:color w:val="000000" w:themeColor="text1"/>
        </w:rPr>
        <w:t>Hyry-Beihammer</w:t>
      </w:r>
      <w:proofErr w:type="spellEnd"/>
      <w:r w:rsidRPr="003E7DB9">
        <w:rPr>
          <w:color w:val="000000" w:themeColor="text1"/>
        </w:rPr>
        <w:t xml:space="preserve">, E.K. (2014) School Closures in Rural Finnish Communities. </w:t>
      </w:r>
      <w:r w:rsidRPr="003E7DB9">
        <w:rPr>
          <w:i/>
          <w:iCs/>
          <w:color w:val="000000" w:themeColor="text1"/>
        </w:rPr>
        <w:t>Journal of Research in Rural Education, 29</w:t>
      </w:r>
      <w:r w:rsidRPr="003E7DB9">
        <w:rPr>
          <w:color w:val="000000" w:themeColor="text1"/>
        </w:rPr>
        <w:t>(1)</w:t>
      </w:r>
    </w:p>
    <w:p w14:paraId="7C85D232" w14:textId="1A19D28A" w:rsidR="0013451C" w:rsidRPr="003E7DB9" w:rsidRDefault="0013451C" w:rsidP="000A05C7">
      <w:pPr>
        <w:spacing w:line="276" w:lineRule="auto"/>
        <w:rPr>
          <w:i/>
          <w:iCs/>
          <w:highlight w:val="green"/>
        </w:rPr>
      </w:pPr>
    </w:p>
    <w:p w14:paraId="2AB1C68A" w14:textId="158E9E20" w:rsidR="007A7C09" w:rsidRDefault="007A7C09" w:rsidP="007A7C09">
      <w:pPr>
        <w:rPr>
          <w:rFonts w:eastAsiaTheme="minorEastAsia"/>
          <w:color w:val="000000"/>
          <w:lang w:val="en-US"/>
        </w:rPr>
      </w:pPr>
      <w:r w:rsidRPr="003E7DB9">
        <w:rPr>
          <w:rFonts w:eastAsiaTheme="minorEastAsia"/>
          <w:color w:val="000000"/>
          <w:lang w:val="en-US"/>
        </w:rPr>
        <w:t xml:space="preserve">Bain, G.S. (2006) </w:t>
      </w:r>
      <w:r w:rsidRPr="003E7DB9">
        <w:rPr>
          <w:rFonts w:eastAsiaTheme="minorEastAsia"/>
          <w:i/>
          <w:iCs/>
          <w:color w:val="000000"/>
          <w:lang w:val="en-US"/>
        </w:rPr>
        <w:t>Schools for the Future: Funding, Strategy, Sharing: Report of the Independent Strategic Review of Education</w:t>
      </w:r>
      <w:r w:rsidRPr="003E7DB9">
        <w:rPr>
          <w:rFonts w:eastAsiaTheme="minorEastAsia"/>
          <w:color w:val="000000"/>
          <w:lang w:val="en-US"/>
        </w:rPr>
        <w:t xml:space="preserve"> Independent Strategic Review of Education</w:t>
      </w:r>
    </w:p>
    <w:p w14:paraId="1B54FB6F" w14:textId="263E8194" w:rsidR="006377C5" w:rsidRPr="006377C5" w:rsidRDefault="006377C5" w:rsidP="007A7C09">
      <w:pPr>
        <w:rPr>
          <w:rFonts w:eastAsiaTheme="minorEastAsia"/>
          <w:color w:val="000000"/>
          <w:lang w:val="en-US"/>
        </w:rPr>
      </w:pPr>
    </w:p>
    <w:p w14:paraId="46FDE3B5" w14:textId="66612BDD" w:rsidR="006377C5" w:rsidRPr="0004466E" w:rsidRDefault="006377C5" w:rsidP="0004466E">
      <w:pPr>
        <w:autoSpaceDE w:val="0"/>
        <w:autoSpaceDN w:val="0"/>
        <w:adjustRightInd w:val="0"/>
        <w:rPr>
          <w:rFonts w:eastAsiaTheme="minorHAnsi"/>
          <w:color w:val="000000"/>
        </w:rPr>
      </w:pPr>
      <w:r w:rsidRPr="0004466E">
        <w:rPr>
          <w:rFonts w:eastAsiaTheme="minorHAnsi"/>
          <w:color w:val="000000"/>
        </w:rPr>
        <w:t>Bar-Tal, D. (</w:t>
      </w:r>
      <w:r w:rsidRPr="0004466E">
        <w:rPr>
          <w:rFonts w:eastAsiaTheme="minorHAnsi"/>
          <w:color w:val="000085"/>
        </w:rPr>
        <w:t>2007</w:t>
      </w:r>
      <w:r w:rsidRPr="0004466E">
        <w:rPr>
          <w:rFonts w:eastAsiaTheme="minorHAnsi"/>
          <w:color w:val="000000"/>
        </w:rPr>
        <w:t xml:space="preserve">). Sociopsychological foundations of intractable conflicts. </w:t>
      </w:r>
      <w:r w:rsidRPr="0004466E">
        <w:rPr>
          <w:rFonts w:eastAsiaTheme="minorHAnsi"/>
          <w:i/>
          <w:iCs/>
          <w:color w:val="000000"/>
        </w:rPr>
        <w:t xml:space="preserve">American </w:t>
      </w:r>
      <w:proofErr w:type="spellStart"/>
      <w:r w:rsidRPr="0004466E">
        <w:rPr>
          <w:rFonts w:eastAsiaTheme="minorHAnsi"/>
          <w:i/>
          <w:iCs/>
          <w:color w:val="000000"/>
        </w:rPr>
        <w:t>Behavioral</w:t>
      </w:r>
      <w:proofErr w:type="spellEnd"/>
      <w:r w:rsidRPr="0004466E">
        <w:rPr>
          <w:rFonts w:eastAsiaTheme="minorHAnsi"/>
          <w:i/>
          <w:iCs/>
          <w:color w:val="000000"/>
        </w:rPr>
        <w:t xml:space="preserve"> Scientist</w:t>
      </w:r>
      <w:r w:rsidRPr="0004466E">
        <w:rPr>
          <w:rFonts w:eastAsiaTheme="minorHAnsi"/>
          <w:color w:val="000000"/>
        </w:rPr>
        <w:t>, 50(11), 1430–1453.</w:t>
      </w:r>
    </w:p>
    <w:p w14:paraId="67EB5810" w14:textId="77777777" w:rsidR="001570C3" w:rsidRPr="00D46872" w:rsidRDefault="001570C3" w:rsidP="001570C3">
      <w:pPr>
        <w:rPr>
          <w:rFonts w:eastAsiaTheme="minorEastAsia"/>
          <w:color w:val="000000"/>
          <w:highlight w:val="green"/>
          <w:lang w:val="en-US"/>
        </w:rPr>
      </w:pPr>
    </w:p>
    <w:p w14:paraId="5013D367" w14:textId="09C09016" w:rsidR="0048353F" w:rsidRPr="003E7DB9" w:rsidRDefault="0048353F" w:rsidP="007A7C09">
      <w:r w:rsidRPr="003E7DB9">
        <w:t xml:space="preserve">Bates, J. and O’Connor Bones, U. (2018) </w:t>
      </w:r>
      <w:r w:rsidRPr="003E7DB9">
        <w:rPr>
          <w:i/>
          <w:iCs/>
        </w:rPr>
        <w:t>A Community Conversation Toolkit</w:t>
      </w:r>
      <w:r w:rsidRPr="003E7DB9">
        <w:t>, UNESCO Centre, School of Education, Ulster University</w:t>
      </w:r>
      <w:r w:rsidR="00CC0BF4" w:rsidRPr="003E7DB9">
        <w:t>.</w:t>
      </w:r>
    </w:p>
    <w:p w14:paraId="5AC97FD1" w14:textId="7F3949F7" w:rsidR="00A4081F" w:rsidRPr="003E7DB9" w:rsidRDefault="00A4081F" w:rsidP="007A7C09">
      <w:pPr>
        <w:rPr>
          <w:highlight w:val="green"/>
        </w:rPr>
      </w:pPr>
    </w:p>
    <w:p w14:paraId="53D78F27" w14:textId="0259939A" w:rsidR="00A4081F" w:rsidRPr="003E7DB9" w:rsidRDefault="00A4081F" w:rsidP="00A4081F">
      <w:pPr>
        <w:autoSpaceDE w:val="0"/>
        <w:autoSpaceDN w:val="0"/>
        <w:adjustRightInd w:val="0"/>
        <w:rPr>
          <w:rFonts w:eastAsiaTheme="minorHAnsi"/>
        </w:rPr>
      </w:pPr>
      <w:r w:rsidRPr="003E7DB9">
        <w:rPr>
          <w:rFonts w:eastAsiaTheme="minorHAnsi"/>
        </w:rPr>
        <w:t xml:space="preserve">Bates, J., O’Connor Bones, U. and Milliken, M. (2017) </w:t>
      </w:r>
      <w:r w:rsidRPr="003E7DB9">
        <w:rPr>
          <w:rFonts w:eastAsiaTheme="minorHAnsi"/>
          <w:i/>
          <w:iCs/>
        </w:rPr>
        <w:t xml:space="preserve">Community audit: Views on education provision in </w:t>
      </w:r>
      <w:proofErr w:type="spellStart"/>
      <w:r w:rsidRPr="003E7DB9">
        <w:rPr>
          <w:rFonts w:eastAsiaTheme="minorHAnsi"/>
          <w:i/>
          <w:iCs/>
        </w:rPr>
        <w:t>Augher</w:t>
      </w:r>
      <w:proofErr w:type="spellEnd"/>
      <w:r w:rsidRPr="003E7DB9">
        <w:rPr>
          <w:rFonts w:eastAsiaTheme="minorHAnsi"/>
          <w:i/>
          <w:iCs/>
        </w:rPr>
        <w:t xml:space="preserve">, Clogher and </w:t>
      </w:r>
      <w:proofErr w:type="spellStart"/>
      <w:r w:rsidRPr="003E7DB9">
        <w:rPr>
          <w:rFonts w:eastAsiaTheme="minorHAnsi"/>
          <w:i/>
          <w:iCs/>
        </w:rPr>
        <w:t>Fivemiletown</w:t>
      </w:r>
      <w:proofErr w:type="spellEnd"/>
      <w:r w:rsidRPr="003E7DB9">
        <w:rPr>
          <w:rFonts w:eastAsiaTheme="minorHAnsi"/>
          <w:i/>
          <w:iCs/>
        </w:rPr>
        <w:t>, Co Tyrone.</w:t>
      </w:r>
      <w:r w:rsidRPr="003E7DB9">
        <w:rPr>
          <w:rFonts w:eastAsiaTheme="minorHAnsi"/>
        </w:rPr>
        <w:t xml:space="preserve"> Belfast: Integrated Education Fund.</w:t>
      </w:r>
    </w:p>
    <w:p w14:paraId="6A67F75E" w14:textId="3189C464" w:rsidR="00C71DA8" w:rsidRPr="003E7DB9" w:rsidRDefault="00C71DA8" w:rsidP="007A7C09">
      <w:pPr>
        <w:rPr>
          <w:highlight w:val="green"/>
        </w:rPr>
      </w:pPr>
    </w:p>
    <w:p w14:paraId="0D3FF1BE" w14:textId="27C1A683" w:rsidR="00C71DA8" w:rsidRPr="003E7DB9" w:rsidRDefault="00C71DA8" w:rsidP="007A7C09">
      <w:proofErr w:type="spellStart"/>
      <w:r w:rsidRPr="003E7DB9">
        <w:t>Bekerman</w:t>
      </w:r>
      <w:proofErr w:type="spellEnd"/>
      <w:r w:rsidRPr="003E7DB9">
        <w:t xml:space="preserve">, Z., Habib, A. and </w:t>
      </w:r>
      <w:proofErr w:type="spellStart"/>
      <w:r w:rsidRPr="003E7DB9">
        <w:t>Shhadi</w:t>
      </w:r>
      <w:proofErr w:type="spellEnd"/>
      <w:r w:rsidRPr="003E7DB9">
        <w:t xml:space="preserve">, N. (2011) Jewish–Palestinian integrated education in Israel and its potential influence on national and/or ethnic identities and intergroup relations. </w:t>
      </w:r>
      <w:r w:rsidRPr="003E7DB9">
        <w:rPr>
          <w:i/>
          <w:iCs/>
        </w:rPr>
        <w:t>Journal of ethnic and migration studies</w:t>
      </w:r>
      <w:r w:rsidRPr="003E7DB9">
        <w:t xml:space="preserve">, </w:t>
      </w:r>
      <w:r w:rsidRPr="003E7DB9">
        <w:rPr>
          <w:i/>
          <w:iCs/>
        </w:rPr>
        <w:t>37</w:t>
      </w:r>
      <w:r w:rsidRPr="003E7DB9">
        <w:t>(3):389-405.</w:t>
      </w:r>
    </w:p>
    <w:p w14:paraId="6BF7C193" w14:textId="382AB4BF" w:rsidR="000057BB" w:rsidRPr="003E7DB9" w:rsidRDefault="000057BB" w:rsidP="007A7C09">
      <w:pPr>
        <w:rPr>
          <w:highlight w:val="green"/>
        </w:rPr>
      </w:pPr>
    </w:p>
    <w:p w14:paraId="5964E205" w14:textId="0F5AF794" w:rsidR="00452D46" w:rsidRPr="003E7DB9" w:rsidRDefault="00452D46" w:rsidP="00452D46">
      <w:pPr>
        <w:autoSpaceDE w:val="0"/>
        <w:autoSpaceDN w:val="0"/>
        <w:adjustRightInd w:val="0"/>
        <w:rPr>
          <w:rFonts w:eastAsiaTheme="minorHAnsi"/>
          <w:color w:val="000000"/>
        </w:rPr>
      </w:pPr>
      <w:proofErr w:type="spellStart"/>
      <w:r w:rsidRPr="003E7DB9">
        <w:rPr>
          <w:rFonts w:eastAsiaTheme="minorHAnsi"/>
          <w:color w:val="000000"/>
        </w:rPr>
        <w:t>Bollens</w:t>
      </w:r>
      <w:proofErr w:type="spellEnd"/>
      <w:r w:rsidRPr="003E7DB9">
        <w:rPr>
          <w:rFonts w:eastAsiaTheme="minorHAnsi"/>
          <w:color w:val="000000"/>
        </w:rPr>
        <w:t>, S. (</w:t>
      </w:r>
      <w:r w:rsidRPr="003E7DB9">
        <w:rPr>
          <w:rFonts w:eastAsiaTheme="minorHAnsi"/>
          <w:color w:val="000000" w:themeColor="text1"/>
        </w:rPr>
        <w:t>2018</w:t>
      </w:r>
      <w:r w:rsidRPr="003E7DB9">
        <w:rPr>
          <w:rFonts w:eastAsiaTheme="minorHAnsi"/>
          <w:color w:val="000000"/>
        </w:rPr>
        <w:t xml:space="preserve">) </w:t>
      </w:r>
      <w:r w:rsidRPr="003E7DB9">
        <w:rPr>
          <w:rFonts w:eastAsiaTheme="minorHAnsi"/>
          <w:i/>
          <w:iCs/>
          <w:color w:val="000000"/>
        </w:rPr>
        <w:t>Trajectories of peace and conflict: Jerusalem and Belfast since 1994</w:t>
      </w:r>
      <w:r w:rsidRPr="003E7DB9">
        <w:rPr>
          <w:rFonts w:eastAsiaTheme="minorHAnsi"/>
          <w:color w:val="000000"/>
        </w:rPr>
        <w:t>. New York: Routledge</w:t>
      </w:r>
    </w:p>
    <w:p w14:paraId="478648F6" w14:textId="77777777" w:rsidR="00452D46" w:rsidRPr="003E7DB9" w:rsidRDefault="00452D46" w:rsidP="00452D46">
      <w:pPr>
        <w:rPr>
          <w:highlight w:val="green"/>
        </w:rPr>
      </w:pPr>
    </w:p>
    <w:p w14:paraId="537BB310" w14:textId="23F27075" w:rsidR="000057BB" w:rsidRPr="003E7DB9" w:rsidRDefault="000057BB" w:rsidP="007A7C09">
      <w:pPr>
        <w:rPr>
          <w:highlight w:val="green"/>
        </w:rPr>
      </w:pPr>
      <w:proofErr w:type="spellStart"/>
      <w:r w:rsidRPr="003E7DB9">
        <w:t>Bozic</w:t>
      </w:r>
      <w:proofErr w:type="spellEnd"/>
      <w:r w:rsidRPr="003E7DB9">
        <w:t xml:space="preserve">, G. (2006) </w:t>
      </w:r>
      <w:proofErr w:type="spellStart"/>
      <w:r w:rsidRPr="003E7DB9">
        <w:t>Reeducating</w:t>
      </w:r>
      <w:proofErr w:type="spellEnd"/>
      <w:r w:rsidRPr="003E7DB9">
        <w:t xml:space="preserve"> the hearts of Bosnian students: An essay on some aspects of education in Bosnia and Herzegovina. </w:t>
      </w:r>
      <w:r w:rsidRPr="003E7DB9">
        <w:rPr>
          <w:i/>
          <w:iCs/>
        </w:rPr>
        <w:t>East European Politics and Societies</w:t>
      </w:r>
      <w:r w:rsidRPr="003E7DB9">
        <w:t xml:space="preserve">, </w:t>
      </w:r>
      <w:r w:rsidRPr="003E7DB9">
        <w:rPr>
          <w:i/>
          <w:iCs/>
        </w:rPr>
        <w:t>20</w:t>
      </w:r>
      <w:r w:rsidRPr="003E7DB9">
        <w:t>(2):319-342.</w:t>
      </w:r>
    </w:p>
    <w:p w14:paraId="6BAEC468" w14:textId="7D8F98E9" w:rsidR="007A7C09" w:rsidRPr="003E7DB9" w:rsidRDefault="007A7C09" w:rsidP="000A05C7">
      <w:pPr>
        <w:spacing w:line="276" w:lineRule="auto"/>
        <w:rPr>
          <w:i/>
          <w:iCs/>
        </w:rPr>
      </w:pPr>
    </w:p>
    <w:p w14:paraId="6D47EB8B" w14:textId="5B5A9587" w:rsidR="00376AC6" w:rsidRPr="003E7DB9" w:rsidRDefault="00376AC6" w:rsidP="00376AC6">
      <w:r w:rsidRPr="003E7DB9">
        <w:t xml:space="preserve">Caul, R.L. </w:t>
      </w:r>
      <w:r w:rsidR="00D17AD1" w:rsidRPr="003E7DB9">
        <w:t>and</w:t>
      </w:r>
      <w:r w:rsidRPr="003E7DB9">
        <w:t xml:space="preserve"> Harbison, J.I. (1989) The curriculum in small schools in Northern Ireland and Scotland. </w:t>
      </w:r>
      <w:r w:rsidRPr="003E7DB9">
        <w:rPr>
          <w:i/>
          <w:iCs/>
        </w:rPr>
        <w:t>Irish Educational Studies</w:t>
      </w:r>
      <w:r w:rsidRPr="003E7DB9">
        <w:t xml:space="preserve">, </w:t>
      </w:r>
      <w:r w:rsidRPr="003E7DB9">
        <w:rPr>
          <w:i/>
          <w:iCs/>
        </w:rPr>
        <w:t>8</w:t>
      </w:r>
      <w:r w:rsidRPr="003E7DB9">
        <w:t>(2), pp.117-137.</w:t>
      </w:r>
    </w:p>
    <w:p w14:paraId="08EA1AC2" w14:textId="77777777" w:rsidR="00376AC6" w:rsidRPr="003E7DB9" w:rsidRDefault="00376AC6" w:rsidP="000A05C7">
      <w:pPr>
        <w:spacing w:line="276" w:lineRule="auto"/>
        <w:rPr>
          <w:i/>
          <w:iCs/>
        </w:rPr>
      </w:pPr>
    </w:p>
    <w:p w14:paraId="2AEFCE9D" w14:textId="21D456E5" w:rsidR="0013451C" w:rsidRPr="003E7DB9" w:rsidRDefault="0013451C" w:rsidP="000A05C7">
      <w:pPr>
        <w:spacing w:line="276" w:lineRule="auto"/>
        <w:rPr>
          <w:rFonts w:eastAsiaTheme="minorHAnsi"/>
          <w:lang w:val="en-US"/>
        </w:rPr>
      </w:pPr>
      <w:r w:rsidRPr="003E7DB9">
        <w:t xml:space="preserve">Central Advisory Council for Education (1967) </w:t>
      </w:r>
      <w:r w:rsidRPr="003E7DB9">
        <w:rPr>
          <w:i/>
          <w:iCs/>
        </w:rPr>
        <w:t>Children and their Primary Schools. The Plowden Report</w:t>
      </w:r>
      <w:r w:rsidRPr="003E7DB9">
        <w:t>. London: HMSO</w:t>
      </w:r>
      <w:r w:rsidRPr="003E7DB9">
        <w:rPr>
          <w:rFonts w:eastAsiaTheme="minorHAnsi"/>
          <w:lang w:val="en-US"/>
        </w:rPr>
        <w:t xml:space="preserve"> </w:t>
      </w:r>
    </w:p>
    <w:p w14:paraId="79B2FE42" w14:textId="12380AE9" w:rsidR="00A314D5" w:rsidRPr="003E7DB9" w:rsidRDefault="00A314D5" w:rsidP="00A314D5">
      <w:pPr>
        <w:autoSpaceDE w:val="0"/>
        <w:autoSpaceDN w:val="0"/>
        <w:adjustRightInd w:val="0"/>
        <w:rPr>
          <w:rFonts w:eastAsiaTheme="minorHAnsi"/>
          <w:color w:val="000000"/>
          <w:highlight w:val="green"/>
        </w:rPr>
      </w:pPr>
    </w:p>
    <w:p w14:paraId="3562415B" w14:textId="3B6828DA" w:rsidR="00376AC6" w:rsidRPr="003E7DB9" w:rsidRDefault="00376AC6" w:rsidP="00376AC6">
      <w:pPr>
        <w:rPr>
          <w:rFonts w:eastAsiaTheme="minorHAnsi"/>
          <w:color w:val="000000"/>
        </w:rPr>
      </w:pPr>
      <w:r w:rsidRPr="003E7DB9">
        <w:rPr>
          <w:rFonts w:eastAsiaTheme="minorHAnsi"/>
          <w:color w:val="000000"/>
        </w:rPr>
        <w:t xml:space="preserve">Council for the Curriculum, Examinations and Assessment (CCEA) (2007) The Northern Ireland Curriculum: Primary. </w:t>
      </w:r>
      <w:r w:rsidR="00AF24B0" w:rsidRPr="003E7DB9">
        <w:rPr>
          <w:color w:val="000000" w:themeColor="text1"/>
        </w:rPr>
        <w:t xml:space="preserve">Available from: </w:t>
      </w:r>
      <w:r w:rsidRPr="003E7DB9">
        <w:rPr>
          <w:rFonts w:eastAsiaTheme="minorHAnsi"/>
        </w:rPr>
        <w:t>http://ccea.org.uk/sites/default/files/docs/curriculum/area_of_learning/fs_northern_ireland_curriculum_primary.pdf</w:t>
      </w:r>
    </w:p>
    <w:p w14:paraId="0B075AA6" w14:textId="41D31F5F" w:rsidR="00376AC6" w:rsidRPr="003E7DB9" w:rsidRDefault="00376AC6" w:rsidP="00A314D5">
      <w:pPr>
        <w:autoSpaceDE w:val="0"/>
        <w:autoSpaceDN w:val="0"/>
        <w:adjustRightInd w:val="0"/>
        <w:rPr>
          <w:rFonts w:eastAsiaTheme="minorHAnsi"/>
          <w:color w:val="000000"/>
        </w:rPr>
      </w:pPr>
    </w:p>
    <w:p w14:paraId="26536428" w14:textId="5B03C9F8" w:rsidR="0048353F" w:rsidRPr="003E7DB9" w:rsidRDefault="00A314D5" w:rsidP="00A314D5">
      <w:pPr>
        <w:autoSpaceDE w:val="0"/>
        <w:autoSpaceDN w:val="0"/>
        <w:adjustRightInd w:val="0"/>
        <w:rPr>
          <w:rFonts w:eastAsiaTheme="minorHAnsi"/>
          <w:color w:val="000000"/>
        </w:rPr>
      </w:pPr>
      <w:r w:rsidRPr="003E7DB9">
        <w:rPr>
          <w:rFonts w:eastAsiaTheme="minorHAnsi"/>
          <w:color w:val="000000"/>
        </w:rPr>
        <w:t>Craig, J. (</w:t>
      </w:r>
      <w:r w:rsidRPr="003E7DB9">
        <w:rPr>
          <w:rFonts w:eastAsiaTheme="minorHAnsi"/>
          <w:color w:val="000000" w:themeColor="text1"/>
        </w:rPr>
        <w:t xml:space="preserve">1934). </w:t>
      </w:r>
      <w:r w:rsidRPr="003E7DB9">
        <w:rPr>
          <w:rFonts w:eastAsiaTheme="minorHAnsi"/>
          <w:color w:val="000000"/>
        </w:rPr>
        <w:t xml:space="preserve">The Stormont Papers 35:73. </w:t>
      </w:r>
      <w:r w:rsidR="00AF24B0" w:rsidRPr="003E7DB9">
        <w:rPr>
          <w:color w:val="000000" w:themeColor="text1"/>
        </w:rPr>
        <w:t xml:space="preserve">Available from: </w:t>
      </w:r>
      <w:r w:rsidRPr="003E7DB9">
        <w:rPr>
          <w:rFonts w:eastAsiaTheme="minorHAnsi"/>
          <w:color w:val="000000"/>
        </w:rPr>
        <w:t>http://stormontpapers.ahds.ac.uk/pageview.html/.</w:t>
      </w:r>
    </w:p>
    <w:p w14:paraId="4A7C5215" w14:textId="77777777" w:rsidR="00013F95" w:rsidRPr="003E7DB9" w:rsidRDefault="00013F95" w:rsidP="00013F95">
      <w:pPr>
        <w:spacing w:line="276" w:lineRule="auto"/>
        <w:rPr>
          <w:rStyle w:val="Hyperlink"/>
          <w:color w:val="000000" w:themeColor="text1"/>
          <w:highlight w:val="green"/>
        </w:rPr>
      </w:pPr>
    </w:p>
    <w:p w14:paraId="1E65DE60" w14:textId="77777777" w:rsidR="00013F95" w:rsidRPr="003E7DB9" w:rsidRDefault="00013F95" w:rsidP="00013F95">
      <w:r w:rsidRPr="003E7DB9">
        <w:t xml:space="preserve">Department for Transport (n.d.) </w:t>
      </w:r>
      <w:r w:rsidRPr="003E7DB9">
        <w:rPr>
          <w:i/>
        </w:rPr>
        <w:t>National Travel Survey 2014: Travel to school.</w:t>
      </w:r>
    </w:p>
    <w:p w14:paraId="2E2AC152" w14:textId="77777777" w:rsidR="00A314D5" w:rsidRPr="003E7DB9" w:rsidRDefault="00A314D5" w:rsidP="00A314D5">
      <w:pPr>
        <w:spacing w:line="276" w:lineRule="auto"/>
        <w:rPr>
          <w:rStyle w:val="Hyperlink"/>
          <w:color w:val="000000" w:themeColor="text1"/>
          <w:highlight w:val="green"/>
        </w:rPr>
      </w:pPr>
    </w:p>
    <w:p w14:paraId="1A71A331" w14:textId="3B6445CE" w:rsidR="003168B2" w:rsidRPr="003E7DB9" w:rsidRDefault="00A758FE" w:rsidP="003168B2">
      <w:r w:rsidRPr="003E7DB9">
        <w:rPr>
          <w:rStyle w:val="Hyperlink"/>
          <w:color w:val="000000" w:themeColor="text1"/>
          <w:u w:val="none"/>
        </w:rPr>
        <w:t>Department of Education Northern Ireland (</w:t>
      </w:r>
      <w:r w:rsidR="003168B2" w:rsidRPr="003E7DB9">
        <w:t>DENI</w:t>
      </w:r>
      <w:r w:rsidRPr="003E7DB9">
        <w:t>)</w:t>
      </w:r>
      <w:r w:rsidR="003168B2" w:rsidRPr="003E7DB9">
        <w:t xml:space="preserve"> (2009) </w:t>
      </w:r>
      <w:r w:rsidR="003168B2" w:rsidRPr="003E7DB9">
        <w:rPr>
          <w:i/>
          <w:iCs/>
        </w:rPr>
        <w:t>Schools for the Future: A Policy for Sustainable Schools</w:t>
      </w:r>
      <w:r w:rsidR="003168B2" w:rsidRPr="003E7DB9">
        <w:t>. Department of Education, Bangor</w:t>
      </w:r>
      <w:r w:rsidR="00CC0BF4" w:rsidRPr="003E7DB9">
        <w:t>.</w:t>
      </w:r>
    </w:p>
    <w:p w14:paraId="3BEA4728" w14:textId="25B895F6" w:rsidR="00A758FE" w:rsidRPr="003E7DB9" w:rsidRDefault="00A758FE" w:rsidP="003168B2"/>
    <w:p w14:paraId="355DBC55" w14:textId="7A788F49" w:rsidR="00A758FE" w:rsidRPr="003E7DB9" w:rsidRDefault="00A758FE" w:rsidP="003168B2">
      <w:pPr>
        <w:rPr>
          <w:rStyle w:val="Hyperlink"/>
        </w:rPr>
      </w:pPr>
      <w:r w:rsidRPr="003E7DB9">
        <w:rPr>
          <w:rStyle w:val="Hyperlink"/>
          <w:color w:val="000000" w:themeColor="text1"/>
          <w:u w:val="none"/>
        </w:rPr>
        <w:t xml:space="preserve">Department of Education Northern Ireland (DENI) (2019) </w:t>
      </w:r>
      <w:r w:rsidRPr="003E7DB9">
        <w:rPr>
          <w:rStyle w:val="Hyperlink"/>
          <w:i/>
          <w:iCs/>
          <w:color w:val="000000" w:themeColor="text1"/>
          <w:u w:val="none"/>
        </w:rPr>
        <w:t>School Enrolment – school level data 2018/19</w:t>
      </w:r>
      <w:r w:rsidRPr="003E7DB9">
        <w:rPr>
          <w:rStyle w:val="Hyperlink"/>
          <w:color w:val="000000" w:themeColor="text1"/>
          <w:u w:val="none"/>
        </w:rPr>
        <w:t xml:space="preserve">. </w:t>
      </w:r>
      <w:r w:rsidR="00AF24B0" w:rsidRPr="003E7DB9">
        <w:rPr>
          <w:color w:val="000000" w:themeColor="text1"/>
        </w:rPr>
        <w:t xml:space="preserve">Available from: </w:t>
      </w:r>
      <w:r w:rsidRPr="003E7DB9">
        <w:t>https://www.education-ni.gov.uk/publications/school-enrolment-school-level-data-201819</w:t>
      </w:r>
    </w:p>
    <w:p w14:paraId="12D5D5C6" w14:textId="3076B937" w:rsidR="00013F95" w:rsidRPr="003E7DB9" w:rsidRDefault="00013F95" w:rsidP="003168B2">
      <w:pPr>
        <w:rPr>
          <w:rStyle w:val="Hyperlink"/>
        </w:rPr>
      </w:pPr>
    </w:p>
    <w:p w14:paraId="55AC33DE" w14:textId="3748F35E" w:rsidR="00013F95" w:rsidRPr="003E7DB9" w:rsidRDefault="00013F95" w:rsidP="003168B2">
      <w:pPr>
        <w:rPr>
          <w:rStyle w:val="Hyperlink"/>
          <w:color w:val="000000" w:themeColor="text1"/>
          <w:u w:val="none"/>
        </w:rPr>
      </w:pPr>
      <w:r w:rsidRPr="003E7DB9">
        <w:rPr>
          <w:rStyle w:val="Hyperlink"/>
          <w:color w:val="000000" w:themeColor="text1"/>
          <w:u w:val="none"/>
        </w:rPr>
        <w:t xml:space="preserve">Department of Education Northern Ireland (DENI) </w:t>
      </w:r>
      <w:r w:rsidR="005843B2" w:rsidRPr="003E7DB9">
        <w:rPr>
          <w:rStyle w:val="Hyperlink"/>
          <w:color w:val="000000" w:themeColor="text1"/>
          <w:u w:val="none"/>
        </w:rPr>
        <w:t>(</w:t>
      </w:r>
      <w:r w:rsidR="00CB5E48" w:rsidRPr="003E7DB9">
        <w:rPr>
          <w:rStyle w:val="Hyperlink"/>
          <w:color w:val="000000" w:themeColor="text1"/>
          <w:u w:val="none"/>
        </w:rPr>
        <w:t>2018</w:t>
      </w:r>
      <w:r w:rsidR="005843B2" w:rsidRPr="003E7DB9">
        <w:rPr>
          <w:rStyle w:val="Hyperlink"/>
          <w:color w:val="000000" w:themeColor="text1"/>
          <w:u w:val="none"/>
        </w:rPr>
        <w:t xml:space="preserve">) </w:t>
      </w:r>
      <w:r w:rsidR="005843B2" w:rsidRPr="003E7DB9">
        <w:rPr>
          <w:rStyle w:val="Hyperlink"/>
          <w:i/>
          <w:iCs/>
          <w:color w:val="000000" w:themeColor="text1"/>
          <w:u w:val="none"/>
        </w:rPr>
        <w:t>Education Workforce Statistics 2018/19</w:t>
      </w:r>
      <w:r w:rsidR="005843B2" w:rsidRPr="003E7DB9">
        <w:rPr>
          <w:rStyle w:val="Hyperlink"/>
          <w:color w:val="000000" w:themeColor="text1"/>
          <w:u w:val="none"/>
        </w:rPr>
        <w:t xml:space="preserve"> </w:t>
      </w:r>
      <w:r w:rsidR="00AF24B0" w:rsidRPr="003E7DB9">
        <w:rPr>
          <w:color w:val="000000" w:themeColor="text1"/>
        </w:rPr>
        <w:t xml:space="preserve">Available from: </w:t>
      </w:r>
      <w:r w:rsidR="005843B2" w:rsidRPr="003E7DB9">
        <w:rPr>
          <w:rStyle w:val="Hyperlink"/>
          <w:color w:val="000000" w:themeColor="text1"/>
          <w:u w:val="none"/>
        </w:rPr>
        <w:t>https://www.education-ni.gov.uk/publications/teacher-workforce-statistics-201819</w:t>
      </w:r>
    </w:p>
    <w:p w14:paraId="6D739B2C" w14:textId="77777777" w:rsidR="00F85101" w:rsidRPr="003E7DB9" w:rsidRDefault="00F85101" w:rsidP="000A05C7">
      <w:pPr>
        <w:spacing w:line="276" w:lineRule="auto"/>
        <w:rPr>
          <w:rStyle w:val="Hyperlink"/>
          <w:color w:val="000000" w:themeColor="text1"/>
        </w:rPr>
      </w:pPr>
    </w:p>
    <w:p w14:paraId="5F6124DE" w14:textId="057F29F0" w:rsidR="0048353F" w:rsidRPr="003E7DB9" w:rsidRDefault="0048353F" w:rsidP="000A05C7">
      <w:pPr>
        <w:spacing w:line="276" w:lineRule="auto"/>
      </w:pPr>
      <w:r w:rsidRPr="003E7DB9">
        <w:rPr>
          <w:rStyle w:val="Hyperlink"/>
          <w:color w:val="000000" w:themeColor="text1"/>
          <w:u w:val="none"/>
        </w:rPr>
        <w:t>Department of Education Northern Ireland (DENI) (</w:t>
      </w:r>
      <w:r w:rsidR="00076C03" w:rsidRPr="003E7DB9">
        <w:rPr>
          <w:rStyle w:val="Hyperlink"/>
          <w:color w:val="000000" w:themeColor="text1"/>
          <w:u w:val="none"/>
        </w:rPr>
        <w:t>n.d.</w:t>
      </w:r>
      <w:r w:rsidRPr="003E7DB9">
        <w:rPr>
          <w:rStyle w:val="Hyperlink"/>
          <w:color w:val="000000" w:themeColor="text1"/>
          <w:u w:val="none"/>
        </w:rPr>
        <w:t xml:space="preserve">) </w:t>
      </w:r>
      <w:r w:rsidRPr="003E7DB9">
        <w:rPr>
          <w:rStyle w:val="Hyperlink"/>
          <w:i/>
          <w:iCs/>
          <w:color w:val="000000" w:themeColor="text1"/>
          <w:u w:val="none"/>
        </w:rPr>
        <w:t>Common Funding</w:t>
      </w:r>
      <w:r w:rsidR="00AF24B0" w:rsidRPr="003E7DB9">
        <w:rPr>
          <w:rStyle w:val="Hyperlink"/>
          <w:i/>
          <w:iCs/>
          <w:color w:val="000000" w:themeColor="text1"/>
          <w:u w:val="none"/>
        </w:rPr>
        <w:t xml:space="preserve"> </w:t>
      </w:r>
      <w:r w:rsidR="00AF24B0" w:rsidRPr="003E7DB9">
        <w:rPr>
          <w:color w:val="000000" w:themeColor="text1"/>
        </w:rPr>
        <w:t>Available from:</w:t>
      </w:r>
    </w:p>
    <w:p w14:paraId="7DCD0AD0" w14:textId="5D13770A" w:rsidR="0048353F" w:rsidRPr="003E7DB9" w:rsidRDefault="00076C03" w:rsidP="000A05C7">
      <w:pPr>
        <w:spacing w:line="276" w:lineRule="auto"/>
        <w:rPr>
          <w:rStyle w:val="Hyperlink"/>
        </w:rPr>
      </w:pPr>
      <w:r w:rsidRPr="003E7DB9">
        <w:t>https://www.education-ni.gov.uk/articles/common-funding</w:t>
      </w:r>
    </w:p>
    <w:p w14:paraId="4D4FAF71" w14:textId="050A66C2" w:rsidR="00B94226" w:rsidRPr="003E7DB9" w:rsidRDefault="00B94226" w:rsidP="000A05C7">
      <w:pPr>
        <w:spacing w:line="276" w:lineRule="auto"/>
        <w:rPr>
          <w:rStyle w:val="Hyperlink"/>
          <w:highlight w:val="green"/>
        </w:rPr>
      </w:pPr>
    </w:p>
    <w:p w14:paraId="7B14D8BF" w14:textId="33E36FE8" w:rsidR="00B94226" w:rsidRPr="003E7DB9" w:rsidRDefault="00B94226" w:rsidP="00AF24B0">
      <w:pPr>
        <w:autoSpaceDE w:val="0"/>
        <w:autoSpaceDN w:val="0"/>
        <w:adjustRightInd w:val="0"/>
        <w:rPr>
          <w:rFonts w:eastAsiaTheme="minorHAnsi"/>
          <w:color w:val="000000" w:themeColor="text1"/>
        </w:rPr>
      </w:pPr>
      <w:r w:rsidRPr="003E7DB9">
        <w:rPr>
          <w:rStyle w:val="Hyperlink"/>
          <w:color w:val="000000" w:themeColor="text1"/>
          <w:u w:val="none"/>
        </w:rPr>
        <w:t xml:space="preserve">Deloitte (2007) </w:t>
      </w:r>
      <w:r w:rsidRPr="003E7DB9">
        <w:rPr>
          <w:rFonts w:eastAsiaTheme="minorHAnsi"/>
          <w:i/>
          <w:iCs/>
          <w:color w:val="000000" w:themeColor="text1"/>
        </w:rPr>
        <w:t>Research into the financial cost of the Northern Ireland divide</w:t>
      </w:r>
      <w:r w:rsidRPr="003E7DB9">
        <w:rPr>
          <w:rStyle w:val="Hyperlink"/>
          <w:color w:val="000000" w:themeColor="text1"/>
          <w:u w:val="none"/>
        </w:rPr>
        <w:t xml:space="preserve"> April 2007</w:t>
      </w:r>
      <w:r w:rsidR="00AF24B0" w:rsidRPr="003E7DB9">
        <w:rPr>
          <w:rStyle w:val="Hyperlink"/>
          <w:color w:val="000000" w:themeColor="text1"/>
          <w:u w:val="none"/>
        </w:rPr>
        <w:t>.</w:t>
      </w:r>
      <w:r w:rsidRPr="003E7DB9">
        <w:rPr>
          <w:rStyle w:val="Hyperlink"/>
          <w:color w:val="000000" w:themeColor="text1"/>
          <w:u w:val="none"/>
        </w:rPr>
        <w:t xml:space="preserve"> Available </w:t>
      </w:r>
      <w:r w:rsidR="00AF24B0" w:rsidRPr="003E7DB9">
        <w:rPr>
          <w:rStyle w:val="Hyperlink"/>
          <w:color w:val="000000" w:themeColor="text1"/>
          <w:u w:val="none"/>
        </w:rPr>
        <w:t>from:</w:t>
      </w:r>
      <w:r w:rsidRPr="003E7DB9">
        <w:rPr>
          <w:rStyle w:val="Hyperlink"/>
          <w:color w:val="000000" w:themeColor="text1"/>
          <w:u w:val="none"/>
        </w:rPr>
        <w:t xml:space="preserve"> https://cain.ulster.ac.uk/issues/segregat/docs/deloitte0407.pdf</w:t>
      </w:r>
    </w:p>
    <w:p w14:paraId="62E2B5E3" w14:textId="2E68AB5E" w:rsidR="00553A61" w:rsidRPr="003E7DB9" w:rsidRDefault="00553A61" w:rsidP="00E7790B">
      <w:pPr>
        <w:rPr>
          <w:highlight w:val="green"/>
        </w:rPr>
      </w:pPr>
    </w:p>
    <w:p w14:paraId="5604CD8A" w14:textId="20FCDAE2" w:rsidR="00E7790B" w:rsidRPr="003E7DB9" w:rsidRDefault="00553A61" w:rsidP="004E4A20">
      <w:r w:rsidRPr="003E7DB9">
        <w:rPr>
          <w:color w:val="000000"/>
        </w:rPr>
        <w:t xml:space="preserve">Education and Training Inspectorate (2018) </w:t>
      </w:r>
      <w:r w:rsidRPr="003E7DB9">
        <w:rPr>
          <w:i/>
          <w:iCs/>
          <w:color w:val="000000"/>
        </w:rPr>
        <w:t xml:space="preserve">The Shared Education Signature Project Evaluation Report. </w:t>
      </w:r>
      <w:r w:rsidRPr="003E7DB9">
        <w:rPr>
          <w:color w:val="000000"/>
        </w:rPr>
        <w:t xml:space="preserve">Available </w:t>
      </w:r>
      <w:r w:rsidR="00AF24B0" w:rsidRPr="003E7DB9">
        <w:rPr>
          <w:color w:val="000000"/>
        </w:rPr>
        <w:t>from</w:t>
      </w:r>
      <w:r w:rsidRPr="003E7DB9">
        <w:rPr>
          <w:color w:val="000000"/>
        </w:rPr>
        <w:t xml:space="preserve">: </w:t>
      </w:r>
      <w:r w:rsidRPr="003E7DB9">
        <w:rPr>
          <w:color w:val="000000" w:themeColor="text1"/>
        </w:rPr>
        <w:t>https://www.etini.gov.uk/sites/etini.gov.uk/files/publications/shared-education-signature-project-evaluation-report.pdf</w:t>
      </w:r>
      <w:r w:rsidRPr="003E7DB9">
        <w:rPr>
          <w:color w:val="000000"/>
        </w:rPr>
        <w:t>.</w:t>
      </w:r>
    </w:p>
    <w:p w14:paraId="0D130164" w14:textId="77777777" w:rsidR="004E4A20" w:rsidRPr="003E7DB9" w:rsidRDefault="004E4A20" w:rsidP="004E4A20">
      <w:pPr>
        <w:rPr>
          <w:highlight w:val="green"/>
        </w:rPr>
      </w:pPr>
    </w:p>
    <w:p w14:paraId="03FD5662" w14:textId="581916AB" w:rsidR="0013451C" w:rsidRPr="003E7DB9" w:rsidRDefault="003168B2" w:rsidP="007D4266">
      <w:pPr>
        <w:pStyle w:val="FootnoteText"/>
        <w:rPr>
          <w:rFonts w:ascii="Times New Roman" w:hAnsi="Times New Roman" w:cs="Times New Roman"/>
          <w:sz w:val="24"/>
          <w:szCs w:val="24"/>
          <w:lang w:val="en-US"/>
        </w:rPr>
      </w:pPr>
      <w:r w:rsidRPr="003E7DB9">
        <w:rPr>
          <w:rStyle w:val="Hyperlink"/>
          <w:rFonts w:ascii="Times New Roman" w:eastAsiaTheme="minorHAnsi" w:hAnsi="Times New Roman" w:cs="Times New Roman"/>
          <w:color w:val="000000" w:themeColor="text1"/>
          <w:sz w:val="24"/>
          <w:szCs w:val="24"/>
          <w:u w:val="none"/>
          <w:lang w:val="en-US"/>
        </w:rPr>
        <w:t xml:space="preserve">Education Authority (2017) </w:t>
      </w:r>
      <w:r w:rsidRPr="003E7DB9">
        <w:rPr>
          <w:rStyle w:val="Hyperlink"/>
          <w:rFonts w:ascii="Times New Roman" w:eastAsiaTheme="minorHAnsi" w:hAnsi="Times New Roman" w:cs="Times New Roman"/>
          <w:i/>
          <w:iCs/>
          <w:color w:val="000000" w:themeColor="text1"/>
          <w:sz w:val="24"/>
          <w:szCs w:val="24"/>
          <w:u w:val="none"/>
          <w:lang w:val="en-US"/>
        </w:rPr>
        <w:t>Providing Pathways: Strategic Area Plan for School Provision 2017-2020</w:t>
      </w:r>
      <w:r w:rsidR="00A614FE" w:rsidRPr="003E7DB9">
        <w:rPr>
          <w:rStyle w:val="Hyperlink"/>
          <w:rFonts w:ascii="Times New Roman" w:eastAsiaTheme="minorHAnsi" w:hAnsi="Times New Roman" w:cs="Times New Roman"/>
          <w:i/>
          <w:iCs/>
          <w:color w:val="000000" w:themeColor="text1"/>
          <w:sz w:val="24"/>
          <w:szCs w:val="24"/>
          <w:u w:val="none"/>
          <w:lang w:val="en-US"/>
        </w:rPr>
        <w:t>.</w:t>
      </w:r>
    </w:p>
    <w:p w14:paraId="3FA039A9" w14:textId="035F36CC" w:rsidR="005256CD" w:rsidRPr="003E7DB9" w:rsidRDefault="005256CD" w:rsidP="004E4A20">
      <w:pPr>
        <w:rPr>
          <w:rFonts w:eastAsiaTheme="minorHAnsi"/>
          <w:color w:val="000000"/>
          <w:highlight w:val="green"/>
        </w:rPr>
      </w:pPr>
    </w:p>
    <w:p w14:paraId="4AE0F4B8" w14:textId="2E56351C" w:rsidR="00D17AD1" w:rsidRPr="003E7DB9" w:rsidRDefault="00D17AD1" w:rsidP="00D17AD1">
      <w:pPr>
        <w:autoSpaceDE w:val="0"/>
        <w:autoSpaceDN w:val="0"/>
        <w:adjustRightInd w:val="0"/>
        <w:rPr>
          <w:rFonts w:eastAsiaTheme="minorHAnsi"/>
        </w:rPr>
      </w:pPr>
      <w:r w:rsidRPr="003E7DB9">
        <w:rPr>
          <w:rFonts w:eastAsiaTheme="minorHAnsi"/>
        </w:rPr>
        <w:t xml:space="preserve">Feldman, A. F., and </w:t>
      </w:r>
      <w:proofErr w:type="spellStart"/>
      <w:r w:rsidRPr="003E7DB9">
        <w:rPr>
          <w:rFonts w:eastAsiaTheme="minorHAnsi"/>
        </w:rPr>
        <w:t>Matjasko</w:t>
      </w:r>
      <w:proofErr w:type="spellEnd"/>
      <w:r w:rsidRPr="003E7DB9">
        <w:rPr>
          <w:rFonts w:eastAsiaTheme="minorHAnsi"/>
        </w:rPr>
        <w:t xml:space="preserve">, J. L. (2007). Profiles and portfolios of adolescent </w:t>
      </w:r>
      <w:proofErr w:type="spellStart"/>
      <w:r w:rsidRPr="003E7DB9">
        <w:rPr>
          <w:rFonts w:eastAsiaTheme="minorHAnsi"/>
        </w:rPr>
        <w:t>schoolbased</w:t>
      </w:r>
      <w:proofErr w:type="spellEnd"/>
    </w:p>
    <w:p w14:paraId="76C5D499" w14:textId="53CF2D07" w:rsidR="00D17AD1" w:rsidRDefault="00D17AD1" w:rsidP="00D17AD1">
      <w:pPr>
        <w:rPr>
          <w:rFonts w:eastAsiaTheme="minorHAnsi"/>
        </w:rPr>
      </w:pPr>
      <w:r w:rsidRPr="003E7DB9">
        <w:rPr>
          <w:rFonts w:eastAsiaTheme="minorHAnsi"/>
        </w:rPr>
        <w:t xml:space="preserve">extracurricular activity participation. </w:t>
      </w:r>
      <w:r w:rsidRPr="003E7DB9">
        <w:rPr>
          <w:rFonts w:eastAsiaTheme="minorHAnsi"/>
          <w:i/>
          <w:iCs/>
        </w:rPr>
        <w:t>Journal of Adolescence</w:t>
      </w:r>
      <w:r w:rsidRPr="003E7DB9">
        <w:rPr>
          <w:rFonts w:eastAsiaTheme="minorHAnsi"/>
        </w:rPr>
        <w:t>, 30, 313–332.</w:t>
      </w:r>
    </w:p>
    <w:p w14:paraId="4DFF564F" w14:textId="579EFCB3" w:rsidR="005410A4" w:rsidRDefault="005410A4" w:rsidP="00D17AD1">
      <w:pPr>
        <w:rPr>
          <w:rFonts w:eastAsiaTheme="minorHAnsi"/>
        </w:rPr>
      </w:pPr>
    </w:p>
    <w:p w14:paraId="6218D599" w14:textId="79B7AE7A" w:rsidR="005410A4" w:rsidRDefault="005410A4" w:rsidP="005410A4">
      <w:proofErr w:type="spellStart"/>
      <w:r>
        <w:t>Flecknoe</w:t>
      </w:r>
      <w:proofErr w:type="spellEnd"/>
      <w:r>
        <w:t xml:space="preserve">, M. (2003) Why do parents choose small schools? A review of the literature. </w:t>
      </w:r>
      <w:r>
        <w:rPr>
          <w:i/>
          <w:iCs/>
        </w:rPr>
        <w:t>Improving Schools</w:t>
      </w:r>
      <w:r>
        <w:t xml:space="preserve">, </w:t>
      </w:r>
      <w:r>
        <w:rPr>
          <w:i/>
          <w:iCs/>
        </w:rPr>
        <w:t>6</w:t>
      </w:r>
      <w:r>
        <w:t>(3):45-60.</w:t>
      </w:r>
    </w:p>
    <w:p w14:paraId="4F416E81" w14:textId="77777777" w:rsidR="00D17AD1" w:rsidRPr="003E7DB9" w:rsidRDefault="00D17AD1" w:rsidP="00D17AD1">
      <w:pPr>
        <w:rPr>
          <w:rFonts w:eastAsiaTheme="minorHAnsi"/>
          <w:color w:val="000000"/>
          <w:highlight w:val="green"/>
        </w:rPr>
      </w:pPr>
    </w:p>
    <w:p w14:paraId="6789D4B8" w14:textId="068AAF82" w:rsidR="005256CD" w:rsidRPr="003E7DB9" w:rsidRDefault="005256CD" w:rsidP="004E4A20">
      <w:pPr>
        <w:rPr>
          <w:rFonts w:eastAsiaTheme="minorHAnsi"/>
          <w:color w:val="000000"/>
        </w:rPr>
      </w:pPr>
      <w:r w:rsidRPr="003E7DB9">
        <w:rPr>
          <w:rFonts w:eastAsiaTheme="minorHAnsi"/>
          <w:color w:val="000000"/>
        </w:rPr>
        <w:t xml:space="preserve">Gallagher, T. (2019) </w:t>
      </w:r>
      <w:r w:rsidRPr="003E7DB9">
        <w:rPr>
          <w:rFonts w:eastAsiaTheme="minorHAnsi"/>
          <w:i/>
          <w:iCs/>
          <w:color w:val="000000"/>
        </w:rPr>
        <w:t>Education, Equality and the Economy</w:t>
      </w:r>
      <w:r w:rsidRPr="003E7DB9">
        <w:rPr>
          <w:rFonts w:eastAsiaTheme="minorHAnsi"/>
          <w:color w:val="000000"/>
        </w:rPr>
        <w:t xml:space="preserve">. Queen’s University Belfast, Belfast </w:t>
      </w:r>
      <w:r w:rsidR="00AF24B0" w:rsidRPr="003E7DB9">
        <w:rPr>
          <w:color w:val="000000" w:themeColor="text1"/>
        </w:rPr>
        <w:t xml:space="preserve">Available from: </w:t>
      </w:r>
      <w:r w:rsidRPr="003E7DB9">
        <w:rPr>
          <w:rFonts w:eastAsiaTheme="minorHAnsi"/>
        </w:rPr>
        <w:t>https://www.qub.ac.uk/home/Filestore/Filetoupload,925382,en.pdf</w:t>
      </w:r>
      <w:r w:rsidR="004E4A20" w:rsidRPr="003E7DB9">
        <w:rPr>
          <w:rStyle w:val="Hyperlink"/>
          <w:rFonts w:eastAsiaTheme="minorHAnsi"/>
          <w:color w:val="000000" w:themeColor="text1"/>
          <w:u w:val="none"/>
        </w:rPr>
        <w:t>.</w:t>
      </w:r>
    </w:p>
    <w:p w14:paraId="5743E325" w14:textId="77777777" w:rsidR="0013451C" w:rsidRPr="003E7DB9" w:rsidRDefault="0013451C" w:rsidP="004E4A20">
      <w:pPr>
        <w:rPr>
          <w:rFonts w:eastAsiaTheme="minorHAnsi"/>
          <w:i/>
          <w:iCs/>
          <w:highlight w:val="green"/>
          <w:lang w:val="en-US"/>
        </w:rPr>
      </w:pPr>
    </w:p>
    <w:p w14:paraId="55145200" w14:textId="0CF3E93F" w:rsidR="00EC571A" w:rsidRPr="003E7DB9" w:rsidRDefault="0068313E" w:rsidP="004E4A20">
      <w:pPr>
        <w:rPr>
          <w:rFonts w:eastAsiaTheme="minorEastAsia"/>
          <w:color w:val="000000"/>
          <w:lang w:val="en-US"/>
        </w:rPr>
      </w:pPr>
      <w:r w:rsidRPr="003E7DB9">
        <w:rPr>
          <w:rFonts w:eastAsiaTheme="minorEastAsia"/>
          <w:color w:val="000000"/>
          <w:lang w:val="en-US"/>
        </w:rPr>
        <w:t>Gardner, J. (</w:t>
      </w:r>
      <w:r w:rsidRPr="003E7DB9">
        <w:rPr>
          <w:rFonts w:eastAsiaTheme="minorEastAsia"/>
          <w:color w:val="000085"/>
          <w:lang w:val="en-US"/>
        </w:rPr>
        <w:t>2016</w:t>
      </w:r>
      <w:r w:rsidRPr="003E7DB9">
        <w:rPr>
          <w:rFonts w:eastAsiaTheme="minorEastAsia"/>
          <w:color w:val="000000"/>
          <w:lang w:val="en-US"/>
        </w:rPr>
        <w:t xml:space="preserve">) Education in Northern Ireland since the Good Friday Agreement: Kabuki Theatre Meets </w:t>
      </w:r>
      <w:proofErr w:type="spellStart"/>
      <w:r w:rsidRPr="003E7DB9">
        <w:rPr>
          <w:rFonts w:eastAsiaTheme="minorEastAsia"/>
          <w:color w:val="000000"/>
          <w:lang w:val="en-US"/>
        </w:rPr>
        <w:t>Danse</w:t>
      </w:r>
      <w:proofErr w:type="spellEnd"/>
      <w:r w:rsidRPr="003E7DB9">
        <w:rPr>
          <w:rFonts w:eastAsiaTheme="minorEastAsia"/>
          <w:color w:val="000000"/>
          <w:lang w:val="en-US"/>
        </w:rPr>
        <w:t xml:space="preserve"> Macabre. </w:t>
      </w:r>
      <w:r w:rsidRPr="003E7DB9">
        <w:rPr>
          <w:rFonts w:eastAsiaTheme="minorEastAsia"/>
          <w:i/>
          <w:iCs/>
          <w:color w:val="000000"/>
          <w:lang w:val="en-US"/>
        </w:rPr>
        <w:t>Oxford Review of Education</w:t>
      </w:r>
      <w:r w:rsidRPr="003E7DB9">
        <w:rPr>
          <w:rFonts w:eastAsiaTheme="minorEastAsia"/>
          <w:color w:val="000000"/>
          <w:lang w:val="en-US"/>
        </w:rPr>
        <w:t xml:space="preserve"> 42 (3)</w:t>
      </w:r>
      <w:r w:rsidR="00A614FE" w:rsidRPr="003E7DB9">
        <w:rPr>
          <w:rFonts w:eastAsiaTheme="minorEastAsia"/>
          <w:color w:val="000000"/>
          <w:lang w:val="en-US"/>
        </w:rPr>
        <w:t>.</w:t>
      </w:r>
    </w:p>
    <w:p w14:paraId="6883CAAB" w14:textId="2302E554" w:rsidR="000B5EB1" w:rsidRPr="003E7DB9" w:rsidRDefault="000B5EB1" w:rsidP="004E4A20">
      <w:pPr>
        <w:rPr>
          <w:color w:val="000000" w:themeColor="text1"/>
          <w:highlight w:val="green"/>
        </w:rPr>
      </w:pPr>
    </w:p>
    <w:p w14:paraId="41248DE0" w14:textId="3A553F60" w:rsidR="000B5EB1" w:rsidRDefault="000B5EB1" w:rsidP="0068313E">
      <w:pPr>
        <w:spacing w:line="276" w:lineRule="auto"/>
        <w:rPr>
          <w:color w:val="000000"/>
          <w:lang w:val="en-US"/>
        </w:rPr>
      </w:pPr>
      <w:r w:rsidRPr="003E7DB9">
        <w:rPr>
          <w:color w:val="000000"/>
          <w:lang w:val="en-US"/>
        </w:rPr>
        <w:t xml:space="preserve">Hamilton, J., Hansson, U., Bell, J., and </w:t>
      </w:r>
      <w:proofErr w:type="spellStart"/>
      <w:r w:rsidRPr="003E7DB9">
        <w:rPr>
          <w:color w:val="000000"/>
          <w:lang w:val="en-US"/>
        </w:rPr>
        <w:t>Toucas</w:t>
      </w:r>
      <w:proofErr w:type="spellEnd"/>
      <w:r w:rsidRPr="003E7DB9">
        <w:rPr>
          <w:color w:val="000000"/>
          <w:lang w:val="en-US"/>
        </w:rPr>
        <w:t>, S. (</w:t>
      </w:r>
      <w:r w:rsidRPr="003E7DB9">
        <w:rPr>
          <w:color w:val="000000" w:themeColor="text1"/>
          <w:lang w:val="en-US"/>
        </w:rPr>
        <w:t>2008</w:t>
      </w:r>
      <w:r w:rsidRPr="003E7DB9">
        <w:rPr>
          <w:color w:val="000000"/>
          <w:lang w:val="en-US"/>
        </w:rPr>
        <w:t xml:space="preserve">) </w:t>
      </w:r>
      <w:r w:rsidRPr="003E7DB9">
        <w:rPr>
          <w:i/>
          <w:iCs/>
          <w:color w:val="000000"/>
          <w:lang w:val="en-US"/>
        </w:rPr>
        <w:t>Segregated Lives: Social Division, Sectarianism and Everyday Life</w:t>
      </w:r>
      <w:r w:rsidRPr="003E7DB9">
        <w:rPr>
          <w:i/>
          <w:iCs/>
        </w:rPr>
        <w:t xml:space="preserve"> </w:t>
      </w:r>
      <w:r w:rsidRPr="003E7DB9">
        <w:rPr>
          <w:i/>
          <w:iCs/>
          <w:color w:val="000000"/>
          <w:lang w:val="en-US"/>
        </w:rPr>
        <w:t>in Northern Ireland.</w:t>
      </w:r>
      <w:r w:rsidRPr="003E7DB9">
        <w:rPr>
          <w:color w:val="000000"/>
          <w:lang w:val="en-US"/>
        </w:rPr>
        <w:t xml:space="preserve"> Belfast: Institute of Conflict Research</w:t>
      </w:r>
      <w:r w:rsidR="00A614FE" w:rsidRPr="003E7DB9">
        <w:rPr>
          <w:color w:val="000000"/>
          <w:lang w:val="en-US"/>
        </w:rPr>
        <w:t>.</w:t>
      </w:r>
    </w:p>
    <w:p w14:paraId="736D185E" w14:textId="3B4CCDD4" w:rsidR="00DA1F4A" w:rsidRPr="00DA1F4A" w:rsidRDefault="00DA1F4A" w:rsidP="0068313E">
      <w:pPr>
        <w:spacing w:line="276" w:lineRule="auto"/>
        <w:rPr>
          <w:color w:val="000000"/>
          <w:lang w:val="en-US"/>
        </w:rPr>
      </w:pPr>
    </w:p>
    <w:p w14:paraId="747D2653" w14:textId="5E00ED05" w:rsidR="00DA1F4A" w:rsidRPr="00DA1F4A" w:rsidRDefault="00DA1F4A" w:rsidP="00DA1F4A">
      <w:pPr>
        <w:autoSpaceDE w:val="0"/>
        <w:autoSpaceDN w:val="0"/>
        <w:adjustRightInd w:val="0"/>
        <w:rPr>
          <w:rFonts w:eastAsiaTheme="minorHAnsi"/>
        </w:rPr>
      </w:pPr>
      <w:r w:rsidRPr="00DA1F4A">
        <w:rPr>
          <w:rFonts w:eastAsiaTheme="minorHAnsi"/>
        </w:rPr>
        <w:t xml:space="preserve">Harris, R. (1972). </w:t>
      </w:r>
      <w:r w:rsidRPr="00DA1F4A">
        <w:rPr>
          <w:rFonts w:eastAsiaTheme="minorHAnsi"/>
          <w:i/>
          <w:iCs/>
        </w:rPr>
        <w:t>Prejudice and tolerance in Ulster: A study of neighbours and strangers in a border community</w:t>
      </w:r>
      <w:r w:rsidRPr="00DA1F4A">
        <w:rPr>
          <w:rFonts w:eastAsiaTheme="minorHAnsi"/>
        </w:rPr>
        <w:t>. Manchester: Manchester University Press.</w:t>
      </w:r>
    </w:p>
    <w:p w14:paraId="74B17A68" w14:textId="77777777" w:rsidR="00DA1F4A" w:rsidRPr="00DA1F4A" w:rsidRDefault="00DA1F4A" w:rsidP="00DA1F4A">
      <w:pPr>
        <w:autoSpaceDE w:val="0"/>
        <w:autoSpaceDN w:val="0"/>
        <w:adjustRightInd w:val="0"/>
        <w:rPr>
          <w:rFonts w:eastAsiaTheme="minorHAnsi"/>
        </w:rPr>
      </w:pPr>
    </w:p>
    <w:p w14:paraId="0C810547" w14:textId="23A9909F" w:rsidR="00DA1F4A" w:rsidRDefault="00DA1F4A" w:rsidP="00DA1F4A">
      <w:pPr>
        <w:autoSpaceDE w:val="0"/>
        <w:autoSpaceDN w:val="0"/>
        <w:adjustRightInd w:val="0"/>
        <w:rPr>
          <w:rFonts w:eastAsiaTheme="minorHAnsi"/>
        </w:rPr>
      </w:pPr>
      <w:r w:rsidRPr="00DA1F4A">
        <w:rPr>
          <w:rFonts w:eastAsiaTheme="minorHAnsi"/>
        </w:rPr>
        <w:t>Harris, R. (1979). Community relations in Northern and Southern Ireland:</w:t>
      </w:r>
      <w:r>
        <w:rPr>
          <w:rFonts w:eastAsiaTheme="minorHAnsi"/>
        </w:rPr>
        <w:t xml:space="preserve"> </w:t>
      </w:r>
      <w:r w:rsidRPr="00DA1F4A">
        <w:rPr>
          <w:rFonts w:eastAsiaTheme="minorHAnsi"/>
        </w:rPr>
        <w:t>A</w:t>
      </w:r>
      <w:r>
        <w:rPr>
          <w:rFonts w:eastAsiaTheme="minorHAnsi"/>
        </w:rPr>
        <w:t xml:space="preserve"> </w:t>
      </w:r>
      <w:r w:rsidRPr="00DA1F4A">
        <w:rPr>
          <w:rFonts w:eastAsiaTheme="minorHAnsi"/>
        </w:rPr>
        <w:t>comparison and paradox.</w:t>
      </w:r>
      <w:r>
        <w:rPr>
          <w:rFonts w:eastAsiaTheme="minorHAnsi"/>
        </w:rPr>
        <w:t xml:space="preserve"> </w:t>
      </w:r>
      <w:r w:rsidRPr="00DA1F4A">
        <w:rPr>
          <w:rFonts w:eastAsiaTheme="minorHAnsi"/>
          <w:i/>
          <w:iCs/>
        </w:rPr>
        <w:t>Sociological Review</w:t>
      </w:r>
      <w:r w:rsidRPr="00DA1F4A">
        <w:rPr>
          <w:rFonts w:eastAsiaTheme="minorHAnsi"/>
        </w:rPr>
        <w:t>, 27, 41–53.</w:t>
      </w:r>
    </w:p>
    <w:p w14:paraId="3B1DDBCF" w14:textId="038668F2" w:rsidR="00D21909" w:rsidRDefault="00D21909" w:rsidP="00DA1F4A">
      <w:pPr>
        <w:autoSpaceDE w:val="0"/>
        <w:autoSpaceDN w:val="0"/>
        <w:adjustRightInd w:val="0"/>
        <w:rPr>
          <w:rFonts w:eastAsiaTheme="minorHAnsi"/>
        </w:rPr>
      </w:pPr>
    </w:p>
    <w:p w14:paraId="5674D019" w14:textId="5315B9FE" w:rsidR="00D21909" w:rsidRPr="0004466E" w:rsidRDefault="00D21909" w:rsidP="00D21909">
      <w:pPr>
        <w:autoSpaceDE w:val="0"/>
        <w:autoSpaceDN w:val="0"/>
        <w:adjustRightInd w:val="0"/>
        <w:rPr>
          <w:rFonts w:eastAsiaTheme="minorHAnsi"/>
          <w:color w:val="000000"/>
        </w:rPr>
      </w:pPr>
      <w:r w:rsidRPr="0004466E">
        <w:rPr>
          <w:rFonts w:eastAsiaTheme="minorHAnsi"/>
          <w:color w:val="000000"/>
        </w:rPr>
        <w:lastRenderedPageBreak/>
        <w:t>Hayes, B., McAllister, I., &amp; Dowds, L. (</w:t>
      </w:r>
      <w:r w:rsidRPr="0004466E">
        <w:rPr>
          <w:rFonts w:eastAsiaTheme="minorHAnsi"/>
          <w:color w:val="000085"/>
        </w:rPr>
        <w:t>2007</w:t>
      </w:r>
      <w:r w:rsidRPr="0004466E">
        <w:rPr>
          <w:rFonts w:eastAsiaTheme="minorHAnsi"/>
          <w:color w:val="000000"/>
        </w:rPr>
        <w:t>). Integrated education, intergroup relations, and political</w:t>
      </w:r>
      <w:r>
        <w:rPr>
          <w:rFonts w:eastAsiaTheme="minorHAnsi"/>
          <w:color w:val="000000"/>
        </w:rPr>
        <w:t xml:space="preserve"> </w:t>
      </w:r>
      <w:r w:rsidRPr="0004466E">
        <w:rPr>
          <w:rFonts w:eastAsiaTheme="minorHAnsi"/>
          <w:color w:val="000000"/>
        </w:rPr>
        <w:t xml:space="preserve">identities in Northern Ireland. </w:t>
      </w:r>
      <w:r w:rsidRPr="0004466E">
        <w:rPr>
          <w:rFonts w:eastAsiaTheme="minorHAnsi"/>
          <w:i/>
          <w:iCs/>
          <w:color w:val="000000"/>
        </w:rPr>
        <w:t>Social Problems</w:t>
      </w:r>
      <w:r w:rsidRPr="0004466E">
        <w:rPr>
          <w:rFonts w:eastAsiaTheme="minorHAnsi"/>
          <w:color w:val="000000"/>
        </w:rPr>
        <w:t>, 54(4), 454–482.</w:t>
      </w:r>
    </w:p>
    <w:p w14:paraId="0544CFE7" w14:textId="58ED3F3D" w:rsidR="007A7C09" w:rsidRPr="00DA1F4A" w:rsidRDefault="007A7C09" w:rsidP="000B5EB1">
      <w:pPr>
        <w:rPr>
          <w:rFonts w:eastAsiaTheme="minorEastAsia"/>
          <w:color w:val="000000"/>
          <w:highlight w:val="green"/>
          <w:lang w:val="en-US"/>
        </w:rPr>
      </w:pPr>
    </w:p>
    <w:p w14:paraId="2D757148" w14:textId="38D571BB" w:rsidR="00452D46" w:rsidRPr="003E7DB9" w:rsidRDefault="00452D46" w:rsidP="00452D46">
      <w:proofErr w:type="spellStart"/>
      <w:r w:rsidRPr="003E7DB9">
        <w:t>Herrault</w:t>
      </w:r>
      <w:proofErr w:type="spellEnd"/>
      <w:r w:rsidRPr="003E7DB9">
        <w:t>, H. and Murtagh, B.</w:t>
      </w:r>
      <w:r w:rsidR="007137CB" w:rsidRPr="003E7DB9">
        <w:t xml:space="preserve"> (</w:t>
      </w:r>
      <w:r w:rsidRPr="003E7DB9">
        <w:t>2019</w:t>
      </w:r>
      <w:r w:rsidR="007137CB" w:rsidRPr="003E7DB9">
        <w:t>)</w:t>
      </w:r>
      <w:r w:rsidRPr="003E7DB9">
        <w:t xml:space="preserve"> Shared space in post-conflict Belfast. </w:t>
      </w:r>
      <w:r w:rsidRPr="003E7DB9">
        <w:rPr>
          <w:i/>
          <w:iCs/>
        </w:rPr>
        <w:t>Space and Polity</w:t>
      </w:r>
      <w:r w:rsidRPr="003E7DB9">
        <w:t>, pp.1-14.</w:t>
      </w:r>
    </w:p>
    <w:p w14:paraId="6F78DFBC" w14:textId="0B2C101C" w:rsidR="00AF24B0" w:rsidRPr="003E7DB9" w:rsidRDefault="00AF24B0" w:rsidP="00452D46"/>
    <w:p w14:paraId="3472A95C" w14:textId="53BEE424" w:rsidR="00AF24B0" w:rsidRPr="003E7DB9" w:rsidRDefault="00AF24B0" w:rsidP="00452D46">
      <w:r w:rsidRPr="003E7DB9">
        <w:t>HMSO (2089) Northern Ireland: The Education Reform (Northern Ireland) Order 1989, Belfast.</w:t>
      </w:r>
    </w:p>
    <w:p w14:paraId="209FF84E" w14:textId="77777777" w:rsidR="00452D46" w:rsidRPr="003E7DB9" w:rsidRDefault="00452D46" w:rsidP="000B5EB1">
      <w:pPr>
        <w:rPr>
          <w:rFonts w:eastAsiaTheme="minorEastAsia"/>
          <w:color w:val="000000"/>
          <w:lang w:val="en-US"/>
        </w:rPr>
      </w:pPr>
    </w:p>
    <w:p w14:paraId="620C49C9" w14:textId="7DDBEC3C" w:rsidR="007A7C09" w:rsidRPr="003E7DB9" w:rsidRDefault="007A7C09" w:rsidP="000B5EB1">
      <w:r w:rsidRPr="003E7DB9">
        <w:t xml:space="preserve">Hopkins, D. and Ellis, P.D. (1991) The effective small primary school: Some significant factors. </w:t>
      </w:r>
      <w:r w:rsidRPr="003E7DB9">
        <w:rPr>
          <w:i/>
          <w:iCs/>
        </w:rPr>
        <w:t>School Organization</w:t>
      </w:r>
      <w:r w:rsidRPr="003E7DB9">
        <w:t xml:space="preserve">, </w:t>
      </w:r>
      <w:r w:rsidRPr="003E7DB9">
        <w:rPr>
          <w:i/>
          <w:iCs/>
        </w:rPr>
        <w:t>11</w:t>
      </w:r>
      <w:r w:rsidRPr="003E7DB9">
        <w:t>(1)</w:t>
      </w:r>
      <w:r w:rsidR="00A614FE" w:rsidRPr="003E7DB9">
        <w:t>.</w:t>
      </w:r>
    </w:p>
    <w:p w14:paraId="7902A9D0" w14:textId="76397FAE" w:rsidR="00B54F7D" w:rsidRPr="003E7DB9" w:rsidRDefault="00B54F7D" w:rsidP="000B5EB1"/>
    <w:p w14:paraId="16E41E70" w14:textId="4F087B5C" w:rsidR="00B54F7D" w:rsidRPr="003E7DB9" w:rsidRDefault="00B54F7D" w:rsidP="00B54F7D">
      <w:pPr>
        <w:autoSpaceDE w:val="0"/>
        <w:autoSpaceDN w:val="0"/>
        <w:adjustRightInd w:val="0"/>
        <w:rPr>
          <w:lang w:val="en-US"/>
        </w:rPr>
      </w:pPr>
      <w:r w:rsidRPr="003E7DB9">
        <w:rPr>
          <w:lang w:val="en-US"/>
        </w:rPr>
        <w:t xml:space="preserve">Horgan, G. (2006) Devolution, Direct Rule and Neo-Liberal Reconstruction in Northern Ireland. </w:t>
      </w:r>
      <w:r w:rsidRPr="003E7DB9">
        <w:rPr>
          <w:i/>
          <w:lang w:val="en-US"/>
        </w:rPr>
        <w:t>Critical Social Policy 26</w:t>
      </w:r>
      <w:r w:rsidRPr="003E7DB9">
        <w:rPr>
          <w:lang w:val="en-US"/>
        </w:rPr>
        <w:t>(3):656-668.</w:t>
      </w:r>
    </w:p>
    <w:p w14:paraId="47406E90" w14:textId="0DDE6F3F" w:rsidR="00B9172B" w:rsidRPr="003E7DB9" w:rsidRDefault="00B9172B" w:rsidP="000B5EB1"/>
    <w:p w14:paraId="26303251" w14:textId="45C3E08F" w:rsidR="00B9172B" w:rsidRPr="003E7DB9" w:rsidRDefault="00B9172B" w:rsidP="004E4A20">
      <w:pPr>
        <w:rPr>
          <w:highlight w:val="green"/>
        </w:rPr>
      </w:pPr>
      <w:r w:rsidRPr="003E7DB9">
        <w:rPr>
          <w:color w:val="000000"/>
        </w:rPr>
        <w:t xml:space="preserve">Horner, L., </w:t>
      </w:r>
      <w:proofErr w:type="spellStart"/>
      <w:r w:rsidRPr="003E7DB9">
        <w:rPr>
          <w:color w:val="000000"/>
        </w:rPr>
        <w:t>Kadiwal</w:t>
      </w:r>
      <w:proofErr w:type="spellEnd"/>
      <w:r w:rsidRPr="003E7DB9">
        <w:rPr>
          <w:color w:val="000000"/>
        </w:rPr>
        <w:t xml:space="preserve">, L., Sayed, Y., Barrett, A., </w:t>
      </w:r>
      <w:proofErr w:type="spellStart"/>
      <w:r w:rsidRPr="003E7DB9">
        <w:rPr>
          <w:color w:val="000000"/>
        </w:rPr>
        <w:t>Durrani</w:t>
      </w:r>
      <w:proofErr w:type="spellEnd"/>
      <w:r w:rsidRPr="003E7DB9">
        <w:rPr>
          <w:color w:val="000000"/>
        </w:rPr>
        <w:t xml:space="preserve">, N. </w:t>
      </w:r>
      <w:r w:rsidR="00D17AD1" w:rsidRPr="003E7DB9">
        <w:rPr>
          <w:color w:val="000000"/>
        </w:rPr>
        <w:t>and</w:t>
      </w:r>
      <w:r w:rsidRPr="003E7DB9">
        <w:rPr>
          <w:color w:val="000000"/>
        </w:rPr>
        <w:t xml:space="preserve"> </w:t>
      </w:r>
      <w:proofErr w:type="spellStart"/>
      <w:r w:rsidRPr="003E7DB9">
        <w:rPr>
          <w:color w:val="000000"/>
        </w:rPr>
        <w:t>Novelli</w:t>
      </w:r>
      <w:proofErr w:type="spellEnd"/>
      <w:r w:rsidRPr="003E7DB9">
        <w:rPr>
          <w:color w:val="000000"/>
        </w:rPr>
        <w:t xml:space="preserve">, M. (2015) </w:t>
      </w:r>
      <w:r w:rsidRPr="003E7DB9">
        <w:rPr>
          <w:i/>
          <w:iCs/>
          <w:color w:val="000000"/>
        </w:rPr>
        <w:t xml:space="preserve">Literature Review: The Role of Teachers in Peace-building </w:t>
      </w:r>
      <w:r w:rsidRPr="003E7DB9">
        <w:rPr>
          <w:color w:val="000000"/>
        </w:rPr>
        <w:t xml:space="preserve">UNICEF Research Consortium on Education and </w:t>
      </w:r>
      <w:proofErr w:type="gramStart"/>
      <w:r w:rsidRPr="003E7DB9">
        <w:rPr>
          <w:color w:val="000000"/>
        </w:rPr>
        <w:t>Peace-building</w:t>
      </w:r>
      <w:proofErr w:type="gramEnd"/>
      <w:r w:rsidRPr="003E7DB9">
        <w:rPr>
          <w:color w:val="000000"/>
        </w:rPr>
        <w:t xml:space="preserve">. Available </w:t>
      </w:r>
      <w:r w:rsidR="00AF24B0" w:rsidRPr="003E7DB9">
        <w:rPr>
          <w:color w:val="000000"/>
        </w:rPr>
        <w:t>from</w:t>
      </w:r>
      <w:r w:rsidRPr="003E7DB9">
        <w:rPr>
          <w:color w:val="000000"/>
        </w:rPr>
        <w:t xml:space="preserve">: </w:t>
      </w:r>
      <w:r w:rsidRPr="003E7DB9">
        <w:rPr>
          <w:color w:val="000000" w:themeColor="text1"/>
        </w:rPr>
        <w:t>http://www.ungei.org/The-Role-of-Teachers-in-Peacebuilding-Literature-Review-Sept15.pdf</w:t>
      </w:r>
    </w:p>
    <w:p w14:paraId="6967D93E" w14:textId="50061130" w:rsidR="00A614FE" w:rsidRPr="003E7DB9" w:rsidRDefault="00A614FE" w:rsidP="000B5EB1">
      <w:pPr>
        <w:rPr>
          <w:highlight w:val="green"/>
        </w:rPr>
      </w:pPr>
    </w:p>
    <w:p w14:paraId="506C8FD4" w14:textId="6FD69B25" w:rsidR="007563F9" w:rsidRPr="003E7DB9" w:rsidRDefault="00A614FE" w:rsidP="00A614FE">
      <w:r w:rsidRPr="003E7DB9">
        <w:t xml:space="preserve">Hughes, J., Donnelly, C., Leitch, R. and Burns, S. (2016) Caught in the conundrum: Neoliberalism and education in post-conflict Northern Ireland – Exploring shared education. </w:t>
      </w:r>
      <w:r w:rsidRPr="003E7DB9">
        <w:rPr>
          <w:i/>
          <w:iCs/>
        </w:rPr>
        <w:t>Policy Futures in Education</w:t>
      </w:r>
      <w:r w:rsidRPr="003E7DB9">
        <w:t xml:space="preserve">, </w:t>
      </w:r>
      <w:r w:rsidRPr="003E7DB9">
        <w:rPr>
          <w:i/>
          <w:iCs/>
        </w:rPr>
        <w:t>14</w:t>
      </w:r>
      <w:r w:rsidRPr="003E7DB9">
        <w:t>(8):1091-1100.</w:t>
      </w:r>
    </w:p>
    <w:p w14:paraId="236CDA1D" w14:textId="21F859BD" w:rsidR="005B1470" w:rsidRPr="003E7DB9" w:rsidRDefault="005B1470" w:rsidP="00A614FE"/>
    <w:p w14:paraId="16D65DA0" w14:textId="170AC032" w:rsidR="003A33AC" w:rsidRDefault="005B1470" w:rsidP="005B1470">
      <w:pPr>
        <w:autoSpaceDE w:val="0"/>
        <w:autoSpaceDN w:val="0"/>
        <w:adjustRightInd w:val="0"/>
        <w:rPr>
          <w:rFonts w:eastAsiaTheme="minorHAnsi"/>
          <w:color w:val="000000"/>
        </w:rPr>
      </w:pPr>
      <w:r w:rsidRPr="003E7DB9">
        <w:rPr>
          <w:rFonts w:eastAsiaTheme="minorHAnsi"/>
          <w:color w:val="000000"/>
        </w:rPr>
        <w:t>Hughes, J., and Loader, R. (</w:t>
      </w:r>
      <w:r w:rsidRPr="003E7DB9">
        <w:rPr>
          <w:rFonts w:eastAsiaTheme="minorHAnsi"/>
          <w:color w:val="000085"/>
        </w:rPr>
        <w:t>2015</w:t>
      </w:r>
      <w:r w:rsidRPr="003E7DB9">
        <w:rPr>
          <w:rFonts w:eastAsiaTheme="minorHAnsi"/>
          <w:color w:val="000000"/>
        </w:rPr>
        <w:t xml:space="preserve">). ‘Plugging the gap’: Shared education and the promotion of community relations through schools in Northern Ireland. </w:t>
      </w:r>
      <w:r w:rsidRPr="003E7DB9">
        <w:rPr>
          <w:rFonts w:eastAsiaTheme="minorHAnsi"/>
          <w:i/>
          <w:iCs/>
          <w:color w:val="000000"/>
        </w:rPr>
        <w:t>British Educational Research Journal</w:t>
      </w:r>
      <w:r w:rsidRPr="003E7DB9">
        <w:rPr>
          <w:rFonts w:eastAsiaTheme="minorHAnsi"/>
          <w:color w:val="000000"/>
        </w:rPr>
        <w:t>, 41(6), 1142–1155.</w:t>
      </w:r>
    </w:p>
    <w:p w14:paraId="127C0B6B" w14:textId="3BCEC5C3" w:rsidR="007563F9" w:rsidRPr="007563F9" w:rsidRDefault="007563F9" w:rsidP="005B1470">
      <w:pPr>
        <w:autoSpaceDE w:val="0"/>
        <w:autoSpaceDN w:val="0"/>
        <w:adjustRightInd w:val="0"/>
        <w:rPr>
          <w:rFonts w:eastAsiaTheme="minorHAnsi"/>
          <w:color w:val="000000"/>
        </w:rPr>
      </w:pPr>
    </w:p>
    <w:p w14:paraId="0685A508" w14:textId="30D590B7" w:rsidR="007563F9" w:rsidRPr="0004466E" w:rsidRDefault="007563F9" w:rsidP="007563F9">
      <w:pPr>
        <w:autoSpaceDE w:val="0"/>
        <w:autoSpaceDN w:val="0"/>
        <w:adjustRightInd w:val="0"/>
        <w:rPr>
          <w:rFonts w:eastAsiaTheme="minorHAnsi"/>
          <w:color w:val="000000"/>
          <w:lang w:eastAsia="en-US"/>
        </w:rPr>
      </w:pPr>
      <w:r w:rsidRPr="0004466E">
        <w:rPr>
          <w:rFonts w:eastAsiaTheme="minorHAnsi"/>
          <w:color w:val="000000"/>
          <w:lang w:eastAsia="en-US"/>
        </w:rPr>
        <w:t xml:space="preserve">Hughes, J., </w:t>
      </w:r>
      <w:proofErr w:type="spellStart"/>
      <w:r w:rsidRPr="0004466E">
        <w:rPr>
          <w:rFonts w:eastAsiaTheme="minorHAnsi"/>
          <w:color w:val="000000"/>
          <w:lang w:eastAsia="en-US"/>
        </w:rPr>
        <w:t>Lolliot</w:t>
      </w:r>
      <w:proofErr w:type="spellEnd"/>
      <w:r w:rsidRPr="0004466E">
        <w:rPr>
          <w:rFonts w:eastAsiaTheme="minorHAnsi"/>
          <w:color w:val="000000"/>
          <w:lang w:eastAsia="en-US"/>
        </w:rPr>
        <w:t>, S., Hewstone, M., Schmid, K., &amp; Carlisle, K. (</w:t>
      </w:r>
      <w:r w:rsidRPr="0004466E">
        <w:rPr>
          <w:rFonts w:eastAsiaTheme="minorHAnsi"/>
          <w:color w:val="000085"/>
          <w:lang w:eastAsia="en-US"/>
        </w:rPr>
        <w:t>2012</w:t>
      </w:r>
      <w:r w:rsidRPr="0004466E">
        <w:rPr>
          <w:rFonts w:eastAsiaTheme="minorHAnsi"/>
          <w:color w:val="000000"/>
          <w:lang w:eastAsia="en-US"/>
        </w:rPr>
        <w:t>). Sharing classes in separate</w:t>
      </w:r>
      <w:r>
        <w:rPr>
          <w:rFonts w:eastAsiaTheme="minorHAnsi"/>
          <w:color w:val="000000"/>
          <w:lang w:eastAsia="en-US"/>
        </w:rPr>
        <w:t xml:space="preserve"> </w:t>
      </w:r>
      <w:r w:rsidRPr="0004466E">
        <w:rPr>
          <w:rFonts w:eastAsiaTheme="minorHAnsi"/>
          <w:color w:val="000000"/>
          <w:lang w:eastAsia="en-US"/>
        </w:rPr>
        <w:t xml:space="preserve">schools: A mechanism for improving intergroup relations in Northern Ireland? </w:t>
      </w:r>
      <w:r w:rsidRPr="0004466E">
        <w:rPr>
          <w:rFonts w:eastAsiaTheme="minorHAnsi"/>
          <w:i/>
          <w:iCs/>
          <w:color w:val="000000"/>
          <w:lang w:eastAsia="en-US"/>
        </w:rPr>
        <w:t>Policy Futures in Education</w:t>
      </w:r>
      <w:r w:rsidRPr="0004466E">
        <w:rPr>
          <w:rFonts w:eastAsiaTheme="minorHAnsi"/>
          <w:color w:val="000000"/>
          <w:lang w:eastAsia="en-US"/>
        </w:rPr>
        <w:t>, 10(5), 528–539.</w:t>
      </w:r>
    </w:p>
    <w:p w14:paraId="336B4C83" w14:textId="77777777" w:rsidR="005B1470" w:rsidRPr="007563F9" w:rsidRDefault="005B1470" w:rsidP="005B1470">
      <w:pPr>
        <w:rPr>
          <w:highlight w:val="green"/>
        </w:rPr>
      </w:pPr>
    </w:p>
    <w:p w14:paraId="003BDFAB" w14:textId="1D881CAB" w:rsidR="003A33AC" w:rsidRPr="003E7DB9" w:rsidRDefault="003A33AC" w:rsidP="00A614FE">
      <w:r w:rsidRPr="003E7DB9">
        <w:t>Hunter, A., Bates, J., McCully, A.</w:t>
      </w:r>
      <w:r w:rsidR="00D17AD1" w:rsidRPr="003E7DB9">
        <w:t xml:space="preserve"> and</w:t>
      </w:r>
      <w:r w:rsidRPr="003E7DB9">
        <w:t xml:space="preserve"> O’Connor-Bones, U. (2012) </w:t>
      </w:r>
      <w:r w:rsidRPr="003E7DB9">
        <w:rPr>
          <w:i/>
          <w:iCs/>
        </w:rPr>
        <w:t>Evaluation of the Primary Integration/Enriching Education (PIEE) Project. Final Report: A Legacy of Partnership.</w:t>
      </w:r>
      <w:r w:rsidRPr="003E7DB9">
        <w:t xml:space="preserve"> School of Education: University of Ulster</w:t>
      </w:r>
      <w:r w:rsidR="00CC0BF4" w:rsidRPr="003E7DB9">
        <w:t>.</w:t>
      </w:r>
    </w:p>
    <w:p w14:paraId="7776EF17" w14:textId="28BF2E8E" w:rsidR="007528A9" w:rsidRPr="003E7DB9" w:rsidRDefault="007528A9" w:rsidP="00A614FE">
      <w:pPr>
        <w:rPr>
          <w:highlight w:val="green"/>
        </w:rPr>
      </w:pPr>
    </w:p>
    <w:p w14:paraId="4969D853" w14:textId="339FEE36" w:rsidR="007528A9" w:rsidRPr="003E7DB9" w:rsidRDefault="007528A9" w:rsidP="00A614FE">
      <w:r w:rsidRPr="003E7DB9">
        <w:t xml:space="preserve">Hyland, A. (1989) The multi‐denominational experience in the national school system in Ireland, </w:t>
      </w:r>
      <w:r w:rsidRPr="003E7DB9">
        <w:rPr>
          <w:i/>
          <w:iCs/>
        </w:rPr>
        <w:t>Irish Educational Studies</w:t>
      </w:r>
      <w:r w:rsidRPr="003E7DB9">
        <w:t>, 8:1, 89-114</w:t>
      </w:r>
      <w:r w:rsidR="00F85101" w:rsidRPr="003E7DB9">
        <w:t>.</w:t>
      </w:r>
    </w:p>
    <w:p w14:paraId="19826FA0" w14:textId="3C011714" w:rsidR="00F85101" w:rsidRPr="003E7DB9" w:rsidRDefault="00F85101" w:rsidP="00A614FE">
      <w:pPr>
        <w:rPr>
          <w:highlight w:val="green"/>
        </w:rPr>
      </w:pPr>
    </w:p>
    <w:p w14:paraId="5F79CEFC" w14:textId="726A72AB" w:rsidR="00F85101" w:rsidRPr="003E7DB9" w:rsidRDefault="00F85101" w:rsidP="00F85101">
      <w:pPr>
        <w:autoSpaceDE w:val="0"/>
        <w:autoSpaceDN w:val="0"/>
        <w:adjustRightInd w:val="0"/>
        <w:rPr>
          <w:lang w:val="en-US"/>
        </w:rPr>
      </w:pPr>
      <w:r w:rsidRPr="003E7DB9">
        <w:t>Kelly,</w:t>
      </w:r>
      <w:r w:rsidR="00D17AD1" w:rsidRPr="003E7DB9">
        <w:t xml:space="preserve"> </w:t>
      </w:r>
      <w:r w:rsidRPr="003E7DB9">
        <w:t>J.A. and Fu,</w:t>
      </w:r>
      <w:r w:rsidR="00D17AD1" w:rsidRPr="003E7DB9">
        <w:t xml:space="preserve"> </w:t>
      </w:r>
      <w:r w:rsidRPr="003E7DB9">
        <w:t xml:space="preserve">M. (2014) </w:t>
      </w:r>
      <w:r w:rsidRPr="003E7DB9">
        <w:rPr>
          <w:lang w:val="en-US"/>
        </w:rPr>
        <w:t>Sustainable school commuting – understanding choices and identifying</w:t>
      </w:r>
    </w:p>
    <w:p w14:paraId="10DF3ED3" w14:textId="33584E62" w:rsidR="00F85101" w:rsidRPr="003E7DB9" w:rsidRDefault="00F85101" w:rsidP="00F85101">
      <w:pPr>
        <w:autoSpaceDE w:val="0"/>
        <w:autoSpaceDN w:val="0"/>
        <w:adjustRightInd w:val="0"/>
        <w:rPr>
          <w:lang w:val="en-US"/>
        </w:rPr>
      </w:pPr>
      <w:r w:rsidRPr="003E7DB9">
        <w:rPr>
          <w:lang w:val="en-US"/>
        </w:rPr>
        <w:t xml:space="preserve">Opportunities. A case study in Dublin, Ireland. </w:t>
      </w:r>
      <w:r w:rsidRPr="003E7DB9">
        <w:rPr>
          <w:i/>
          <w:lang w:val="en-US"/>
        </w:rPr>
        <w:t>Journal of Transport Geography,</w:t>
      </w:r>
      <w:r w:rsidRPr="003E7DB9">
        <w:rPr>
          <w:lang w:val="en-US"/>
        </w:rPr>
        <w:t xml:space="preserve"> </w:t>
      </w:r>
      <w:r w:rsidRPr="003E7DB9">
        <w:rPr>
          <w:i/>
          <w:lang w:val="en-US"/>
        </w:rPr>
        <w:t>34</w:t>
      </w:r>
      <w:r w:rsidRPr="003E7DB9">
        <w:rPr>
          <w:lang w:val="en-US"/>
        </w:rPr>
        <w:t>, 221-230.</w:t>
      </w:r>
    </w:p>
    <w:p w14:paraId="5DC3E73B" w14:textId="3F8AB646" w:rsidR="009C688F" w:rsidRPr="003E7DB9" w:rsidRDefault="009C688F" w:rsidP="00F85101">
      <w:pPr>
        <w:autoSpaceDE w:val="0"/>
        <w:autoSpaceDN w:val="0"/>
        <w:adjustRightInd w:val="0"/>
        <w:rPr>
          <w:highlight w:val="green"/>
          <w:lang w:val="en-US"/>
        </w:rPr>
      </w:pPr>
    </w:p>
    <w:p w14:paraId="477F6E3A" w14:textId="7822D1F3" w:rsidR="009C688F" w:rsidRPr="003E7DB9" w:rsidRDefault="009C688F" w:rsidP="009C688F">
      <w:r w:rsidRPr="003E7DB9">
        <w:t xml:space="preserve">Knox, C. and Quirk, P., 2016. Shared Spaces and Services. In </w:t>
      </w:r>
      <w:r w:rsidRPr="003E7DB9">
        <w:rPr>
          <w:i/>
          <w:iCs/>
        </w:rPr>
        <w:t>Public Policy, Philanthropy and Peacebuilding in Northern Ireland</w:t>
      </w:r>
      <w:r w:rsidRPr="003E7DB9">
        <w:t xml:space="preserve"> 115-150. Palgrave Macmillan, London.</w:t>
      </w:r>
    </w:p>
    <w:p w14:paraId="1006FB63" w14:textId="6E4F4900" w:rsidR="007A7C09" w:rsidRPr="003E7DB9" w:rsidRDefault="007A7C09" w:rsidP="0013451C">
      <w:pPr>
        <w:rPr>
          <w:color w:val="000000" w:themeColor="text1"/>
          <w:highlight w:val="green"/>
        </w:rPr>
      </w:pPr>
    </w:p>
    <w:p w14:paraId="7122BC3F" w14:textId="038D3598" w:rsidR="00A767CF" w:rsidRDefault="007A7C09" w:rsidP="00A767CF">
      <w:proofErr w:type="spellStart"/>
      <w:r w:rsidRPr="003E7DB9">
        <w:t>Leithwood</w:t>
      </w:r>
      <w:proofErr w:type="spellEnd"/>
      <w:r w:rsidRPr="003E7DB9">
        <w:t xml:space="preserve">, K. and </w:t>
      </w:r>
      <w:proofErr w:type="spellStart"/>
      <w:r w:rsidRPr="003E7DB9">
        <w:t>Jantzi</w:t>
      </w:r>
      <w:proofErr w:type="spellEnd"/>
      <w:r w:rsidRPr="003E7DB9">
        <w:t xml:space="preserve">, D. (2009) A review of empirical evidence about school size effects: A policy perspective. </w:t>
      </w:r>
      <w:r w:rsidRPr="003E7DB9">
        <w:rPr>
          <w:i/>
          <w:iCs/>
        </w:rPr>
        <w:t>Review of educational research</w:t>
      </w:r>
      <w:r w:rsidRPr="003E7DB9">
        <w:t xml:space="preserve">, </w:t>
      </w:r>
      <w:r w:rsidRPr="003E7DB9">
        <w:rPr>
          <w:i/>
          <w:iCs/>
        </w:rPr>
        <w:t>79</w:t>
      </w:r>
      <w:r w:rsidRPr="003E7DB9">
        <w:t>(1)</w:t>
      </w:r>
      <w:r w:rsidR="00A614FE" w:rsidRPr="003E7DB9">
        <w:t>.</w:t>
      </w:r>
    </w:p>
    <w:p w14:paraId="5B4DC668" w14:textId="51C17AD7" w:rsidR="00D21909" w:rsidRPr="00D21909" w:rsidRDefault="00D21909" w:rsidP="00A767CF"/>
    <w:p w14:paraId="06927C00" w14:textId="2AEB9984" w:rsidR="00D21909" w:rsidRPr="0004466E" w:rsidRDefault="00D21909" w:rsidP="0004466E">
      <w:pPr>
        <w:autoSpaceDE w:val="0"/>
        <w:autoSpaceDN w:val="0"/>
        <w:adjustRightInd w:val="0"/>
        <w:rPr>
          <w:rFonts w:eastAsiaTheme="minorHAnsi"/>
          <w:color w:val="000000"/>
        </w:rPr>
      </w:pPr>
      <w:r w:rsidRPr="0004466E">
        <w:rPr>
          <w:rFonts w:eastAsiaTheme="minorHAnsi"/>
          <w:color w:val="000000"/>
        </w:rPr>
        <w:lastRenderedPageBreak/>
        <w:t xml:space="preserve">McGlynn, C., </w:t>
      </w:r>
      <w:proofErr w:type="spellStart"/>
      <w:r w:rsidRPr="0004466E">
        <w:rPr>
          <w:rFonts w:eastAsiaTheme="minorHAnsi"/>
          <w:color w:val="000000"/>
        </w:rPr>
        <w:t>Niens</w:t>
      </w:r>
      <w:proofErr w:type="spellEnd"/>
      <w:r w:rsidRPr="0004466E">
        <w:rPr>
          <w:rFonts w:eastAsiaTheme="minorHAnsi"/>
          <w:color w:val="000000"/>
        </w:rPr>
        <w:t>, U., Cairns, E., &amp; Hewstone, M. (</w:t>
      </w:r>
      <w:r w:rsidRPr="0004466E">
        <w:rPr>
          <w:rFonts w:eastAsiaTheme="minorHAnsi"/>
          <w:color w:val="000085"/>
        </w:rPr>
        <w:t>2004</w:t>
      </w:r>
      <w:r w:rsidRPr="0004466E">
        <w:rPr>
          <w:rFonts w:eastAsiaTheme="minorHAnsi"/>
          <w:color w:val="000000"/>
        </w:rPr>
        <w:t>). Moving out of conflict: The contribution of</w:t>
      </w:r>
      <w:r>
        <w:rPr>
          <w:rFonts w:eastAsiaTheme="minorHAnsi"/>
          <w:color w:val="000000"/>
        </w:rPr>
        <w:t xml:space="preserve"> </w:t>
      </w:r>
      <w:r w:rsidRPr="0004466E">
        <w:rPr>
          <w:rFonts w:eastAsiaTheme="minorHAnsi"/>
          <w:color w:val="000000"/>
        </w:rPr>
        <w:t xml:space="preserve">integrated schools in Northern Ireland to identity, attitudes, forgiveness and reconciliation. </w:t>
      </w:r>
      <w:r w:rsidRPr="0004466E">
        <w:rPr>
          <w:rFonts w:eastAsiaTheme="minorHAnsi"/>
          <w:i/>
          <w:iCs/>
          <w:color w:val="000000"/>
        </w:rPr>
        <w:t>Journal of Peace Education</w:t>
      </w:r>
      <w:r w:rsidRPr="0004466E">
        <w:rPr>
          <w:rFonts w:eastAsiaTheme="minorHAnsi"/>
          <w:color w:val="000000"/>
        </w:rPr>
        <w:t>, 1(2), 147–163.</w:t>
      </w:r>
    </w:p>
    <w:p w14:paraId="602057A1" w14:textId="53CEB565" w:rsidR="003F0D69" w:rsidRPr="00D46872" w:rsidRDefault="003F0D69" w:rsidP="00A767CF">
      <w:pPr>
        <w:autoSpaceDE w:val="0"/>
        <w:autoSpaceDN w:val="0"/>
        <w:adjustRightInd w:val="0"/>
        <w:rPr>
          <w:rFonts w:eastAsiaTheme="minorHAnsi"/>
          <w:highlight w:val="green"/>
          <w:lang w:val="en-US"/>
        </w:rPr>
      </w:pPr>
    </w:p>
    <w:p w14:paraId="3C11D1D6" w14:textId="1CDF155D" w:rsidR="003F0D69" w:rsidRPr="003E7DB9" w:rsidRDefault="003F0D69" w:rsidP="003F0D69">
      <w:pPr>
        <w:rPr>
          <w:lang w:val="en-US"/>
        </w:rPr>
      </w:pPr>
      <w:r w:rsidRPr="003E7DB9">
        <w:t xml:space="preserve">McGuinness, S., Bates, J., Roulston, S., O’Connor, U., Quinn, C. </w:t>
      </w:r>
      <w:r w:rsidR="00D17AD1" w:rsidRPr="003E7DB9">
        <w:t>a</w:t>
      </w:r>
      <w:r w:rsidRPr="003E7DB9">
        <w:t xml:space="preserve">nd Waring, B. (2018) Empowering School Principals to Overcome Turbulence in School Partnerships through Governance Systems for Equity and Renewal: Northern Ireland in </w:t>
      </w:r>
      <w:proofErr w:type="spellStart"/>
      <w:r w:rsidRPr="003E7DB9">
        <w:t>A.Taysum</w:t>
      </w:r>
      <w:proofErr w:type="spellEnd"/>
      <w:r w:rsidRPr="003E7DB9">
        <w:t xml:space="preserve"> and K. </w:t>
      </w:r>
      <w:proofErr w:type="spellStart"/>
      <w:r w:rsidRPr="003E7DB9">
        <w:t>Arar</w:t>
      </w:r>
      <w:proofErr w:type="spellEnd"/>
      <w:r w:rsidRPr="003E7DB9">
        <w:t xml:space="preserve">, </w:t>
      </w:r>
      <w:r w:rsidRPr="003E7DB9">
        <w:rPr>
          <w:i/>
          <w:iCs/>
          <w:lang w:val="en-US"/>
        </w:rPr>
        <w:t>Overcoming Turbulence In International Education Governance-Systems; Empowering leaders to empower young societal innovators for equity and renewal</w:t>
      </w:r>
      <w:r w:rsidRPr="003E7DB9">
        <w:rPr>
          <w:lang w:val="en-US"/>
        </w:rPr>
        <w:t>. (137-157:</w:t>
      </w:r>
      <w:r w:rsidR="00AF24B0" w:rsidRPr="003E7DB9">
        <w:rPr>
          <w:lang w:val="en-US"/>
        </w:rPr>
        <w:t xml:space="preserve"> </w:t>
      </w:r>
      <w:r w:rsidRPr="003E7DB9">
        <w:rPr>
          <w:lang w:val="en-US"/>
        </w:rPr>
        <w:t>Emerald Publishing Limited).</w:t>
      </w:r>
    </w:p>
    <w:p w14:paraId="7DEFF2DC" w14:textId="7944DAC7" w:rsidR="00B54F7D" w:rsidRPr="003E7DB9" w:rsidRDefault="00B54F7D" w:rsidP="003F0D69">
      <w:pPr>
        <w:rPr>
          <w:highlight w:val="green"/>
          <w:lang w:val="en-US"/>
        </w:rPr>
      </w:pPr>
    </w:p>
    <w:p w14:paraId="618A040B" w14:textId="5CB8575E" w:rsidR="00B54F7D" w:rsidRPr="003E7DB9" w:rsidRDefault="00B54F7D" w:rsidP="003F0D69">
      <w:r w:rsidRPr="003E7DB9">
        <w:t xml:space="preserve">McKittrick, D., </w:t>
      </w:r>
      <w:proofErr w:type="spellStart"/>
      <w:r w:rsidRPr="003E7DB9">
        <w:t>Kelters</w:t>
      </w:r>
      <w:proofErr w:type="spellEnd"/>
      <w:r w:rsidRPr="003E7DB9">
        <w:t xml:space="preserve">, S., Feeney, B., Thornton, C., and </w:t>
      </w:r>
      <w:proofErr w:type="spellStart"/>
      <w:r w:rsidRPr="003E7DB9">
        <w:t>McVea</w:t>
      </w:r>
      <w:proofErr w:type="spellEnd"/>
      <w:r w:rsidRPr="003E7DB9">
        <w:t xml:space="preserve">, D. (1999). </w:t>
      </w:r>
      <w:r w:rsidRPr="003E7DB9">
        <w:rPr>
          <w:i/>
          <w:iCs/>
        </w:rPr>
        <w:t>Lost lives.</w:t>
      </w:r>
      <w:r w:rsidRPr="003E7DB9">
        <w:t xml:space="preserve"> </w:t>
      </w:r>
      <w:r w:rsidRPr="003E7DB9">
        <w:rPr>
          <w:i/>
          <w:iCs/>
        </w:rPr>
        <w:t>The stories of the men, women and children who died as a result of the Northern Ireland troubles</w:t>
      </w:r>
      <w:r w:rsidRPr="003E7DB9">
        <w:t>. Edinburgh: Mainstream.</w:t>
      </w:r>
    </w:p>
    <w:p w14:paraId="30C0398C" w14:textId="596C7518" w:rsidR="008E6A15" w:rsidRPr="003E7DB9" w:rsidRDefault="008E6A15" w:rsidP="0013451C">
      <w:pPr>
        <w:rPr>
          <w:highlight w:val="green"/>
        </w:rPr>
      </w:pPr>
    </w:p>
    <w:p w14:paraId="30D4ED44" w14:textId="2D383013" w:rsidR="008E6A15" w:rsidRPr="003E7DB9" w:rsidRDefault="008E6A15" w:rsidP="0013451C">
      <w:r w:rsidRPr="003E7DB9">
        <w:t>McQuaid, S.D.</w:t>
      </w:r>
      <w:r w:rsidR="006318FA" w:rsidRPr="003E7DB9">
        <w:t xml:space="preserve"> (</w:t>
      </w:r>
      <w:r w:rsidRPr="003E7DB9">
        <w:t>2017</w:t>
      </w:r>
      <w:r w:rsidR="006318FA" w:rsidRPr="003E7DB9">
        <w:t>)</w:t>
      </w:r>
      <w:r w:rsidRPr="003E7DB9">
        <w:t xml:space="preserve"> Parading memory and re-member-</w:t>
      </w:r>
      <w:proofErr w:type="spellStart"/>
      <w:r w:rsidRPr="003E7DB9">
        <w:t>ing</w:t>
      </w:r>
      <w:proofErr w:type="spellEnd"/>
      <w:r w:rsidRPr="003E7DB9">
        <w:t xml:space="preserve"> conflict: collective memory in transition in Northern Ireland. </w:t>
      </w:r>
      <w:r w:rsidRPr="003E7DB9">
        <w:rPr>
          <w:i/>
          <w:iCs/>
        </w:rPr>
        <w:t>International Journal of Politics, Culture, and Society</w:t>
      </w:r>
      <w:r w:rsidRPr="003E7DB9">
        <w:t xml:space="preserve">, </w:t>
      </w:r>
      <w:r w:rsidRPr="003E7DB9">
        <w:rPr>
          <w:i/>
          <w:iCs/>
        </w:rPr>
        <w:t>30</w:t>
      </w:r>
      <w:r w:rsidRPr="003E7DB9">
        <w:t>(1): 23-41.</w:t>
      </w:r>
    </w:p>
    <w:p w14:paraId="1C0C1254" w14:textId="5DC881A9" w:rsidR="00F14CFF" w:rsidRPr="003E7DB9" w:rsidRDefault="00F14CFF" w:rsidP="00BE0896">
      <w:pPr>
        <w:rPr>
          <w:rFonts w:eastAsiaTheme="minorEastAsia"/>
          <w:color w:val="000000"/>
          <w:lang w:val="en-US"/>
        </w:rPr>
      </w:pPr>
    </w:p>
    <w:p w14:paraId="147D1513" w14:textId="079F289B" w:rsidR="00A314D5" w:rsidRDefault="00A314D5" w:rsidP="00A314D5">
      <w:r w:rsidRPr="003E7DB9">
        <w:t xml:space="preserve">Milliken, M., Bates, J. and Smith, A. (2019) Education Policies and Teacher Deployment in Northern Ireland: ethnic separation, cultural encapsulation and community cross-over, </w:t>
      </w:r>
      <w:r w:rsidRPr="003E7DB9">
        <w:rPr>
          <w:i/>
          <w:iCs/>
        </w:rPr>
        <w:t>British Journal of Educational Studies</w:t>
      </w:r>
      <w:r w:rsidRPr="003E7DB9">
        <w:t>, 1-22.</w:t>
      </w:r>
    </w:p>
    <w:p w14:paraId="7FE56E83" w14:textId="1FCD9E3D" w:rsidR="00583B80" w:rsidRDefault="00583B80" w:rsidP="00A314D5"/>
    <w:p w14:paraId="2E3C4D5F" w14:textId="6BDFD06F" w:rsidR="00583B80" w:rsidRPr="003E7DB9" w:rsidRDefault="00583B80" w:rsidP="00A314D5">
      <w:r>
        <w:t xml:space="preserve">Moore, A. (2019) Travel Fears for thousands of pupils forced to cross Irish border for schooling. </w:t>
      </w:r>
      <w:r w:rsidRPr="00EB157A">
        <w:rPr>
          <w:i/>
          <w:iCs/>
        </w:rPr>
        <w:t>Belfast Telegraph</w:t>
      </w:r>
      <w:r>
        <w:t>. 4.2.2019.</w:t>
      </w:r>
    </w:p>
    <w:p w14:paraId="7023243B" w14:textId="77777777" w:rsidR="00A314D5" w:rsidRPr="003E7DB9" w:rsidRDefault="00A314D5" w:rsidP="00BE0896">
      <w:pPr>
        <w:rPr>
          <w:rFonts w:eastAsiaTheme="minorEastAsia"/>
          <w:color w:val="000000"/>
          <w:highlight w:val="green"/>
          <w:lang w:val="en-US"/>
        </w:rPr>
      </w:pPr>
    </w:p>
    <w:p w14:paraId="130A9148" w14:textId="046198AF" w:rsidR="00F14CFF" w:rsidRPr="003E7DB9" w:rsidRDefault="00F14CFF" w:rsidP="00BE0896">
      <w:r w:rsidRPr="003E7DB9">
        <w:t xml:space="preserve">Murray, D. (1985) </w:t>
      </w:r>
      <w:r w:rsidRPr="003E7DB9">
        <w:rPr>
          <w:i/>
          <w:iCs/>
        </w:rPr>
        <w:t>Worlds apart: segregated schools in Northern Ireland</w:t>
      </w:r>
      <w:r w:rsidRPr="003E7DB9">
        <w:t>. Salem House Academic Division.</w:t>
      </w:r>
    </w:p>
    <w:p w14:paraId="08EBE46A" w14:textId="77777777" w:rsidR="00AE1CBE" w:rsidRPr="003E7DB9" w:rsidRDefault="00AE1CBE" w:rsidP="00BE0896">
      <w:pPr>
        <w:rPr>
          <w:rFonts w:eastAsiaTheme="minorEastAsia"/>
          <w:color w:val="000000"/>
          <w:lang w:val="en-US"/>
        </w:rPr>
      </w:pPr>
    </w:p>
    <w:p w14:paraId="4FC79512" w14:textId="253E860C" w:rsidR="00E2220C" w:rsidRPr="003E7DB9" w:rsidRDefault="00E2220C" w:rsidP="00BE0896">
      <w:r w:rsidRPr="003E7DB9">
        <w:t xml:space="preserve">Northern Ireland Affairs Committee (2019) Ninth Report of Session 2017/19, </w:t>
      </w:r>
      <w:r w:rsidRPr="003E7DB9">
        <w:rPr>
          <w:i/>
          <w:iCs/>
        </w:rPr>
        <w:t>Education Funding in Northern Ireland</w:t>
      </w:r>
      <w:r w:rsidRPr="003E7DB9">
        <w:t>, HC 1497. London: The Stationery Office.</w:t>
      </w:r>
    </w:p>
    <w:p w14:paraId="6AA940A4" w14:textId="7A21BBF3" w:rsidR="00BD4834" w:rsidRPr="003E7DB9" w:rsidRDefault="00BD4834" w:rsidP="00BE0896">
      <w:pPr>
        <w:rPr>
          <w:color w:val="000000" w:themeColor="text1"/>
        </w:rPr>
      </w:pPr>
    </w:p>
    <w:p w14:paraId="7B345A73" w14:textId="5D431696" w:rsidR="00BD4834" w:rsidRPr="003E7DB9" w:rsidRDefault="00BD4834" w:rsidP="00BE0896">
      <w:pPr>
        <w:rPr>
          <w:color w:val="000000" w:themeColor="text1"/>
        </w:rPr>
      </w:pPr>
      <w:r w:rsidRPr="003E7DB9">
        <w:rPr>
          <w:color w:val="000000" w:themeColor="text1"/>
        </w:rPr>
        <w:t xml:space="preserve">Northern Ireland Neighbourhood Information Service (NINIS) (n.d.) Available from https://www.ninis2.nisra.gov.uk </w:t>
      </w:r>
    </w:p>
    <w:p w14:paraId="5BA05010" w14:textId="302C57F8" w:rsidR="00230C3F" w:rsidRPr="003E7DB9" w:rsidRDefault="00230C3F" w:rsidP="00452D46"/>
    <w:p w14:paraId="30379CFC" w14:textId="14CA13EB" w:rsidR="00230C3F" w:rsidRPr="003E7DB9" w:rsidRDefault="00230C3F" w:rsidP="00452D46">
      <w:proofErr w:type="spellStart"/>
      <w:r w:rsidRPr="003E7DB9">
        <w:t>NIDirect</w:t>
      </w:r>
      <w:proofErr w:type="spellEnd"/>
      <w:r w:rsidRPr="003E7DB9">
        <w:t xml:space="preserve"> (n.d.) Available from https://mapshop.nidirect.gov.uk/Catalogue/Digital-products</w:t>
      </w:r>
    </w:p>
    <w:p w14:paraId="54E225E0" w14:textId="3D0FC8BD" w:rsidR="00EC571A" w:rsidRPr="003E7DB9" w:rsidRDefault="00EC571A" w:rsidP="000A05C7">
      <w:pPr>
        <w:spacing w:line="276" w:lineRule="auto"/>
        <w:rPr>
          <w:color w:val="000000" w:themeColor="text1"/>
          <w:highlight w:val="green"/>
        </w:rPr>
      </w:pPr>
    </w:p>
    <w:p w14:paraId="6319A1A8" w14:textId="494B2A90" w:rsidR="00CB1355" w:rsidRPr="003E7DB9" w:rsidRDefault="00CB1355" w:rsidP="00CB1355">
      <w:pPr>
        <w:autoSpaceDE w:val="0"/>
        <w:autoSpaceDN w:val="0"/>
        <w:adjustRightInd w:val="0"/>
        <w:rPr>
          <w:rFonts w:eastAsiaTheme="minorHAnsi"/>
          <w:lang w:val="en-US"/>
        </w:rPr>
      </w:pPr>
      <w:proofErr w:type="spellStart"/>
      <w:r w:rsidRPr="003E7DB9">
        <w:rPr>
          <w:rFonts w:eastAsiaTheme="minorHAnsi"/>
          <w:lang w:val="en-US"/>
        </w:rPr>
        <w:t>Novelli</w:t>
      </w:r>
      <w:proofErr w:type="spellEnd"/>
      <w:r w:rsidRPr="003E7DB9">
        <w:rPr>
          <w:rFonts w:eastAsiaTheme="minorHAnsi"/>
          <w:lang w:val="en-US"/>
        </w:rPr>
        <w:t xml:space="preserve">, M. and Lopes Cardozo, M.T.A. (2008) Conflict, education and the global south: New critical directions. </w:t>
      </w:r>
      <w:r w:rsidRPr="003E7DB9">
        <w:rPr>
          <w:rFonts w:eastAsiaTheme="minorHAnsi"/>
          <w:i/>
          <w:lang w:val="en-US"/>
        </w:rPr>
        <w:t>International Journal of Educational Development 28</w:t>
      </w:r>
      <w:r w:rsidRPr="003E7DB9">
        <w:rPr>
          <w:rFonts w:eastAsiaTheme="minorHAnsi"/>
          <w:lang w:val="en-US"/>
        </w:rPr>
        <w:t>(4): 473–488.</w:t>
      </w:r>
    </w:p>
    <w:p w14:paraId="63ACAA28" w14:textId="7208A42F" w:rsidR="00AD73F5" w:rsidRPr="003E7DB9" w:rsidRDefault="00AD73F5" w:rsidP="00CB1355">
      <w:pPr>
        <w:autoSpaceDE w:val="0"/>
        <w:autoSpaceDN w:val="0"/>
        <w:adjustRightInd w:val="0"/>
        <w:rPr>
          <w:rFonts w:eastAsiaTheme="minorHAnsi"/>
          <w:highlight w:val="green"/>
          <w:lang w:val="en-US"/>
        </w:rPr>
      </w:pPr>
    </w:p>
    <w:p w14:paraId="065959D8" w14:textId="6BC98D93" w:rsidR="00AD73F5" w:rsidRPr="003E7DB9" w:rsidRDefault="00AD73F5" w:rsidP="00AD73F5">
      <w:proofErr w:type="spellStart"/>
      <w:r w:rsidRPr="003E7DB9">
        <w:rPr>
          <w:rFonts w:eastAsiaTheme="minorHAnsi"/>
          <w:lang w:val="en-US"/>
        </w:rPr>
        <w:t>Novelli</w:t>
      </w:r>
      <w:proofErr w:type="spellEnd"/>
      <w:r w:rsidRPr="003E7DB9">
        <w:rPr>
          <w:rFonts w:eastAsiaTheme="minorHAnsi"/>
          <w:lang w:val="en-US"/>
        </w:rPr>
        <w:t xml:space="preserve">, M., Lopes Cardozo, M.T.A. and Smith, A. (2017) </w:t>
      </w:r>
      <w:r w:rsidRPr="003E7DB9">
        <w:rPr>
          <w:color w:val="000000" w:themeColor="text1"/>
        </w:rPr>
        <w:t xml:space="preserve">The 4Rs framework: </w:t>
      </w:r>
      <w:proofErr w:type="spellStart"/>
      <w:r w:rsidRPr="003E7DB9">
        <w:rPr>
          <w:color w:val="000000" w:themeColor="text1"/>
        </w:rPr>
        <w:t>analyzing</w:t>
      </w:r>
      <w:proofErr w:type="spellEnd"/>
      <w:r w:rsidRPr="003E7DB9">
        <w:rPr>
          <w:color w:val="000000" w:themeColor="text1"/>
        </w:rPr>
        <w:t xml:space="preserve"> education's contribution to sustainable peacebuilding with social justice in conflict-affected contexts. </w:t>
      </w:r>
      <w:r w:rsidRPr="003E7DB9">
        <w:rPr>
          <w:i/>
          <w:iCs/>
        </w:rPr>
        <w:t>Journal on Education in Emergencies</w:t>
      </w:r>
      <w:r w:rsidRPr="003E7DB9">
        <w:t xml:space="preserve">, 3(1). pp. 14-43. </w:t>
      </w:r>
    </w:p>
    <w:p w14:paraId="2194C36B" w14:textId="77777777" w:rsidR="00CB1355" w:rsidRPr="003E7DB9" w:rsidRDefault="00CB1355" w:rsidP="000A05C7">
      <w:pPr>
        <w:spacing w:line="276" w:lineRule="auto"/>
        <w:rPr>
          <w:color w:val="000000" w:themeColor="text1"/>
          <w:highlight w:val="green"/>
        </w:rPr>
      </w:pPr>
    </w:p>
    <w:p w14:paraId="6F395080" w14:textId="715C0B43" w:rsidR="00D46872" w:rsidRDefault="00D46872" w:rsidP="00D46872">
      <w:r>
        <w:t xml:space="preserve">Northern Ireland Executive (2013) ‘Together: Building a United Community Strategy (TBUC)’. Belfast. Available from </w:t>
      </w:r>
      <w:r w:rsidRPr="00D46872">
        <w:t>https://www.executiveoffice-ni.gov.uk/publications/together-building-united-community-strategy</w:t>
      </w:r>
    </w:p>
    <w:p w14:paraId="18D95717" w14:textId="64EED8F5" w:rsidR="00F85101" w:rsidRPr="003E7DB9" w:rsidRDefault="00F85101" w:rsidP="000A05C7">
      <w:pPr>
        <w:spacing w:line="276" w:lineRule="auto"/>
        <w:rPr>
          <w:color w:val="000000" w:themeColor="text1"/>
        </w:rPr>
      </w:pPr>
    </w:p>
    <w:p w14:paraId="3A061369" w14:textId="3E939EC8" w:rsidR="00F85101" w:rsidRPr="003E7DB9" w:rsidRDefault="00F85101" w:rsidP="00F85101">
      <w:pPr>
        <w:autoSpaceDE w:val="0"/>
        <w:autoSpaceDN w:val="0"/>
        <w:adjustRightInd w:val="0"/>
        <w:rPr>
          <w:lang w:val="en-US"/>
        </w:rPr>
      </w:pPr>
      <w:proofErr w:type="spellStart"/>
      <w:proofErr w:type="gramStart"/>
      <w:r w:rsidRPr="003E7DB9">
        <w:t>Owen,C.G</w:t>
      </w:r>
      <w:proofErr w:type="spellEnd"/>
      <w:r w:rsidRPr="003E7DB9">
        <w:t>.</w:t>
      </w:r>
      <w:proofErr w:type="gramEnd"/>
      <w:r w:rsidRPr="003E7DB9">
        <w:t>,</w:t>
      </w:r>
      <w:r w:rsidRPr="003E7DB9">
        <w:rPr>
          <w:lang w:val="en-US"/>
        </w:rPr>
        <w:t xml:space="preserve"> </w:t>
      </w:r>
      <w:proofErr w:type="spellStart"/>
      <w:r w:rsidRPr="003E7DB9">
        <w:rPr>
          <w:lang w:val="en-US"/>
        </w:rPr>
        <w:t>Nightingale,C.M</w:t>
      </w:r>
      <w:proofErr w:type="spellEnd"/>
      <w:r w:rsidRPr="003E7DB9">
        <w:rPr>
          <w:lang w:val="en-US"/>
        </w:rPr>
        <w:t xml:space="preserve">., </w:t>
      </w:r>
      <w:proofErr w:type="spellStart"/>
      <w:r w:rsidRPr="003E7DB9">
        <w:rPr>
          <w:lang w:val="en-US"/>
        </w:rPr>
        <w:t>Rudnicka,A.R</w:t>
      </w:r>
      <w:proofErr w:type="spellEnd"/>
      <w:r w:rsidRPr="003E7DB9">
        <w:rPr>
          <w:lang w:val="en-US"/>
        </w:rPr>
        <w:t xml:space="preserve">., van </w:t>
      </w:r>
      <w:proofErr w:type="spellStart"/>
      <w:r w:rsidRPr="003E7DB9">
        <w:rPr>
          <w:lang w:val="en-US"/>
        </w:rPr>
        <w:t>Sluijs,E.M.F</w:t>
      </w:r>
      <w:proofErr w:type="spellEnd"/>
      <w:r w:rsidRPr="003E7DB9">
        <w:rPr>
          <w:lang w:val="en-US"/>
        </w:rPr>
        <w:t xml:space="preserve">., </w:t>
      </w:r>
      <w:proofErr w:type="spellStart"/>
      <w:r w:rsidRPr="003E7DB9">
        <w:rPr>
          <w:lang w:val="en-US"/>
        </w:rPr>
        <w:t>Ekelund,U</w:t>
      </w:r>
      <w:proofErr w:type="spellEnd"/>
      <w:r w:rsidRPr="003E7DB9">
        <w:rPr>
          <w:lang w:val="en-US"/>
        </w:rPr>
        <w:t xml:space="preserve">., </w:t>
      </w:r>
      <w:proofErr w:type="spellStart"/>
      <w:r w:rsidRPr="003E7DB9">
        <w:rPr>
          <w:lang w:val="en-US"/>
        </w:rPr>
        <w:t>Cook,D.G</w:t>
      </w:r>
      <w:proofErr w:type="spellEnd"/>
      <w:r w:rsidRPr="003E7DB9">
        <w:rPr>
          <w:lang w:val="en-US"/>
        </w:rPr>
        <w:t xml:space="preserve">., </w:t>
      </w:r>
      <w:proofErr w:type="spellStart"/>
      <w:r w:rsidRPr="003E7DB9">
        <w:rPr>
          <w:lang w:val="en-US"/>
        </w:rPr>
        <w:t>Whincup,P.H</w:t>
      </w:r>
      <w:proofErr w:type="spellEnd"/>
      <w:r w:rsidRPr="003E7DB9">
        <w:rPr>
          <w:lang w:val="en-US"/>
        </w:rPr>
        <w:t>. (2012</w:t>
      </w:r>
      <w:r w:rsidRPr="003E7DB9">
        <w:t xml:space="preserve">) </w:t>
      </w:r>
      <w:r w:rsidRPr="003E7DB9">
        <w:rPr>
          <w:i/>
          <w:iCs/>
          <w:lang w:val="en-US"/>
        </w:rPr>
        <w:t xml:space="preserve">Travel to School and Physical Activity Levels in 9–10 Year-Old UK </w:t>
      </w:r>
      <w:r w:rsidRPr="003E7DB9">
        <w:rPr>
          <w:i/>
          <w:iCs/>
          <w:lang w:val="en-US"/>
        </w:rPr>
        <w:lastRenderedPageBreak/>
        <w:t>Children of Different Ethnic Origin; Child Heart and Health Study in England (CHASE).</w:t>
      </w:r>
      <w:r w:rsidRPr="003E7DB9">
        <w:rPr>
          <w:lang w:val="en-US"/>
        </w:rPr>
        <w:t xml:space="preserve"> </w:t>
      </w:r>
      <w:proofErr w:type="spellStart"/>
      <w:r w:rsidRPr="003E7DB9">
        <w:rPr>
          <w:lang w:val="en-US"/>
        </w:rPr>
        <w:t>PLoS</w:t>
      </w:r>
      <w:proofErr w:type="spellEnd"/>
      <w:r w:rsidRPr="003E7DB9">
        <w:rPr>
          <w:lang w:val="en-US"/>
        </w:rPr>
        <w:t xml:space="preserve"> ONE 7(2).</w:t>
      </w:r>
    </w:p>
    <w:p w14:paraId="2FA0EBFE" w14:textId="4DA5A037" w:rsidR="00BE0896" w:rsidRPr="003E7DB9" w:rsidRDefault="00BE0896" w:rsidP="000A05C7">
      <w:pPr>
        <w:spacing w:line="276" w:lineRule="auto"/>
        <w:rPr>
          <w:color w:val="000000" w:themeColor="text1"/>
          <w:highlight w:val="green"/>
        </w:rPr>
      </w:pPr>
    </w:p>
    <w:p w14:paraId="31F43EC1" w14:textId="65DA8038" w:rsidR="001570C3" w:rsidRPr="003E7DB9" w:rsidRDefault="001570C3" w:rsidP="001570C3">
      <w:proofErr w:type="spellStart"/>
      <w:r w:rsidRPr="003E7DB9">
        <w:t>Palmberger</w:t>
      </w:r>
      <w:proofErr w:type="spellEnd"/>
      <w:r w:rsidRPr="003E7DB9">
        <w:t xml:space="preserve">, M. (2018) Between Past and Future: Young People’s Strategies for Living a “Normal Life” in </w:t>
      </w:r>
      <w:proofErr w:type="spellStart"/>
      <w:r w:rsidRPr="003E7DB9">
        <w:t>Postwar</w:t>
      </w:r>
      <w:proofErr w:type="spellEnd"/>
      <w:r w:rsidRPr="003E7DB9">
        <w:t xml:space="preserve"> Bosnia and Herzegovina. In </w:t>
      </w:r>
      <w:proofErr w:type="spellStart"/>
      <w:proofErr w:type="gramStart"/>
      <w:r w:rsidRPr="003E7DB9">
        <w:t>Montgomery,D.W</w:t>
      </w:r>
      <w:proofErr w:type="spellEnd"/>
      <w:r w:rsidRPr="003E7DB9">
        <w:t>.</w:t>
      </w:r>
      <w:proofErr w:type="gramEnd"/>
      <w:r w:rsidRPr="003E7DB9">
        <w:t xml:space="preserve"> (Ed) </w:t>
      </w:r>
      <w:r w:rsidRPr="003E7DB9">
        <w:rPr>
          <w:i/>
          <w:iCs/>
        </w:rPr>
        <w:t xml:space="preserve">Everyday Life in the Balkans. </w:t>
      </w:r>
      <w:r w:rsidRPr="003E7DB9">
        <w:t>107-116</w:t>
      </w:r>
    </w:p>
    <w:p w14:paraId="13DDA8AE" w14:textId="399CC938" w:rsidR="007A7C09" w:rsidRPr="003E7DB9" w:rsidRDefault="007A7C09" w:rsidP="000A05C7">
      <w:pPr>
        <w:spacing w:line="276" w:lineRule="auto"/>
        <w:rPr>
          <w:color w:val="000000" w:themeColor="text1"/>
          <w:highlight w:val="green"/>
        </w:rPr>
      </w:pPr>
    </w:p>
    <w:p w14:paraId="4EE03F6B" w14:textId="1FEBAC25" w:rsidR="007A7C09" w:rsidRPr="003E7DB9" w:rsidRDefault="007A7C09" w:rsidP="000A05C7">
      <w:pPr>
        <w:spacing w:line="276" w:lineRule="auto"/>
        <w:rPr>
          <w:i/>
          <w:iCs/>
        </w:rPr>
      </w:pPr>
      <w:proofErr w:type="spellStart"/>
      <w:r w:rsidRPr="003E7DB9">
        <w:t>Raggl</w:t>
      </w:r>
      <w:proofErr w:type="spellEnd"/>
      <w:r w:rsidRPr="003E7DB9">
        <w:t xml:space="preserve">, A. (2015) Teaching and learning in small rural primary schools in Austria and Switzerland—Opportunities and challenges from teachers’ and students’ perspectives. </w:t>
      </w:r>
      <w:r w:rsidRPr="003E7DB9">
        <w:rPr>
          <w:i/>
          <w:iCs/>
        </w:rPr>
        <w:t>International Journal of Educational Research</w:t>
      </w:r>
      <w:r w:rsidRPr="003E7DB9">
        <w:t xml:space="preserve">, </w:t>
      </w:r>
      <w:r w:rsidRPr="003E7DB9">
        <w:rPr>
          <w:i/>
          <w:iCs/>
        </w:rPr>
        <w:t>74</w:t>
      </w:r>
    </w:p>
    <w:p w14:paraId="2F37DAB0" w14:textId="0CCD6436" w:rsidR="008E6A15" w:rsidRPr="003E7DB9" w:rsidRDefault="008E6A15" w:rsidP="000A05C7">
      <w:pPr>
        <w:spacing w:line="276" w:lineRule="auto"/>
        <w:rPr>
          <w:i/>
          <w:iCs/>
          <w:highlight w:val="green"/>
        </w:rPr>
      </w:pPr>
    </w:p>
    <w:p w14:paraId="3E8A3007" w14:textId="2201686A" w:rsidR="008E6A15" w:rsidRPr="003E7DB9" w:rsidRDefault="008E6A15" w:rsidP="008E6A15">
      <w:r w:rsidRPr="003E7DB9">
        <w:t>Ramsey, P. and Waterhouse-Bradley, B.</w:t>
      </w:r>
      <w:r w:rsidR="006318FA" w:rsidRPr="003E7DB9">
        <w:t xml:space="preserve"> (</w:t>
      </w:r>
      <w:r w:rsidRPr="003E7DB9">
        <w:t>2018</w:t>
      </w:r>
      <w:r w:rsidR="006318FA" w:rsidRPr="003E7DB9">
        <w:t>)</w:t>
      </w:r>
      <w:r w:rsidRPr="003E7DB9">
        <w:t xml:space="preserve"> Cultural policy in Northern Ireland: Making cultural policy for a divided society. In </w:t>
      </w:r>
      <w:proofErr w:type="gramStart"/>
      <w:r w:rsidRPr="003E7DB9">
        <w:rPr>
          <w:i/>
          <w:iCs/>
        </w:rPr>
        <w:t>The</w:t>
      </w:r>
      <w:proofErr w:type="gramEnd"/>
      <w:r w:rsidRPr="003E7DB9">
        <w:rPr>
          <w:i/>
          <w:iCs/>
        </w:rPr>
        <w:t xml:space="preserve"> Routledge Handbook of Global Cultural Policy:</w:t>
      </w:r>
      <w:r w:rsidRPr="003E7DB9">
        <w:t xml:space="preserve"> 195-211</w:t>
      </w:r>
      <w:r w:rsidR="00A4081F" w:rsidRPr="003E7DB9">
        <w:t>.</w:t>
      </w:r>
    </w:p>
    <w:p w14:paraId="2B0F7849" w14:textId="0B8650D4" w:rsidR="00A4081F" w:rsidRPr="003E7DB9" w:rsidRDefault="00A4081F" w:rsidP="008E6A15">
      <w:pPr>
        <w:rPr>
          <w:highlight w:val="green"/>
        </w:rPr>
      </w:pPr>
    </w:p>
    <w:p w14:paraId="2518C39D" w14:textId="55864356" w:rsidR="00A4081F" w:rsidRPr="003E7DB9" w:rsidRDefault="00A4081F" w:rsidP="00A4081F">
      <w:pPr>
        <w:pStyle w:val="Default"/>
        <w:rPr>
          <w:rFonts w:ascii="Times New Roman" w:hAnsi="Times New Roman" w:cs="Times New Roman"/>
        </w:rPr>
      </w:pPr>
      <w:r w:rsidRPr="003E7DB9">
        <w:rPr>
          <w:rFonts w:ascii="Times New Roman" w:hAnsi="Times New Roman" w:cs="Times New Roman"/>
        </w:rPr>
        <w:t xml:space="preserve">Richardson, N. and Gallagher, T. (2010) </w:t>
      </w:r>
      <w:r w:rsidRPr="003E7DB9">
        <w:rPr>
          <w:rFonts w:ascii="Times New Roman" w:hAnsi="Times New Roman" w:cs="Times New Roman"/>
          <w:i/>
          <w:iCs/>
        </w:rPr>
        <w:t>Education for diversity and mutual understanding.</w:t>
      </w:r>
      <w:r w:rsidRPr="003E7DB9">
        <w:rPr>
          <w:rFonts w:ascii="Times New Roman" w:hAnsi="Times New Roman" w:cs="Times New Roman"/>
        </w:rPr>
        <w:t xml:space="preserve"> Germany: Peter Lang</w:t>
      </w:r>
      <w:r w:rsidR="00452D46" w:rsidRPr="003E7DB9">
        <w:rPr>
          <w:rFonts w:ascii="Times New Roman" w:hAnsi="Times New Roman" w:cs="Times New Roman"/>
        </w:rPr>
        <w:t>.</w:t>
      </w:r>
    </w:p>
    <w:p w14:paraId="4C1D394F" w14:textId="182C65D7" w:rsidR="006318FA" w:rsidRPr="003E7DB9" w:rsidRDefault="006318FA" w:rsidP="008E6A15">
      <w:pPr>
        <w:rPr>
          <w:highlight w:val="green"/>
        </w:rPr>
      </w:pPr>
    </w:p>
    <w:p w14:paraId="44B6CFCA" w14:textId="1AD2186E" w:rsidR="006318FA" w:rsidRPr="003E7DB9" w:rsidRDefault="006318FA" w:rsidP="006318FA">
      <w:pPr>
        <w:rPr>
          <w:i/>
          <w:iCs/>
        </w:rPr>
      </w:pPr>
      <w:r w:rsidRPr="003E7DB9">
        <w:t>Roulston,</w:t>
      </w:r>
      <w:r w:rsidR="00452D46" w:rsidRPr="003E7DB9">
        <w:t xml:space="preserve"> </w:t>
      </w:r>
      <w:r w:rsidRPr="003E7DB9">
        <w:t xml:space="preserve">S. and </w:t>
      </w:r>
      <w:proofErr w:type="gramStart"/>
      <w:r w:rsidRPr="003E7DB9">
        <w:t>Hansson,U.</w:t>
      </w:r>
      <w:proofErr w:type="gramEnd"/>
      <w:r w:rsidRPr="003E7DB9">
        <w:t xml:space="preserve"> (2019) Kicking the Can down the Road? Educational Solutions to Challenges of Divided Societies: </w:t>
      </w:r>
      <w:proofErr w:type="gramStart"/>
      <w:r w:rsidRPr="003E7DB9">
        <w:t>a</w:t>
      </w:r>
      <w:proofErr w:type="gramEnd"/>
      <w:r w:rsidRPr="003E7DB9">
        <w:t xml:space="preserve"> Northern Ireland Case Study </w:t>
      </w:r>
      <w:r w:rsidRPr="003E7DB9">
        <w:rPr>
          <w:i/>
          <w:iCs/>
        </w:rPr>
        <w:t>Discourse: Studies in the Cultural Politics of Education</w:t>
      </w:r>
      <w:r w:rsidR="00452D46" w:rsidRPr="003E7DB9">
        <w:rPr>
          <w:i/>
          <w:iCs/>
        </w:rPr>
        <w:t>.</w:t>
      </w:r>
    </w:p>
    <w:p w14:paraId="46A4BB41" w14:textId="38B07884" w:rsidR="008E6A15" w:rsidRPr="003E7DB9" w:rsidRDefault="008E6A15" w:rsidP="008E6A15"/>
    <w:p w14:paraId="650C39DD" w14:textId="0C1D9CFE" w:rsidR="008E6A15" w:rsidRDefault="008E6A15" w:rsidP="008E6A15">
      <w:r w:rsidRPr="003E7DB9">
        <w:t>Roulston, S., Hansson, U., Cook, S. and McKenzie, P.</w:t>
      </w:r>
      <w:r w:rsidR="006318FA" w:rsidRPr="003E7DB9">
        <w:t xml:space="preserve"> (</w:t>
      </w:r>
      <w:r w:rsidRPr="003E7DB9">
        <w:t>2017</w:t>
      </w:r>
      <w:r w:rsidR="006318FA" w:rsidRPr="003E7DB9">
        <w:t>)</w:t>
      </w:r>
      <w:r w:rsidRPr="003E7DB9">
        <w:t xml:space="preserve"> If you are not one of them you feel out of place: Understanding divisions in a Northern Irish town. </w:t>
      </w:r>
      <w:r w:rsidRPr="003E7DB9">
        <w:rPr>
          <w:i/>
          <w:iCs/>
        </w:rPr>
        <w:t>Children's Geographies</w:t>
      </w:r>
      <w:r w:rsidRPr="003E7DB9">
        <w:t xml:space="preserve">, </w:t>
      </w:r>
      <w:r w:rsidRPr="003E7DB9">
        <w:rPr>
          <w:i/>
          <w:iCs/>
        </w:rPr>
        <w:t>15</w:t>
      </w:r>
      <w:r w:rsidRPr="003E7DB9">
        <w:t>(4):452-465</w:t>
      </w:r>
      <w:r w:rsidR="00452D46" w:rsidRPr="003E7DB9">
        <w:t>.</w:t>
      </w:r>
    </w:p>
    <w:p w14:paraId="671C6DF3" w14:textId="48B2ED87" w:rsidR="007563F9" w:rsidRDefault="007563F9" w:rsidP="008E6A15"/>
    <w:p w14:paraId="134F1D40" w14:textId="658D5570" w:rsidR="007563F9" w:rsidRPr="003E7DB9" w:rsidRDefault="007563F9" w:rsidP="008E6A15">
      <w:r>
        <w:t xml:space="preserve">RSM McClure Watters (2014) </w:t>
      </w:r>
      <w:r w:rsidRPr="0004466E">
        <w:rPr>
          <w:i/>
          <w:iCs/>
        </w:rPr>
        <w:t>Evaluation of the Sharing Education Programme. Final Report May 2014</w:t>
      </w:r>
      <w:r>
        <w:t xml:space="preserve">. Available from </w:t>
      </w:r>
      <w:r w:rsidRPr="007563F9">
        <w:t>http://www.sepni.org/resources/6287/6428_6287_77_Evaluation_of_the_Sharing_Education_Programme.pdf</w:t>
      </w:r>
    </w:p>
    <w:p w14:paraId="6EC06639" w14:textId="661E874D" w:rsidR="00043BFC" w:rsidRPr="003E7DB9" w:rsidRDefault="00043BFC" w:rsidP="008E6A15">
      <w:pPr>
        <w:rPr>
          <w:highlight w:val="green"/>
        </w:rPr>
      </w:pPr>
    </w:p>
    <w:p w14:paraId="195FF7BB" w14:textId="71C66CB4" w:rsidR="003B7450" w:rsidRPr="003E7DB9" w:rsidRDefault="003B7450" w:rsidP="003B7450">
      <w:r w:rsidRPr="003E7DB9">
        <w:t>Shirlow, P. (2016) Ethno-sectarianism and the Construction of Fear</w:t>
      </w:r>
      <w:r w:rsidR="009C688F" w:rsidRPr="003E7DB9">
        <w:t>. I</w:t>
      </w:r>
      <w:r w:rsidRPr="003E7DB9">
        <w:t xml:space="preserve">n </w:t>
      </w:r>
      <w:proofErr w:type="spellStart"/>
      <w:proofErr w:type="gramStart"/>
      <w:r w:rsidRPr="003E7DB9">
        <w:t>R.Pain</w:t>
      </w:r>
      <w:proofErr w:type="spellEnd"/>
      <w:proofErr w:type="gramEnd"/>
      <w:r w:rsidRPr="003E7DB9">
        <w:t xml:space="preserve"> and S.J. Smith (</w:t>
      </w:r>
      <w:r w:rsidR="009C688F" w:rsidRPr="003E7DB9">
        <w:t>E</w:t>
      </w:r>
      <w:r w:rsidRPr="003E7DB9">
        <w:t xml:space="preserve">ds) Belfast, Northern Ireland in </w:t>
      </w:r>
      <w:r w:rsidRPr="003E7DB9">
        <w:rPr>
          <w:i/>
          <w:iCs/>
        </w:rPr>
        <w:t>Fear: Critical Geopolitics and Everyday Life</w:t>
      </w:r>
      <w:r w:rsidRPr="003E7DB9">
        <w:t>. Routledge</w:t>
      </w:r>
      <w:r w:rsidR="00AF24B0" w:rsidRPr="003E7DB9">
        <w:t>.</w:t>
      </w:r>
    </w:p>
    <w:p w14:paraId="19B2F829" w14:textId="01E6EE47" w:rsidR="00F269DC" w:rsidRPr="003E7DB9" w:rsidRDefault="00F269DC" w:rsidP="008E6A15">
      <w:pPr>
        <w:rPr>
          <w:highlight w:val="green"/>
        </w:rPr>
      </w:pPr>
    </w:p>
    <w:p w14:paraId="134FC1CF" w14:textId="64452B07" w:rsidR="00F269DC" w:rsidRPr="003E7DB9" w:rsidRDefault="00F269DC" w:rsidP="008E6A15">
      <w:r w:rsidRPr="003E7DB9">
        <w:t xml:space="preserve">Smit, R., </w:t>
      </w:r>
      <w:proofErr w:type="spellStart"/>
      <w:r w:rsidRPr="003E7DB9">
        <w:t>Hyry-Beihammer</w:t>
      </w:r>
      <w:proofErr w:type="spellEnd"/>
      <w:r w:rsidRPr="003E7DB9">
        <w:t xml:space="preserve">, E.K. and </w:t>
      </w:r>
      <w:proofErr w:type="spellStart"/>
      <w:r w:rsidRPr="003E7DB9">
        <w:t>Raggl</w:t>
      </w:r>
      <w:proofErr w:type="spellEnd"/>
      <w:r w:rsidRPr="003E7DB9">
        <w:t xml:space="preserve">, A. (2015) Teaching and learning in small, rural schools in four European countries: Introduction and synthesis of mixed-/multi-age approaches. </w:t>
      </w:r>
      <w:r w:rsidRPr="003E7DB9">
        <w:rPr>
          <w:i/>
          <w:iCs/>
        </w:rPr>
        <w:t>International Journal of Educational Research</w:t>
      </w:r>
      <w:r w:rsidRPr="003E7DB9">
        <w:t xml:space="preserve">, </w:t>
      </w:r>
      <w:r w:rsidRPr="003E7DB9">
        <w:rPr>
          <w:i/>
          <w:iCs/>
        </w:rPr>
        <w:t>74</w:t>
      </w:r>
      <w:r w:rsidR="00AF24B0" w:rsidRPr="003E7DB9">
        <w:rPr>
          <w:i/>
          <w:iCs/>
        </w:rPr>
        <w:t>.</w:t>
      </w:r>
    </w:p>
    <w:p w14:paraId="20AC522E" w14:textId="0DD95F7E" w:rsidR="0013451C" w:rsidRPr="003E7DB9" w:rsidRDefault="0013451C" w:rsidP="000A05C7">
      <w:pPr>
        <w:spacing w:line="276" w:lineRule="auto"/>
        <w:rPr>
          <w:i/>
          <w:iCs/>
        </w:rPr>
      </w:pPr>
    </w:p>
    <w:p w14:paraId="459B9541" w14:textId="2B6D18E6" w:rsidR="006318FA" w:rsidRDefault="0013451C" w:rsidP="003168B2">
      <w:pPr>
        <w:spacing w:line="276" w:lineRule="auto"/>
      </w:pPr>
      <w:r w:rsidRPr="003E7DB9">
        <w:t>Smith, D.</w:t>
      </w:r>
      <w:r w:rsidR="00D17AD1" w:rsidRPr="003E7DB9">
        <w:t xml:space="preserve"> and </w:t>
      </w:r>
      <w:r w:rsidRPr="003E7DB9">
        <w:t xml:space="preserve">DeYoung, A. (1988). Big school vs. small school: conceptual, empirical, and political perspectives on the re-emerging debate. </w:t>
      </w:r>
      <w:r w:rsidRPr="003E7DB9">
        <w:rPr>
          <w:i/>
          <w:iCs/>
        </w:rPr>
        <w:t>Journal of Rural &amp; Small Schools</w:t>
      </w:r>
      <w:r w:rsidRPr="003E7DB9">
        <w:t>,</w:t>
      </w:r>
      <w:r w:rsidR="008E6A15" w:rsidRPr="003E7DB9">
        <w:t xml:space="preserve"> </w:t>
      </w:r>
      <w:r w:rsidRPr="003E7DB9">
        <w:t>2(2)</w:t>
      </w:r>
      <w:r w:rsidR="003F0D69" w:rsidRPr="003E7DB9">
        <w:t>.</w:t>
      </w:r>
    </w:p>
    <w:p w14:paraId="1360EF06" w14:textId="08BE66E4" w:rsidR="00D21909" w:rsidRPr="00D21909" w:rsidRDefault="00D21909" w:rsidP="003168B2">
      <w:pPr>
        <w:spacing w:line="276" w:lineRule="auto"/>
      </w:pPr>
    </w:p>
    <w:p w14:paraId="0B7DE4AA" w14:textId="5CEBFD5C" w:rsidR="00D21909" w:rsidRPr="0004466E" w:rsidRDefault="00D21909" w:rsidP="0004466E">
      <w:pPr>
        <w:autoSpaceDE w:val="0"/>
        <w:autoSpaceDN w:val="0"/>
        <w:adjustRightInd w:val="0"/>
        <w:rPr>
          <w:rFonts w:eastAsiaTheme="minorHAnsi"/>
          <w:color w:val="000000"/>
        </w:rPr>
      </w:pPr>
      <w:proofErr w:type="spellStart"/>
      <w:r w:rsidRPr="0004466E">
        <w:rPr>
          <w:rFonts w:eastAsiaTheme="minorHAnsi"/>
          <w:color w:val="000000"/>
        </w:rPr>
        <w:t>Tausch</w:t>
      </w:r>
      <w:proofErr w:type="spellEnd"/>
      <w:r w:rsidRPr="0004466E">
        <w:rPr>
          <w:rFonts w:eastAsiaTheme="minorHAnsi"/>
          <w:color w:val="000000"/>
        </w:rPr>
        <w:t xml:space="preserve">, N., Hewstone, M., Kenworthy, J. B., Psaltis, C., Schmid, K., </w:t>
      </w:r>
      <w:proofErr w:type="spellStart"/>
      <w:r w:rsidRPr="0004466E">
        <w:rPr>
          <w:rFonts w:eastAsiaTheme="minorHAnsi"/>
          <w:color w:val="000000"/>
        </w:rPr>
        <w:t>Popan</w:t>
      </w:r>
      <w:proofErr w:type="spellEnd"/>
      <w:r w:rsidRPr="0004466E">
        <w:rPr>
          <w:rFonts w:eastAsiaTheme="minorHAnsi"/>
          <w:color w:val="000000"/>
        </w:rPr>
        <w:t>, J. R.</w:t>
      </w:r>
      <w:r>
        <w:rPr>
          <w:rFonts w:eastAsiaTheme="minorHAnsi"/>
          <w:color w:val="000000"/>
        </w:rPr>
        <w:t xml:space="preserve">, Cairns, E. and </w:t>
      </w:r>
      <w:r w:rsidRPr="0004466E">
        <w:rPr>
          <w:rFonts w:eastAsiaTheme="minorHAnsi"/>
          <w:color w:val="000000"/>
        </w:rPr>
        <w:t>Hughes, J. (</w:t>
      </w:r>
      <w:r w:rsidRPr="0004466E">
        <w:rPr>
          <w:rFonts w:eastAsiaTheme="minorHAnsi"/>
          <w:color w:val="000085"/>
        </w:rPr>
        <w:t>2010</w:t>
      </w:r>
      <w:r w:rsidRPr="0004466E">
        <w:rPr>
          <w:rFonts w:eastAsiaTheme="minorHAnsi"/>
          <w:color w:val="000000"/>
        </w:rPr>
        <w:t>).</w:t>
      </w:r>
      <w:r>
        <w:rPr>
          <w:rFonts w:eastAsiaTheme="minorHAnsi"/>
          <w:color w:val="000000"/>
        </w:rPr>
        <w:t xml:space="preserve"> </w:t>
      </w:r>
      <w:r w:rsidRPr="0004466E">
        <w:rPr>
          <w:rFonts w:eastAsiaTheme="minorHAnsi"/>
          <w:color w:val="000000"/>
        </w:rPr>
        <w:t>Secondary transfer effects of intergroup contact: Alternative accounts and underlying processes.</w:t>
      </w:r>
      <w:r>
        <w:rPr>
          <w:rFonts w:eastAsiaTheme="minorHAnsi"/>
          <w:color w:val="000000"/>
        </w:rPr>
        <w:t xml:space="preserve"> </w:t>
      </w:r>
      <w:r w:rsidRPr="0004466E">
        <w:rPr>
          <w:rFonts w:eastAsiaTheme="minorHAnsi"/>
          <w:i/>
          <w:iCs/>
          <w:color w:val="000000"/>
        </w:rPr>
        <w:t>Journal of Personality and Social Psychology</w:t>
      </w:r>
      <w:r w:rsidRPr="0004466E">
        <w:rPr>
          <w:rFonts w:eastAsiaTheme="minorHAnsi"/>
          <w:color w:val="000000"/>
        </w:rPr>
        <w:t>, 99(2), 282–302.</w:t>
      </w:r>
    </w:p>
    <w:p w14:paraId="162A6A86" w14:textId="70CF3C02" w:rsidR="00544B06" w:rsidRPr="00D46872" w:rsidRDefault="00544B06" w:rsidP="003168B2">
      <w:pPr>
        <w:spacing w:line="276" w:lineRule="auto"/>
      </w:pPr>
    </w:p>
    <w:p w14:paraId="593DFBEE" w14:textId="3AC59597" w:rsidR="008F1A43" w:rsidRDefault="008F1A43" w:rsidP="008F1A43">
      <w:pPr>
        <w:autoSpaceDE w:val="0"/>
        <w:autoSpaceDN w:val="0"/>
        <w:adjustRightInd w:val="0"/>
        <w:rPr>
          <w:rFonts w:eastAsiaTheme="minorHAnsi"/>
        </w:rPr>
      </w:pPr>
      <w:r w:rsidRPr="008F1A43">
        <w:t xml:space="preserve">Thornthwaite, S.E. (2014) </w:t>
      </w:r>
      <w:r w:rsidRPr="0004466E">
        <w:rPr>
          <w:rFonts w:eastAsiaTheme="minorHAnsi"/>
        </w:rPr>
        <w:t>The Report of</w:t>
      </w:r>
      <w:r>
        <w:rPr>
          <w:rFonts w:eastAsiaTheme="minorHAnsi"/>
        </w:rPr>
        <w:t xml:space="preserve"> </w:t>
      </w:r>
      <w:r w:rsidRPr="0004466E">
        <w:rPr>
          <w:rFonts w:eastAsiaTheme="minorHAnsi"/>
        </w:rPr>
        <w:t>The Independent Review of</w:t>
      </w:r>
      <w:r>
        <w:rPr>
          <w:rFonts w:eastAsiaTheme="minorHAnsi"/>
        </w:rPr>
        <w:t xml:space="preserve"> </w:t>
      </w:r>
      <w:r w:rsidRPr="0004466E">
        <w:rPr>
          <w:rFonts w:eastAsiaTheme="minorHAnsi"/>
        </w:rPr>
        <w:t>Home to School Transport</w:t>
      </w:r>
      <w:r>
        <w:rPr>
          <w:rFonts w:eastAsiaTheme="minorHAnsi"/>
        </w:rPr>
        <w:t xml:space="preserve">. Available from </w:t>
      </w:r>
      <w:r w:rsidRPr="008F1A43">
        <w:rPr>
          <w:rFonts w:eastAsiaTheme="minorHAnsi"/>
        </w:rPr>
        <w:t>https://www.education-ni.gov.uk/publications/independent-review-home-school-transport-reports</w:t>
      </w:r>
    </w:p>
    <w:p w14:paraId="13877039" w14:textId="77777777" w:rsidR="008F1A43" w:rsidRPr="0004466E" w:rsidRDefault="008F1A43" w:rsidP="0004466E">
      <w:pPr>
        <w:autoSpaceDE w:val="0"/>
        <w:autoSpaceDN w:val="0"/>
        <w:adjustRightInd w:val="0"/>
        <w:rPr>
          <w:rFonts w:eastAsiaTheme="minorHAnsi"/>
        </w:rPr>
      </w:pPr>
    </w:p>
    <w:p w14:paraId="24488F07" w14:textId="64F9623F" w:rsidR="00544B06" w:rsidRPr="003E7DB9" w:rsidRDefault="00544B06" w:rsidP="003168B2">
      <w:pPr>
        <w:spacing w:line="276" w:lineRule="auto"/>
      </w:pPr>
      <w:r>
        <w:rPr>
          <w:color w:val="000000" w:themeColor="text1"/>
        </w:rPr>
        <w:lastRenderedPageBreak/>
        <w:t xml:space="preserve">UK Government and Irish Government (2020) New Decade, New Approach. Available from: </w:t>
      </w:r>
      <w:r w:rsidRPr="00544B06">
        <w:rPr>
          <w:color w:val="000000" w:themeColor="text1"/>
        </w:rPr>
        <w:t>https://assets.publishing.service.gov.uk/government/uploads/system/uploads/attachment_data/file/856998/2020-01-08_a_new_decade__a_new_approach.pdf</w:t>
      </w:r>
    </w:p>
    <w:p w14:paraId="34E0E4A4" w14:textId="32B043D1" w:rsidR="009015E2" w:rsidRPr="003E7DB9" w:rsidRDefault="009015E2" w:rsidP="00C14D0A">
      <w:pPr>
        <w:rPr>
          <w:color w:val="000000" w:themeColor="text1"/>
          <w:highlight w:val="green"/>
        </w:rPr>
      </w:pPr>
    </w:p>
    <w:p w14:paraId="2F267368" w14:textId="07DF275D" w:rsidR="009015E2" w:rsidRPr="003E7DB9" w:rsidRDefault="009015E2" w:rsidP="00C14D0A">
      <w:pPr>
        <w:rPr>
          <w:color w:val="000000" w:themeColor="text1"/>
        </w:rPr>
      </w:pPr>
      <w:r w:rsidRPr="003E7DB9">
        <w:rPr>
          <w:color w:val="000000" w:themeColor="text1"/>
        </w:rPr>
        <w:t xml:space="preserve">Ulster University Economic Policy Centre (2016) </w:t>
      </w:r>
      <w:r w:rsidRPr="003E7DB9">
        <w:rPr>
          <w:i/>
          <w:iCs/>
          <w:color w:val="000000" w:themeColor="text1"/>
        </w:rPr>
        <w:t xml:space="preserve">Cost of Division A benchmark of performance and expenditure </w:t>
      </w:r>
      <w:r w:rsidRPr="003E7DB9">
        <w:rPr>
          <w:color w:val="000000" w:themeColor="text1"/>
        </w:rPr>
        <w:t>Available from</w:t>
      </w:r>
      <w:r w:rsidR="00544B06">
        <w:rPr>
          <w:color w:val="000000" w:themeColor="text1"/>
        </w:rPr>
        <w:t>:</w:t>
      </w:r>
      <w:r w:rsidRPr="003E7DB9">
        <w:rPr>
          <w:color w:val="000000" w:themeColor="text1"/>
        </w:rPr>
        <w:t xml:space="preserve"> https://www.finance-ni.gov.uk/publications/independent-audit-cost-division</w:t>
      </w:r>
      <w:r w:rsidR="00AF24B0" w:rsidRPr="003E7DB9">
        <w:rPr>
          <w:color w:val="000000" w:themeColor="text1"/>
        </w:rPr>
        <w:t>.</w:t>
      </w:r>
    </w:p>
    <w:p w14:paraId="785FE4C8" w14:textId="11D8D075" w:rsidR="00376AC6" w:rsidRPr="003E7DB9" w:rsidRDefault="00376AC6" w:rsidP="00C14D0A">
      <w:pPr>
        <w:rPr>
          <w:highlight w:val="green"/>
        </w:rPr>
      </w:pPr>
    </w:p>
    <w:p w14:paraId="3D0585C6" w14:textId="17E9C65D" w:rsidR="003E7DB9" w:rsidRPr="003E7DB9" w:rsidRDefault="00376AC6">
      <w:r w:rsidRPr="003E7DB9">
        <w:t xml:space="preserve">Wilson, V. and </w:t>
      </w:r>
      <w:proofErr w:type="spellStart"/>
      <w:r w:rsidRPr="003E7DB9">
        <w:t>McPake</w:t>
      </w:r>
      <w:proofErr w:type="spellEnd"/>
      <w:r w:rsidRPr="003E7DB9">
        <w:t xml:space="preserve">, J. (2000) Managing change in small Scottish primary schools: Is there a small school management style? </w:t>
      </w:r>
      <w:r w:rsidRPr="003E7DB9">
        <w:rPr>
          <w:i/>
          <w:iCs/>
        </w:rPr>
        <w:t>Educational Management &amp; Administration</w:t>
      </w:r>
      <w:r w:rsidRPr="003E7DB9">
        <w:t xml:space="preserve">, </w:t>
      </w:r>
      <w:r w:rsidRPr="003E7DB9">
        <w:rPr>
          <w:i/>
          <w:iCs/>
        </w:rPr>
        <w:t>28</w:t>
      </w:r>
      <w:r w:rsidRPr="003E7DB9">
        <w:t>(2)</w:t>
      </w:r>
      <w:r w:rsidR="00BD4834" w:rsidRPr="003E7DB9">
        <w:t xml:space="preserve">: </w:t>
      </w:r>
      <w:r w:rsidRPr="003E7DB9">
        <w:t>119-132.</w:t>
      </w:r>
    </w:p>
    <w:p w14:paraId="4846F36E" w14:textId="77777777" w:rsidR="005B1470" w:rsidRPr="003E7DB9" w:rsidRDefault="005B1470">
      <w:pPr>
        <w:rPr>
          <w:i/>
          <w:iCs/>
          <w:color w:val="000000"/>
        </w:rPr>
      </w:pPr>
      <w:r w:rsidRPr="003E7DB9">
        <w:rPr>
          <w:i/>
          <w:iCs/>
          <w:color w:val="000000"/>
        </w:rPr>
        <w:br w:type="page"/>
      </w:r>
    </w:p>
    <w:p w14:paraId="20E7225D" w14:textId="12F47C08" w:rsidR="004E1599" w:rsidRPr="003E7DB9" w:rsidRDefault="004E1599" w:rsidP="004E1599">
      <w:pPr>
        <w:spacing w:line="276" w:lineRule="auto"/>
        <w:jc w:val="both"/>
        <w:rPr>
          <w:i/>
          <w:iCs/>
          <w:color w:val="000000"/>
        </w:rPr>
      </w:pPr>
      <w:r w:rsidRPr="003E7DB9">
        <w:rPr>
          <w:i/>
          <w:iCs/>
          <w:color w:val="000000"/>
        </w:rPr>
        <w:lastRenderedPageBreak/>
        <w:t>Table 1</w:t>
      </w:r>
      <w:r w:rsidR="00912F45" w:rsidRPr="003E7DB9">
        <w:rPr>
          <w:i/>
          <w:iCs/>
          <w:color w:val="000000"/>
        </w:rPr>
        <w:t>: Isolated Pairs of primary schools (2018-19 data)</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235"/>
        <w:gridCol w:w="1113"/>
        <w:gridCol w:w="21"/>
        <w:gridCol w:w="1191"/>
        <w:gridCol w:w="10"/>
        <w:gridCol w:w="1081"/>
        <w:gridCol w:w="1261"/>
        <w:gridCol w:w="1077"/>
      </w:tblGrid>
      <w:tr w:rsidR="004E1599" w:rsidRPr="003E7DB9" w14:paraId="27CBEF2F" w14:textId="77777777" w:rsidTr="00912F45">
        <w:trPr>
          <w:trHeight w:val="363"/>
        </w:trPr>
        <w:tc>
          <w:tcPr>
            <w:tcW w:w="2021" w:type="dxa"/>
            <w:vMerge w:val="restart"/>
            <w:shd w:val="clear" w:color="auto" w:fill="auto"/>
          </w:tcPr>
          <w:p w14:paraId="59CFF256" w14:textId="77777777" w:rsidR="004E1599" w:rsidRPr="006A1A17" w:rsidRDefault="004E1599" w:rsidP="00B51BBA">
            <w:pPr>
              <w:jc w:val="both"/>
              <w:rPr>
                <w:color w:val="000000"/>
                <w:sz w:val="20"/>
                <w:szCs w:val="20"/>
              </w:rPr>
            </w:pPr>
            <w:r w:rsidRPr="006A1A17">
              <w:rPr>
                <w:color w:val="000000"/>
                <w:sz w:val="20"/>
                <w:szCs w:val="20"/>
              </w:rPr>
              <w:t>Location of schools (Counties)</w:t>
            </w:r>
          </w:p>
        </w:tc>
        <w:tc>
          <w:tcPr>
            <w:tcW w:w="2369" w:type="dxa"/>
            <w:gridSpan w:val="3"/>
            <w:shd w:val="clear" w:color="auto" w:fill="auto"/>
          </w:tcPr>
          <w:p w14:paraId="1990AE80" w14:textId="58DEF9A7" w:rsidR="004E1599" w:rsidRPr="006A1A17" w:rsidRDefault="004E1599" w:rsidP="00B51BBA">
            <w:pPr>
              <w:rPr>
                <w:color w:val="000000"/>
                <w:sz w:val="20"/>
                <w:szCs w:val="20"/>
              </w:rPr>
            </w:pPr>
            <w:r w:rsidRPr="006A1A17">
              <w:rPr>
                <w:color w:val="000000"/>
                <w:sz w:val="20"/>
                <w:szCs w:val="20"/>
              </w:rPr>
              <w:t xml:space="preserve">School enrolment </w:t>
            </w:r>
            <w:r w:rsidR="0072466E" w:rsidRPr="006A1A17">
              <w:rPr>
                <w:color w:val="000000"/>
                <w:sz w:val="20"/>
                <w:szCs w:val="20"/>
              </w:rPr>
              <w:t>(full-time equivalent)</w:t>
            </w:r>
          </w:p>
          <w:p w14:paraId="5E83357F" w14:textId="77777777" w:rsidR="004E1599" w:rsidRPr="006A1A17" w:rsidRDefault="004E1599" w:rsidP="00B51BBA">
            <w:pPr>
              <w:rPr>
                <w:color w:val="000000"/>
                <w:sz w:val="20"/>
                <w:szCs w:val="20"/>
              </w:rPr>
            </w:pPr>
          </w:p>
        </w:tc>
        <w:tc>
          <w:tcPr>
            <w:tcW w:w="2282" w:type="dxa"/>
            <w:gridSpan w:val="3"/>
            <w:shd w:val="clear" w:color="auto" w:fill="auto"/>
          </w:tcPr>
          <w:p w14:paraId="6AA83089" w14:textId="77777777" w:rsidR="004E1599" w:rsidRPr="006A1A17" w:rsidRDefault="004E1599" w:rsidP="00B51BBA">
            <w:pPr>
              <w:jc w:val="both"/>
              <w:rPr>
                <w:color w:val="000000"/>
                <w:sz w:val="20"/>
                <w:szCs w:val="20"/>
              </w:rPr>
            </w:pPr>
            <w:r w:rsidRPr="006A1A17">
              <w:rPr>
                <w:color w:val="000000"/>
                <w:sz w:val="20"/>
                <w:szCs w:val="20"/>
              </w:rPr>
              <w:t xml:space="preserve">% Catholic pupils </w:t>
            </w:r>
          </w:p>
          <w:p w14:paraId="515AEB15" w14:textId="77777777" w:rsidR="004E1599" w:rsidRPr="006A1A17" w:rsidRDefault="004E1599" w:rsidP="00B51BBA">
            <w:pPr>
              <w:jc w:val="both"/>
              <w:rPr>
                <w:color w:val="000000"/>
                <w:sz w:val="20"/>
                <w:szCs w:val="20"/>
              </w:rPr>
            </w:pPr>
          </w:p>
        </w:tc>
        <w:tc>
          <w:tcPr>
            <w:tcW w:w="2338" w:type="dxa"/>
            <w:gridSpan w:val="2"/>
            <w:shd w:val="clear" w:color="auto" w:fill="auto"/>
          </w:tcPr>
          <w:p w14:paraId="27F97360" w14:textId="77777777" w:rsidR="004E1599" w:rsidRPr="006A1A17" w:rsidRDefault="004E1599" w:rsidP="00B51BBA">
            <w:pPr>
              <w:rPr>
                <w:color w:val="000000"/>
                <w:sz w:val="20"/>
                <w:szCs w:val="20"/>
              </w:rPr>
            </w:pPr>
            <w:r w:rsidRPr="006A1A17">
              <w:rPr>
                <w:color w:val="000000"/>
                <w:sz w:val="20"/>
                <w:szCs w:val="20"/>
              </w:rPr>
              <w:t>Teacher Numbers full-time equivalent (pupil/teacher ratios)</w:t>
            </w:r>
          </w:p>
        </w:tc>
      </w:tr>
      <w:tr w:rsidR="004E1599" w:rsidRPr="003E7DB9" w14:paraId="78AC8DE8" w14:textId="77777777" w:rsidTr="00912F45">
        <w:trPr>
          <w:trHeight w:val="547"/>
        </w:trPr>
        <w:tc>
          <w:tcPr>
            <w:tcW w:w="2021" w:type="dxa"/>
            <w:vMerge/>
            <w:shd w:val="clear" w:color="auto" w:fill="auto"/>
          </w:tcPr>
          <w:p w14:paraId="55A3B896" w14:textId="77777777" w:rsidR="004E1599" w:rsidRPr="006A1A17" w:rsidRDefault="004E1599" w:rsidP="00B51BBA">
            <w:pPr>
              <w:jc w:val="both"/>
              <w:rPr>
                <w:color w:val="000000"/>
                <w:sz w:val="20"/>
                <w:szCs w:val="20"/>
              </w:rPr>
            </w:pPr>
          </w:p>
        </w:tc>
        <w:tc>
          <w:tcPr>
            <w:tcW w:w="1235" w:type="dxa"/>
            <w:shd w:val="clear" w:color="auto" w:fill="auto"/>
          </w:tcPr>
          <w:p w14:paraId="04ED3C85" w14:textId="51F7DF92" w:rsidR="004E1599" w:rsidRPr="006A1A17" w:rsidRDefault="004E1599" w:rsidP="00B51BBA">
            <w:pPr>
              <w:jc w:val="both"/>
              <w:rPr>
                <w:color w:val="000000"/>
                <w:sz w:val="20"/>
                <w:szCs w:val="20"/>
              </w:rPr>
            </w:pPr>
            <w:r w:rsidRPr="006A1A17">
              <w:rPr>
                <w:color w:val="000000"/>
                <w:sz w:val="20"/>
                <w:szCs w:val="20"/>
              </w:rPr>
              <w:t xml:space="preserve">Maintained </w:t>
            </w:r>
            <w:r w:rsidR="00026813" w:rsidRPr="006A1A17">
              <w:rPr>
                <w:color w:val="000000"/>
                <w:sz w:val="20"/>
                <w:szCs w:val="20"/>
              </w:rPr>
              <w:t>primar</w:t>
            </w:r>
            <w:r w:rsidRPr="006A1A17">
              <w:rPr>
                <w:color w:val="000000"/>
                <w:sz w:val="20"/>
                <w:szCs w:val="20"/>
              </w:rPr>
              <w:t>y</w:t>
            </w:r>
          </w:p>
        </w:tc>
        <w:tc>
          <w:tcPr>
            <w:tcW w:w="1134" w:type="dxa"/>
            <w:gridSpan w:val="2"/>
            <w:shd w:val="clear" w:color="auto" w:fill="auto"/>
          </w:tcPr>
          <w:p w14:paraId="1C376E9E" w14:textId="5CEDD849" w:rsidR="004E1599" w:rsidRPr="006A1A17" w:rsidRDefault="004E1599" w:rsidP="00B51BBA">
            <w:pPr>
              <w:jc w:val="both"/>
              <w:rPr>
                <w:color w:val="000000"/>
                <w:sz w:val="20"/>
                <w:szCs w:val="20"/>
              </w:rPr>
            </w:pPr>
            <w:r w:rsidRPr="006A1A17">
              <w:rPr>
                <w:color w:val="000000"/>
                <w:sz w:val="20"/>
                <w:szCs w:val="20"/>
              </w:rPr>
              <w:t xml:space="preserve">Controlled </w:t>
            </w:r>
            <w:r w:rsidR="00026813" w:rsidRPr="006A1A17">
              <w:rPr>
                <w:color w:val="000000"/>
                <w:sz w:val="20"/>
                <w:szCs w:val="20"/>
              </w:rPr>
              <w:t>primar</w:t>
            </w:r>
            <w:r w:rsidRPr="006A1A17">
              <w:rPr>
                <w:color w:val="000000"/>
                <w:sz w:val="20"/>
                <w:szCs w:val="20"/>
              </w:rPr>
              <w:t xml:space="preserve">y </w:t>
            </w:r>
          </w:p>
        </w:tc>
        <w:tc>
          <w:tcPr>
            <w:tcW w:w="1191" w:type="dxa"/>
            <w:shd w:val="clear" w:color="auto" w:fill="auto"/>
          </w:tcPr>
          <w:p w14:paraId="159B7500" w14:textId="339B01F4" w:rsidR="004E1599" w:rsidRPr="006A1A17" w:rsidRDefault="004E1599" w:rsidP="00B51BBA">
            <w:pPr>
              <w:jc w:val="both"/>
              <w:rPr>
                <w:color w:val="000000"/>
                <w:sz w:val="20"/>
                <w:szCs w:val="20"/>
              </w:rPr>
            </w:pPr>
            <w:r w:rsidRPr="006A1A17">
              <w:rPr>
                <w:color w:val="000000"/>
                <w:sz w:val="20"/>
                <w:szCs w:val="20"/>
              </w:rPr>
              <w:t xml:space="preserve">Maintained </w:t>
            </w:r>
            <w:r w:rsidR="00026813" w:rsidRPr="006A1A17">
              <w:rPr>
                <w:color w:val="000000"/>
                <w:sz w:val="20"/>
                <w:szCs w:val="20"/>
              </w:rPr>
              <w:t>primar</w:t>
            </w:r>
            <w:r w:rsidRPr="006A1A17">
              <w:rPr>
                <w:color w:val="000000"/>
                <w:sz w:val="20"/>
                <w:szCs w:val="20"/>
              </w:rPr>
              <w:t xml:space="preserve">y </w:t>
            </w:r>
          </w:p>
        </w:tc>
        <w:tc>
          <w:tcPr>
            <w:tcW w:w="1091" w:type="dxa"/>
            <w:gridSpan w:val="2"/>
            <w:shd w:val="clear" w:color="auto" w:fill="auto"/>
          </w:tcPr>
          <w:p w14:paraId="07E42D10" w14:textId="17E67B58" w:rsidR="004E1599" w:rsidRPr="006A1A17" w:rsidRDefault="004E1599" w:rsidP="00B51BBA">
            <w:pPr>
              <w:jc w:val="both"/>
              <w:rPr>
                <w:color w:val="000000"/>
                <w:sz w:val="20"/>
                <w:szCs w:val="20"/>
              </w:rPr>
            </w:pPr>
            <w:r w:rsidRPr="006A1A17">
              <w:rPr>
                <w:color w:val="000000"/>
                <w:sz w:val="20"/>
                <w:szCs w:val="20"/>
              </w:rPr>
              <w:t xml:space="preserve">Controlled </w:t>
            </w:r>
            <w:r w:rsidR="00026813" w:rsidRPr="006A1A17">
              <w:rPr>
                <w:color w:val="000000"/>
                <w:sz w:val="20"/>
                <w:szCs w:val="20"/>
              </w:rPr>
              <w:t>primar</w:t>
            </w:r>
            <w:r w:rsidRPr="006A1A17">
              <w:rPr>
                <w:color w:val="000000"/>
                <w:sz w:val="20"/>
                <w:szCs w:val="20"/>
              </w:rPr>
              <w:t>y</w:t>
            </w:r>
          </w:p>
        </w:tc>
        <w:tc>
          <w:tcPr>
            <w:tcW w:w="1261" w:type="dxa"/>
            <w:shd w:val="clear" w:color="auto" w:fill="auto"/>
          </w:tcPr>
          <w:p w14:paraId="57A16ACB" w14:textId="7F08198C" w:rsidR="004E1599" w:rsidRPr="006A1A17" w:rsidRDefault="004E1599" w:rsidP="00B51BBA">
            <w:pPr>
              <w:jc w:val="both"/>
              <w:rPr>
                <w:color w:val="000000"/>
                <w:sz w:val="20"/>
                <w:szCs w:val="20"/>
              </w:rPr>
            </w:pPr>
            <w:r w:rsidRPr="006A1A17">
              <w:rPr>
                <w:color w:val="000000"/>
                <w:sz w:val="20"/>
                <w:szCs w:val="20"/>
              </w:rPr>
              <w:t xml:space="preserve">Maintained </w:t>
            </w:r>
            <w:r w:rsidR="00026813" w:rsidRPr="006A1A17">
              <w:rPr>
                <w:color w:val="000000"/>
                <w:sz w:val="20"/>
                <w:szCs w:val="20"/>
              </w:rPr>
              <w:t>primar</w:t>
            </w:r>
            <w:r w:rsidRPr="006A1A17">
              <w:rPr>
                <w:color w:val="000000"/>
                <w:sz w:val="20"/>
                <w:szCs w:val="20"/>
              </w:rPr>
              <w:t xml:space="preserve">y </w:t>
            </w:r>
          </w:p>
        </w:tc>
        <w:tc>
          <w:tcPr>
            <w:tcW w:w="1077" w:type="dxa"/>
            <w:shd w:val="clear" w:color="auto" w:fill="auto"/>
          </w:tcPr>
          <w:p w14:paraId="668ADF7C" w14:textId="5D3E3A71" w:rsidR="004E1599" w:rsidRPr="006A1A17" w:rsidRDefault="004E1599" w:rsidP="00B51BBA">
            <w:pPr>
              <w:jc w:val="both"/>
              <w:rPr>
                <w:color w:val="000000"/>
                <w:sz w:val="20"/>
                <w:szCs w:val="20"/>
              </w:rPr>
            </w:pPr>
            <w:r w:rsidRPr="006A1A17">
              <w:rPr>
                <w:color w:val="000000"/>
                <w:sz w:val="20"/>
                <w:szCs w:val="20"/>
              </w:rPr>
              <w:t xml:space="preserve">Controlled </w:t>
            </w:r>
            <w:r w:rsidR="00026813" w:rsidRPr="006A1A17">
              <w:rPr>
                <w:color w:val="000000"/>
                <w:sz w:val="20"/>
                <w:szCs w:val="20"/>
              </w:rPr>
              <w:t>primar</w:t>
            </w:r>
            <w:r w:rsidRPr="006A1A17">
              <w:rPr>
                <w:color w:val="000000"/>
                <w:sz w:val="20"/>
                <w:szCs w:val="20"/>
              </w:rPr>
              <w:t>y</w:t>
            </w:r>
          </w:p>
        </w:tc>
      </w:tr>
      <w:tr w:rsidR="004E1599" w:rsidRPr="003E7DB9" w14:paraId="7F38A4B8" w14:textId="77777777" w:rsidTr="00912F45">
        <w:tc>
          <w:tcPr>
            <w:tcW w:w="2021" w:type="dxa"/>
            <w:shd w:val="clear" w:color="auto" w:fill="FFFFFF"/>
          </w:tcPr>
          <w:p w14:paraId="0ECCF2C6" w14:textId="77777777" w:rsidR="004E1599" w:rsidRPr="006A1A17" w:rsidRDefault="004E1599" w:rsidP="00B51BBA">
            <w:pPr>
              <w:jc w:val="both"/>
              <w:rPr>
                <w:color w:val="000000"/>
                <w:sz w:val="20"/>
                <w:szCs w:val="20"/>
              </w:rPr>
            </w:pPr>
            <w:r w:rsidRPr="006A1A17">
              <w:rPr>
                <w:color w:val="000000"/>
                <w:sz w:val="20"/>
                <w:szCs w:val="20"/>
              </w:rPr>
              <w:t xml:space="preserve">Antrim </w:t>
            </w:r>
          </w:p>
        </w:tc>
        <w:tc>
          <w:tcPr>
            <w:tcW w:w="1235" w:type="dxa"/>
            <w:shd w:val="clear" w:color="auto" w:fill="BFBFBF"/>
          </w:tcPr>
          <w:p w14:paraId="678A4236" w14:textId="77777777" w:rsidR="004E1599" w:rsidRPr="006A1A17" w:rsidRDefault="004E1599" w:rsidP="00B51BBA">
            <w:pPr>
              <w:jc w:val="right"/>
              <w:rPr>
                <w:color w:val="000000"/>
                <w:sz w:val="20"/>
                <w:szCs w:val="20"/>
              </w:rPr>
            </w:pPr>
            <w:r w:rsidRPr="006A1A17">
              <w:rPr>
                <w:color w:val="000000"/>
                <w:sz w:val="20"/>
                <w:szCs w:val="20"/>
              </w:rPr>
              <w:t>87</w:t>
            </w:r>
          </w:p>
        </w:tc>
        <w:tc>
          <w:tcPr>
            <w:tcW w:w="1113" w:type="dxa"/>
            <w:shd w:val="clear" w:color="auto" w:fill="BFBFBF"/>
          </w:tcPr>
          <w:p w14:paraId="3E1AF8DE" w14:textId="77777777" w:rsidR="004E1599" w:rsidRPr="006A1A17" w:rsidRDefault="004E1599" w:rsidP="00B51BBA">
            <w:pPr>
              <w:jc w:val="right"/>
              <w:rPr>
                <w:color w:val="000000"/>
                <w:sz w:val="20"/>
                <w:szCs w:val="20"/>
              </w:rPr>
            </w:pPr>
            <w:r w:rsidRPr="006A1A17">
              <w:rPr>
                <w:color w:val="000000"/>
                <w:sz w:val="20"/>
                <w:szCs w:val="20"/>
              </w:rPr>
              <w:t>89</w:t>
            </w:r>
          </w:p>
        </w:tc>
        <w:tc>
          <w:tcPr>
            <w:tcW w:w="1222" w:type="dxa"/>
            <w:gridSpan w:val="3"/>
            <w:shd w:val="clear" w:color="auto" w:fill="auto"/>
          </w:tcPr>
          <w:p w14:paraId="2BCA4207" w14:textId="77777777" w:rsidR="004E1599" w:rsidRPr="006A1A17" w:rsidRDefault="004E1599" w:rsidP="00B51BBA">
            <w:pPr>
              <w:jc w:val="right"/>
              <w:rPr>
                <w:color w:val="000000"/>
                <w:sz w:val="20"/>
                <w:szCs w:val="20"/>
              </w:rPr>
            </w:pPr>
            <w:r w:rsidRPr="006A1A17">
              <w:rPr>
                <w:color w:val="000000"/>
                <w:sz w:val="20"/>
                <w:szCs w:val="20"/>
              </w:rPr>
              <w:t>100</w:t>
            </w:r>
          </w:p>
        </w:tc>
        <w:tc>
          <w:tcPr>
            <w:tcW w:w="1081" w:type="dxa"/>
            <w:shd w:val="clear" w:color="auto" w:fill="auto"/>
          </w:tcPr>
          <w:p w14:paraId="0953D72B"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7072512E" w14:textId="77777777" w:rsidR="004E1599" w:rsidRPr="006A1A17" w:rsidRDefault="004E1599" w:rsidP="00B51BBA">
            <w:pPr>
              <w:jc w:val="right"/>
              <w:rPr>
                <w:color w:val="000000"/>
                <w:sz w:val="20"/>
                <w:szCs w:val="20"/>
              </w:rPr>
            </w:pPr>
            <w:r w:rsidRPr="006A1A17">
              <w:rPr>
                <w:color w:val="000000"/>
                <w:sz w:val="20"/>
                <w:szCs w:val="20"/>
              </w:rPr>
              <w:t>4.4 (19.8)</w:t>
            </w:r>
          </w:p>
        </w:tc>
        <w:tc>
          <w:tcPr>
            <w:tcW w:w="1077" w:type="dxa"/>
            <w:shd w:val="clear" w:color="auto" w:fill="auto"/>
          </w:tcPr>
          <w:p w14:paraId="6CA13344" w14:textId="77777777" w:rsidR="004E1599" w:rsidRPr="006A1A17" w:rsidRDefault="004E1599" w:rsidP="00B51BBA">
            <w:pPr>
              <w:jc w:val="right"/>
              <w:rPr>
                <w:color w:val="000000"/>
                <w:sz w:val="20"/>
                <w:szCs w:val="20"/>
              </w:rPr>
            </w:pPr>
            <w:r w:rsidRPr="006A1A17">
              <w:rPr>
                <w:color w:val="000000"/>
                <w:sz w:val="20"/>
                <w:szCs w:val="20"/>
              </w:rPr>
              <w:t>3.8 (23.4)</w:t>
            </w:r>
          </w:p>
        </w:tc>
      </w:tr>
      <w:tr w:rsidR="004E1599" w:rsidRPr="003E7DB9" w14:paraId="3CC8CE2A" w14:textId="77777777" w:rsidTr="00912F45">
        <w:tc>
          <w:tcPr>
            <w:tcW w:w="2021" w:type="dxa"/>
            <w:shd w:val="clear" w:color="auto" w:fill="FFFFFF"/>
          </w:tcPr>
          <w:p w14:paraId="3B143223" w14:textId="77777777" w:rsidR="004E1599" w:rsidRPr="006A1A17" w:rsidRDefault="004E1599" w:rsidP="00B51BBA">
            <w:pPr>
              <w:jc w:val="both"/>
              <w:rPr>
                <w:color w:val="000000"/>
                <w:sz w:val="20"/>
                <w:szCs w:val="20"/>
              </w:rPr>
            </w:pPr>
          </w:p>
        </w:tc>
        <w:tc>
          <w:tcPr>
            <w:tcW w:w="1235" w:type="dxa"/>
            <w:shd w:val="clear" w:color="auto" w:fill="BFBFBF"/>
          </w:tcPr>
          <w:p w14:paraId="10D435F8" w14:textId="77777777" w:rsidR="004E1599" w:rsidRPr="006A1A17" w:rsidRDefault="004E1599" w:rsidP="00B51BBA">
            <w:pPr>
              <w:jc w:val="right"/>
              <w:rPr>
                <w:color w:val="000000"/>
                <w:sz w:val="20"/>
                <w:szCs w:val="20"/>
              </w:rPr>
            </w:pPr>
            <w:r w:rsidRPr="006A1A17">
              <w:rPr>
                <w:color w:val="000000"/>
                <w:sz w:val="20"/>
                <w:szCs w:val="20"/>
              </w:rPr>
              <w:t>58</w:t>
            </w:r>
          </w:p>
        </w:tc>
        <w:tc>
          <w:tcPr>
            <w:tcW w:w="1113" w:type="dxa"/>
            <w:shd w:val="clear" w:color="auto" w:fill="BFBFBF"/>
          </w:tcPr>
          <w:p w14:paraId="382728FC" w14:textId="77777777" w:rsidR="004E1599" w:rsidRPr="006A1A17" w:rsidRDefault="004E1599" w:rsidP="00B51BBA">
            <w:pPr>
              <w:jc w:val="right"/>
              <w:rPr>
                <w:color w:val="000000"/>
                <w:sz w:val="20"/>
                <w:szCs w:val="20"/>
              </w:rPr>
            </w:pPr>
            <w:r w:rsidRPr="006A1A17">
              <w:rPr>
                <w:color w:val="000000"/>
                <w:sz w:val="20"/>
                <w:szCs w:val="20"/>
              </w:rPr>
              <w:t>89</w:t>
            </w:r>
          </w:p>
        </w:tc>
        <w:tc>
          <w:tcPr>
            <w:tcW w:w="1222" w:type="dxa"/>
            <w:gridSpan w:val="3"/>
            <w:shd w:val="clear" w:color="auto" w:fill="auto"/>
          </w:tcPr>
          <w:p w14:paraId="515C26BC"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5746D64F"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539870A3" w14:textId="77777777" w:rsidR="004E1599" w:rsidRPr="006A1A17" w:rsidRDefault="004E1599" w:rsidP="00B51BBA">
            <w:pPr>
              <w:jc w:val="right"/>
              <w:rPr>
                <w:color w:val="000000"/>
                <w:sz w:val="20"/>
                <w:szCs w:val="20"/>
              </w:rPr>
            </w:pPr>
            <w:r w:rsidRPr="006A1A17">
              <w:rPr>
                <w:color w:val="000000"/>
                <w:sz w:val="20"/>
                <w:szCs w:val="20"/>
              </w:rPr>
              <w:t>3.0 (19.3)</w:t>
            </w:r>
          </w:p>
        </w:tc>
        <w:tc>
          <w:tcPr>
            <w:tcW w:w="1077" w:type="dxa"/>
            <w:shd w:val="clear" w:color="auto" w:fill="auto"/>
          </w:tcPr>
          <w:p w14:paraId="1A25F230" w14:textId="2087291A" w:rsidR="004E1599" w:rsidRPr="006A1A17" w:rsidRDefault="004E1599" w:rsidP="00B51BBA">
            <w:pPr>
              <w:jc w:val="right"/>
              <w:rPr>
                <w:color w:val="000000"/>
                <w:sz w:val="20"/>
                <w:szCs w:val="20"/>
              </w:rPr>
            </w:pPr>
            <w:r w:rsidRPr="006A1A17">
              <w:rPr>
                <w:color w:val="000000"/>
                <w:sz w:val="20"/>
                <w:szCs w:val="20"/>
              </w:rPr>
              <w:t>4.8 (1</w:t>
            </w:r>
            <w:r w:rsidR="0072466E" w:rsidRPr="006A1A17">
              <w:rPr>
                <w:color w:val="000000"/>
                <w:sz w:val="20"/>
                <w:szCs w:val="20"/>
              </w:rPr>
              <w:t>8</w:t>
            </w:r>
            <w:r w:rsidRPr="006A1A17">
              <w:rPr>
                <w:color w:val="000000"/>
                <w:sz w:val="20"/>
                <w:szCs w:val="20"/>
              </w:rPr>
              <w:t>.6)</w:t>
            </w:r>
          </w:p>
        </w:tc>
      </w:tr>
      <w:tr w:rsidR="004E1599" w:rsidRPr="003E7DB9" w14:paraId="37AA75E3" w14:textId="77777777" w:rsidTr="00912F45">
        <w:tc>
          <w:tcPr>
            <w:tcW w:w="2021" w:type="dxa"/>
            <w:shd w:val="clear" w:color="auto" w:fill="FFFFFF"/>
          </w:tcPr>
          <w:p w14:paraId="7E99F9F8" w14:textId="77777777" w:rsidR="004E1599" w:rsidRPr="006A1A17" w:rsidRDefault="004E1599" w:rsidP="00B51BBA">
            <w:pPr>
              <w:jc w:val="both"/>
              <w:rPr>
                <w:color w:val="000000"/>
                <w:sz w:val="20"/>
                <w:szCs w:val="20"/>
              </w:rPr>
            </w:pPr>
          </w:p>
        </w:tc>
        <w:tc>
          <w:tcPr>
            <w:tcW w:w="1235" w:type="dxa"/>
            <w:shd w:val="clear" w:color="auto" w:fill="FFFFFF"/>
          </w:tcPr>
          <w:p w14:paraId="7417A1B1" w14:textId="67CA3B15" w:rsidR="004E1599" w:rsidRPr="006A1A17" w:rsidRDefault="004E1599" w:rsidP="00B51BBA">
            <w:pPr>
              <w:jc w:val="right"/>
              <w:rPr>
                <w:color w:val="000000"/>
                <w:sz w:val="20"/>
                <w:szCs w:val="20"/>
              </w:rPr>
            </w:pPr>
            <w:r w:rsidRPr="006A1A17">
              <w:rPr>
                <w:color w:val="000000"/>
                <w:sz w:val="20"/>
                <w:szCs w:val="20"/>
              </w:rPr>
              <w:t>2</w:t>
            </w:r>
            <w:r w:rsidR="0072466E" w:rsidRPr="006A1A17">
              <w:rPr>
                <w:color w:val="000000"/>
                <w:sz w:val="20"/>
                <w:szCs w:val="20"/>
              </w:rPr>
              <w:t>39</w:t>
            </w:r>
          </w:p>
        </w:tc>
        <w:tc>
          <w:tcPr>
            <w:tcW w:w="1113" w:type="dxa"/>
            <w:shd w:val="clear" w:color="auto" w:fill="BFBFBF"/>
          </w:tcPr>
          <w:p w14:paraId="49A2F438" w14:textId="77777777" w:rsidR="004E1599" w:rsidRPr="006A1A17" w:rsidRDefault="004E1599" w:rsidP="00B51BBA">
            <w:pPr>
              <w:jc w:val="right"/>
              <w:rPr>
                <w:color w:val="000000"/>
                <w:sz w:val="20"/>
                <w:szCs w:val="20"/>
              </w:rPr>
            </w:pPr>
            <w:r w:rsidRPr="006A1A17">
              <w:rPr>
                <w:color w:val="000000"/>
                <w:sz w:val="20"/>
                <w:szCs w:val="20"/>
              </w:rPr>
              <w:t>81</w:t>
            </w:r>
          </w:p>
        </w:tc>
        <w:tc>
          <w:tcPr>
            <w:tcW w:w="1222" w:type="dxa"/>
            <w:gridSpan w:val="3"/>
            <w:shd w:val="clear" w:color="auto" w:fill="auto"/>
          </w:tcPr>
          <w:p w14:paraId="0B7FD7FF" w14:textId="77777777" w:rsidR="004E1599" w:rsidRPr="006A1A17" w:rsidRDefault="004E1599" w:rsidP="00B51BBA">
            <w:pPr>
              <w:jc w:val="right"/>
              <w:rPr>
                <w:color w:val="000000"/>
                <w:sz w:val="20"/>
                <w:szCs w:val="20"/>
              </w:rPr>
            </w:pPr>
            <w:r w:rsidRPr="006A1A17">
              <w:rPr>
                <w:color w:val="000000"/>
                <w:sz w:val="20"/>
                <w:szCs w:val="20"/>
              </w:rPr>
              <w:t>98</w:t>
            </w:r>
          </w:p>
        </w:tc>
        <w:tc>
          <w:tcPr>
            <w:tcW w:w="1081" w:type="dxa"/>
            <w:shd w:val="clear" w:color="auto" w:fill="auto"/>
          </w:tcPr>
          <w:p w14:paraId="428E0856"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5DE295A5" w14:textId="77777777" w:rsidR="004E1599" w:rsidRPr="006A1A17" w:rsidRDefault="004E1599" w:rsidP="00B51BBA">
            <w:pPr>
              <w:jc w:val="right"/>
              <w:rPr>
                <w:color w:val="000000"/>
                <w:sz w:val="20"/>
                <w:szCs w:val="20"/>
              </w:rPr>
            </w:pPr>
            <w:r w:rsidRPr="006A1A17">
              <w:rPr>
                <w:color w:val="000000"/>
                <w:sz w:val="20"/>
                <w:szCs w:val="20"/>
              </w:rPr>
              <w:t>9.8 (24.4)</w:t>
            </w:r>
          </w:p>
        </w:tc>
        <w:tc>
          <w:tcPr>
            <w:tcW w:w="1077" w:type="dxa"/>
            <w:shd w:val="clear" w:color="auto" w:fill="auto"/>
          </w:tcPr>
          <w:p w14:paraId="5893C2F1" w14:textId="77777777" w:rsidR="004E1599" w:rsidRPr="006A1A17" w:rsidRDefault="004E1599" w:rsidP="00B51BBA">
            <w:pPr>
              <w:jc w:val="right"/>
              <w:rPr>
                <w:color w:val="000000"/>
                <w:sz w:val="20"/>
                <w:szCs w:val="20"/>
              </w:rPr>
            </w:pPr>
            <w:r w:rsidRPr="006A1A17">
              <w:rPr>
                <w:color w:val="000000"/>
                <w:sz w:val="20"/>
                <w:szCs w:val="20"/>
              </w:rPr>
              <w:t>4.4 (18.4)</w:t>
            </w:r>
          </w:p>
        </w:tc>
      </w:tr>
      <w:tr w:rsidR="004E1599" w:rsidRPr="003E7DB9" w14:paraId="32449B10" w14:textId="77777777" w:rsidTr="00912F45">
        <w:tc>
          <w:tcPr>
            <w:tcW w:w="2021" w:type="dxa"/>
            <w:shd w:val="clear" w:color="auto" w:fill="FFFFFF"/>
          </w:tcPr>
          <w:p w14:paraId="2179533E" w14:textId="77777777" w:rsidR="004E1599" w:rsidRPr="006A1A17" w:rsidRDefault="004E1599" w:rsidP="00B51BBA">
            <w:pPr>
              <w:jc w:val="both"/>
              <w:rPr>
                <w:color w:val="000000"/>
                <w:sz w:val="20"/>
                <w:szCs w:val="20"/>
              </w:rPr>
            </w:pPr>
            <w:r w:rsidRPr="006A1A17">
              <w:rPr>
                <w:color w:val="000000"/>
                <w:sz w:val="20"/>
                <w:szCs w:val="20"/>
              </w:rPr>
              <w:t>Armagh</w:t>
            </w:r>
          </w:p>
        </w:tc>
        <w:tc>
          <w:tcPr>
            <w:tcW w:w="1235" w:type="dxa"/>
            <w:shd w:val="clear" w:color="auto" w:fill="BFBFBF"/>
          </w:tcPr>
          <w:p w14:paraId="467B39D4" w14:textId="77777777" w:rsidR="004E1599" w:rsidRPr="006A1A17" w:rsidRDefault="004E1599" w:rsidP="00B51BBA">
            <w:pPr>
              <w:jc w:val="right"/>
              <w:rPr>
                <w:color w:val="000000"/>
                <w:sz w:val="20"/>
                <w:szCs w:val="20"/>
              </w:rPr>
            </w:pPr>
            <w:r w:rsidRPr="006A1A17">
              <w:rPr>
                <w:color w:val="000000"/>
                <w:sz w:val="20"/>
                <w:szCs w:val="20"/>
              </w:rPr>
              <w:t>33</w:t>
            </w:r>
          </w:p>
        </w:tc>
        <w:tc>
          <w:tcPr>
            <w:tcW w:w="1113" w:type="dxa"/>
            <w:shd w:val="clear" w:color="auto" w:fill="BFBFBF"/>
          </w:tcPr>
          <w:p w14:paraId="00665EB9" w14:textId="77777777" w:rsidR="004E1599" w:rsidRPr="006A1A17" w:rsidRDefault="004E1599" w:rsidP="00B51BBA">
            <w:pPr>
              <w:jc w:val="right"/>
              <w:rPr>
                <w:color w:val="000000"/>
                <w:sz w:val="20"/>
                <w:szCs w:val="20"/>
              </w:rPr>
            </w:pPr>
            <w:r w:rsidRPr="006A1A17">
              <w:rPr>
                <w:color w:val="000000"/>
                <w:sz w:val="20"/>
                <w:szCs w:val="20"/>
              </w:rPr>
              <w:t>88</w:t>
            </w:r>
          </w:p>
        </w:tc>
        <w:tc>
          <w:tcPr>
            <w:tcW w:w="1222" w:type="dxa"/>
            <w:gridSpan w:val="3"/>
            <w:shd w:val="clear" w:color="auto" w:fill="auto"/>
          </w:tcPr>
          <w:p w14:paraId="724C977A" w14:textId="77777777" w:rsidR="004E1599" w:rsidRPr="006A1A17" w:rsidRDefault="004E1599" w:rsidP="00B51BBA">
            <w:pPr>
              <w:jc w:val="right"/>
              <w:rPr>
                <w:color w:val="000000"/>
                <w:sz w:val="20"/>
                <w:szCs w:val="20"/>
              </w:rPr>
            </w:pPr>
            <w:r w:rsidRPr="006A1A17">
              <w:rPr>
                <w:color w:val="000000"/>
                <w:sz w:val="20"/>
                <w:szCs w:val="20"/>
              </w:rPr>
              <w:t>100</w:t>
            </w:r>
          </w:p>
        </w:tc>
        <w:tc>
          <w:tcPr>
            <w:tcW w:w="1081" w:type="dxa"/>
            <w:shd w:val="clear" w:color="auto" w:fill="auto"/>
          </w:tcPr>
          <w:p w14:paraId="7F5C0CF8"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096A72AB" w14:textId="77777777" w:rsidR="004E1599" w:rsidRPr="006A1A17" w:rsidRDefault="004E1599" w:rsidP="00B51BBA">
            <w:pPr>
              <w:jc w:val="right"/>
              <w:rPr>
                <w:color w:val="000000"/>
                <w:sz w:val="20"/>
                <w:szCs w:val="20"/>
              </w:rPr>
            </w:pPr>
            <w:r w:rsidRPr="006A1A17">
              <w:rPr>
                <w:color w:val="000000"/>
                <w:sz w:val="20"/>
                <w:szCs w:val="20"/>
              </w:rPr>
              <w:t>2.4 (13.9)</w:t>
            </w:r>
          </w:p>
        </w:tc>
        <w:tc>
          <w:tcPr>
            <w:tcW w:w="1077" w:type="dxa"/>
            <w:shd w:val="clear" w:color="auto" w:fill="auto"/>
          </w:tcPr>
          <w:p w14:paraId="53BDC53D" w14:textId="77777777" w:rsidR="004E1599" w:rsidRPr="006A1A17" w:rsidRDefault="004E1599" w:rsidP="00B51BBA">
            <w:pPr>
              <w:jc w:val="right"/>
              <w:rPr>
                <w:color w:val="000000"/>
                <w:sz w:val="20"/>
                <w:szCs w:val="20"/>
              </w:rPr>
            </w:pPr>
            <w:r w:rsidRPr="006A1A17">
              <w:rPr>
                <w:color w:val="000000"/>
                <w:sz w:val="20"/>
                <w:szCs w:val="20"/>
              </w:rPr>
              <w:t>4.4 (20.0)</w:t>
            </w:r>
          </w:p>
        </w:tc>
      </w:tr>
      <w:tr w:rsidR="004E1599" w:rsidRPr="003E7DB9" w14:paraId="73E0F01D" w14:textId="77777777" w:rsidTr="00912F45">
        <w:tc>
          <w:tcPr>
            <w:tcW w:w="2021" w:type="dxa"/>
            <w:shd w:val="clear" w:color="auto" w:fill="FFFFFF"/>
          </w:tcPr>
          <w:p w14:paraId="0CFD8FDB" w14:textId="77777777" w:rsidR="004E1599" w:rsidRPr="006A1A17" w:rsidRDefault="004E1599" w:rsidP="00B51BBA">
            <w:pPr>
              <w:jc w:val="both"/>
              <w:rPr>
                <w:color w:val="000000"/>
                <w:sz w:val="20"/>
                <w:szCs w:val="20"/>
              </w:rPr>
            </w:pPr>
            <w:r w:rsidRPr="006A1A17">
              <w:rPr>
                <w:color w:val="000000"/>
                <w:sz w:val="20"/>
                <w:szCs w:val="20"/>
              </w:rPr>
              <w:t>Down</w:t>
            </w:r>
          </w:p>
        </w:tc>
        <w:tc>
          <w:tcPr>
            <w:tcW w:w="1235" w:type="dxa"/>
            <w:shd w:val="clear" w:color="auto" w:fill="BFBFBF"/>
          </w:tcPr>
          <w:p w14:paraId="76846C45" w14:textId="77777777" w:rsidR="004E1599" w:rsidRPr="006A1A17" w:rsidRDefault="004E1599" w:rsidP="00B51BBA">
            <w:pPr>
              <w:jc w:val="right"/>
              <w:rPr>
                <w:color w:val="000000"/>
                <w:sz w:val="20"/>
                <w:szCs w:val="20"/>
              </w:rPr>
            </w:pPr>
            <w:r w:rsidRPr="006A1A17">
              <w:rPr>
                <w:color w:val="000000"/>
                <w:sz w:val="20"/>
                <w:szCs w:val="20"/>
              </w:rPr>
              <w:t>77</w:t>
            </w:r>
          </w:p>
        </w:tc>
        <w:tc>
          <w:tcPr>
            <w:tcW w:w="1113" w:type="dxa"/>
            <w:shd w:val="clear" w:color="auto" w:fill="FFFFFF"/>
          </w:tcPr>
          <w:p w14:paraId="513A773F" w14:textId="77777777" w:rsidR="004E1599" w:rsidRPr="006A1A17" w:rsidRDefault="004E1599" w:rsidP="00B51BBA">
            <w:pPr>
              <w:jc w:val="right"/>
              <w:rPr>
                <w:color w:val="000000"/>
                <w:sz w:val="20"/>
                <w:szCs w:val="20"/>
              </w:rPr>
            </w:pPr>
            <w:r w:rsidRPr="006A1A17">
              <w:rPr>
                <w:color w:val="000000"/>
                <w:sz w:val="20"/>
                <w:szCs w:val="20"/>
              </w:rPr>
              <w:t>722</w:t>
            </w:r>
          </w:p>
        </w:tc>
        <w:tc>
          <w:tcPr>
            <w:tcW w:w="1222" w:type="dxa"/>
            <w:gridSpan w:val="3"/>
            <w:shd w:val="clear" w:color="auto" w:fill="auto"/>
          </w:tcPr>
          <w:p w14:paraId="4AFD802E" w14:textId="77777777" w:rsidR="004E1599" w:rsidRPr="006A1A17" w:rsidRDefault="004E1599" w:rsidP="00B51BBA">
            <w:pPr>
              <w:jc w:val="right"/>
              <w:rPr>
                <w:color w:val="000000"/>
                <w:sz w:val="20"/>
                <w:szCs w:val="20"/>
              </w:rPr>
            </w:pPr>
            <w:r w:rsidRPr="006A1A17">
              <w:rPr>
                <w:color w:val="000000"/>
                <w:sz w:val="20"/>
                <w:szCs w:val="20"/>
              </w:rPr>
              <w:t>94</w:t>
            </w:r>
          </w:p>
        </w:tc>
        <w:tc>
          <w:tcPr>
            <w:tcW w:w="1081" w:type="dxa"/>
            <w:shd w:val="clear" w:color="auto" w:fill="auto"/>
          </w:tcPr>
          <w:p w14:paraId="7A2B4BCF" w14:textId="77777777" w:rsidR="004E1599" w:rsidRPr="006A1A17" w:rsidRDefault="004E1599" w:rsidP="00B51BBA">
            <w:pPr>
              <w:jc w:val="right"/>
              <w:rPr>
                <w:color w:val="000000"/>
                <w:sz w:val="20"/>
                <w:szCs w:val="20"/>
              </w:rPr>
            </w:pPr>
            <w:r w:rsidRPr="006A1A17">
              <w:rPr>
                <w:color w:val="000000"/>
                <w:sz w:val="20"/>
                <w:szCs w:val="20"/>
              </w:rPr>
              <w:t>3</w:t>
            </w:r>
          </w:p>
        </w:tc>
        <w:tc>
          <w:tcPr>
            <w:tcW w:w="1261" w:type="dxa"/>
            <w:shd w:val="clear" w:color="auto" w:fill="auto"/>
          </w:tcPr>
          <w:p w14:paraId="6A084200" w14:textId="77777777" w:rsidR="004E1599" w:rsidRPr="006A1A17" w:rsidRDefault="004E1599" w:rsidP="00B51BBA">
            <w:pPr>
              <w:jc w:val="right"/>
              <w:rPr>
                <w:color w:val="000000"/>
                <w:sz w:val="20"/>
                <w:szCs w:val="20"/>
              </w:rPr>
            </w:pPr>
            <w:r w:rsidRPr="006A1A17">
              <w:rPr>
                <w:color w:val="000000"/>
                <w:sz w:val="20"/>
                <w:szCs w:val="20"/>
              </w:rPr>
              <w:t>5.8 (13.3)</w:t>
            </w:r>
          </w:p>
        </w:tc>
        <w:tc>
          <w:tcPr>
            <w:tcW w:w="1077" w:type="dxa"/>
            <w:shd w:val="clear" w:color="auto" w:fill="auto"/>
          </w:tcPr>
          <w:p w14:paraId="59D8F94D" w14:textId="77777777" w:rsidR="004E1599" w:rsidRPr="006A1A17" w:rsidRDefault="004E1599" w:rsidP="00B51BBA">
            <w:pPr>
              <w:jc w:val="right"/>
              <w:rPr>
                <w:color w:val="000000"/>
                <w:sz w:val="20"/>
                <w:szCs w:val="20"/>
              </w:rPr>
            </w:pPr>
            <w:r w:rsidRPr="006A1A17">
              <w:rPr>
                <w:color w:val="000000"/>
                <w:sz w:val="20"/>
                <w:szCs w:val="20"/>
              </w:rPr>
              <w:t>30.0 (24.1)</w:t>
            </w:r>
          </w:p>
        </w:tc>
      </w:tr>
      <w:tr w:rsidR="004E1599" w:rsidRPr="003E7DB9" w14:paraId="29A28A85" w14:textId="77777777" w:rsidTr="00912F45">
        <w:tc>
          <w:tcPr>
            <w:tcW w:w="2021" w:type="dxa"/>
            <w:shd w:val="clear" w:color="auto" w:fill="FFFFFF"/>
          </w:tcPr>
          <w:p w14:paraId="17686D04" w14:textId="77777777" w:rsidR="004E1599" w:rsidRPr="006A1A17" w:rsidRDefault="004E1599" w:rsidP="00B51BBA">
            <w:pPr>
              <w:jc w:val="both"/>
              <w:rPr>
                <w:color w:val="000000"/>
                <w:sz w:val="20"/>
                <w:szCs w:val="20"/>
              </w:rPr>
            </w:pPr>
          </w:p>
        </w:tc>
        <w:tc>
          <w:tcPr>
            <w:tcW w:w="1235" w:type="dxa"/>
            <w:shd w:val="clear" w:color="auto" w:fill="FFFFFF"/>
          </w:tcPr>
          <w:p w14:paraId="1C2AFC43" w14:textId="77777777" w:rsidR="004E1599" w:rsidRPr="006A1A17" w:rsidRDefault="004E1599" w:rsidP="00B51BBA">
            <w:pPr>
              <w:jc w:val="right"/>
              <w:rPr>
                <w:color w:val="000000"/>
                <w:sz w:val="20"/>
                <w:szCs w:val="20"/>
              </w:rPr>
            </w:pPr>
            <w:r w:rsidRPr="006A1A17">
              <w:rPr>
                <w:color w:val="000000"/>
                <w:sz w:val="20"/>
                <w:szCs w:val="20"/>
              </w:rPr>
              <w:t>127</w:t>
            </w:r>
          </w:p>
        </w:tc>
        <w:tc>
          <w:tcPr>
            <w:tcW w:w="1113" w:type="dxa"/>
            <w:shd w:val="clear" w:color="auto" w:fill="FFFFFF"/>
          </w:tcPr>
          <w:p w14:paraId="381C4698" w14:textId="77777777" w:rsidR="004E1599" w:rsidRPr="006A1A17" w:rsidRDefault="004E1599" w:rsidP="00B51BBA">
            <w:pPr>
              <w:jc w:val="right"/>
              <w:rPr>
                <w:color w:val="000000"/>
                <w:sz w:val="20"/>
                <w:szCs w:val="20"/>
              </w:rPr>
            </w:pPr>
            <w:r w:rsidRPr="006A1A17">
              <w:rPr>
                <w:color w:val="000000"/>
                <w:sz w:val="20"/>
                <w:szCs w:val="20"/>
              </w:rPr>
              <w:t>120</w:t>
            </w:r>
          </w:p>
        </w:tc>
        <w:tc>
          <w:tcPr>
            <w:tcW w:w="1222" w:type="dxa"/>
            <w:gridSpan w:val="3"/>
            <w:shd w:val="clear" w:color="auto" w:fill="auto"/>
          </w:tcPr>
          <w:p w14:paraId="2FCD0E29" w14:textId="77777777" w:rsidR="004E1599" w:rsidRPr="006A1A17" w:rsidRDefault="004E1599" w:rsidP="00B51BBA">
            <w:pPr>
              <w:jc w:val="right"/>
              <w:rPr>
                <w:color w:val="000000"/>
                <w:sz w:val="20"/>
                <w:szCs w:val="20"/>
              </w:rPr>
            </w:pPr>
            <w:r w:rsidRPr="006A1A17">
              <w:rPr>
                <w:color w:val="000000"/>
                <w:sz w:val="20"/>
                <w:szCs w:val="20"/>
              </w:rPr>
              <w:t>100</w:t>
            </w:r>
          </w:p>
        </w:tc>
        <w:tc>
          <w:tcPr>
            <w:tcW w:w="1081" w:type="dxa"/>
            <w:shd w:val="clear" w:color="auto" w:fill="auto"/>
          </w:tcPr>
          <w:p w14:paraId="68A505AC"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1DD77BF7" w14:textId="77777777" w:rsidR="004E1599" w:rsidRPr="006A1A17" w:rsidRDefault="004E1599" w:rsidP="00B51BBA">
            <w:pPr>
              <w:jc w:val="right"/>
              <w:rPr>
                <w:color w:val="000000"/>
                <w:sz w:val="20"/>
                <w:szCs w:val="20"/>
              </w:rPr>
            </w:pPr>
            <w:r w:rsidRPr="006A1A17">
              <w:rPr>
                <w:color w:val="000000"/>
                <w:sz w:val="20"/>
                <w:szCs w:val="20"/>
              </w:rPr>
              <w:t>6.0 (21.2)</w:t>
            </w:r>
          </w:p>
        </w:tc>
        <w:tc>
          <w:tcPr>
            <w:tcW w:w="1077" w:type="dxa"/>
            <w:shd w:val="clear" w:color="auto" w:fill="auto"/>
          </w:tcPr>
          <w:p w14:paraId="6EBB7C75" w14:textId="77777777" w:rsidR="004E1599" w:rsidRPr="006A1A17" w:rsidRDefault="004E1599" w:rsidP="00B51BBA">
            <w:pPr>
              <w:jc w:val="right"/>
              <w:rPr>
                <w:color w:val="000000"/>
                <w:sz w:val="20"/>
                <w:szCs w:val="20"/>
              </w:rPr>
            </w:pPr>
            <w:r w:rsidRPr="006A1A17">
              <w:rPr>
                <w:color w:val="000000"/>
                <w:sz w:val="20"/>
                <w:szCs w:val="20"/>
              </w:rPr>
              <w:t>5.4 (22.2)</w:t>
            </w:r>
          </w:p>
        </w:tc>
      </w:tr>
      <w:tr w:rsidR="004E1599" w:rsidRPr="003E7DB9" w14:paraId="4906720B" w14:textId="77777777" w:rsidTr="00912F45">
        <w:tc>
          <w:tcPr>
            <w:tcW w:w="2021" w:type="dxa"/>
            <w:shd w:val="clear" w:color="auto" w:fill="FFFFFF"/>
          </w:tcPr>
          <w:p w14:paraId="5BA8C716" w14:textId="77777777" w:rsidR="004E1599" w:rsidRPr="006A1A17" w:rsidRDefault="004E1599" w:rsidP="00B51BBA">
            <w:pPr>
              <w:jc w:val="both"/>
              <w:rPr>
                <w:color w:val="000000"/>
                <w:sz w:val="20"/>
                <w:szCs w:val="20"/>
              </w:rPr>
            </w:pPr>
          </w:p>
        </w:tc>
        <w:tc>
          <w:tcPr>
            <w:tcW w:w="1235" w:type="dxa"/>
            <w:shd w:val="clear" w:color="auto" w:fill="BFBFBF"/>
          </w:tcPr>
          <w:p w14:paraId="74EA8EBA" w14:textId="77777777" w:rsidR="004E1599" w:rsidRPr="006A1A17" w:rsidRDefault="004E1599" w:rsidP="00B51BBA">
            <w:pPr>
              <w:jc w:val="right"/>
              <w:rPr>
                <w:color w:val="000000"/>
                <w:sz w:val="20"/>
                <w:szCs w:val="20"/>
              </w:rPr>
            </w:pPr>
            <w:r w:rsidRPr="006A1A17">
              <w:rPr>
                <w:color w:val="000000"/>
                <w:sz w:val="20"/>
                <w:szCs w:val="20"/>
              </w:rPr>
              <w:t>46</w:t>
            </w:r>
          </w:p>
        </w:tc>
        <w:tc>
          <w:tcPr>
            <w:tcW w:w="1113" w:type="dxa"/>
            <w:shd w:val="clear" w:color="auto" w:fill="FFFFFF"/>
          </w:tcPr>
          <w:p w14:paraId="65725973" w14:textId="6F845EB3" w:rsidR="004E1599" w:rsidRPr="006A1A17" w:rsidRDefault="004E1599" w:rsidP="00B51BBA">
            <w:pPr>
              <w:jc w:val="right"/>
              <w:rPr>
                <w:color w:val="000000"/>
                <w:sz w:val="20"/>
                <w:szCs w:val="20"/>
              </w:rPr>
            </w:pPr>
            <w:r w:rsidRPr="006A1A17">
              <w:rPr>
                <w:color w:val="000000"/>
                <w:sz w:val="20"/>
                <w:szCs w:val="20"/>
              </w:rPr>
              <w:t>4</w:t>
            </w:r>
            <w:r w:rsidR="0072466E" w:rsidRPr="006A1A17">
              <w:rPr>
                <w:color w:val="000000"/>
                <w:sz w:val="20"/>
                <w:szCs w:val="20"/>
              </w:rPr>
              <w:t>29.5</w:t>
            </w:r>
          </w:p>
        </w:tc>
        <w:tc>
          <w:tcPr>
            <w:tcW w:w="1222" w:type="dxa"/>
            <w:gridSpan w:val="3"/>
            <w:shd w:val="clear" w:color="auto" w:fill="auto"/>
          </w:tcPr>
          <w:p w14:paraId="6EDE6F8F" w14:textId="77777777" w:rsidR="004E1599" w:rsidRPr="006A1A17" w:rsidRDefault="004E1599" w:rsidP="00B51BBA">
            <w:pPr>
              <w:jc w:val="right"/>
              <w:rPr>
                <w:color w:val="000000"/>
                <w:sz w:val="20"/>
                <w:szCs w:val="20"/>
              </w:rPr>
            </w:pPr>
            <w:r w:rsidRPr="006A1A17">
              <w:rPr>
                <w:color w:val="000000"/>
                <w:sz w:val="20"/>
                <w:szCs w:val="20"/>
              </w:rPr>
              <w:t>100</w:t>
            </w:r>
          </w:p>
        </w:tc>
        <w:tc>
          <w:tcPr>
            <w:tcW w:w="1081" w:type="dxa"/>
            <w:shd w:val="clear" w:color="auto" w:fill="auto"/>
          </w:tcPr>
          <w:p w14:paraId="666AB888" w14:textId="77777777" w:rsidR="004E1599" w:rsidRPr="006A1A17" w:rsidRDefault="004E1599" w:rsidP="00B51BBA">
            <w:pPr>
              <w:jc w:val="right"/>
              <w:rPr>
                <w:color w:val="000000"/>
                <w:sz w:val="20"/>
                <w:szCs w:val="20"/>
              </w:rPr>
            </w:pPr>
            <w:r w:rsidRPr="006A1A17">
              <w:rPr>
                <w:color w:val="000000"/>
                <w:sz w:val="20"/>
                <w:szCs w:val="20"/>
              </w:rPr>
              <w:t>11</w:t>
            </w:r>
          </w:p>
        </w:tc>
        <w:tc>
          <w:tcPr>
            <w:tcW w:w="1261" w:type="dxa"/>
            <w:shd w:val="clear" w:color="auto" w:fill="auto"/>
          </w:tcPr>
          <w:p w14:paraId="273635B7" w14:textId="77777777" w:rsidR="004E1599" w:rsidRPr="006A1A17" w:rsidRDefault="004E1599" w:rsidP="00B51BBA">
            <w:pPr>
              <w:jc w:val="right"/>
              <w:rPr>
                <w:color w:val="000000"/>
                <w:sz w:val="20"/>
                <w:szCs w:val="20"/>
              </w:rPr>
            </w:pPr>
            <w:r w:rsidRPr="006A1A17">
              <w:rPr>
                <w:color w:val="000000"/>
                <w:sz w:val="20"/>
                <w:szCs w:val="20"/>
              </w:rPr>
              <w:t>3.0 (15.3)</w:t>
            </w:r>
          </w:p>
        </w:tc>
        <w:tc>
          <w:tcPr>
            <w:tcW w:w="1077" w:type="dxa"/>
            <w:shd w:val="clear" w:color="auto" w:fill="auto"/>
          </w:tcPr>
          <w:p w14:paraId="65B76E11" w14:textId="5AF62EDD" w:rsidR="004E1599" w:rsidRPr="006A1A17" w:rsidRDefault="004E1599" w:rsidP="00B51BBA">
            <w:pPr>
              <w:jc w:val="right"/>
              <w:rPr>
                <w:color w:val="000000"/>
                <w:sz w:val="20"/>
                <w:szCs w:val="20"/>
              </w:rPr>
            </w:pPr>
            <w:r w:rsidRPr="006A1A17">
              <w:rPr>
                <w:color w:val="000000"/>
                <w:sz w:val="20"/>
                <w:szCs w:val="20"/>
              </w:rPr>
              <w:t>16.</w:t>
            </w:r>
            <w:r w:rsidR="007A5A15" w:rsidRPr="006A1A17">
              <w:rPr>
                <w:color w:val="000000"/>
                <w:sz w:val="20"/>
                <w:szCs w:val="20"/>
              </w:rPr>
              <w:t>2</w:t>
            </w:r>
            <w:r w:rsidRPr="006A1A17">
              <w:rPr>
                <w:color w:val="000000"/>
                <w:sz w:val="20"/>
                <w:szCs w:val="20"/>
              </w:rPr>
              <w:t xml:space="preserve"> (26.6)</w:t>
            </w:r>
          </w:p>
        </w:tc>
      </w:tr>
      <w:tr w:rsidR="004E1599" w:rsidRPr="003E7DB9" w14:paraId="2CC1EB81" w14:textId="77777777" w:rsidTr="00912F45">
        <w:tc>
          <w:tcPr>
            <w:tcW w:w="2021" w:type="dxa"/>
            <w:shd w:val="clear" w:color="auto" w:fill="FFFFFF"/>
          </w:tcPr>
          <w:p w14:paraId="1751F11B" w14:textId="77777777" w:rsidR="004E1599" w:rsidRPr="006A1A17" w:rsidRDefault="004E1599" w:rsidP="00B51BBA">
            <w:pPr>
              <w:jc w:val="both"/>
              <w:rPr>
                <w:color w:val="000000"/>
                <w:sz w:val="20"/>
                <w:szCs w:val="20"/>
              </w:rPr>
            </w:pPr>
            <w:r w:rsidRPr="006A1A17">
              <w:rPr>
                <w:color w:val="000000"/>
                <w:sz w:val="20"/>
                <w:szCs w:val="20"/>
              </w:rPr>
              <w:t>Derry/Londonderry</w:t>
            </w:r>
          </w:p>
        </w:tc>
        <w:tc>
          <w:tcPr>
            <w:tcW w:w="1235" w:type="dxa"/>
            <w:shd w:val="clear" w:color="auto" w:fill="auto"/>
          </w:tcPr>
          <w:p w14:paraId="3D9B5BDF" w14:textId="05A27E42" w:rsidR="004E1599" w:rsidRPr="006A1A17" w:rsidRDefault="0072466E" w:rsidP="00B51BBA">
            <w:pPr>
              <w:jc w:val="right"/>
              <w:rPr>
                <w:color w:val="000000"/>
                <w:sz w:val="20"/>
                <w:szCs w:val="20"/>
              </w:rPr>
            </w:pPr>
            <w:r w:rsidRPr="006A1A17">
              <w:rPr>
                <w:color w:val="000000"/>
                <w:sz w:val="20"/>
                <w:szCs w:val="20"/>
              </w:rPr>
              <w:t>203</w:t>
            </w:r>
          </w:p>
        </w:tc>
        <w:tc>
          <w:tcPr>
            <w:tcW w:w="1113" w:type="dxa"/>
            <w:shd w:val="clear" w:color="auto" w:fill="BFBFBF"/>
          </w:tcPr>
          <w:p w14:paraId="0C20434C" w14:textId="77777777" w:rsidR="004E1599" w:rsidRPr="006A1A17" w:rsidRDefault="004E1599" w:rsidP="00B51BBA">
            <w:pPr>
              <w:jc w:val="right"/>
              <w:rPr>
                <w:color w:val="000000"/>
                <w:sz w:val="20"/>
                <w:szCs w:val="20"/>
              </w:rPr>
            </w:pPr>
            <w:r w:rsidRPr="006A1A17">
              <w:rPr>
                <w:color w:val="000000"/>
                <w:sz w:val="20"/>
                <w:szCs w:val="20"/>
              </w:rPr>
              <w:t>51</w:t>
            </w:r>
          </w:p>
        </w:tc>
        <w:tc>
          <w:tcPr>
            <w:tcW w:w="1222" w:type="dxa"/>
            <w:gridSpan w:val="3"/>
            <w:shd w:val="clear" w:color="auto" w:fill="auto"/>
          </w:tcPr>
          <w:p w14:paraId="4CC26073"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57FAEB33"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501DF20C" w14:textId="77777777" w:rsidR="004E1599" w:rsidRPr="006A1A17" w:rsidRDefault="004E1599" w:rsidP="00B51BBA">
            <w:pPr>
              <w:jc w:val="right"/>
              <w:rPr>
                <w:color w:val="000000"/>
                <w:sz w:val="20"/>
                <w:szCs w:val="20"/>
              </w:rPr>
            </w:pPr>
            <w:r w:rsidRPr="006A1A17">
              <w:rPr>
                <w:color w:val="000000"/>
                <w:sz w:val="20"/>
                <w:szCs w:val="20"/>
              </w:rPr>
              <w:t>9.2 (22.0)</w:t>
            </w:r>
          </w:p>
        </w:tc>
        <w:tc>
          <w:tcPr>
            <w:tcW w:w="1077" w:type="dxa"/>
            <w:shd w:val="clear" w:color="auto" w:fill="auto"/>
          </w:tcPr>
          <w:p w14:paraId="27DB8D21" w14:textId="77777777" w:rsidR="004E1599" w:rsidRPr="006A1A17" w:rsidRDefault="004E1599" w:rsidP="00B51BBA">
            <w:pPr>
              <w:jc w:val="right"/>
              <w:rPr>
                <w:color w:val="000000"/>
                <w:sz w:val="20"/>
                <w:szCs w:val="20"/>
              </w:rPr>
            </w:pPr>
            <w:r w:rsidRPr="006A1A17">
              <w:rPr>
                <w:color w:val="000000"/>
                <w:sz w:val="20"/>
                <w:szCs w:val="20"/>
              </w:rPr>
              <w:t>3.0 (17.0)</w:t>
            </w:r>
          </w:p>
        </w:tc>
      </w:tr>
      <w:tr w:rsidR="004E1599" w:rsidRPr="003E7DB9" w14:paraId="772F4615" w14:textId="77777777" w:rsidTr="00912F45">
        <w:tc>
          <w:tcPr>
            <w:tcW w:w="2021" w:type="dxa"/>
            <w:shd w:val="clear" w:color="auto" w:fill="FFFFFF"/>
          </w:tcPr>
          <w:p w14:paraId="26747667" w14:textId="77777777" w:rsidR="004E1599" w:rsidRPr="006A1A17" w:rsidRDefault="004E1599" w:rsidP="00B51BBA">
            <w:pPr>
              <w:jc w:val="both"/>
              <w:rPr>
                <w:color w:val="000000"/>
                <w:sz w:val="20"/>
                <w:szCs w:val="20"/>
              </w:rPr>
            </w:pPr>
          </w:p>
        </w:tc>
        <w:tc>
          <w:tcPr>
            <w:tcW w:w="1235" w:type="dxa"/>
            <w:shd w:val="clear" w:color="auto" w:fill="FFFFFF"/>
          </w:tcPr>
          <w:p w14:paraId="5CEF0C48" w14:textId="13F1BAD5" w:rsidR="004E1599" w:rsidRPr="006A1A17" w:rsidRDefault="004E1599" w:rsidP="00B51BBA">
            <w:pPr>
              <w:jc w:val="right"/>
              <w:rPr>
                <w:color w:val="000000"/>
                <w:sz w:val="20"/>
                <w:szCs w:val="20"/>
              </w:rPr>
            </w:pPr>
            <w:r w:rsidRPr="006A1A17">
              <w:rPr>
                <w:color w:val="000000"/>
                <w:sz w:val="20"/>
                <w:szCs w:val="20"/>
              </w:rPr>
              <w:t>2</w:t>
            </w:r>
            <w:r w:rsidR="0072466E" w:rsidRPr="006A1A17">
              <w:rPr>
                <w:color w:val="000000"/>
                <w:sz w:val="20"/>
                <w:szCs w:val="20"/>
              </w:rPr>
              <w:t>50</w:t>
            </w:r>
          </w:p>
        </w:tc>
        <w:tc>
          <w:tcPr>
            <w:tcW w:w="1113" w:type="dxa"/>
            <w:shd w:val="clear" w:color="auto" w:fill="FFFFFF"/>
          </w:tcPr>
          <w:p w14:paraId="59B70F34" w14:textId="3A82C916" w:rsidR="004E1599" w:rsidRPr="006A1A17" w:rsidRDefault="004E1599" w:rsidP="00B51BBA">
            <w:pPr>
              <w:jc w:val="right"/>
              <w:rPr>
                <w:color w:val="000000"/>
                <w:sz w:val="20"/>
                <w:szCs w:val="20"/>
              </w:rPr>
            </w:pPr>
            <w:r w:rsidRPr="006A1A17">
              <w:rPr>
                <w:color w:val="000000"/>
                <w:sz w:val="20"/>
                <w:szCs w:val="20"/>
              </w:rPr>
              <w:t>1</w:t>
            </w:r>
            <w:r w:rsidR="0072466E" w:rsidRPr="006A1A17">
              <w:rPr>
                <w:color w:val="000000"/>
                <w:sz w:val="20"/>
                <w:szCs w:val="20"/>
              </w:rPr>
              <w:t>58</w:t>
            </w:r>
          </w:p>
        </w:tc>
        <w:tc>
          <w:tcPr>
            <w:tcW w:w="1222" w:type="dxa"/>
            <w:gridSpan w:val="3"/>
            <w:shd w:val="clear" w:color="auto" w:fill="auto"/>
          </w:tcPr>
          <w:p w14:paraId="5ECF310E" w14:textId="77777777" w:rsidR="004E1599" w:rsidRPr="006A1A17" w:rsidRDefault="004E1599" w:rsidP="00B51BBA">
            <w:pPr>
              <w:jc w:val="right"/>
              <w:rPr>
                <w:color w:val="000000"/>
                <w:sz w:val="20"/>
                <w:szCs w:val="20"/>
              </w:rPr>
            </w:pPr>
            <w:r w:rsidRPr="006A1A17">
              <w:rPr>
                <w:color w:val="000000"/>
                <w:sz w:val="20"/>
                <w:szCs w:val="20"/>
              </w:rPr>
              <w:t>96</w:t>
            </w:r>
          </w:p>
        </w:tc>
        <w:tc>
          <w:tcPr>
            <w:tcW w:w="1081" w:type="dxa"/>
            <w:shd w:val="clear" w:color="auto" w:fill="auto"/>
          </w:tcPr>
          <w:p w14:paraId="4D99C6E5" w14:textId="77777777" w:rsidR="004E1599" w:rsidRPr="006A1A17" w:rsidRDefault="004E1599" w:rsidP="00B51BBA">
            <w:pPr>
              <w:jc w:val="right"/>
              <w:rPr>
                <w:color w:val="000000"/>
                <w:sz w:val="20"/>
                <w:szCs w:val="20"/>
              </w:rPr>
            </w:pPr>
            <w:r w:rsidRPr="006A1A17">
              <w:rPr>
                <w:color w:val="000000"/>
                <w:sz w:val="20"/>
                <w:szCs w:val="20"/>
              </w:rPr>
              <w:t>4</w:t>
            </w:r>
          </w:p>
        </w:tc>
        <w:tc>
          <w:tcPr>
            <w:tcW w:w="1261" w:type="dxa"/>
            <w:shd w:val="clear" w:color="auto" w:fill="auto"/>
          </w:tcPr>
          <w:p w14:paraId="1F700CBF" w14:textId="77777777" w:rsidR="004E1599" w:rsidRPr="006A1A17" w:rsidRDefault="004E1599" w:rsidP="00B51BBA">
            <w:pPr>
              <w:jc w:val="right"/>
              <w:rPr>
                <w:color w:val="000000"/>
                <w:sz w:val="20"/>
                <w:szCs w:val="20"/>
              </w:rPr>
            </w:pPr>
            <w:r w:rsidRPr="006A1A17">
              <w:rPr>
                <w:color w:val="000000"/>
                <w:sz w:val="20"/>
                <w:szCs w:val="20"/>
              </w:rPr>
              <w:t>10.8 (23.1)</w:t>
            </w:r>
          </w:p>
        </w:tc>
        <w:tc>
          <w:tcPr>
            <w:tcW w:w="1077" w:type="dxa"/>
            <w:shd w:val="clear" w:color="auto" w:fill="auto"/>
          </w:tcPr>
          <w:p w14:paraId="28A5AECA" w14:textId="77777777" w:rsidR="004E1599" w:rsidRPr="006A1A17" w:rsidRDefault="004E1599" w:rsidP="00B51BBA">
            <w:pPr>
              <w:jc w:val="right"/>
              <w:rPr>
                <w:color w:val="000000"/>
                <w:sz w:val="20"/>
                <w:szCs w:val="20"/>
              </w:rPr>
            </w:pPr>
            <w:r w:rsidRPr="006A1A17">
              <w:rPr>
                <w:color w:val="000000"/>
                <w:sz w:val="20"/>
                <w:szCs w:val="20"/>
              </w:rPr>
              <w:t>6.8 (23.2)</w:t>
            </w:r>
          </w:p>
        </w:tc>
      </w:tr>
      <w:tr w:rsidR="004E1599" w:rsidRPr="003E7DB9" w14:paraId="703A056B" w14:textId="77777777" w:rsidTr="00912F45">
        <w:tc>
          <w:tcPr>
            <w:tcW w:w="2021" w:type="dxa"/>
            <w:shd w:val="clear" w:color="auto" w:fill="FFFFFF"/>
          </w:tcPr>
          <w:p w14:paraId="6BA09780" w14:textId="77777777" w:rsidR="004E1599" w:rsidRPr="006A1A17" w:rsidRDefault="004E1599" w:rsidP="00B51BBA">
            <w:pPr>
              <w:jc w:val="both"/>
              <w:rPr>
                <w:color w:val="000000"/>
                <w:sz w:val="20"/>
                <w:szCs w:val="20"/>
              </w:rPr>
            </w:pPr>
          </w:p>
        </w:tc>
        <w:tc>
          <w:tcPr>
            <w:tcW w:w="1235" w:type="dxa"/>
            <w:shd w:val="clear" w:color="auto" w:fill="FFFFFF"/>
          </w:tcPr>
          <w:p w14:paraId="0AE0FDB8" w14:textId="531A7139" w:rsidR="004E1599" w:rsidRPr="006A1A17" w:rsidRDefault="0072466E" w:rsidP="00B51BBA">
            <w:pPr>
              <w:jc w:val="right"/>
              <w:rPr>
                <w:color w:val="000000"/>
                <w:sz w:val="20"/>
                <w:szCs w:val="20"/>
              </w:rPr>
            </w:pPr>
            <w:r w:rsidRPr="006A1A17">
              <w:rPr>
                <w:color w:val="000000"/>
                <w:sz w:val="20"/>
                <w:szCs w:val="20"/>
              </w:rPr>
              <w:t>415</w:t>
            </w:r>
          </w:p>
        </w:tc>
        <w:tc>
          <w:tcPr>
            <w:tcW w:w="1113" w:type="dxa"/>
            <w:shd w:val="clear" w:color="auto" w:fill="BFBFBF"/>
          </w:tcPr>
          <w:p w14:paraId="747224D4" w14:textId="77777777" w:rsidR="004E1599" w:rsidRPr="006A1A17" w:rsidRDefault="004E1599" w:rsidP="00B51BBA">
            <w:pPr>
              <w:jc w:val="right"/>
              <w:rPr>
                <w:color w:val="000000"/>
                <w:sz w:val="20"/>
                <w:szCs w:val="20"/>
              </w:rPr>
            </w:pPr>
            <w:r w:rsidRPr="006A1A17">
              <w:rPr>
                <w:color w:val="000000"/>
                <w:sz w:val="20"/>
                <w:szCs w:val="20"/>
              </w:rPr>
              <w:t>68</w:t>
            </w:r>
          </w:p>
        </w:tc>
        <w:tc>
          <w:tcPr>
            <w:tcW w:w="1222" w:type="dxa"/>
            <w:gridSpan w:val="3"/>
            <w:shd w:val="clear" w:color="auto" w:fill="auto"/>
          </w:tcPr>
          <w:p w14:paraId="59FBC091" w14:textId="77777777" w:rsidR="004E1599" w:rsidRPr="006A1A17" w:rsidRDefault="004E1599" w:rsidP="00B51BBA">
            <w:pPr>
              <w:jc w:val="right"/>
              <w:rPr>
                <w:color w:val="000000"/>
                <w:sz w:val="20"/>
                <w:szCs w:val="20"/>
              </w:rPr>
            </w:pPr>
            <w:r w:rsidRPr="006A1A17">
              <w:rPr>
                <w:color w:val="000000"/>
                <w:sz w:val="20"/>
                <w:szCs w:val="20"/>
              </w:rPr>
              <w:t>98</w:t>
            </w:r>
          </w:p>
        </w:tc>
        <w:tc>
          <w:tcPr>
            <w:tcW w:w="1081" w:type="dxa"/>
            <w:shd w:val="clear" w:color="auto" w:fill="auto"/>
          </w:tcPr>
          <w:p w14:paraId="2A1755B7" w14:textId="77777777" w:rsidR="004E1599" w:rsidRPr="006A1A17" w:rsidRDefault="004E1599" w:rsidP="00B51BBA">
            <w:pPr>
              <w:jc w:val="right"/>
              <w:rPr>
                <w:color w:val="000000"/>
                <w:sz w:val="20"/>
                <w:szCs w:val="20"/>
              </w:rPr>
            </w:pPr>
            <w:r w:rsidRPr="006A1A17">
              <w:rPr>
                <w:color w:val="000000"/>
                <w:sz w:val="20"/>
                <w:szCs w:val="20"/>
              </w:rPr>
              <w:t>65</w:t>
            </w:r>
          </w:p>
        </w:tc>
        <w:tc>
          <w:tcPr>
            <w:tcW w:w="1261" w:type="dxa"/>
            <w:shd w:val="clear" w:color="auto" w:fill="auto"/>
          </w:tcPr>
          <w:p w14:paraId="5C401B8E" w14:textId="77777777" w:rsidR="004E1599" w:rsidRPr="006A1A17" w:rsidRDefault="004E1599" w:rsidP="00B51BBA">
            <w:pPr>
              <w:jc w:val="right"/>
              <w:rPr>
                <w:color w:val="000000"/>
                <w:sz w:val="20"/>
                <w:szCs w:val="20"/>
              </w:rPr>
            </w:pPr>
            <w:r w:rsidRPr="006A1A17">
              <w:rPr>
                <w:color w:val="000000"/>
                <w:sz w:val="20"/>
                <w:szCs w:val="20"/>
              </w:rPr>
              <w:t>18.0 (23.1)</w:t>
            </w:r>
          </w:p>
        </w:tc>
        <w:tc>
          <w:tcPr>
            <w:tcW w:w="1077" w:type="dxa"/>
            <w:shd w:val="clear" w:color="auto" w:fill="auto"/>
          </w:tcPr>
          <w:p w14:paraId="226DFAC4" w14:textId="77777777" w:rsidR="004E1599" w:rsidRPr="006A1A17" w:rsidRDefault="004E1599" w:rsidP="00B51BBA">
            <w:pPr>
              <w:jc w:val="right"/>
              <w:rPr>
                <w:color w:val="000000"/>
                <w:sz w:val="20"/>
                <w:szCs w:val="20"/>
              </w:rPr>
            </w:pPr>
            <w:r w:rsidRPr="006A1A17">
              <w:rPr>
                <w:color w:val="000000"/>
                <w:sz w:val="20"/>
                <w:szCs w:val="20"/>
              </w:rPr>
              <w:t>3.4 (20.0)</w:t>
            </w:r>
          </w:p>
        </w:tc>
      </w:tr>
      <w:tr w:rsidR="004E1599" w:rsidRPr="003E7DB9" w14:paraId="4E9765CE" w14:textId="77777777" w:rsidTr="00912F45">
        <w:tc>
          <w:tcPr>
            <w:tcW w:w="2021" w:type="dxa"/>
            <w:shd w:val="clear" w:color="auto" w:fill="FFFFFF"/>
          </w:tcPr>
          <w:p w14:paraId="7CEEE05D" w14:textId="77777777" w:rsidR="004E1599" w:rsidRPr="006A1A17" w:rsidRDefault="004E1599" w:rsidP="00B51BBA">
            <w:pPr>
              <w:jc w:val="both"/>
              <w:rPr>
                <w:color w:val="000000"/>
                <w:sz w:val="20"/>
                <w:szCs w:val="20"/>
              </w:rPr>
            </w:pPr>
          </w:p>
        </w:tc>
        <w:tc>
          <w:tcPr>
            <w:tcW w:w="1235" w:type="dxa"/>
            <w:shd w:val="clear" w:color="auto" w:fill="FFFFFF"/>
          </w:tcPr>
          <w:p w14:paraId="732251C8" w14:textId="77777777" w:rsidR="004E1599" w:rsidRPr="006A1A17" w:rsidRDefault="004E1599" w:rsidP="00B51BBA">
            <w:pPr>
              <w:jc w:val="right"/>
              <w:rPr>
                <w:color w:val="000000"/>
                <w:sz w:val="20"/>
                <w:szCs w:val="20"/>
              </w:rPr>
            </w:pPr>
            <w:r w:rsidRPr="006A1A17">
              <w:rPr>
                <w:color w:val="000000"/>
                <w:sz w:val="20"/>
                <w:szCs w:val="20"/>
              </w:rPr>
              <w:t>445</w:t>
            </w:r>
          </w:p>
        </w:tc>
        <w:tc>
          <w:tcPr>
            <w:tcW w:w="1113" w:type="dxa"/>
            <w:shd w:val="clear" w:color="auto" w:fill="FFFFFF"/>
          </w:tcPr>
          <w:p w14:paraId="06A86B8F" w14:textId="06C7F3D3" w:rsidR="004E1599" w:rsidRPr="006A1A17" w:rsidRDefault="004E1599" w:rsidP="00B51BBA">
            <w:pPr>
              <w:jc w:val="right"/>
              <w:rPr>
                <w:color w:val="000000"/>
                <w:sz w:val="20"/>
                <w:szCs w:val="20"/>
              </w:rPr>
            </w:pPr>
            <w:r w:rsidRPr="006A1A17">
              <w:rPr>
                <w:color w:val="000000"/>
                <w:sz w:val="20"/>
                <w:szCs w:val="20"/>
              </w:rPr>
              <w:t>1</w:t>
            </w:r>
            <w:r w:rsidR="0072466E" w:rsidRPr="006A1A17">
              <w:rPr>
                <w:color w:val="000000"/>
                <w:sz w:val="20"/>
                <w:szCs w:val="20"/>
              </w:rPr>
              <w:t>75</w:t>
            </w:r>
          </w:p>
        </w:tc>
        <w:tc>
          <w:tcPr>
            <w:tcW w:w="1222" w:type="dxa"/>
            <w:gridSpan w:val="3"/>
            <w:shd w:val="clear" w:color="auto" w:fill="auto"/>
          </w:tcPr>
          <w:p w14:paraId="0632F0D8" w14:textId="77777777" w:rsidR="004E1599" w:rsidRPr="006A1A17" w:rsidRDefault="004E1599" w:rsidP="00B51BBA">
            <w:pPr>
              <w:jc w:val="right"/>
              <w:rPr>
                <w:color w:val="000000"/>
                <w:sz w:val="20"/>
                <w:szCs w:val="20"/>
              </w:rPr>
            </w:pPr>
            <w:r w:rsidRPr="006A1A17">
              <w:rPr>
                <w:color w:val="000000"/>
                <w:sz w:val="20"/>
                <w:szCs w:val="20"/>
              </w:rPr>
              <w:t>94</w:t>
            </w:r>
          </w:p>
        </w:tc>
        <w:tc>
          <w:tcPr>
            <w:tcW w:w="1081" w:type="dxa"/>
            <w:shd w:val="clear" w:color="auto" w:fill="auto"/>
          </w:tcPr>
          <w:p w14:paraId="6B4E422B" w14:textId="77777777" w:rsidR="004E1599" w:rsidRPr="006A1A17" w:rsidRDefault="004E1599" w:rsidP="00B51BBA">
            <w:pPr>
              <w:jc w:val="right"/>
              <w:rPr>
                <w:color w:val="000000"/>
                <w:sz w:val="20"/>
                <w:szCs w:val="20"/>
              </w:rPr>
            </w:pPr>
            <w:r w:rsidRPr="006A1A17">
              <w:rPr>
                <w:color w:val="000000"/>
                <w:sz w:val="20"/>
                <w:szCs w:val="20"/>
              </w:rPr>
              <w:t>10</w:t>
            </w:r>
          </w:p>
        </w:tc>
        <w:tc>
          <w:tcPr>
            <w:tcW w:w="1261" w:type="dxa"/>
            <w:shd w:val="clear" w:color="auto" w:fill="auto"/>
          </w:tcPr>
          <w:p w14:paraId="344D5233" w14:textId="77777777" w:rsidR="004E1599" w:rsidRPr="006A1A17" w:rsidRDefault="004E1599" w:rsidP="00B51BBA">
            <w:pPr>
              <w:jc w:val="right"/>
              <w:rPr>
                <w:color w:val="000000"/>
                <w:sz w:val="20"/>
                <w:szCs w:val="20"/>
              </w:rPr>
            </w:pPr>
            <w:r w:rsidRPr="006A1A17">
              <w:rPr>
                <w:color w:val="000000"/>
                <w:sz w:val="20"/>
                <w:szCs w:val="20"/>
              </w:rPr>
              <w:t>18.0 (24.7)</w:t>
            </w:r>
          </w:p>
        </w:tc>
        <w:tc>
          <w:tcPr>
            <w:tcW w:w="1077" w:type="dxa"/>
            <w:shd w:val="clear" w:color="auto" w:fill="auto"/>
          </w:tcPr>
          <w:p w14:paraId="15573BA2" w14:textId="77777777" w:rsidR="004E1599" w:rsidRPr="006A1A17" w:rsidRDefault="004E1599" w:rsidP="00B51BBA">
            <w:pPr>
              <w:jc w:val="right"/>
              <w:rPr>
                <w:color w:val="000000"/>
                <w:sz w:val="20"/>
                <w:szCs w:val="20"/>
              </w:rPr>
            </w:pPr>
            <w:r w:rsidRPr="006A1A17">
              <w:rPr>
                <w:color w:val="000000"/>
                <w:sz w:val="20"/>
                <w:szCs w:val="20"/>
              </w:rPr>
              <w:t>8.4 (20.8)</w:t>
            </w:r>
          </w:p>
        </w:tc>
      </w:tr>
      <w:tr w:rsidR="004E1599" w:rsidRPr="003E7DB9" w14:paraId="6D4E7191" w14:textId="77777777" w:rsidTr="00912F45">
        <w:tc>
          <w:tcPr>
            <w:tcW w:w="2021" w:type="dxa"/>
            <w:shd w:val="clear" w:color="auto" w:fill="FFFFFF"/>
          </w:tcPr>
          <w:p w14:paraId="21297345" w14:textId="77777777" w:rsidR="004E1599" w:rsidRPr="006A1A17" w:rsidRDefault="004E1599" w:rsidP="00B51BBA">
            <w:pPr>
              <w:jc w:val="both"/>
              <w:rPr>
                <w:color w:val="000000"/>
                <w:sz w:val="20"/>
                <w:szCs w:val="20"/>
              </w:rPr>
            </w:pPr>
          </w:p>
        </w:tc>
        <w:tc>
          <w:tcPr>
            <w:tcW w:w="1235" w:type="dxa"/>
            <w:shd w:val="clear" w:color="auto" w:fill="FFFFFF"/>
          </w:tcPr>
          <w:p w14:paraId="4E37D2F7" w14:textId="77777777" w:rsidR="004E1599" w:rsidRPr="006A1A17" w:rsidRDefault="004E1599" w:rsidP="00B51BBA">
            <w:pPr>
              <w:jc w:val="right"/>
              <w:rPr>
                <w:color w:val="000000"/>
                <w:sz w:val="20"/>
                <w:szCs w:val="20"/>
              </w:rPr>
            </w:pPr>
            <w:r w:rsidRPr="006A1A17">
              <w:rPr>
                <w:color w:val="000000"/>
                <w:sz w:val="20"/>
                <w:szCs w:val="20"/>
              </w:rPr>
              <w:t>174</w:t>
            </w:r>
          </w:p>
        </w:tc>
        <w:tc>
          <w:tcPr>
            <w:tcW w:w="1113" w:type="dxa"/>
            <w:shd w:val="clear" w:color="auto" w:fill="BFBFBF"/>
          </w:tcPr>
          <w:p w14:paraId="4EA530B6" w14:textId="77777777" w:rsidR="004E1599" w:rsidRPr="006A1A17" w:rsidRDefault="004E1599" w:rsidP="00B51BBA">
            <w:pPr>
              <w:jc w:val="right"/>
              <w:rPr>
                <w:color w:val="000000"/>
                <w:sz w:val="20"/>
                <w:szCs w:val="20"/>
              </w:rPr>
            </w:pPr>
            <w:r w:rsidRPr="006A1A17">
              <w:rPr>
                <w:color w:val="000000"/>
                <w:sz w:val="20"/>
                <w:szCs w:val="20"/>
              </w:rPr>
              <w:t>89</w:t>
            </w:r>
          </w:p>
        </w:tc>
        <w:tc>
          <w:tcPr>
            <w:tcW w:w="1222" w:type="dxa"/>
            <w:gridSpan w:val="3"/>
            <w:shd w:val="clear" w:color="auto" w:fill="auto"/>
          </w:tcPr>
          <w:p w14:paraId="324A8DEF"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7133DF2A"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6E054A30" w14:textId="77777777" w:rsidR="004E1599" w:rsidRPr="006A1A17" w:rsidRDefault="004E1599" w:rsidP="00B51BBA">
            <w:pPr>
              <w:jc w:val="right"/>
              <w:rPr>
                <w:color w:val="000000"/>
                <w:sz w:val="20"/>
                <w:szCs w:val="20"/>
              </w:rPr>
            </w:pPr>
            <w:r w:rsidRPr="006A1A17">
              <w:rPr>
                <w:color w:val="000000"/>
                <w:sz w:val="20"/>
                <w:szCs w:val="20"/>
              </w:rPr>
              <w:t>8.6 (20.2)</w:t>
            </w:r>
          </w:p>
        </w:tc>
        <w:tc>
          <w:tcPr>
            <w:tcW w:w="1077" w:type="dxa"/>
            <w:shd w:val="clear" w:color="auto" w:fill="auto"/>
          </w:tcPr>
          <w:p w14:paraId="5BFBFE0F" w14:textId="77777777" w:rsidR="004E1599" w:rsidRPr="006A1A17" w:rsidRDefault="004E1599" w:rsidP="00B51BBA">
            <w:pPr>
              <w:jc w:val="right"/>
              <w:rPr>
                <w:color w:val="000000"/>
                <w:sz w:val="20"/>
                <w:szCs w:val="20"/>
              </w:rPr>
            </w:pPr>
            <w:r w:rsidRPr="006A1A17">
              <w:rPr>
                <w:color w:val="000000"/>
                <w:sz w:val="20"/>
                <w:szCs w:val="20"/>
              </w:rPr>
              <w:t>4.4 (20.2)</w:t>
            </w:r>
          </w:p>
        </w:tc>
      </w:tr>
      <w:tr w:rsidR="004E1599" w:rsidRPr="003E7DB9" w14:paraId="5A8FEBD9" w14:textId="77777777" w:rsidTr="00912F45">
        <w:tc>
          <w:tcPr>
            <w:tcW w:w="2021" w:type="dxa"/>
            <w:shd w:val="clear" w:color="auto" w:fill="FFFFFF"/>
          </w:tcPr>
          <w:p w14:paraId="7567CBFF" w14:textId="77777777" w:rsidR="004E1599" w:rsidRPr="006A1A17" w:rsidRDefault="004E1599" w:rsidP="00B51BBA">
            <w:pPr>
              <w:jc w:val="both"/>
              <w:rPr>
                <w:color w:val="000000"/>
                <w:sz w:val="20"/>
                <w:szCs w:val="20"/>
              </w:rPr>
            </w:pPr>
          </w:p>
        </w:tc>
        <w:tc>
          <w:tcPr>
            <w:tcW w:w="1235" w:type="dxa"/>
            <w:shd w:val="clear" w:color="auto" w:fill="FFFFFF"/>
          </w:tcPr>
          <w:p w14:paraId="2A09ED73" w14:textId="0FABF758" w:rsidR="004E1599" w:rsidRPr="006A1A17" w:rsidRDefault="004E1599" w:rsidP="00B51BBA">
            <w:pPr>
              <w:jc w:val="right"/>
              <w:rPr>
                <w:color w:val="000000"/>
                <w:sz w:val="20"/>
                <w:szCs w:val="20"/>
              </w:rPr>
            </w:pPr>
            <w:r w:rsidRPr="006A1A17">
              <w:rPr>
                <w:color w:val="000000"/>
                <w:sz w:val="20"/>
                <w:szCs w:val="20"/>
              </w:rPr>
              <w:t>2</w:t>
            </w:r>
            <w:r w:rsidR="0072466E" w:rsidRPr="006A1A17">
              <w:rPr>
                <w:color w:val="000000"/>
                <w:sz w:val="20"/>
                <w:szCs w:val="20"/>
              </w:rPr>
              <w:t>63</w:t>
            </w:r>
          </w:p>
        </w:tc>
        <w:tc>
          <w:tcPr>
            <w:tcW w:w="1113" w:type="dxa"/>
            <w:shd w:val="clear" w:color="auto" w:fill="FFFFFF"/>
          </w:tcPr>
          <w:p w14:paraId="59E71956" w14:textId="77777777" w:rsidR="004E1599" w:rsidRPr="006A1A17" w:rsidRDefault="004E1599" w:rsidP="00B51BBA">
            <w:pPr>
              <w:jc w:val="right"/>
              <w:rPr>
                <w:color w:val="000000"/>
                <w:sz w:val="20"/>
                <w:szCs w:val="20"/>
              </w:rPr>
            </w:pPr>
            <w:r w:rsidRPr="006A1A17">
              <w:rPr>
                <w:color w:val="000000"/>
                <w:sz w:val="20"/>
                <w:szCs w:val="20"/>
              </w:rPr>
              <w:t>105</w:t>
            </w:r>
          </w:p>
        </w:tc>
        <w:tc>
          <w:tcPr>
            <w:tcW w:w="1222" w:type="dxa"/>
            <w:gridSpan w:val="3"/>
            <w:shd w:val="clear" w:color="auto" w:fill="auto"/>
          </w:tcPr>
          <w:p w14:paraId="11C3D9CD" w14:textId="77777777" w:rsidR="004E1599" w:rsidRPr="006A1A17" w:rsidRDefault="004E1599" w:rsidP="00B51BBA">
            <w:pPr>
              <w:jc w:val="right"/>
              <w:rPr>
                <w:color w:val="000000"/>
                <w:sz w:val="20"/>
                <w:szCs w:val="20"/>
              </w:rPr>
            </w:pPr>
            <w:r w:rsidRPr="006A1A17">
              <w:rPr>
                <w:color w:val="000000"/>
                <w:sz w:val="20"/>
                <w:szCs w:val="20"/>
              </w:rPr>
              <w:t>96</w:t>
            </w:r>
          </w:p>
        </w:tc>
        <w:tc>
          <w:tcPr>
            <w:tcW w:w="1081" w:type="dxa"/>
            <w:shd w:val="clear" w:color="auto" w:fill="auto"/>
          </w:tcPr>
          <w:p w14:paraId="218753FB"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5FAD9B19" w14:textId="77777777" w:rsidR="004E1599" w:rsidRPr="006A1A17" w:rsidRDefault="004E1599" w:rsidP="00B51BBA">
            <w:pPr>
              <w:jc w:val="right"/>
              <w:rPr>
                <w:color w:val="000000"/>
                <w:sz w:val="20"/>
                <w:szCs w:val="20"/>
              </w:rPr>
            </w:pPr>
            <w:r w:rsidRPr="006A1A17">
              <w:rPr>
                <w:color w:val="000000"/>
                <w:sz w:val="20"/>
                <w:szCs w:val="20"/>
              </w:rPr>
              <w:t>11.5 (22.8)</w:t>
            </w:r>
          </w:p>
        </w:tc>
        <w:tc>
          <w:tcPr>
            <w:tcW w:w="1077" w:type="dxa"/>
            <w:shd w:val="clear" w:color="auto" w:fill="auto"/>
          </w:tcPr>
          <w:p w14:paraId="222402E6" w14:textId="77777777" w:rsidR="004E1599" w:rsidRPr="006A1A17" w:rsidRDefault="004E1599" w:rsidP="00B51BBA">
            <w:pPr>
              <w:jc w:val="right"/>
              <w:rPr>
                <w:color w:val="000000"/>
                <w:sz w:val="20"/>
                <w:szCs w:val="20"/>
              </w:rPr>
            </w:pPr>
            <w:r w:rsidRPr="006A1A17">
              <w:rPr>
                <w:color w:val="000000"/>
                <w:sz w:val="20"/>
                <w:szCs w:val="20"/>
              </w:rPr>
              <w:t>4.6 (23.0)</w:t>
            </w:r>
          </w:p>
        </w:tc>
      </w:tr>
      <w:tr w:rsidR="004E1599" w:rsidRPr="003E7DB9" w14:paraId="0C963E10" w14:textId="77777777" w:rsidTr="00912F45">
        <w:tc>
          <w:tcPr>
            <w:tcW w:w="2021" w:type="dxa"/>
            <w:shd w:val="clear" w:color="auto" w:fill="FFFFFF"/>
          </w:tcPr>
          <w:p w14:paraId="5E57C9CF" w14:textId="77777777" w:rsidR="004E1599" w:rsidRPr="006A1A17" w:rsidRDefault="004E1599" w:rsidP="00B51BBA">
            <w:pPr>
              <w:jc w:val="both"/>
              <w:rPr>
                <w:color w:val="000000"/>
                <w:sz w:val="20"/>
                <w:szCs w:val="20"/>
              </w:rPr>
            </w:pPr>
          </w:p>
        </w:tc>
        <w:tc>
          <w:tcPr>
            <w:tcW w:w="1235" w:type="dxa"/>
            <w:shd w:val="clear" w:color="auto" w:fill="FFFFFF"/>
          </w:tcPr>
          <w:p w14:paraId="68E5EC34" w14:textId="77777777" w:rsidR="004E1599" w:rsidRPr="006A1A17" w:rsidRDefault="004E1599" w:rsidP="00B51BBA">
            <w:pPr>
              <w:jc w:val="right"/>
              <w:rPr>
                <w:color w:val="000000"/>
                <w:sz w:val="20"/>
                <w:szCs w:val="20"/>
              </w:rPr>
            </w:pPr>
            <w:r w:rsidRPr="006A1A17">
              <w:rPr>
                <w:color w:val="000000"/>
                <w:sz w:val="20"/>
                <w:szCs w:val="20"/>
              </w:rPr>
              <w:t>160</w:t>
            </w:r>
          </w:p>
        </w:tc>
        <w:tc>
          <w:tcPr>
            <w:tcW w:w="1113" w:type="dxa"/>
            <w:shd w:val="clear" w:color="auto" w:fill="FFFFFF"/>
          </w:tcPr>
          <w:p w14:paraId="57A37735" w14:textId="1F5C8E13" w:rsidR="004E1599" w:rsidRPr="006A1A17" w:rsidRDefault="004E1599" w:rsidP="00B51BBA">
            <w:pPr>
              <w:jc w:val="right"/>
              <w:rPr>
                <w:color w:val="000000"/>
                <w:sz w:val="20"/>
                <w:szCs w:val="20"/>
              </w:rPr>
            </w:pPr>
            <w:r w:rsidRPr="006A1A17">
              <w:rPr>
                <w:color w:val="000000"/>
                <w:sz w:val="20"/>
                <w:szCs w:val="20"/>
              </w:rPr>
              <w:t>2</w:t>
            </w:r>
            <w:r w:rsidR="0072466E" w:rsidRPr="006A1A17">
              <w:rPr>
                <w:color w:val="000000"/>
                <w:sz w:val="20"/>
                <w:szCs w:val="20"/>
              </w:rPr>
              <w:t>64</w:t>
            </w:r>
          </w:p>
        </w:tc>
        <w:tc>
          <w:tcPr>
            <w:tcW w:w="1222" w:type="dxa"/>
            <w:gridSpan w:val="3"/>
            <w:shd w:val="clear" w:color="auto" w:fill="auto"/>
          </w:tcPr>
          <w:p w14:paraId="352110CF"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508EA5E5" w14:textId="77777777" w:rsidR="004E1599" w:rsidRPr="006A1A17" w:rsidRDefault="004E1599" w:rsidP="00B51BBA">
            <w:pPr>
              <w:jc w:val="right"/>
              <w:rPr>
                <w:color w:val="000000"/>
                <w:sz w:val="20"/>
                <w:szCs w:val="20"/>
              </w:rPr>
            </w:pPr>
            <w:r w:rsidRPr="006A1A17">
              <w:rPr>
                <w:color w:val="000000"/>
                <w:sz w:val="20"/>
                <w:szCs w:val="20"/>
              </w:rPr>
              <w:t>6</w:t>
            </w:r>
          </w:p>
        </w:tc>
        <w:tc>
          <w:tcPr>
            <w:tcW w:w="1261" w:type="dxa"/>
            <w:shd w:val="clear" w:color="auto" w:fill="auto"/>
          </w:tcPr>
          <w:p w14:paraId="0B7F3416" w14:textId="77777777" w:rsidR="004E1599" w:rsidRPr="006A1A17" w:rsidRDefault="004E1599" w:rsidP="00B51BBA">
            <w:pPr>
              <w:jc w:val="right"/>
              <w:rPr>
                <w:color w:val="000000"/>
                <w:sz w:val="20"/>
                <w:szCs w:val="20"/>
              </w:rPr>
            </w:pPr>
            <w:r w:rsidRPr="006A1A17">
              <w:rPr>
                <w:color w:val="000000"/>
                <w:sz w:val="20"/>
                <w:szCs w:val="20"/>
              </w:rPr>
              <w:t>8.0 (20.0)</w:t>
            </w:r>
          </w:p>
        </w:tc>
        <w:tc>
          <w:tcPr>
            <w:tcW w:w="1077" w:type="dxa"/>
            <w:shd w:val="clear" w:color="auto" w:fill="auto"/>
          </w:tcPr>
          <w:p w14:paraId="29FDE711" w14:textId="77777777" w:rsidR="004E1599" w:rsidRPr="006A1A17" w:rsidRDefault="004E1599" w:rsidP="00B51BBA">
            <w:pPr>
              <w:jc w:val="right"/>
              <w:rPr>
                <w:color w:val="000000"/>
                <w:sz w:val="20"/>
                <w:szCs w:val="20"/>
              </w:rPr>
            </w:pPr>
            <w:r w:rsidRPr="006A1A17">
              <w:rPr>
                <w:color w:val="000000"/>
                <w:sz w:val="20"/>
                <w:szCs w:val="20"/>
              </w:rPr>
              <w:t>12.2 (21.6)</w:t>
            </w:r>
          </w:p>
        </w:tc>
      </w:tr>
      <w:tr w:rsidR="004E1599" w:rsidRPr="003E7DB9" w14:paraId="3F83FD17" w14:textId="77777777" w:rsidTr="00912F45">
        <w:tc>
          <w:tcPr>
            <w:tcW w:w="2021" w:type="dxa"/>
            <w:shd w:val="clear" w:color="auto" w:fill="FFFFFF"/>
          </w:tcPr>
          <w:p w14:paraId="7AD798D7" w14:textId="77777777" w:rsidR="004E1599" w:rsidRPr="006A1A17" w:rsidRDefault="004E1599" w:rsidP="00B51BBA">
            <w:pPr>
              <w:jc w:val="both"/>
              <w:rPr>
                <w:color w:val="000000"/>
                <w:sz w:val="20"/>
                <w:szCs w:val="20"/>
              </w:rPr>
            </w:pPr>
          </w:p>
        </w:tc>
        <w:tc>
          <w:tcPr>
            <w:tcW w:w="1235" w:type="dxa"/>
            <w:shd w:val="clear" w:color="auto" w:fill="BFBFBF"/>
          </w:tcPr>
          <w:p w14:paraId="3C0F76AD" w14:textId="77777777" w:rsidR="004E1599" w:rsidRPr="006A1A17" w:rsidRDefault="004E1599" w:rsidP="00B51BBA">
            <w:pPr>
              <w:jc w:val="right"/>
              <w:rPr>
                <w:color w:val="000000"/>
                <w:sz w:val="20"/>
                <w:szCs w:val="20"/>
              </w:rPr>
            </w:pPr>
            <w:r w:rsidRPr="006A1A17">
              <w:rPr>
                <w:color w:val="000000"/>
                <w:sz w:val="20"/>
                <w:szCs w:val="20"/>
              </w:rPr>
              <w:t>79</w:t>
            </w:r>
          </w:p>
        </w:tc>
        <w:tc>
          <w:tcPr>
            <w:tcW w:w="1113" w:type="dxa"/>
            <w:shd w:val="clear" w:color="auto" w:fill="FFFFFF"/>
          </w:tcPr>
          <w:p w14:paraId="3848AD61" w14:textId="279177D0" w:rsidR="004E1599" w:rsidRPr="006A1A17" w:rsidRDefault="004E1599" w:rsidP="00B51BBA">
            <w:pPr>
              <w:jc w:val="right"/>
              <w:rPr>
                <w:color w:val="000000"/>
                <w:sz w:val="20"/>
                <w:szCs w:val="20"/>
              </w:rPr>
            </w:pPr>
            <w:r w:rsidRPr="006A1A17">
              <w:rPr>
                <w:color w:val="000000"/>
                <w:sz w:val="20"/>
                <w:szCs w:val="20"/>
              </w:rPr>
              <w:t>2</w:t>
            </w:r>
            <w:r w:rsidR="0072466E" w:rsidRPr="006A1A17">
              <w:rPr>
                <w:color w:val="000000"/>
                <w:sz w:val="20"/>
                <w:szCs w:val="20"/>
              </w:rPr>
              <w:t>4</w:t>
            </w:r>
            <w:r w:rsidRPr="006A1A17">
              <w:rPr>
                <w:color w:val="000000"/>
                <w:sz w:val="20"/>
                <w:szCs w:val="20"/>
              </w:rPr>
              <w:t>3</w:t>
            </w:r>
          </w:p>
        </w:tc>
        <w:tc>
          <w:tcPr>
            <w:tcW w:w="1222" w:type="dxa"/>
            <w:gridSpan w:val="3"/>
            <w:shd w:val="clear" w:color="auto" w:fill="auto"/>
          </w:tcPr>
          <w:p w14:paraId="5730369B" w14:textId="77777777" w:rsidR="004E1599" w:rsidRPr="006A1A17" w:rsidRDefault="004E1599" w:rsidP="00B51BBA">
            <w:pPr>
              <w:jc w:val="right"/>
              <w:rPr>
                <w:color w:val="000000"/>
                <w:sz w:val="20"/>
                <w:szCs w:val="20"/>
              </w:rPr>
            </w:pPr>
            <w:r w:rsidRPr="006A1A17">
              <w:rPr>
                <w:color w:val="000000"/>
                <w:sz w:val="20"/>
                <w:szCs w:val="20"/>
              </w:rPr>
              <w:t>100</w:t>
            </w:r>
          </w:p>
        </w:tc>
        <w:tc>
          <w:tcPr>
            <w:tcW w:w="1081" w:type="dxa"/>
            <w:shd w:val="clear" w:color="auto" w:fill="auto"/>
          </w:tcPr>
          <w:p w14:paraId="6FABC660" w14:textId="77777777" w:rsidR="004E1599" w:rsidRPr="006A1A17" w:rsidRDefault="004E1599" w:rsidP="00B51BBA">
            <w:pPr>
              <w:jc w:val="right"/>
              <w:rPr>
                <w:color w:val="000000"/>
                <w:sz w:val="20"/>
                <w:szCs w:val="20"/>
              </w:rPr>
            </w:pPr>
            <w:r w:rsidRPr="006A1A17">
              <w:rPr>
                <w:color w:val="000000"/>
                <w:sz w:val="20"/>
                <w:szCs w:val="20"/>
              </w:rPr>
              <w:t>2</w:t>
            </w:r>
          </w:p>
        </w:tc>
        <w:tc>
          <w:tcPr>
            <w:tcW w:w="1261" w:type="dxa"/>
            <w:shd w:val="clear" w:color="auto" w:fill="auto"/>
          </w:tcPr>
          <w:p w14:paraId="2BE64A8F" w14:textId="77777777" w:rsidR="004E1599" w:rsidRPr="006A1A17" w:rsidRDefault="004E1599" w:rsidP="00B51BBA">
            <w:pPr>
              <w:jc w:val="right"/>
              <w:rPr>
                <w:color w:val="000000"/>
                <w:sz w:val="20"/>
                <w:szCs w:val="20"/>
              </w:rPr>
            </w:pPr>
            <w:r w:rsidRPr="006A1A17">
              <w:rPr>
                <w:color w:val="000000"/>
                <w:sz w:val="20"/>
                <w:szCs w:val="20"/>
              </w:rPr>
              <w:t>4.4 (18.0)</w:t>
            </w:r>
          </w:p>
        </w:tc>
        <w:tc>
          <w:tcPr>
            <w:tcW w:w="1077" w:type="dxa"/>
            <w:shd w:val="clear" w:color="auto" w:fill="auto"/>
          </w:tcPr>
          <w:p w14:paraId="3CC72930" w14:textId="77777777" w:rsidR="004E1599" w:rsidRPr="006A1A17" w:rsidRDefault="004E1599" w:rsidP="00B51BBA">
            <w:pPr>
              <w:jc w:val="right"/>
              <w:rPr>
                <w:color w:val="000000"/>
                <w:sz w:val="20"/>
                <w:szCs w:val="20"/>
              </w:rPr>
            </w:pPr>
            <w:r w:rsidRPr="006A1A17">
              <w:rPr>
                <w:color w:val="000000"/>
                <w:sz w:val="20"/>
                <w:szCs w:val="20"/>
              </w:rPr>
              <w:t>9.6 (25.5)</w:t>
            </w:r>
          </w:p>
        </w:tc>
      </w:tr>
      <w:tr w:rsidR="004E1599" w:rsidRPr="003E7DB9" w14:paraId="211E1FE0" w14:textId="77777777" w:rsidTr="00912F45">
        <w:tc>
          <w:tcPr>
            <w:tcW w:w="2021" w:type="dxa"/>
            <w:shd w:val="clear" w:color="auto" w:fill="FFFFFF"/>
          </w:tcPr>
          <w:p w14:paraId="45912F5A" w14:textId="77777777" w:rsidR="004E1599" w:rsidRPr="006A1A17" w:rsidRDefault="004E1599" w:rsidP="00B51BBA">
            <w:pPr>
              <w:jc w:val="both"/>
              <w:rPr>
                <w:color w:val="000000"/>
                <w:sz w:val="20"/>
                <w:szCs w:val="20"/>
              </w:rPr>
            </w:pPr>
          </w:p>
        </w:tc>
        <w:tc>
          <w:tcPr>
            <w:tcW w:w="1235" w:type="dxa"/>
            <w:shd w:val="clear" w:color="auto" w:fill="BFBFBF"/>
          </w:tcPr>
          <w:p w14:paraId="6DD25AEC" w14:textId="77777777" w:rsidR="004E1599" w:rsidRPr="006A1A17" w:rsidRDefault="004E1599" w:rsidP="00B51BBA">
            <w:pPr>
              <w:jc w:val="right"/>
              <w:rPr>
                <w:color w:val="000000"/>
                <w:sz w:val="20"/>
                <w:szCs w:val="20"/>
              </w:rPr>
            </w:pPr>
            <w:r w:rsidRPr="006A1A17">
              <w:rPr>
                <w:color w:val="000000"/>
                <w:sz w:val="20"/>
                <w:szCs w:val="20"/>
              </w:rPr>
              <w:t>70</w:t>
            </w:r>
          </w:p>
        </w:tc>
        <w:tc>
          <w:tcPr>
            <w:tcW w:w="1113" w:type="dxa"/>
            <w:shd w:val="clear" w:color="auto" w:fill="FFFFFF"/>
          </w:tcPr>
          <w:p w14:paraId="39F6F7A9" w14:textId="2675B0EA" w:rsidR="004E1599" w:rsidRPr="006A1A17" w:rsidRDefault="004E1599" w:rsidP="00B51BBA">
            <w:pPr>
              <w:jc w:val="right"/>
              <w:rPr>
                <w:color w:val="000000"/>
                <w:sz w:val="20"/>
                <w:szCs w:val="20"/>
              </w:rPr>
            </w:pPr>
            <w:r w:rsidRPr="006A1A17">
              <w:rPr>
                <w:color w:val="000000"/>
                <w:sz w:val="20"/>
                <w:szCs w:val="20"/>
              </w:rPr>
              <w:t>1</w:t>
            </w:r>
            <w:r w:rsidR="0072466E" w:rsidRPr="006A1A17">
              <w:rPr>
                <w:color w:val="000000"/>
                <w:sz w:val="20"/>
                <w:szCs w:val="20"/>
              </w:rPr>
              <w:t>93</w:t>
            </w:r>
          </w:p>
        </w:tc>
        <w:tc>
          <w:tcPr>
            <w:tcW w:w="1222" w:type="dxa"/>
            <w:gridSpan w:val="3"/>
            <w:shd w:val="clear" w:color="auto" w:fill="auto"/>
          </w:tcPr>
          <w:p w14:paraId="5287E5D6"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42891B9B"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20F4F37C" w14:textId="77777777" w:rsidR="004E1599" w:rsidRPr="006A1A17" w:rsidRDefault="004E1599" w:rsidP="00B51BBA">
            <w:pPr>
              <w:jc w:val="right"/>
              <w:rPr>
                <w:color w:val="000000"/>
                <w:sz w:val="20"/>
                <w:szCs w:val="20"/>
              </w:rPr>
            </w:pPr>
            <w:r w:rsidRPr="006A1A17">
              <w:rPr>
                <w:color w:val="000000"/>
                <w:sz w:val="20"/>
                <w:szCs w:val="20"/>
              </w:rPr>
              <w:t>3.0 (23.3)</w:t>
            </w:r>
          </w:p>
        </w:tc>
        <w:tc>
          <w:tcPr>
            <w:tcW w:w="1077" w:type="dxa"/>
            <w:shd w:val="clear" w:color="auto" w:fill="auto"/>
          </w:tcPr>
          <w:p w14:paraId="702D9E48" w14:textId="1B932CEA" w:rsidR="004E1599" w:rsidRPr="006A1A17" w:rsidRDefault="004E1599" w:rsidP="00B51BBA">
            <w:pPr>
              <w:jc w:val="right"/>
              <w:rPr>
                <w:color w:val="000000"/>
                <w:sz w:val="20"/>
                <w:szCs w:val="20"/>
              </w:rPr>
            </w:pPr>
            <w:r w:rsidRPr="006A1A17">
              <w:rPr>
                <w:color w:val="000000"/>
                <w:sz w:val="20"/>
                <w:szCs w:val="20"/>
              </w:rPr>
              <w:t>8.6 (22</w:t>
            </w:r>
            <w:r w:rsidR="00D91F2C" w:rsidRPr="006A1A17">
              <w:rPr>
                <w:color w:val="000000"/>
                <w:sz w:val="20"/>
                <w:szCs w:val="20"/>
              </w:rPr>
              <w:t>.</w:t>
            </w:r>
            <w:r w:rsidRPr="006A1A17">
              <w:rPr>
                <w:color w:val="000000"/>
                <w:sz w:val="20"/>
                <w:szCs w:val="20"/>
              </w:rPr>
              <w:t>5)</w:t>
            </w:r>
          </w:p>
        </w:tc>
      </w:tr>
      <w:tr w:rsidR="004E1599" w:rsidRPr="003E7DB9" w14:paraId="78516992" w14:textId="77777777" w:rsidTr="00912F45">
        <w:tc>
          <w:tcPr>
            <w:tcW w:w="2021" w:type="dxa"/>
            <w:shd w:val="clear" w:color="auto" w:fill="FFFFFF"/>
          </w:tcPr>
          <w:p w14:paraId="1BB9A79F" w14:textId="77777777" w:rsidR="004E1599" w:rsidRPr="006A1A17" w:rsidRDefault="004E1599" w:rsidP="00B51BBA">
            <w:pPr>
              <w:jc w:val="both"/>
              <w:rPr>
                <w:color w:val="000000"/>
                <w:sz w:val="20"/>
                <w:szCs w:val="20"/>
              </w:rPr>
            </w:pPr>
            <w:r w:rsidRPr="006A1A17">
              <w:rPr>
                <w:color w:val="000000"/>
                <w:sz w:val="20"/>
                <w:szCs w:val="20"/>
              </w:rPr>
              <w:t>Fermanagh</w:t>
            </w:r>
          </w:p>
        </w:tc>
        <w:tc>
          <w:tcPr>
            <w:tcW w:w="1235" w:type="dxa"/>
            <w:shd w:val="clear" w:color="auto" w:fill="BFBFBF"/>
          </w:tcPr>
          <w:p w14:paraId="3C605109" w14:textId="77777777" w:rsidR="004E1599" w:rsidRPr="006A1A17" w:rsidRDefault="004E1599" w:rsidP="00B51BBA">
            <w:pPr>
              <w:jc w:val="right"/>
              <w:rPr>
                <w:color w:val="000000"/>
                <w:sz w:val="20"/>
                <w:szCs w:val="20"/>
              </w:rPr>
            </w:pPr>
            <w:r w:rsidRPr="006A1A17">
              <w:rPr>
                <w:color w:val="000000"/>
                <w:sz w:val="20"/>
                <w:szCs w:val="20"/>
              </w:rPr>
              <w:t>92</w:t>
            </w:r>
          </w:p>
        </w:tc>
        <w:tc>
          <w:tcPr>
            <w:tcW w:w="1113" w:type="dxa"/>
            <w:shd w:val="clear" w:color="auto" w:fill="BFBFBF"/>
          </w:tcPr>
          <w:p w14:paraId="56118AAE" w14:textId="77777777" w:rsidR="004E1599" w:rsidRPr="006A1A17" w:rsidRDefault="004E1599" w:rsidP="00B51BBA">
            <w:pPr>
              <w:jc w:val="right"/>
              <w:rPr>
                <w:color w:val="000000"/>
                <w:sz w:val="20"/>
                <w:szCs w:val="20"/>
              </w:rPr>
            </w:pPr>
            <w:r w:rsidRPr="006A1A17">
              <w:rPr>
                <w:color w:val="000000"/>
                <w:sz w:val="20"/>
                <w:szCs w:val="20"/>
              </w:rPr>
              <w:t>27</w:t>
            </w:r>
          </w:p>
        </w:tc>
        <w:tc>
          <w:tcPr>
            <w:tcW w:w="1222" w:type="dxa"/>
            <w:gridSpan w:val="3"/>
            <w:shd w:val="clear" w:color="auto" w:fill="auto"/>
          </w:tcPr>
          <w:p w14:paraId="7A0208D4"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3B19A221"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616DA23B" w14:textId="51E91765" w:rsidR="004E1599" w:rsidRPr="006A1A17" w:rsidRDefault="004E1599" w:rsidP="00B51BBA">
            <w:pPr>
              <w:jc w:val="right"/>
              <w:rPr>
                <w:color w:val="000000"/>
                <w:sz w:val="20"/>
                <w:szCs w:val="20"/>
              </w:rPr>
            </w:pPr>
            <w:r w:rsidRPr="006A1A17">
              <w:rPr>
                <w:color w:val="000000"/>
                <w:sz w:val="20"/>
                <w:szCs w:val="20"/>
              </w:rPr>
              <w:t>5.4 (</w:t>
            </w:r>
            <w:r w:rsidR="007A5A15" w:rsidRPr="006A1A17">
              <w:rPr>
                <w:color w:val="000000"/>
                <w:sz w:val="20"/>
                <w:szCs w:val="20"/>
              </w:rPr>
              <w:t>17.0</w:t>
            </w:r>
            <w:r w:rsidRPr="006A1A17">
              <w:rPr>
                <w:color w:val="000000"/>
                <w:sz w:val="20"/>
                <w:szCs w:val="20"/>
              </w:rPr>
              <w:t>)</w:t>
            </w:r>
          </w:p>
        </w:tc>
        <w:tc>
          <w:tcPr>
            <w:tcW w:w="1077" w:type="dxa"/>
            <w:shd w:val="clear" w:color="auto" w:fill="auto"/>
          </w:tcPr>
          <w:p w14:paraId="45F58DE5" w14:textId="77777777" w:rsidR="004E1599" w:rsidRPr="006A1A17" w:rsidRDefault="004E1599" w:rsidP="00B51BBA">
            <w:pPr>
              <w:jc w:val="right"/>
              <w:rPr>
                <w:color w:val="000000"/>
                <w:sz w:val="20"/>
                <w:szCs w:val="20"/>
              </w:rPr>
            </w:pPr>
            <w:r w:rsidRPr="006A1A17">
              <w:rPr>
                <w:color w:val="000000"/>
                <w:sz w:val="20"/>
                <w:szCs w:val="20"/>
              </w:rPr>
              <w:t>2.2 (12.3)</w:t>
            </w:r>
          </w:p>
        </w:tc>
      </w:tr>
      <w:tr w:rsidR="004E1599" w:rsidRPr="003E7DB9" w14:paraId="0F46BA72" w14:textId="77777777" w:rsidTr="00912F45">
        <w:tc>
          <w:tcPr>
            <w:tcW w:w="2021" w:type="dxa"/>
            <w:shd w:val="clear" w:color="auto" w:fill="FFFFFF"/>
          </w:tcPr>
          <w:p w14:paraId="664C0F02" w14:textId="77777777" w:rsidR="004E1599" w:rsidRPr="006A1A17" w:rsidRDefault="004E1599" w:rsidP="00B51BBA">
            <w:pPr>
              <w:jc w:val="both"/>
              <w:rPr>
                <w:color w:val="000000"/>
                <w:sz w:val="20"/>
                <w:szCs w:val="20"/>
              </w:rPr>
            </w:pPr>
          </w:p>
        </w:tc>
        <w:tc>
          <w:tcPr>
            <w:tcW w:w="1235" w:type="dxa"/>
            <w:shd w:val="clear" w:color="auto" w:fill="BFBFBF"/>
          </w:tcPr>
          <w:p w14:paraId="0EE89B11" w14:textId="77777777" w:rsidR="004E1599" w:rsidRPr="006A1A17" w:rsidRDefault="004E1599" w:rsidP="00B51BBA">
            <w:pPr>
              <w:jc w:val="right"/>
              <w:rPr>
                <w:color w:val="000000"/>
                <w:sz w:val="20"/>
                <w:szCs w:val="20"/>
              </w:rPr>
            </w:pPr>
            <w:r w:rsidRPr="006A1A17">
              <w:rPr>
                <w:color w:val="000000"/>
                <w:sz w:val="20"/>
                <w:szCs w:val="20"/>
              </w:rPr>
              <w:t>53</w:t>
            </w:r>
          </w:p>
        </w:tc>
        <w:tc>
          <w:tcPr>
            <w:tcW w:w="1113" w:type="dxa"/>
            <w:shd w:val="clear" w:color="auto" w:fill="BFBFBF"/>
          </w:tcPr>
          <w:p w14:paraId="0C919EC4" w14:textId="77777777" w:rsidR="004E1599" w:rsidRPr="006A1A17" w:rsidRDefault="004E1599" w:rsidP="00B51BBA">
            <w:pPr>
              <w:jc w:val="right"/>
              <w:rPr>
                <w:color w:val="000000"/>
                <w:sz w:val="20"/>
                <w:szCs w:val="20"/>
              </w:rPr>
            </w:pPr>
            <w:r w:rsidRPr="006A1A17">
              <w:rPr>
                <w:color w:val="000000"/>
                <w:sz w:val="20"/>
                <w:szCs w:val="20"/>
              </w:rPr>
              <w:t>73</w:t>
            </w:r>
          </w:p>
        </w:tc>
        <w:tc>
          <w:tcPr>
            <w:tcW w:w="1222" w:type="dxa"/>
            <w:gridSpan w:val="3"/>
            <w:shd w:val="clear" w:color="auto" w:fill="auto"/>
          </w:tcPr>
          <w:p w14:paraId="49847289"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792AC77C"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7933D874" w14:textId="77777777" w:rsidR="004E1599" w:rsidRPr="006A1A17" w:rsidRDefault="004E1599" w:rsidP="00B51BBA">
            <w:pPr>
              <w:jc w:val="right"/>
              <w:rPr>
                <w:color w:val="000000"/>
                <w:sz w:val="20"/>
                <w:szCs w:val="20"/>
              </w:rPr>
            </w:pPr>
            <w:r w:rsidRPr="006A1A17">
              <w:rPr>
                <w:color w:val="000000"/>
                <w:sz w:val="20"/>
                <w:szCs w:val="20"/>
              </w:rPr>
              <w:t>3.0 (17.7)</w:t>
            </w:r>
          </w:p>
        </w:tc>
        <w:tc>
          <w:tcPr>
            <w:tcW w:w="1077" w:type="dxa"/>
            <w:shd w:val="clear" w:color="auto" w:fill="auto"/>
          </w:tcPr>
          <w:p w14:paraId="5503D672" w14:textId="77777777" w:rsidR="004E1599" w:rsidRPr="006A1A17" w:rsidRDefault="004E1599" w:rsidP="00B51BBA">
            <w:pPr>
              <w:jc w:val="right"/>
              <w:rPr>
                <w:color w:val="000000"/>
                <w:sz w:val="20"/>
                <w:szCs w:val="20"/>
              </w:rPr>
            </w:pPr>
            <w:r w:rsidRPr="006A1A17">
              <w:rPr>
                <w:color w:val="000000"/>
                <w:sz w:val="20"/>
                <w:szCs w:val="20"/>
              </w:rPr>
              <w:t>3.6 (20.3)</w:t>
            </w:r>
          </w:p>
        </w:tc>
      </w:tr>
      <w:tr w:rsidR="004E1599" w:rsidRPr="003E7DB9" w14:paraId="77B928AF" w14:textId="77777777" w:rsidTr="00912F45">
        <w:tc>
          <w:tcPr>
            <w:tcW w:w="2021" w:type="dxa"/>
            <w:shd w:val="clear" w:color="auto" w:fill="FFFFFF"/>
          </w:tcPr>
          <w:p w14:paraId="276B5187" w14:textId="77777777" w:rsidR="004E1599" w:rsidRPr="006A1A17" w:rsidRDefault="004E1599" w:rsidP="00B51BBA">
            <w:pPr>
              <w:jc w:val="both"/>
              <w:rPr>
                <w:color w:val="000000"/>
                <w:sz w:val="20"/>
                <w:szCs w:val="20"/>
              </w:rPr>
            </w:pPr>
          </w:p>
        </w:tc>
        <w:tc>
          <w:tcPr>
            <w:tcW w:w="1235" w:type="dxa"/>
            <w:shd w:val="clear" w:color="auto" w:fill="FFFFFF"/>
          </w:tcPr>
          <w:p w14:paraId="5B235EAA" w14:textId="3FD4EA10" w:rsidR="004E1599" w:rsidRPr="006A1A17" w:rsidRDefault="004E1599" w:rsidP="00B51BBA">
            <w:pPr>
              <w:jc w:val="right"/>
              <w:rPr>
                <w:color w:val="000000"/>
                <w:sz w:val="20"/>
                <w:szCs w:val="20"/>
              </w:rPr>
            </w:pPr>
            <w:r w:rsidRPr="006A1A17">
              <w:rPr>
                <w:color w:val="000000"/>
                <w:sz w:val="20"/>
                <w:szCs w:val="20"/>
              </w:rPr>
              <w:t>2</w:t>
            </w:r>
            <w:r w:rsidR="0072466E" w:rsidRPr="006A1A17">
              <w:rPr>
                <w:color w:val="000000"/>
                <w:sz w:val="20"/>
                <w:szCs w:val="20"/>
              </w:rPr>
              <w:t>25</w:t>
            </w:r>
          </w:p>
        </w:tc>
        <w:tc>
          <w:tcPr>
            <w:tcW w:w="1113" w:type="dxa"/>
            <w:shd w:val="clear" w:color="auto" w:fill="FFFFFF"/>
          </w:tcPr>
          <w:p w14:paraId="76F3898E" w14:textId="77777777" w:rsidR="004E1599" w:rsidRPr="006A1A17" w:rsidRDefault="004E1599" w:rsidP="00B51BBA">
            <w:pPr>
              <w:jc w:val="right"/>
              <w:rPr>
                <w:color w:val="000000"/>
                <w:sz w:val="20"/>
                <w:szCs w:val="20"/>
              </w:rPr>
            </w:pPr>
            <w:r w:rsidRPr="006A1A17">
              <w:rPr>
                <w:color w:val="000000"/>
                <w:sz w:val="20"/>
                <w:szCs w:val="20"/>
              </w:rPr>
              <w:t>168</w:t>
            </w:r>
          </w:p>
        </w:tc>
        <w:tc>
          <w:tcPr>
            <w:tcW w:w="1222" w:type="dxa"/>
            <w:gridSpan w:val="3"/>
            <w:shd w:val="clear" w:color="auto" w:fill="auto"/>
          </w:tcPr>
          <w:p w14:paraId="77F0F8B4" w14:textId="77777777" w:rsidR="004E1599" w:rsidRPr="006A1A17" w:rsidRDefault="004E1599" w:rsidP="00B51BBA">
            <w:pPr>
              <w:jc w:val="right"/>
              <w:rPr>
                <w:color w:val="000000"/>
                <w:sz w:val="20"/>
                <w:szCs w:val="20"/>
              </w:rPr>
            </w:pPr>
            <w:r w:rsidRPr="006A1A17">
              <w:rPr>
                <w:color w:val="000000"/>
                <w:sz w:val="20"/>
                <w:szCs w:val="20"/>
              </w:rPr>
              <w:t>95</w:t>
            </w:r>
          </w:p>
        </w:tc>
        <w:tc>
          <w:tcPr>
            <w:tcW w:w="1081" w:type="dxa"/>
            <w:shd w:val="clear" w:color="auto" w:fill="auto"/>
          </w:tcPr>
          <w:p w14:paraId="728215C9" w14:textId="77777777" w:rsidR="004E1599" w:rsidRPr="006A1A17" w:rsidRDefault="004E1599" w:rsidP="00B51BBA">
            <w:pPr>
              <w:jc w:val="right"/>
              <w:rPr>
                <w:color w:val="000000"/>
                <w:sz w:val="20"/>
                <w:szCs w:val="20"/>
              </w:rPr>
            </w:pPr>
            <w:r w:rsidRPr="006A1A17">
              <w:rPr>
                <w:color w:val="000000"/>
                <w:sz w:val="20"/>
                <w:szCs w:val="20"/>
              </w:rPr>
              <w:t>17</w:t>
            </w:r>
          </w:p>
        </w:tc>
        <w:tc>
          <w:tcPr>
            <w:tcW w:w="1261" w:type="dxa"/>
            <w:shd w:val="clear" w:color="auto" w:fill="auto"/>
          </w:tcPr>
          <w:p w14:paraId="038ABEBA" w14:textId="77777777" w:rsidR="004E1599" w:rsidRPr="006A1A17" w:rsidRDefault="004E1599" w:rsidP="00B51BBA">
            <w:pPr>
              <w:jc w:val="right"/>
              <w:rPr>
                <w:color w:val="000000"/>
                <w:sz w:val="20"/>
                <w:szCs w:val="20"/>
              </w:rPr>
            </w:pPr>
            <w:r w:rsidRPr="006A1A17">
              <w:rPr>
                <w:color w:val="000000"/>
                <w:sz w:val="20"/>
                <w:szCs w:val="20"/>
              </w:rPr>
              <w:t>9.4 (23.9)</w:t>
            </w:r>
          </w:p>
        </w:tc>
        <w:tc>
          <w:tcPr>
            <w:tcW w:w="1077" w:type="dxa"/>
            <w:shd w:val="clear" w:color="auto" w:fill="auto"/>
          </w:tcPr>
          <w:p w14:paraId="7CC39F09" w14:textId="77777777" w:rsidR="004E1599" w:rsidRPr="006A1A17" w:rsidRDefault="004E1599" w:rsidP="00B51BBA">
            <w:pPr>
              <w:jc w:val="right"/>
              <w:rPr>
                <w:color w:val="000000"/>
                <w:sz w:val="20"/>
                <w:szCs w:val="20"/>
              </w:rPr>
            </w:pPr>
            <w:r w:rsidRPr="006A1A17">
              <w:rPr>
                <w:color w:val="000000"/>
                <w:sz w:val="20"/>
                <w:szCs w:val="20"/>
              </w:rPr>
              <w:t>7.6 (22.1)</w:t>
            </w:r>
          </w:p>
        </w:tc>
      </w:tr>
      <w:tr w:rsidR="004E1599" w:rsidRPr="003E7DB9" w14:paraId="0AE72FB9" w14:textId="77777777" w:rsidTr="00912F45">
        <w:tc>
          <w:tcPr>
            <w:tcW w:w="2021" w:type="dxa"/>
            <w:shd w:val="clear" w:color="auto" w:fill="FFFFFF"/>
          </w:tcPr>
          <w:p w14:paraId="155AAAB4" w14:textId="77777777" w:rsidR="004E1599" w:rsidRPr="006A1A17" w:rsidRDefault="004E1599" w:rsidP="00B51BBA">
            <w:pPr>
              <w:jc w:val="both"/>
              <w:rPr>
                <w:color w:val="000000"/>
                <w:sz w:val="20"/>
                <w:szCs w:val="20"/>
              </w:rPr>
            </w:pPr>
          </w:p>
        </w:tc>
        <w:tc>
          <w:tcPr>
            <w:tcW w:w="1235" w:type="dxa"/>
            <w:shd w:val="clear" w:color="auto" w:fill="FFFFFF"/>
          </w:tcPr>
          <w:p w14:paraId="525368DF" w14:textId="77777777" w:rsidR="004E1599" w:rsidRPr="006A1A17" w:rsidRDefault="004E1599" w:rsidP="00B51BBA">
            <w:pPr>
              <w:jc w:val="right"/>
              <w:rPr>
                <w:color w:val="000000"/>
                <w:sz w:val="20"/>
                <w:szCs w:val="20"/>
              </w:rPr>
            </w:pPr>
            <w:r w:rsidRPr="006A1A17">
              <w:rPr>
                <w:color w:val="000000"/>
                <w:sz w:val="20"/>
                <w:szCs w:val="20"/>
              </w:rPr>
              <w:t>129</w:t>
            </w:r>
          </w:p>
        </w:tc>
        <w:tc>
          <w:tcPr>
            <w:tcW w:w="1113" w:type="dxa"/>
            <w:shd w:val="clear" w:color="auto" w:fill="BFBFBF"/>
          </w:tcPr>
          <w:p w14:paraId="64EB16AA" w14:textId="77777777" w:rsidR="004E1599" w:rsidRPr="006A1A17" w:rsidRDefault="004E1599" w:rsidP="00B51BBA">
            <w:pPr>
              <w:jc w:val="right"/>
              <w:rPr>
                <w:color w:val="000000"/>
                <w:sz w:val="20"/>
                <w:szCs w:val="20"/>
              </w:rPr>
            </w:pPr>
            <w:r w:rsidRPr="006A1A17">
              <w:rPr>
                <w:color w:val="000000"/>
                <w:sz w:val="20"/>
                <w:szCs w:val="20"/>
              </w:rPr>
              <w:t>68</w:t>
            </w:r>
          </w:p>
        </w:tc>
        <w:tc>
          <w:tcPr>
            <w:tcW w:w="1222" w:type="dxa"/>
            <w:gridSpan w:val="3"/>
            <w:shd w:val="clear" w:color="auto" w:fill="auto"/>
          </w:tcPr>
          <w:p w14:paraId="29D167ED" w14:textId="77777777" w:rsidR="004E1599" w:rsidRPr="006A1A17" w:rsidRDefault="004E1599" w:rsidP="00B51BBA">
            <w:pPr>
              <w:jc w:val="right"/>
              <w:rPr>
                <w:color w:val="000000"/>
                <w:sz w:val="20"/>
                <w:szCs w:val="20"/>
              </w:rPr>
            </w:pPr>
            <w:r w:rsidRPr="006A1A17">
              <w:rPr>
                <w:color w:val="000000"/>
                <w:sz w:val="20"/>
                <w:szCs w:val="20"/>
              </w:rPr>
              <w:t>95</w:t>
            </w:r>
          </w:p>
        </w:tc>
        <w:tc>
          <w:tcPr>
            <w:tcW w:w="1081" w:type="dxa"/>
            <w:shd w:val="clear" w:color="auto" w:fill="auto"/>
          </w:tcPr>
          <w:p w14:paraId="618CC5B7"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7089D66B" w14:textId="77777777" w:rsidR="004E1599" w:rsidRPr="006A1A17" w:rsidRDefault="004E1599" w:rsidP="00B51BBA">
            <w:pPr>
              <w:jc w:val="right"/>
              <w:rPr>
                <w:color w:val="000000"/>
                <w:sz w:val="20"/>
                <w:szCs w:val="20"/>
              </w:rPr>
            </w:pPr>
            <w:r w:rsidRPr="006A1A17">
              <w:rPr>
                <w:color w:val="000000"/>
                <w:sz w:val="20"/>
                <w:szCs w:val="20"/>
              </w:rPr>
              <w:t>6.6 (19.6)</w:t>
            </w:r>
          </w:p>
        </w:tc>
        <w:tc>
          <w:tcPr>
            <w:tcW w:w="1077" w:type="dxa"/>
            <w:shd w:val="clear" w:color="auto" w:fill="auto"/>
          </w:tcPr>
          <w:p w14:paraId="72F3B803" w14:textId="77777777" w:rsidR="004E1599" w:rsidRPr="006A1A17" w:rsidRDefault="004E1599" w:rsidP="00B51BBA">
            <w:pPr>
              <w:jc w:val="right"/>
              <w:rPr>
                <w:color w:val="000000"/>
                <w:sz w:val="20"/>
                <w:szCs w:val="20"/>
              </w:rPr>
            </w:pPr>
            <w:r w:rsidRPr="006A1A17">
              <w:rPr>
                <w:color w:val="000000"/>
                <w:sz w:val="20"/>
                <w:szCs w:val="20"/>
              </w:rPr>
              <w:t>4.0 (17.2)</w:t>
            </w:r>
          </w:p>
        </w:tc>
      </w:tr>
      <w:tr w:rsidR="004E1599" w:rsidRPr="003E7DB9" w14:paraId="37149A38" w14:textId="77777777" w:rsidTr="00912F45">
        <w:tc>
          <w:tcPr>
            <w:tcW w:w="2021" w:type="dxa"/>
            <w:shd w:val="clear" w:color="auto" w:fill="FFFFFF"/>
          </w:tcPr>
          <w:p w14:paraId="621E7D95" w14:textId="77777777" w:rsidR="004E1599" w:rsidRPr="006A1A17" w:rsidRDefault="004E1599" w:rsidP="00B51BBA">
            <w:pPr>
              <w:jc w:val="both"/>
              <w:rPr>
                <w:color w:val="000000"/>
                <w:sz w:val="20"/>
                <w:szCs w:val="20"/>
              </w:rPr>
            </w:pPr>
          </w:p>
        </w:tc>
        <w:tc>
          <w:tcPr>
            <w:tcW w:w="1235" w:type="dxa"/>
            <w:shd w:val="clear" w:color="auto" w:fill="BFBFBF"/>
          </w:tcPr>
          <w:p w14:paraId="46C4B1DE" w14:textId="77777777" w:rsidR="004E1599" w:rsidRPr="006A1A17" w:rsidRDefault="004E1599" w:rsidP="00B51BBA">
            <w:pPr>
              <w:jc w:val="right"/>
              <w:rPr>
                <w:color w:val="000000"/>
                <w:sz w:val="20"/>
                <w:szCs w:val="20"/>
              </w:rPr>
            </w:pPr>
            <w:r w:rsidRPr="006A1A17">
              <w:rPr>
                <w:color w:val="000000"/>
                <w:sz w:val="20"/>
                <w:szCs w:val="20"/>
              </w:rPr>
              <w:t>73</w:t>
            </w:r>
          </w:p>
        </w:tc>
        <w:tc>
          <w:tcPr>
            <w:tcW w:w="1113" w:type="dxa"/>
            <w:shd w:val="clear" w:color="auto" w:fill="FFFFFF"/>
          </w:tcPr>
          <w:p w14:paraId="02E86B57" w14:textId="4090F6F5" w:rsidR="004E1599" w:rsidRPr="006A1A17" w:rsidRDefault="0072466E" w:rsidP="00B51BBA">
            <w:pPr>
              <w:jc w:val="right"/>
              <w:rPr>
                <w:color w:val="000000"/>
                <w:sz w:val="20"/>
                <w:szCs w:val="20"/>
              </w:rPr>
            </w:pPr>
            <w:r w:rsidRPr="006A1A17">
              <w:rPr>
                <w:color w:val="000000"/>
                <w:sz w:val="20"/>
                <w:szCs w:val="20"/>
              </w:rPr>
              <w:t>201</w:t>
            </w:r>
          </w:p>
        </w:tc>
        <w:tc>
          <w:tcPr>
            <w:tcW w:w="1222" w:type="dxa"/>
            <w:gridSpan w:val="3"/>
            <w:shd w:val="clear" w:color="auto" w:fill="auto"/>
          </w:tcPr>
          <w:p w14:paraId="296AAC58"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7C62673C"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661F73A3" w14:textId="77777777" w:rsidR="004E1599" w:rsidRPr="006A1A17" w:rsidRDefault="004E1599" w:rsidP="00B51BBA">
            <w:pPr>
              <w:jc w:val="right"/>
              <w:rPr>
                <w:color w:val="000000"/>
                <w:sz w:val="20"/>
                <w:szCs w:val="20"/>
              </w:rPr>
            </w:pPr>
            <w:r w:rsidRPr="006A1A17">
              <w:rPr>
                <w:color w:val="000000"/>
                <w:sz w:val="20"/>
                <w:szCs w:val="20"/>
              </w:rPr>
              <w:t>4.0 (18.3)</w:t>
            </w:r>
          </w:p>
        </w:tc>
        <w:tc>
          <w:tcPr>
            <w:tcW w:w="1077" w:type="dxa"/>
            <w:shd w:val="clear" w:color="auto" w:fill="auto"/>
          </w:tcPr>
          <w:p w14:paraId="5FA42462" w14:textId="77777777" w:rsidR="004E1599" w:rsidRPr="006A1A17" w:rsidRDefault="004E1599" w:rsidP="00B51BBA">
            <w:pPr>
              <w:jc w:val="right"/>
              <w:rPr>
                <w:color w:val="000000"/>
                <w:sz w:val="20"/>
                <w:szCs w:val="20"/>
              </w:rPr>
            </w:pPr>
            <w:r w:rsidRPr="006A1A17">
              <w:rPr>
                <w:color w:val="000000"/>
                <w:sz w:val="20"/>
                <w:szCs w:val="20"/>
              </w:rPr>
              <w:t>8.5 (23.7)</w:t>
            </w:r>
          </w:p>
        </w:tc>
      </w:tr>
      <w:tr w:rsidR="004E1599" w:rsidRPr="003E7DB9" w14:paraId="51285E8D" w14:textId="77777777" w:rsidTr="00912F45">
        <w:tc>
          <w:tcPr>
            <w:tcW w:w="2021" w:type="dxa"/>
            <w:shd w:val="clear" w:color="auto" w:fill="FFFFFF"/>
          </w:tcPr>
          <w:p w14:paraId="2C6D2F49" w14:textId="77777777" w:rsidR="004E1599" w:rsidRPr="006A1A17" w:rsidRDefault="004E1599" w:rsidP="00B51BBA">
            <w:pPr>
              <w:jc w:val="both"/>
              <w:rPr>
                <w:color w:val="000000"/>
                <w:sz w:val="20"/>
                <w:szCs w:val="20"/>
              </w:rPr>
            </w:pPr>
          </w:p>
        </w:tc>
        <w:tc>
          <w:tcPr>
            <w:tcW w:w="1235" w:type="dxa"/>
            <w:shd w:val="clear" w:color="auto" w:fill="FFFFFF"/>
          </w:tcPr>
          <w:p w14:paraId="73BBCE4C" w14:textId="77777777" w:rsidR="004E1599" w:rsidRPr="006A1A17" w:rsidRDefault="004E1599" w:rsidP="00B51BBA">
            <w:pPr>
              <w:jc w:val="right"/>
              <w:rPr>
                <w:color w:val="000000"/>
                <w:sz w:val="20"/>
                <w:szCs w:val="20"/>
              </w:rPr>
            </w:pPr>
            <w:r w:rsidRPr="006A1A17">
              <w:rPr>
                <w:color w:val="000000"/>
                <w:sz w:val="20"/>
                <w:szCs w:val="20"/>
              </w:rPr>
              <w:t>172</w:t>
            </w:r>
          </w:p>
        </w:tc>
        <w:tc>
          <w:tcPr>
            <w:tcW w:w="1113" w:type="dxa"/>
            <w:shd w:val="clear" w:color="auto" w:fill="BFBFBF"/>
          </w:tcPr>
          <w:p w14:paraId="06E61E18" w14:textId="77777777" w:rsidR="004E1599" w:rsidRPr="006A1A17" w:rsidRDefault="004E1599" w:rsidP="00B51BBA">
            <w:pPr>
              <w:jc w:val="right"/>
              <w:rPr>
                <w:color w:val="000000"/>
                <w:sz w:val="20"/>
                <w:szCs w:val="20"/>
              </w:rPr>
            </w:pPr>
            <w:r w:rsidRPr="006A1A17">
              <w:rPr>
                <w:color w:val="000000"/>
                <w:sz w:val="20"/>
                <w:szCs w:val="20"/>
              </w:rPr>
              <w:t>41</w:t>
            </w:r>
          </w:p>
        </w:tc>
        <w:tc>
          <w:tcPr>
            <w:tcW w:w="1222" w:type="dxa"/>
            <w:gridSpan w:val="3"/>
            <w:shd w:val="clear" w:color="auto" w:fill="auto"/>
          </w:tcPr>
          <w:p w14:paraId="451D2229"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09B45584"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66415B87" w14:textId="77777777" w:rsidR="004E1599" w:rsidRPr="006A1A17" w:rsidRDefault="004E1599" w:rsidP="00B51BBA">
            <w:pPr>
              <w:jc w:val="right"/>
              <w:rPr>
                <w:color w:val="000000"/>
                <w:sz w:val="20"/>
                <w:szCs w:val="20"/>
              </w:rPr>
            </w:pPr>
            <w:r w:rsidRPr="006A1A17">
              <w:rPr>
                <w:color w:val="000000"/>
                <w:sz w:val="20"/>
                <w:szCs w:val="20"/>
              </w:rPr>
              <w:t>8.0 (21.5)</w:t>
            </w:r>
          </w:p>
        </w:tc>
        <w:tc>
          <w:tcPr>
            <w:tcW w:w="1077" w:type="dxa"/>
            <w:shd w:val="clear" w:color="auto" w:fill="auto"/>
          </w:tcPr>
          <w:p w14:paraId="74613B2F" w14:textId="77777777" w:rsidR="004E1599" w:rsidRPr="006A1A17" w:rsidRDefault="004E1599" w:rsidP="00B51BBA">
            <w:pPr>
              <w:jc w:val="right"/>
              <w:rPr>
                <w:color w:val="000000"/>
                <w:sz w:val="20"/>
                <w:szCs w:val="20"/>
              </w:rPr>
            </w:pPr>
            <w:r w:rsidRPr="006A1A17">
              <w:rPr>
                <w:color w:val="000000"/>
                <w:sz w:val="20"/>
                <w:szCs w:val="20"/>
              </w:rPr>
              <w:t>3.0 (13.7)</w:t>
            </w:r>
          </w:p>
        </w:tc>
      </w:tr>
      <w:tr w:rsidR="004E1599" w:rsidRPr="003E7DB9" w14:paraId="50261EE1" w14:textId="77777777" w:rsidTr="00912F45">
        <w:tc>
          <w:tcPr>
            <w:tcW w:w="2021" w:type="dxa"/>
            <w:shd w:val="clear" w:color="auto" w:fill="FFFFFF"/>
          </w:tcPr>
          <w:p w14:paraId="14C03765" w14:textId="77777777" w:rsidR="004E1599" w:rsidRPr="006A1A17" w:rsidRDefault="004E1599" w:rsidP="00B51BBA">
            <w:pPr>
              <w:jc w:val="both"/>
              <w:rPr>
                <w:color w:val="000000"/>
                <w:sz w:val="20"/>
                <w:szCs w:val="20"/>
              </w:rPr>
            </w:pPr>
          </w:p>
        </w:tc>
        <w:tc>
          <w:tcPr>
            <w:tcW w:w="1235" w:type="dxa"/>
            <w:shd w:val="clear" w:color="auto" w:fill="FFFFFF"/>
          </w:tcPr>
          <w:p w14:paraId="2D19CDF2" w14:textId="77777777" w:rsidR="004E1599" w:rsidRPr="006A1A17" w:rsidRDefault="004E1599" w:rsidP="00B51BBA">
            <w:pPr>
              <w:jc w:val="right"/>
              <w:rPr>
                <w:color w:val="000000"/>
                <w:sz w:val="20"/>
                <w:szCs w:val="20"/>
              </w:rPr>
            </w:pPr>
            <w:r w:rsidRPr="006A1A17">
              <w:rPr>
                <w:color w:val="000000"/>
                <w:sz w:val="20"/>
                <w:szCs w:val="20"/>
              </w:rPr>
              <w:t>113</w:t>
            </w:r>
          </w:p>
        </w:tc>
        <w:tc>
          <w:tcPr>
            <w:tcW w:w="1113" w:type="dxa"/>
            <w:shd w:val="clear" w:color="auto" w:fill="BFBFBF"/>
          </w:tcPr>
          <w:p w14:paraId="51FE95DA" w14:textId="77777777" w:rsidR="004E1599" w:rsidRPr="006A1A17" w:rsidRDefault="004E1599" w:rsidP="00B51BBA">
            <w:pPr>
              <w:jc w:val="right"/>
              <w:rPr>
                <w:color w:val="000000"/>
                <w:sz w:val="20"/>
                <w:szCs w:val="20"/>
              </w:rPr>
            </w:pPr>
            <w:r w:rsidRPr="006A1A17">
              <w:rPr>
                <w:color w:val="000000"/>
                <w:sz w:val="20"/>
                <w:szCs w:val="20"/>
              </w:rPr>
              <w:t>46</w:t>
            </w:r>
          </w:p>
        </w:tc>
        <w:tc>
          <w:tcPr>
            <w:tcW w:w="1222" w:type="dxa"/>
            <w:gridSpan w:val="3"/>
            <w:shd w:val="clear" w:color="auto" w:fill="auto"/>
          </w:tcPr>
          <w:p w14:paraId="2EC7BD57" w14:textId="77777777" w:rsidR="004E1599" w:rsidRPr="006A1A17" w:rsidRDefault="004E1599" w:rsidP="00B51BBA">
            <w:pPr>
              <w:jc w:val="right"/>
              <w:rPr>
                <w:color w:val="000000"/>
                <w:sz w:val="20"/>
                <w:szCs w:val="20"/>
              </w:rPr>
            </w:pPr>
            <w:r w:rsidRPr="006A1A17">
              <w:rPr>
                <w:color w:val="000000"/>
                <w:sz w:val="20"/>
                <w:szCs w:val="20"/>
              </w:rPr>
              <w:t>100</w:t>
            </w:r>
          </w:p>
        </w:tc>
        <w:tc>
          <w:tcPr>
            <w:tcW w:w="1081" w:type="dxa"/>
            <w:shd w:val="clear" w:color="auto" w:fill="auto"/>
          </w:tcPr>
          <w:p w14:paraId="3FB770B9"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7B6C32EF" w14:textId="379FDADC" w:rsidR="004E1599" w:rsidRPr="006A1A17" w:rsidRDefault="004E1599" w:rsidP="00B51BBA">
            <w:pPr>
              <w:jc w:val="right"/>
              <w:rPr>
                <w:color w:val="000000"/>
                <w:sz w:val="20"/>
                <w:szCs w:val="20"/>
              </w:rPr>
            </w:pPr>
            <w:r w:rsidRPr="006A1A17">
              <w:rPr>
                <w:color w:val="000000"/>
                <w:sz w:val="20"/>
                <w:szCs w:val="20"/>
              </w:rPr>
              <w:t>5.</w:t>
            </w:r>
            <w:r w:rsidR="007A5A15" w:rsidRPr="006A1A17">
              <w:rPr>
                <w:color w:val="000000"/>
                <w:sz w:val="20"/>
                <w:szCs w:val="20"/>
              </w:rPr>
              <w:t>2</w:t>
            </w:r>
            <w:r w:rsidRPr="006A1A17">
              <w:rPr>
                <w:color w:val="000000"/>
                <w:sz w:val="20"/>
                <w:szCs w:val="20"/>
              </w:rPr>
              <w:t xml:space="preserve"> (2</w:t>
            </w:r>
            <w:r w:rsidR="007A5A15" w:rsidRPr="006A1A17">
              <w:rPr>
                <w:color w:val="000000"/>
                <w:sz w:val="20"/>
                <w:szCs w:val="20"/>
              </w:rPr>
              <w:t>1.7</w:t>
            </w:r>
            <w:r w:rsidRPr="006A1A17">
              <w:rPr>
                <w:color w:val="000000"/>
                <w:sz w:val="20"/>
                <w:szCs w:val="20"/>
              </w:rPr>
              <w:t>)</w:t>
            </w:r>
          </w:p>
        </w:tc>
        <w:tc>
          <w:tcPr>
            <w:tcW w:w="1077" w:type="dxa"/>
            <w:shd w:val="clear" w:color="auto" w:fill="auto"/>
          </w:tcPr>
          <w:p w14:paraId="00EAF0D7" w14:textId="77777777" w:rsidR="004E1599" w:rsidRPr="006A1A17" w:rsidRDefault="004E1599" w:rsidP="00B51BBA">
            <w:pPr>
              <w:jc w:val="right"/>
              <w:rPr>
                <w:color w:val="000000"/>
                <w:sz w:val="20"/>
                <w:szCs w:val="20"/>
              </w:rPr>
            </w:pPr>
            <w:r w:rsidRPr="006A1A17">
              <w:rPr>
                <w:color w:val="000000"/>
                <w:sz w:val="20"/>
                <w:szCs w:val="20"/>
              </w:rPr>
              <w:t>3.6 (12.8)</w:t>
            </w:r>
          </w:p>
        </w:tc>
      </w:tr>
      <w:tr w:rsidR="004E1599" w:rsidRPr="003E7DB9" w14:paraId="5E732BDE" w14:textId="77777777" w:rsidTr="00912F45">
        <w:tc>
          <w:tcPr>
            <w:tcW w:w="2021" w:type="dxa"/>
            <w:shd w:val="clear" w:color="auto" w:fill="FFFFFF"/>
          </w:tcPr>
          <w:p w14:paraId="617B6F1C" w14:textId="77777777" w:rsidR="004E1599" w:rsidRPr="006A1A17" w:rsidRDefault="004E1599" w:rsidP="00B51BBA">
            <w:pPr>
              <w:jc w:val="both"/>
              <w:rPr>
                <w:color w:val="000000"/>
                <w:sz w:val="20"/>
                <w:szCs w:val="20"/>
              </w:rPr>
            </w:pPr>
          </w:p>
        </w:tc>
        <w:tc>
          <w:tcPr>
            <w:tcW w:w="1235" w:type="dxa"/>
            <w:shd w:val="clear" w:color="auto" w:fill="FFFFFF"/>
          </w:tcPr>
          <w:p w14:paraId="57627484" w14:textId="77777777" w:rsidR="004E1599" w:rsidRPr="006A1A17" w:rsidRDefault="004E1599" w:rsidP="00B51BBA">
            <w:pPr>
              <w:jc w:val="right"/>
              <w:rPr>
                <w:color w:val="000000"/>
                <w:sz w:val="20"/>
                <w:szCs w:val="20"/>
              </w:rPr>
            </w:pPr>
            <w:r w:rsidRPr="006A1A17">
              <w:rPr>
                <w:color w:val="000000"/>
                <w:sz w:val="20"/>
                <w:szCs w:val="20"/>
              </w:rPr>
              <w:t>136</w:t>
            </w:r>
          </w:p>
        </w:tc>
        <w:tc>
          <w:tcPr>
            <w:tcW w:w="1113" w:type="dxa"/>
            <w:shd w:val="clear" w:color="auto" w:fill="BFBFBF" w:themeFill="background1" w:themeFillShade="BF"/>
          </w:tcPr>
          <w:p w14:paraId="771CC2A4" w14:textId="1AF1CFA4" w:rsidR="004E1599" w:rsidRPr="006A1A17" w:rsidRDefault="004E1599" w:rsidP="00B51BBA">
            <w:pPr>
              <w:jc w:val="right"/>
              <w:rPr>
                <w:color w:val="000000"/>
                <w:sz w:val="20"/>
                <w:szCs w:val="20"/>
              </w:rPr>
            </w:pPr>
            <w:r w:rsidRPr="006A1A17">
              <w:rPr>
                <w:color w:val="000000"/>
                <w:sz w:val="20"/>
                <w:szCs w:val="20"/>
              </w:rPr>
              <w:t>10</w:t>
            </w:r>
            <w:r w:rsidR="0072466E" w:rsidRPr="006A1A17">
              <w:rPr>
                <w:color w:val="000000"/>
                <w:sz w:val="20"/>
                <w:szCs w:val="20"/>
              </w:rPr>
              <w:t>2</w:t>
            </w:r>
          </w:p>
        </w:tc>
        <w:tc>
          <w:tcPr>
            <w:tcW w:w="1222" w:type="dxa"/>
            <w:gridSpan w:val="3"/>
            <w:shd w:val="clear" w:color="auto" w:fill="auto"/>
          </w:tcPr>
          <w:p w14:paraId="256413DA"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0B5A58DB"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240F880D" w14:textId="77777777" w:rsidR="004E1599" w:rsidRPr="006A1A17" w:rsidRDefault="004E1599" w:rsidP="00B51BBA">
            <w:pPr>
              <w:jc w:val="right"/>
              <w:rPr>
                <w:color w:val="000000"/>
                <w:sz w:val="20"/>
                <w:szCs w:val="20"/>
              </w:rPr>
            </w:pPr>
            <w:r w:rsidRPr="006A1A17">
              <w:rPr>
                <w:color w:val="000000"/>
                <w:sz w:val="20"/>
                <w:szCs w:val="20"/>
              </w:rPr>
              <w:t>6.0 (22.7)</w:t>
            </w:r>
          </w:p>
        </w:tc>
        <w:tc>
          <w:tcPr>
            <w:tcW w:w="1077" w:type="dxa"/>
            <w:shd w:val="clear" w:color="auto" w:fill="auto"/>
          </w:tcPr>
          <w:p w14:paraId="02E320EF" w14:textId="77777777" w:rsidR="004E1599" w:rsidRPr="006A1A17" w:rsidRDefault="004E1599" w:rsidP="00B51BBA">
            <w:pPr>
              <w:jc w:val="right"/>
              <w:rPr>
                <w:color w:val="000000"/>
                <w:sz w:val="20"/>
                <w:szCs w:val="20"/>
              </w:rPr>
            </w:pPr>
            <w:r w:rsidRPr="006A1A17">
              <w:rPr>
                <w:color w:val="000000"/>
                <w:sz w:val="20"/>
                <w:szCs w:val="20"/>
              </w:rPr>
              <w:t>5.0 (20.4)</w:t>
            </w:r>
          </w:p>
        </w:tc>
      </w:tr>
      <w:tr w:rsidR="004E1599" w:rsidRPr="003E7DB9" w14:paraId="26AFFA0E" w14:textId="77777777" w:rsidTr="00912F45">
        <w:tc>
          <w:tcPr>
            <w:tcW w:w="2021" w:type="dxa"/>
            <w:shd w:val="clear" w:color="auto" w:fill="FFFFFF"/>
          </w:tcPr>
          <w:p w14:paraId="0366C297" w14:textId="77777777" w:rsidR="004E1599" w:rsidRPr="006A1A17" w:rsidRDefault="004E1599" w:rsidP="00B51BBA">
            <w:pPr>
              <w:jc w:val="both"/>
              <w:rPr>
                <w:color w:val="000000"/>
                <w:sz w:val="20"/>
                <w:szCs w:val="20"/>
              </w:rPr>
            </w:pPr>
            <w:r w:rsidRPr="006A1A17">
              <w:rPr>
                <w:color w:val="000000"/>
                <w:sz w:val="20"/>
                <w:szCs w:val="20"/>
              </w:rPr>
              <w:t>Tyrone</w:t>
            </w:r>
          </w:p>
        </w:tc>
        <w:tc>
          <w:tcPr>
            <w:tcW w:w="1235" w:type="dxa"/>
            <w:shd w:val="clear" w:color="auto" w:fill="BFBFBF"/>
          </w:tcPr>
          <w:p w14:paraId="1843C44B" w14:textId="77777777" w:rsidR="004E1599" w:rsidRPr="006A1A17" w:rsidRDefault="004E1599" w:rsidP="00B51BBA">
            <w:pPr>
              <w:jc w:val="right"/>
              <w:rPr>
                <w:color w:val="000000"/>
                <w:sz w:val="20"/>
                <w:szCs w:val="20"/>
              </w:rPr>
            </w:pPr>
            <w:r w:rsidRPr="006A1A17">
              <w:rPr>
                <w:color w:val="000000"/>
                <w:sz w:val="20"/>
                <w:szCs w:val="20"/>
              </w:rPr>
              <w:t>92</w:t>
            </w:r>
          </w:p>
        </w:tc>
        <w:tc>
          <w:tcPr>
            <w:tcW w:w="1113" w:type="dxa"/>
            <w:shd w:val="clear" w:color="auto" w:fill="FFFFFF"/>
          </w:tcPr>
          <w:p w14:paraId="7ACE35E1" w14:textId="77777777" w:rsidR="004E1599" w:rsidRPr="006A1A17" w:rsidRDefault="004E1599" w:rsidP="00B51BBA">
            <w:pPr>
              <w:jc w:val="right"/>
              <w:rPr>
                <w:color w:val="000000"/>
                <w:sz w:val="20"/>
                <w:szCs w:val="20"/>
              </w:rPr>
            </w:pPr>
            <w:r w:rsidRPr="006A1A17">
              <w:rPr>
                <w:color w:val="000000"/>
                <w:sz w:val="20"/>
                <w:szCs w:val="20"/>
              </w:rPr>
              <w:t>145</w:t>
            </w:r>
          </w:p>
        </w:tc>
        <w:tc>
          <w:tcPr>
            <w:tcW w:w="1222" w:type="dxa"/>
            <w:gridSpan w:val="3"/>
            <w:shd w:val="clear" w:color="auto" w:fill="auto"/>
          </w:tcPr>
          <w:p w14:paraId="53F5E143" w14:textId="77777777" w:rsidR="004E1599" w:rsidRPr="006A1A17" w:rsidRDefault="004E1599" w:rsidP="00B51BBA">
            <w:pPr>
              <w:jc w:val="right"/>
              <w:rPr>
                <w:color w:val="000000"/>
                <w:sz w:val="20"/>
                <w:szCs w:val="20"/>
              </w:rPr>
            </w:pPr>
            <w:r w:rsidRPr="006A1A17">
              <w:rPr>
                <w:color w:val="000000"/>
                <w:sz w:val="20"/>
                <w:szCs w:val="20"/>
              </w:rPr>
              <w:t>94</w:t>
            </w:r>
          </w:p>
        </w:tc>
        <w:tc>
          <w:tcPr>
            <w:tcW w:w="1081" w:type="dxa"/>
            <w:shd w:val="clear" w:color="auto" w:fill="auto"/>
          </w:tcPr>
          <w:p w14:paraId="1ACFB02B"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2CA61985" w14:textId="77777777" w:rsidR="004E1599" w:rsidRPr="006A1A17" w:rsidRDefault="004E1599" w:rsidP="00B51BBA">
            <w:pPr>
              <w:jc w:val="right"/>
              <w:rPr>
                <w:color w:val="000000"/>
                <w:sz w:val="20"/>
                <w:szCs w:val="20"/>
              </w:rPr>
            </w:pPr>
            <w:r w:rsidRPr="006A1A17">
              <w:rPr>
                <w:color w:val="000000"/>
                <w:sz w:val="20"/>
                <w:szCs w:val="20"/>
              </w:rPr>
              <w:t>5.0 (18.4)</w:t>
            </w:r>
          </w:p>
        </w:tc>
        <w:tc>
          <w:tcPr>
            <w:tcW w:w="1077" w:type="dxa"/>
            <w:shd w:val="clear" w:color="auto" w:fill="auto"/>
          </w:tcPr>
          <w:p w14:paraId="7B2DCA1F" w14:textId="77777777" w:rsidR="004E1599" w:rsidRPr="006A1A17" w:rsidRDefault="004E1599" w:rsidP="00B51BBA">
            <w:pPr>
              <w:jc w:val="right"/>
              <w:rPr>
                <w:color w:val="000000"/>
                <w:sz w:val="20"/>
                <w:szCs w:val="20"/>
              </w:rPr>
            </w:pPr>
            <w:r w:rsidRPr="006A1A17">
              <w:rPr>
                <w:color w:val="000000"/>
                <w:sz w:val="20"/>
                <w:szCs w:val="20"/>
              </w:rPr>
              <w:t>6.4 (22.7)</w:t>
            </w:r>
          </w:p>
        </w:tc>
      </w:tr>
      <w:tr w:rsidR="004E1599" w:rsidRPr="003E7DB9" w14:paraId="481707D2" w14:textId="77777777" w:rsidTr="00912F45">
        <w:tc>
          <w:tcPr>
            <w:tcW w:w="2021" w:type="dxa"/>
            <w:shd w:val="clear" w:color="auto" w:fill="FFFFFF"/>
          </w:tcPr>
          <w:p w14:paraId="4818A90D" w14:textId="77777777" w:rsidR="004E1599" w:rsidRPr="006A1A17" w:rsidRDefault="004E1599" w:rsidP="00B51BBA">
            <w:pPr>
              <w:jc w:val="both"/>
              <w:rPr>
                <w:color w:val="000000"/>
                <w:sz w:val="20"/>
                <w:szCs w:val="20"/>
              </w:rPr>
            </w:pPr>
          </w:p>
        </w:tc>
        <w:tc>
          <w:tcPr>
            <w:tcW w:w="1235" w:type="dxa"/>
            <w:shd w:val="clear" w:color="auto" w:fill="FFFFFF"/>
          </w:tcPr>
          <w:p w14:paraId="751A39E0" w14:textId="77777777" w:rsidR="004E1599" w:rsidRPr="006A1A17" w:rsidRDefault="004E1599" w:rsidP="00B51BBA">
            <w:pPr>
              <w:jc w:val="right"/>
              <w:rPr>
                <w:color w:val="000000"/>
                <w:sz w:val="20"/>
                <w:szCs w:val="20"/>
              </w:rPr>
            </w:pPr>
            <w:r w:rsidRPr="006A1A17">
              <w:rPr>
                <w:color w:val="000000"/>
                <w:sz w:val="20"/>
                <w:szCs w:val="20"/>
              </w:rPr>
              <w:t>118</w:t>
            </w:r>
          </w:p>
        </w:tc>
        <w:tc>
          <w:tcPr>
            <w:tcW w:w="1113" w:type="dxa"/>
            <w:shd w:val="clear" w:color="auto" w:fill="BFBFBF"/>
          </w:tcPr>
          <w:p w14:paraId="0A2B44A2" w14:textId="77777777" w:rsidR="004E1599" w:rsidRPr="006A1A17" w:rsidRDefault="004E1599" w:rsidP="00B51BBA">
            <w:pPr>
              <w:jc w:val="right"/>
              <w:rPr>
                <w:color w:val="000000"/>
                <w:sz w:val="20"/>
                <w:szCs w:val="20"/>
              </w:rPr>
            </w:pPr>
            <w:r w:rsidRPr="006A1A17">
              <w:rPr>
                <w:color w:val="000000"/>
                <w:sz w:val="20"/>
                <w:szCs w:val="20"/>
              </w:rPr>
              <w:t>35</w:t>
            </w:r>
          </w:p>
        </w:tc>
        <w:tc>
          <w:tcPr>
            <w:tcW w:w="1222" w:type="dxa"/>
            <w:gridSpan w:val="3"/>
            <w:shd w:val="clear" w:color="auto" w:fill="auto"/>
          </w:tcPr>
          <w:p w14:paraId="38F4B0E0" w14:textId="77777777" w:rsidR="004E1599" w:rsidRPr="006A1A17" w:rsidRDefault="004E1599" w:rsidP="00B51BBA">
            <w:pPr>
              <w:jc w:val="right"/>
              <w:rPr>
                <w:color w:val="000000"/>
                <w:sz w:val="20"/>
                <w:szCs w:val="20"/>
              </w:rPr>
            </w:pPr>
            <w:r w:rsidRPr="006A1A17">
              <w:rPr>
                <w:color w:val="000000"/>
                <w:sz w:val="20"/>
                <w:szCs w:val="20"/>
              </w:rPr>
              <w:t>100</w:t>
            </w:r>
          </w:p>
        </w:tc>
        <w:tc>
          <w:tcPr>
            <w:tcW w:w="1081" w:type="dxa"/>
            <w:shd w:val="clear" w:color="auto" w:fill="auto"/>
          </w:tcPr>
          <w:p w14:paraId="1E3259CB"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0CAB811D" w14:textId="77777777" w:rsidR="004E1599" w:rsidRPr="006A1A17" w:rsidRDefault="004E1599" w:rsidP="00B51BBA">
            <w:pPr>
              <w:jc w:val="right"/>
              <w:rPr>
                <w:color w:val="000000"/>
                <w:sz w:val="20"/>
                <w:szCs w:val="20"/>
              </w:rPr>
            </w:pPr>
            <w:r w:rsidRPr="006A1A17">
              <w:rPr>
                <w:color w:val="000000"/>
                <w:sz w:val="20"/>
                <w:szCs w:val="20"/>
              </w:rPr>
              <w:t>4.8 (24.5)</w:t>
            </w:r>
          </w:p>
        </w:tc>
        <w:tc>
          <w:tcPr>
            <w:tcW w:w="1077" w:type="dxa"/>
            <w:shd w:val="clear" w:color="auto" w:fill="auto"/>
          </w:tcPr>
          <w:p w14:paraId="2A84EA23" w14:textId="77777777" w:rsidR="004E1599" w:rsidRPr="006A1A17" w:rsidRDefault="004E1599" w:rsidP="00B51BBA">
            <w:pPr>
              <w:jc w:val="right"/>
              <w:rPr>
                <w:color w:val="000000"/>
                <w:sz w:val="20"/>
                <w:szCs w:val="20"/>
              </w:rPr>
            </w:pPr>
            <w:r w:rsidRPr="006A1A17">
              <w:rPr>
                <w:color w:val="000000"/>
                <w:sz w:val="20"/>
                <w:szCs w:val="20"/>
              </w:rPr>
              <w:t>2.3 (15.2)</w:t>
            </w:r>
          </w:p>
        </w:tc>
      </w:tr>
      <w:tr w:rsidR="004E1599" w:rsidRPr="003E7DB9" w14:paraId="65A2BE24" w14:textId="77777777" w:rsidTr="00912F45">
        <w:tc>
          <w:tcPr>
            <w:tcW w:w="2021" w:type="dxa"/>
            <w:shd w:val="clear" w:color="auto" w:fill="FFFFFF"/>
          </w:tcPr>
          <w:p w14:paraId="3693EB97" w14:textId="77777777" w:rsidR="004E1599" w:rsidRPr="006A1A17" w:rsidRDefault="004E1599" w:rsidP="00B51BBA">
            <w:pPr>
              <w:jc w:val="both"/>
              <w:rPr>
                <w:color w:val="000000"/>
                <w:sz w:val="20"/>
                <w:szCs w:val="20"/>
              </w:rPr>
            </w:pPr>
          </w:p>
        </w:tc>
        <w:tc>
          <w:tcPr>
            <w:tcW w:w="1235" w:type="dxa"/>
            <w:shd w:val="clear" w:color="auto" w:fill="BFBFBF"/>
          </w:tcPr>
          <w:p w14:paraId="63C1D3B3" w14:textId="77777777" w:rsidR="004E1599" w:rsidRPr="006A1A17" w:rsidRDefault="004E1599" w:rsidP="00B51BBA">
            <w:pPr>
              <w:jc w:val="right"/>
              <w:rPr>
                <w:color w:val="000000"/>
                <w:sz w:val="20"/>
                <w:szCs w:val="20"/>
              </w:rPr>
            </w:pPr>
            <w:r w:rsidRPr="006A1A17">
              <w:rPr>
                <w:color w:val="000000"/>
                <w:sz w:val="20"/>
                <w:szCs w:val="20"/>
              </w:rPr>
              <w:t>34</w:t>
            </w:r>
          </w:p>
        </w:tc>
        <w:tc>
          <w:tcPr>
            <w:tcW w:w="1113" w:type="dxa"/>
            <w:shd w:val="clear" w:color="auto" w:fill="FFFFFF"/>
          </w:tcPr>
          <w:p w14:paraId="1DE35DAF" w14:textId="77777777" w:rsidR="004E1599" w:rsidRPr="006A1A17" w:rsidRDefault="004E1599" w:rsidP="00B51BBA">
            <w:pPr>
              <w:jc w:val="right"/>
              <w:rPr>
                <w:color w:val="000000"/>
                <w:sz w:val="20"/>
                <w:szCs w:val="20"/>
              </w:rPr>
            </w:pPr>
            <w:r w:rsidRPr="006A1A17">
              <w:rPr>
                <w:color w:val="000000"/>
                <w:sz w:val="20"/>
                <w:szCs w:val="20"/>
              </w:rPr>
              <w:t>110</w:t>
            </w:r>
          </w:p>
        </w:tc>
        <w:tc>
          <w:tcPr>
            <w:tcW w:w="1222" w:type="dxa"/>
            <w:gridSpan w:val="3"/>
            <w:shd w:val="clear" w:color="auto" w:fill="auto"/>
          </w:tcPr>
          <w:p w14:paraId="368DCC61" w14:textId="77777777" w:rsidR="004E1599" w:rsidRPr="006A1A17" w:rsidRDefault="004E1599" w:rsidP="00B51BBA">
            <w:pPr>
              <w:jc w:val="right"/>
              <w:rPr>
                <w:color w:val="000000"/>
                <w:sz w:val="20"/>
                <w:szCs w:val="20"/>
              </w:rPr>
            </w:pPr>
            <w:r w:rsidRPr="006A1A17">
              <w:rPr>
                <w:color w:val="000000"/>
                <w:sz w:val="20"/>
                <w:szCs w:val="20"/>
              </w:rPr>
              <w:t>100</w:t>
            </w:r>
          </w:p>
        </w:tc>
        <w:tc>
          <w:tcPr>
            <w:tcW w:w="1081" w:type="dxa"/>
            <w:shd w:val="clear" w:color="auto" w:fill="auto"/>
          </w:tcPr>
          <w:p w14:paraId="78E67BDA"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3D2A5980" w14:textId="77777777" w:rsidR="004E1599" w:rsidRPr="006A1A17" w:rsidRDefault="004E1599" w:rsidP="00B51BBA">
            <w:pPr>
              <w:jc w:val="right"/>
              <w:rPr>
                <w:color w:val="000000"/>
                <w:sz w:val="20"/>
                <w:szCs w:val="20"/>
              </w:rPr>
            </w:pPr>
            <w:r w:rsidRPr="006A1A17">
              <w:rPr>
                <w:color w:val="000000"/>
                <w:sz w:val="20"/>
                <w:szCs w:val="20"/>
              </w:rPr>
              <w:t>2.4 (14.2)</w:t>
            </w:r>
          </w:p>
        </w:tc>
        <w:tc>
          <w:tcPr>
            <w:tcW w:w="1077" w:type="dxa"/>
            <w:shd w:val="clear" w:color="auto" w:fill="auto"/>
          </w:tcPr>
          <w:p w14:paraId="1CB84E5B" w14:textId="77777777" w:rsidR="004E1599" w:rsidRPr="006A1A17" w:rsidRDefault="004E1599" w:rsidP="00B51BBA">
            <w:pPr>
              <w:jc w:val="right"/>
              <w:rPr>
                <w:color w:val="000000"/>
                <w:sz w:val="20"/>
                <w:szCs w:val="20"/>
              </w:rPr>
            </w:pPr>
            <w:r w:rsidRPr="006A1A17">
              <w:rPr>
                <w:color w:val="000000"/>
                <w:sz w:val="20"/>
                <w:szCs w:val="20"/>
              </w:rPr>
              <w:t>6.6 (16.7)</w:t>
            </w:r>
          </w:p>
        </w:tc>
      </w:tr>
      <w:tr w:rsidR="004E1599" w:rsidRPr="003E7DB9" w14:paraId="0AD4D114" w14:textId="77777777" w:rsidTr="00912F45">
        <w:tc>
          <w:tcPr>
            <w:tcW w:w="2021" w:type="dxa"/>
            <w:shd w:val="clear" w:color="auto" w:fill="FFFFFF"/>
          </w:tcPr>
          <w:p w14:paraId="2F65570D" w14:textId="77777777" w:rsidR="004E1599" w:rsidRPr="006A1A17" w:rsidRDefault="004E1599" w:rsidP="00B51BBA">
            <w:pPr>
              <w:jc w:val="both"/>
              <w:rPr>
                <w:color w:val="000000"/>
                <w:sz w:val="20"/>
                <w:szCs w:val="20"/>
              </w:rPr>
            </w:pPr>
          </w:p>
        </w:tc>
        <w:tc>
          <w:tcPr>
            <w:tcW w:w="1235" w:type="dxa"/>
            <w:shd w:val="clear" w:color="auto" w:fill="BFBFBF"/>
          </w:tcPr>
          <w:p w14:paraId="5DC95DBF" w14:textId="77777777" w:rsidR="004E1599" w:rsidRPr="006A1A17" w:rsidRDefault="004E1599" w:rsidP="00B51BBA">
            <w:pPr>
              <w:jc w:val="right"/>
              <w:rPr>
                <w:color w:val="000000"/>
                <w:sz w:val="20"/>
                <w:szCs w:val="20"/>
              </w:rPr>
            </w:pPr>
            <w:r w:rsidRPr="006A1A17">
              <w:rPr>
                <w:color w:val="000000"/>
                <w:sz w:val="20"/>
                <w:szCs w:val="20"/>
              </w:rPr>
              <w:t>28</w:t>
            </w:r>
          </w:p>
        </w:tc>
        <w:tc>
          <w:tcPr>
            <w:tcW w:w="1113" w:type="dxa"/>
            <w:shd w:val="clear" w:color="auto" w:fill="FFFFFF"/>
          </w:tcPr>
          <w:p w14:paraId="111E41EE" w14:textId="77777777" w:rsidR="004E1599" w:rsidRPr="006A1A17" w:rsidRDefault="004E1599" w:rsidP="00B51BBA">
            <w:pPr>
              <w:jc w:val="right"/>
              <w:rPr>
                <w:color w:val="000000"/>
                <w:sz w:val="20"/>
                <w:szCs w:val="20"/>
              </w:rPr>
            </w:pPr>
            <w:r w:rsidRPr="006A1A17">
              <w:rPr>
                <w:color w:val="000000"/>
                <w:sz w:val="20"/>
                <w:szCs w:val="20"/>
              </w:rPr>
              <w:t>187</w:t>
            </w:r>
          </w:p>
        </w:tc>
        <w:tc>
          <w:tcPr>
            <w:tcW w:w="1222" w:type="dxa"/>
            <w:gridSpan w:val="3"/>
            <w:shd w:val="clear" w:color="auto" w:fill="auto"/>
          </w:tcPr>
          <w:p w14:paraId="50D3FD42"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6FA7B6D9" w14:textId="77777777" w:rsidR="004E1599" w:rsidRPr="006A1A17" w:rsidRDefault="004E1599" w:rsidP="00B51BBA">
            <w:pPr>
              <w:jc w:val="right"/>
              <w:rPr>
                <w:color w:val="000000"/>
                <w:sz w:val="20"/>
                <w:szCs w:val="20"/>
              </w:rPr>
            </w:pPr>
            <w:r w:rsidRPr="006A1A17">
              <w:rPr>
                <w:color w:val="000000"/>
                <w:sz w:val="20"/>
                <w:szCs w:val="20"/>
              </w:rPr>
              <w:t>9</w:t>
            </w:r>
          </w:p>
        </w:tc>
        <w:tc>
          <w:tcPr>
            <w:tcW w:w="1261" w:type="dxa"/>
            <w:shd w:val="clear" w:color="auto" w:fill="auto"/>
          </w:tcPr>
          <w:p w14:paraId="101E95ED" w14:textId="77777777" w:rsidR="004E1599" w:rsidRPr="006A1A17" w:rsidRDefault="004E1599" w:rsidP="00B51BBA">
            <w:pPr>
              <w:jc w:val="right"/>
              <w:rPr>
                <w:color w:val="000000"/>
                <w:sz w:val="20"/>
                <w:szCs w:val="20"/>
              </w:rPr>
            </w:pPr>
            <w:r w:rsidRPr="006A1A17">
              <w:rPr>
                <w:color w:val="000000"/>
                <w:sz w:val="20"/>
                <w:szCs w:val="20"/>
              </w:rPr>
              <w:t>3.4</w:t>
            </w:r>
            <w:proofErr w:type="gramStart"/>
            <w:r w:rsidRPr="006A1A17">
              <w:rPr>
                <w:color w:val="000000"/>
                <w:sz w:val="20"/>
                <w:szCs w:val="20"/>
              </w:rPr>
              <w:t xml:space="preserve">   (</w:t>
            </w:r>
            <w:proofErr w:type="gramEnd"/>
            <w:r w:rsidRPr="006A1A17">
              <w:rPr>
                <w:color w:val="000000"/>
                <w:sz w:val="20"/>
                <w:szCs w:val="20"/>
              </w:rPr>
              <w:t>8.2)</w:t>
            </w:r>
          </w:p>
        </w:tc>
        <w:tc>
          <w:tcPr>
            <w:tcW w:w="1077" w:type="dxa"/>
            <w:shd w:val="clear" w:color="auto" w:fill="auto"/>
          </w:tcPr>
          <w:p w14:paraId="006A5894" w14:textId="77777777" w:rsidR="004E1599" w:rsidRPr="006A1A17" w:rsidRDefault="004E1599" w:rsidP="00B51BBA">
            <w:pPr>
              <w:jc w:val="right"/>
              <w:rPr>
                <w:color w:val="000000"/>
                <w:sz w:val="20"/>
                <w:szCs w:val="20"/>
              </w:rPr>
            </w:pPr>
            <w:r w:rsidRPr="006A1A17">
              <w:rPr>
                <w:color w:val="000000"/>
                <w:sz w:val="20"/>
                <w:szCs w:val="20"/>
              </w:rPr>
              <w:t>8.0 (23.4)</w:t>
            </w:r>
          </w:p>
        </w:tc>
      </w:tr>
      <w:tr w:rsidR="004E1599" w:rsidRPr="003E7DB9" w14:paraId="3CBBF534" w14:textId="77777777" w:rsidTr="00912F45">
        <w:tc>
          <w:tcPr>
            <w:tcW w:w="2021" w:type="dxa"/>
            <w:shd w:val="clear" w:color="auto" w:fill="FFFFFF"/>
          </w:tcPr>
          <w:p w14:paraId="21659F4C" w14:textId="77777777" w:rsidR="004E1599" w:rsidRPr="006A1A17" w:rsidRDefault="004E1599" w:rsidP="00B51BBA">
            <w:pPr>
              <w:jc w:val="both"/>
              <w:rPr>
                <w:color w:val="000000"/>
                <w:sz w:val="20"/>
                <w:szCs w:val="20"/>
              </w:rPr>
            </w:pPr>
          </w:p>
        </w:tc>
        <w:tc>
          <w:tcPr>
            <w:tcW w:w="1235" w:type="dxa"/>
            <w:shd w:val="clear" w:color="auto" w:fill="BFBFBF"/>
          </w:tcPr>
          <w:p w14:paraId="529CD9F9" w14:textId="77777777" w:rsidR="004E1599" w:rsidRPr="006A1A17" w:rsidRDefault="004E1599" w:rsidP="00B51BBA">
            <w:pPr>
              <w:jc w:val="right"/>
              <w:rPr>
                <w:color w:val="000000"/>
                <w:sz w:val="20"/>
                <w:szCs w:val="20"/>
              </w:rPr>
            </w:pPr>
            <w:r w:rsidRPr="006A1A17">
              <w:rPr>
                <w:color w:val="000000"/>
                <w:sz w:val="20"/>
                <w:szCs w:val="20"/>
              </w:rPr>
              <w:t>82</w:t>
            </w:r>
          </w:p>
        </w:tc>
        <w:tc>
          <w:tcPr>
            <w:tcW w:w="1113" w:type="dxa"/>
            <w:shd w:val="clear" w:color="auto" w:fill="BFBFBF"/>
          </w:tcPr>
          <w:p w14:paraId="6662FFDB" w14:textId="77777777" w:rsidR="004E1599" w:rsidRPr="006A1A17" w:rsidRDefault="004E1599" w:rsidP="00B51BBA">
            <w:pPr>
              <w:jc w:val="right"/>
              <w:rPr>
                <w:color w:val="000000"/>
                <w:sz w:val="20"/>
                <w:szCs w:val="20"/>
              </w:rPr>
            </w:pPr>
            <w:r w:rsidRPr="006A1A17">
              <w:rPr>
                <w:color w:val="000000"/>
                <w:sz w:val="20"/>
                <w:szCs w:val="20"/>
              </w:rPr>
              <w:t>55</w:t>
            </w:r>
          </w:p>
        </w:tc>
        <w:tc>
          <w:tcPr>
            <w:tcW w:w="1222" w:type="dxa"/>
            <w:gridSpan w:val="3"/>
            <w:shd w:val="clear" w:color="auto" w:fill="auto"/>
          </w:tcPr>
          <w:p w14:paraId="7EFE6758"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00CFA5AA"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391326A0" w14:textId="77777777" w:rsidR="004E1599" w:rsidRPr="006A1A17" w:rsidRDefault="004E1599" w:rsidP="00B51BBA">
            <w:pPr>
              <w:jc w:val="right"/>
              <w:rPr>
                <w:color w:val="000000"/>
                <w:sz w:val="20"/>
                <w:szCs w:val="20"/>
              </w:rPr>
            </w:pPr>
            <w:r w:rsidRPr="006A1A17">
              <w:rPr>
                <w:color w:val="000000"/>
                <w:sz w:val="20"/>
                <w:szCs w:val="20"/>
              </w:rPr>
              <w:t>4.6 (17.8)</w:t>
            </w:r>
          </w:p>
        </w:tc>
        <w:tc>
          <w:tcPr>
            <w:tcW w:w="1077" w:type="dxa"/>
            <w:shd w:val="clear" w:color="auto" w:fill="auto"/>
          </w:tcPr>
          <w:p w14:paraId="2EBDA6FD" w14:textId="77777777" w:rsidR="004E1599" w:rsidRPr="006A1A17" w:rsidRDefault="004E1599" w:rsidP="00B51BBA">
            <w:pPr>
              <w:jc w:val="right"/>
              <w:rPr>
                <w:color w:val="000000"/>
                <w:sz w:val="20"/>
                <w:szCs w:val="20"/>
              </w:rPr>
            </w:pPr>
            <w:r w:rsidRPr="006A1A17">
              <w:rPr>
                <w:color w:val="000000"/>
                <w:sz w:val="20"/>
                <w:szCs w:val="20"/>
              </w:rPr>
              <w:t>3.0 (18.3)</w:t>
            </w:r>
          </w:p>
        </w:tc>
      </w:tr>
      <w:tr w:rsidR="004E1599" w:rsidRPr="003E7DB9" w14:paraId="78C9ED46" w14:textId="77777777" w:rsidTr="00912F45">
        <w:tc>
          <w:tcPr>
            <w:tcW w:w="2021" w:type="dxa"/>
            <w:shd w:val="clear" w:color="auto" w:fill="FFFFFF"/>
          </w:tcPr>
          <w:p w14:paraId="11BA95B3" w14:textId="77777777" w:rsidR="004E1599" w:rsidRPr="006A1A17" w:rsidRDefault="004E1599" w:rsidP="00B51BBA">
            <w:pPr>
              <w:jc w:val="both"/>
              <w:rPr>
                <w:color w:val="000000"/>
                <w:sz w:val="20"/>
                <w:szCs w:val="20"/>
              </w:rPr>
            </w:pPr>
          </w:p>
        </w:tc>
        <w:tc>
          <w:tcPr>
            <w:tcW w:w="1235" w:type="dxa"/>
            <w:shd w:val="clear" w:color="auto" w:fill="FFFFFF"/>
          </w:tcPr>
          <w:p w14:paraId="3E0DA448" w14:textId="77777777" w:rsidR="004E1599" w:rsidRPr="006A1A17" w:rsidRDefault="004E1599" w:rsidP="00B51BBA">
            <w:pPr>
              <w:jc w:val="right"/>
              <w:rPr>
                <w:color w:val="000000"/>
                <w:sz w:val="20"/>
                <w:szCs w:val="20"/>
              </w:rPr>
            </w:pPr>
            <w:r w:rsidRPr="006A1A17">
              <w:rPr>
                <w:color w:val="000000"/>
                <w:sz w:val="20"/>
                <w:szCs w:val="20"/>
              </w:rPr>
              <w:t>135</w:t>
            </w:r>
          </w:p>
        </w:tc>
        <w:tc>
          <w:tcPr>
            <w:tcW w:w="1113" w:type="dxa"/>
            <w:shd w:val="clear" w:color="auto" w:fill="BFBFBF"/>
          </w:tcPr>
          <w:p w14:paraId="2C643719" w14:textId="77777777" w:rsidR="004E1599" w:rsidRPr="006A1A17" w:rsidRDefault="004E1599" w:rsidP="00B51BBA">
            <w:pPr>
              <w:jc w:val="right"/>
              <w:rPr>
                <w:color w:val="000000"/>
                <w:sz w:val="20"/>
                <w:szCs w:val="20"/>
              </w:rPr>
            </w:pPr>
            <w:r w:rsidRPr="006A1A17">
              <w:rPr>
                <w:color w:val="000000"/>
                <w:sz w:val="20"/>
                <w:szCs w:val="20"/>
              </w:rPr>
              <w:t>21</w:t>
            </w:r>
          </w:p>
        </w:tc>
        <w:tc>
          <w:tcPr>
            <w:tcW w:w="1222" w:type="dxa"/>
            <w:gridSpan w:val="3"/>
            <w:shd w:val="clear" w:color="auto" w:fill="auto"/>
          </w:tcPr>
          <w:p w14:paraId="1BA284DD"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44CFD067" w14:textId="77777777" w:rsidR="004E1599" w:rsidRPr="006A1A17" w:rsidRDefault="004E1599" w:rsidP="00B51BBA">
            <w:pPr>
              <w:jc w:val="right"/>
              <w:rPr>
                <w:color w:val="000000"/>
                <w:sz w:val="20"/>
                <w:szCs w:val="20"/>
              </w:rPr>
            </w:pPr>
            <w:r w:rsidRPr="006A1A17">
              <w:rPr>
                <w:color w:val="000000"/>
                <w:sz w:val="20"/>
                <w:szCs w:val="20"/>
              </w:rPr>
              <w:t>*</w:t>
            </w:r>
          </w:p>
        </w:tc>
        <w:tc>
          <w:tcPr>
            <w:tcW w:w="1261" w:type="dxa"/>
            <w:shd w:val="clear" w:color="auto" w:fill="auto"/>
          </w:tcPr>
          <w:p w14:paraId="737AC925" w14:textId="0BB7B411" w:rsidR="004E1599" w:rsidRPr="006A1A17" w:rsidRDefault="007A5A15" w:rsidP="00B51BBA">
            <w:pPr>
              <w:jc w:val="right"/>
              <w:rPr>
                <w:color w:val="000000"/>
                <w:sz w:val="20"/>
                <w:szCs w:val="20"/>
              </w:rPr>
            </w:pPr>
            <w:r w:rsidRPr="006A1A17">
              <w:rPr>
                <w:color w:val="000000"/>
                <w:sz w:val="20"/>
                <w:szCs w:val="20"/>
              </w:rPr>
              <w:t>5.5</w:t>
            </w:r>
            <w:r w:rsidR="004E1599" w:rsidRPr="006A1A17">
              <w:rPr>
                <w:color w:val="000000"/>
                <w:sz w:val="20"/>
                <w:szCs w:val="20"/>
              </w:rPr>
              <w:t xml:space="preserve"> (</w:t>
            </w:r>
            <w:r w:rsidRPr="006A1A17">
              <w:rPr>
                <w:color w:val="000000"/>
                <w:sz w:val="20"/>
                <w:szCs w:val="20"/>
              </w:rPr>
              <w:t>24</w:t>
            </w:r>
            <w:r w:rsidR="004E1599" w:rsidRPr="006A1A17">
              <w:rPr>
                <w:color w:val="000000"/>
                <w:sz w:val="20"/>
                <w:szCs w:val="20"/>
              </w:rPr>
              <w:t>.</w:t>
            </w:r>
            <w:r w:rsidRPr="006A1A17">
              <w:rPr>
                <w:color w:val="000000"/>
                <w:sz w:val="20"/>
                <w:szCs w:val="20"/>
              </w:rPr>
              <w:t>6</w:t>
            </w:r>
            <w:r w:rsidR="004E1599" w:rsidRPr="006A1A17">
              <w:rPr>
                <w:color w:val="000000"/>
                <w:sz w:val="20"/>
                <w:szCs w:val="20"/>
              </w:rPr>
              <w:t>)</w:t>
            </w:r>
          </w:p>
        </w:tc>
        <w:tc>
          <w:tcPr>
            <w:tcW w:w="1077" w:type="dxa"/>
            <w:shd w:val="clear" w:color="auto" w:fill="auto"/>
          </w:tcPr>
          <w:p w14:paraId="48838674" w14:textId="5090F0C7" w:rsidR="004E1599" w:rsidRPr="006A1A17" w:rsidRDefault="004E1599" w:rsidP="00B51BBA">
            <w:pPr>
              <w:jc w:val="right"/>
              <w:rPr>
                <w:color w:val="000000"/>
                <w:sz w:val="20"/>
                <w:szCs w:val="20"/>
              </w:rPr>
            </w:pPr>
            <w:r w:rsidRPr="006A1A17">
              <w:rPr>
                <w:color w:val="000000"/>
                <w:sz w:val="20"/>
                <w:szCs w:val="20"/>
              </w:rPr>
              <w:t xml:space="preserve"> </w:t>
            </w:r>
            <w:r w:rsidR="007A5A15" w:rsidRPr="006A1A17">
              <w:rPr>
                <w:color w:val="000000"/>
                <w:sz w:val="20"/>
                <w:szCs w:val="20"/>
              </w:rPr>
              <w:t>2.2</w:t>
            </w:r>
            <w:proofErr w:type="gramStart"/>
            <w:r w:rsidR="007A5A15" w:rsidRPr="006A1A17">
              <w:rPr>
                <w:color w:val="000000"/>
                <w:sz w:val="20"/>
                <w:szCs w:val="20"/>
              </w:rPr>
              <w:t xml:space="preserve">  </w:t>
            </w:r>
            <w:r w:rsidRPr="006A1A17">
              <w:rPr>
                <w:color w:val="000000"/>
                <w:sz w:val="20"/>
                <w:szCs w:val="20"/>
              </w:rPr>
              <w:t xml:space="preserve"> (</w:t>
            </w:r>
            <w:proofErr w:type="gramEnd"/>
            <w:r w:rsidR="007A5A15" w:rsidRPr="006A1A17">
              <w:rPr>
                <w:color w:val="000000"/>
                <w:sz w:val="20"/>
                <w:szCs w:val="20"/>
              </w:rPr>
              <w:t>9</w:t>
            </w:r>
            <w:r w:rsidRPr="006A1A17">
              <w:rPr>
                <w:color w:val="000000"/>
                <w:sz w:val="20"/>
                <w:szCs w:val="20"/>
              </w:rPr>
              <w:t>.</w:t>
            </w:r>
            <w:r w:rsidR="007A5A15" w:rsidRPr="006A1A17">
              <w:rPr>
                <w:color w:val="000000"/>
                <w:sz w:val="20"/>
                <w:szCs w:val="20"/>
              </w:rPr>
              <w:t>6</w:t>
            </w:r>
            <w:r w:rsidRPr="006A1A17">
              <w:rPr>
                <w:color w:val="000000"/>
                <w:sz w:val="20"/>
                <w:szCs w:val="20"/>
              </w:rPr>
              <w:t>)</w:t>
            </w:r>
          </w:p>
        </w:tc>
      </w:tr>
      <w:tr w:rsidR="004E1599" w:rsidRPr="003E7DB9" w14:paraId="6E3CF599" w14:textId="77777777" w:rsidTr="00912F45">
        <w:tc>
          <w:tcPr>
            <w:tcW w:w="2021" w:type="dxa"/>
            <w:shd w:val="clear" w:color="auto" w:fill="FFFFFF"/>
          </w:tcPr>
          <w:p w14:paraId="75A08E2A" w14:textId="77777777" w:rsidR="004E1599" w:rsidRPr="006A1A17" w:rsidRDefault="004E1599" w:rsidP="00B51BBA">
            <w:pPr>
              <w:jc w:val="both"/>
              <w:rPr>
                <w:color w:val="000000"/>
                <w:sz w:val="20"/>
                <w:szCs w:val="20"/>
              </w:rPr>
            </w:pPr>
          </w:p>
        </w:tc>
        <w:tc>
          <w:tcPr>
            <w:tcW w:w="1235" w:type="dxa"/>
            <w:shd w:val="clear" w:color="auto" w:fill="FFFFFF"/>
          </w:tcPr>
          <w:p w14:paraId="2B7AC54A" w14:textId="77777777" w:rsidR="004E1599" w:rsidRPr="006A1A17" w:rsidRDefault="004E1599" w:rsidP="00B51BBA">
            <w:pPr>
              <w:jc w:val="right"/>
              <w:rPr>
                <w:color w:val="000000"/>
                <w:sz w:val="20"/>
                <w:szCs w:val="20"/>
              </w:rPr>
            </w:pPr>
            <w:r w:rsidRPr="006A1A17">
              <w:rPr>
                <w:color w:val="000000"/>
                <w:sz w:val="20"/>
                <w:szCs w:val="20"/>
              </w:rPr>
              <w:t>119</w:t>
            </w:r>
          </w:p>
        </w:tc>
        <w:tc>
          <w:tcPr>
            <w:tcW w:w="1113" w:type="dxa"/>
            <w:shd w:val="clear" w:color="auto" w:fill="BFBFBF"/>
          </w:tcPr>
          <w:p w14:paraId="1FEF6E3E" w14:textId="77777777" w:rsidR="004E1599" w:rsidRPr="006A1A17" w:rsidRDefault="004E1599" w:rsidP="00B51BBA">
            <w:pPr>
              <w:jc w:val="right"/>
              <w:rPr>
                <w:color w:val="000000"/>
                <w:sz w:val="20"/>
                <w:szCs w:val="20"/>
              </w:rPr>
            </w:pPr>
            <w:r w:rsidRPr="006A1A17">
              <w:rPr>
                <w:color w:val="000000"/>
                <w:sz w:val="20"/>
                <w:szCs w:val="20"/>
              </w:rPr>
              <w:t>63</w:t>
            </w:r>
          </w:p>
        </w:tc>
        <w:tc>
          <w:tcPr>
            <w:tcW w:w="1222" w:type="dxa"/>
            <w:gridSpan w:val="3"/>
            <w:shd w:val="clear" w:color="auto" w:fill="auto"/>
          </w:tcPr>
          <w:p w14:paraId="3F650981" w14:textId="77777777" w:rsidR="004E1599" w:rsidRPr="006A1A17" w:rsidRDefault="004E1599" w:rsidP="00B51BBA">
            <w:pPr>
              <w:jc w:val="right"/>
              <w:rPr>
                <w:color w:val="000000"/>
                <w:sz w:val="20"/>
                <w:szCs w:val="20"/>
              </w:rPr>
            </w:pPr>
            <w:r w:rsidRPr="006A1A17">
              <w:rPr>
                <w:color w:val="000000"/>
                <w:sz w:val="20"/>
                <w:szCs w:val="20"/>
              </w:rPr>
              <w:t>#</w:t>
            </w:r>
          </w:p>
        </w:tc>
        <w:tc>
          <w:tcPr>
            <w:tcW w:w="1081" w:type="dxa"/>
            <w:shd w:val="clear" w:color="auto" w:fill="auto"/>
          </w:tcPr>
          <w:p w14:paraId="222A708F"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512CD77E" w14:textId="77777777" w:rsidR="004E1599" w:rsidRPr="006A1A17" w:rsidRDefault="004E1599" w:rsidP="00B51BBA">
            <w:pPr>
              <w:jc w:val="right"/>
              <w:rPr>
                <w:color w:val="000000"/>
                <w:sz w:val="20"/>
                <w:szCs w:val="20"/>
              </w:rPr>
            </w:pPr>
            <w:r w:rsidRPr="006A1A17">
              <w:rPr>
                <w:color w:val="000000"/>
                <w:sz w:val="20"/>
                <w:szCs w:val="20"/>
              </w:rPr>
              <w:t>6.0 (19.8)</w:t>
            </w:r>
          </w:p>
        </w:tc>
        <w:tc>
          <w:tcPr>
            <w:tcW w:w="1077" w:type="dxa"/>
            <w:shd w:val="clear" w:color="auto" w:fill="auto"/>
          </w:tcPr>
          <w:p w14:paraId="4053E9CB" w14:textId="77777777" w:rsidR="004E1599" w:rsidRPr="006A1A17" w:rsidRDefault="004E1599" w:rsidP="00B51BBA">
            <w:pPr>
              <w:jc w:val="right"/>
              <w:rPr>
                <w:color w:val="000000"/>
                <w:sz w:val="20"/>
                <w:szCs w:val="20"/>
              </w:rPr>
            </w:pPr>
            <w:r w:rsidRPr="006A1A17">
              <w:rPr>
                <w:color w:val="000000"/>
                <w:sz w:val="20"/>
                <w:szCs w:val="20"/>
              </w:rPr>
              <w:t>3.0 (21.0)</w:t>
            </w:r>
          </w:p>
        </w:tc>
      </w:tr>
      <w:tr w:rsidR="004E1599" w:rsidRPr="003E7DB9" w14:paraId="58DB9132" w14:textId="77777777" w:rsidTr="00912F45">
        <w:tc>
          <w:tcPr>
            <w:tcW w:w="2021" w:type="dxa"/>
            <w:shd w:val="clear" w:color="auto" w:fill="FFFFFF"/>
          </w:tcPr>
          <w:p w14:paraId="33A6DB27" w14:textId="77777777" w:rsidR="004E1599" w:rsidRPr="006A1A17" w:rsidRDefault="004E1599" w:rsidP="00B51BBA">
            <w:pPr>
              <w:jc w:val="both"/>
              <w:rPr>
                <w:color w:val="000000"/>
                <w:sz w:val="20"/>
                <w:szCs w:val="20"/>
              </w:rPr>
            </w:pPr>
          </w:p>
        </w:tc>
        <w:tc>
          <w:tcPr>
            <w:tcW w:w="1235" w:type="dxa"/>
            <w:shd w:val="clear" w:color="auto" w:fill="FFFFFF"/>
          </w:tcPr>
          <w:p w14:paraId="233248A7" w14:textId="77777777" w:rsidR="004E1599" w:rsidRPr="006A1A17" w:rsidRDefault="004E1599" w:rsidP="00B51BBA">
            <w:pPr>
              <w:jc w:val="right"/>
              <w:rPr>
                <w:color w:val="000000"/>
                <w:sz w:val="20"/>
                <w:szCs w:val="20"/>
              </w:rPr>
            </w:pPr>
            <w:r w:rsidRPr="006A1A17">
              <w:rPr>
                <w:color w:val="000000"/>
                <w:sz w:val="20"/>
                <w:szCs w:val="20"/>
              </w:rPr>
              <w:t>178</w:t>
            </w:r>
          </w:p>
        </w:tc>
        <w:tc>
          <w:tcPr>
            <w:tcW w:w="1113" w:type="dxa"/>
            <w:shd w:val="clear" w:color="auto" w:fill="BFBFBF"/>
          </w:tcPr>
          <w:p w14:paraId="5B19EE35" w14:textId="77777777" w:rsidR="004E1599" w:rsidRPr="006A1A17" w:rsidRDefault="004E1599" w:rsidP="00B51BBA">
            <w:pPr>
              <w:jc w:val="right"/>
              <w:rPr>
                <w:color w:val="000000"/>
                <w:sz w:val="20"/>
                <w:szCs w:val="20"/>
              </w:rPr>
            </w:pPr>
            <w:r w:rsidRPr="006A1A17">
              <w:rPr>
                <w:color w:val="000000"/>
                <w:sz w:val="20"/>
                <w:szCs w:val="20"/>
              </w:rPr>
              <w:t>40</w:t>
            </w:r>
          </w:p>
        </w:tc>
        <w:tc>
          <w:tcPr>
            <w:tcW w:w="1222" w:type="dxa"/>
            <w:gridSpan w:val="3"/>
            <w:shd w:val="clear" w:color="auto" w:fill="auto"/>
          </w:tcPr>
          <w:p w14:paraId="0CD4424C" w14:textId="77777777" w:rsidR="004E1599" w:rsidRPr="006A1A17" w:rsidRDefault="004E1599" w:rsidP="00B51BBA">
            <w:pPr>
              <w:jc w:val="right"/>
              <w:rPr>
                <w:color w:val="000000"/>
                <w:sz w:val="20"/>
                <w:szCs w:val="20"/>
              </w:rPr>
            </w:pPr>
            <w:r w:rsidRPr="006A1A17">
              <w:rPr>
                <w:color w:val="000000"/>
                <w:sz w:val="20"/>
                <w:szCs w:val="20"/>
              </w:rPr>
              <w:t>100</w:t>
            </w:r>
          </w:p>
        </w:tc>
        <w:tc>
          <w:tcPr>
            <w:tcW w:w="1081" w:type="dxa"/>
            <w:shd w:val="clear" w:color="auto" w:fill="auto"/>
          </w:tcPr>
          <w:p w14:paraId="46000552" w14:textId="77777777" w:rsidR="004E1599" w:rsidRPr="006A1A17" w:rsidRDefault="004E1599" w:rsidP="00B51BBA">
            <w:pPr>
              <w:jc w:val="right"/>
              <w:rPr>
                <w:color w:val="000000"/>
                <w:sz w:val="20"/>
                <w:szCs w:val="20"/>
              </w:rPr>
            </w:pPr>
            <w:r w:rsidRPr="006A1A17">
              <w:rPr>
                <w:color w:val="000000"/>
                <w:sz w:val="20"/>
                <w:szCs w:val="20"/>
              </w:rPr>
              <w:t>0</w:t>
            </w:r>
          </w:p>
        </w:tc>
        <w:tc>
          <w:tcPr>
            <w:tcW w:w="1261" w:type="dxa"/>
            <w:shd w:val="clear" w:color="auto" w:fill="auto"/>
          </w:tcPr>
          <w:p w14:paraId="09D8FEF9" w14:textId="6C36DED2" w:rsidR="004E1599" w:rsidRPr="006A1A17" w:rsidRDefault="007A5A15" w:rsidP="00B51BBA">
            <w:pPr>
              <w:jc w:val="right"/>
              <w:rPr>
                <w:color w:val="000000"/>
                <w:sz w:val="20"/>
                <w:szCs w:val="20"/>
              </w:rPr>
            </w:pPr>
            <w:r w:rsidRPr="006A1A17">
              <w:rPr>
                <w:color w:val="000000"/>
                <w:sz w:val="20"/>
                <w:szCs w:val="20"/>
              </w:rPr>
              <w:t>8</w:t>
            </w:r>
            <w:r w:rsidR="004E1599" w:rsidRPr="006A1A17">
              <w:rPr>
                <w:color w:val="000000"/>
                <w:sz w:val="20"/>
                <w:szCs w:val="20"/>
              </w:rPr>
              <w:t>.0 (22</w:t>
            </w:r>
            <w:r w:rsidRPr="006A1A17">
              <w:rPr>
                <w:color w:val="000000"/>
                <w:sz w:val="20"/>
                <w:szCs w:val="20"/>
              </w:rPr>
              <w:t>.3</w:t>
            </w:r>
            <w:r w:rsidR="004E1599" w:rsidRPr="006A1A17">
              <w:rPr>
                <w:color w:val="000000"/>
                <w:sz w:val="20"/>
                <w:szCs w:val="20"/>
              </w:rPr>
              <w:t>)</w:t>
            </w:r>
          </w:p>
        </w:tc>
        <w:tc>
          <w:tcPr>
            <w:tcW w:w="1077" w:type="dxa"/>
            <w:shd w:val="clear" w:color="auto" w:fill="auto"/>
          </w:tcPr>
          <w:p w14:paraId="64BA4450" w14:textId="77777777" w:rsidR="004E1599" w:rsidRPr="006A1A17" w:rsidRDefault="004E1599" w:rsidP="00B51BBA">
            <w:pPr>
              <w:jc w:val="right"/>
              <w:rPr>
                <w:color w:val="000000"/>
                <w:sz w:val="20"/>
                <w:szCs w:val="20"/>
              </w:rPr>
            </w:pPr>
            <w:r w:rsidRPr="006A1A17">
              <w:rPr>
                <w:color w:val="000000"/>
                <w:sz w:val="20"/>
                <w:szCs w:val="20"/>
              </w:rPr>
              <w:t>2.4 (16.7)</w:t>
            </w:r>
          </w:p>
        </w:tc>
      </w:tr>
    </w:tbl>
    <w:p w14:paraId="7A5E06B9" w14:textId="2E902A01" w:rsidR="004E1599" w:rsidRPr="003E7DB9" w:rsidRDefault="004E1599" w:rsidP="004E1599">
      <w:pPr>
        <w:pStyle w:val="ListParagraph"/>
        <w:jc w:val="both"/>
        <w:rPr>
          <w:rFonts w:ascii="Times New Roman" w:hAnsi="Times New Roman" w:cs="Times New Roman"/>
          <w:i/>
          <w:iCs/>
          <w:color w:val="000000"/>
          <w:sz w:val="24"/>
          <w:szCs w:val="24"/>
        </w:rPr>
      </w:pPr>
      <w:r w:rsidRPr="003E7DB9">
        <w:rPr>
          <w:rFonts w:ascii="Times New Roman" w:hAnsi="Times New Roman" w:cs="Times New Roman"/>
          <w:color w:val="000000"/>
          <w:sz w:val="24"/>
          <w:szCs w:val="24"/>
        </w:rPr>
        <w:t xml:space="preserve">Sources: </w:t>
      </w:r>
      <w:r w:rsidR="007D4266" w:rsidRPr="003E7DB9">
        <w:rPr>
          <w:rFonts w:ascii="Times New Roman" w:hAnsi="Times New Roman" w:cs="Times New Roman"/>
          <w:color w:val="000000"/>
          <w:sz w:val="24"/>
          <w:szCs w:val="24"/>
        </w:rPr>
        <w:t xml:space="preserve">DENI </w:t>
      </w:r>
      <w:r w:rsidR="00013F95" w:rsidRPr="003E7DB9">
        <w:rPr>
          <w:rFonts w:ascii="Times New Roman" w:hAnsi="Times New Roman" w:cs="Times New Roman"/>
          <w:color w:val="000000"/>
          <w:sz w:val="24"/>
          <w:szCs w:val="24"/>
        </w:rPr>
        <w:t>(</w:t>
      </w:r>
      <w:r w:rsidR="0072466E" w:rsidRPr="003E7DB9">
        <w:rPr>
          <w:rFonts w:ascii="Times New Roman" w:hAnsi="Times New Roman" w:cs="Times New Roman"/>
          <w:color w:val="000000"/>
          <w:sz w:val="24"/>
          <w:szCs w:val="24"/>
        </w:rPr>
        <w:t>2018</w:t>
      </w:r>
      <w:r w:rsidR="00013F95" w:rsidRPr="003E7DB9">
        <w:rPr>
          <w:rFonts w:ascii="Times New Roman" w:hAnsi="Times New Roman" w:cs="Times New Roman"/>
          <w:color w:val="000000"/>
          <w:sz w:val="24"/>
          <w:szCs w:val="24"/>
        </w:rPr>
        <w:t>) Teacher Workforce Statistics 2018/</w:t>
      </w:r>
      <w:r w:rsidR="007D4266" w:rsidRPr="003E7DB9">
        <w:rPr>
          <w:rFonts w:ascii="Times New Roman" w:hAnsi="Times New Roman" w:cs="Times New Roman"/>
          <w:color w:val="000000"/>
          <w:sz w:val="24"/>
          <w:szCs w:val="24"/>
        </w:rPr>
        <w:t>1</w:t>
      </w:r>
      <w:r w:rsidR="00606D05" w:rsidRPr="003E7DB9">
        <w:rPr>
          <w:rFonts w:ascii="Times New Roman" w:hAnsi="Times New Roman" w:cs="Times New Roman"/>
          <w:color w:val="000000"/>
          <w:sz w:val="24"/>
          <w:szCs w:val="24"/>
        </w:rPr>
        <w:t>9</w:t>
      </w:r>
    </w:p>
    <w:p w14:paraId="0434E611" w14:textId="77777777" w:rsidR="004E1599" w:rsidRPr="003E7DB9" w:rsidRDefault="004E1599" w:rsidP="004E1599">
      <w:pPr>
        <w:pStyle w:val="ListParagraph"/>
        <w:jc w:val="both"/>
        <w:rPr>
          <w:rFonts w:ascii="Times New Roman" w:hAnsi="Times New Roman" w:cs="Times New Roman"/>
          <w:color w:val="000000"/>
          <w:sz w:val="24"/>
          <w:szCs w:val="24"/>
        </w:rPr>
      </w:pPr>
      <w:r w:rsidRPr="003E7DB9">
        <w:rPr>
          <w:rFonts w:ascii="Times New Roman" w:hAnsi="Times New Roman" w:cs="Times New Roman"/>
          <w:color w:val="000000"/>
          <w:sz w:val="24"/>
          <w:szCs w:val="24"/>
        </w:rPr>
        <w:t>* Less than 5 cases where data is considered sensitive</w:t>
      </w:r>
    </w:p>
    <w:p w14:paraId="7C6ABB37" w14:textId="77777777" w:rsidR="004E1599" w:rsidRPr="003E7DB9" w:rsidRDefault="004E1599" w:rsidP="004E1599">
      <w:pPr>
        <w:pStyle w:val="ListParagraph"/>
        <w:jc w:val="both"/>
        <w:rPr>
          <w:rFonts w:ascii="Times New Roman" w:hAnsi="Times New Roman" w:cs="Times New Roman"/>
          <w:color w:val="000000"/>
          <w:sz w:val="24"/>
          <w:szCs w:val="24"/>
        </w:rPr>
      </w:pPr>
      <w:r w:rsidRPr="003E7DB9">
        <w:rPr>
          <w:rFonts w:ascii="Times New Roman" w:hAnsi="Times New Roman" w:cs="Times New Roman"/>
          <w:color w:val="000000"/>
          <w:sz w:val="24"/>
          <w:szCs w:val="24"/>
        </w:rPr>
        <w:t># Figures suppressed under rules of disclosure (although 2016-17 data shows figures in these cells averaging 97.3%)</w:t>
      </w:r>
    </w:p>
    <w:p w14:paraId="259D3128" w14:textId="77777777" w:rsidR="004E1599" w:rsidRPr="003E7DB9" w:rsidRDefault="004E1599" w:rsidP="004E1599">
      <w:pPr>
        <w:pStyle w:val="ListParagraph"/>
        <w:jc w:val="both"/>
        <w:rPr>
          <w:rFonts w:ascii="Times New Roman" w:hAnsi="Times New Roman" w:cs="Times New Roman"/>
          <w:color w:val="000000"/>
          <w:sz w:val="24"/>
          <w:szCs w:val="24"/>
        </w:rPr>
      </w:pPr>
      <w:r w:rsidRPr="003E7DB9">
        <w:rPr>
          <w:rFonts w:ascii="Times New Roman" w:hAnsi="Times New Roman" w:cs="Times New Roman"/>
          <w:color w:val="000000"/>
          <w:sz w:val="24"/>
          <w:szCs w:val="24"/>
        </w:rPr>
        <w:t>Shaded cells are unsustainable in terms of enrolment</w:t>
      </w:r>
    </w:p>
    <w:p w14:paraId="54B37EAD" w14:textId="59C8EA3F" w:rsidR="006318FA" w:rsidRPr="003E7DB9" w:rsidRDefault="006318FA">
      <w:pPr>
        <w:rPr>
          <w:color w:val="000000" w:themeColor="text1"/>
        </w:rPr>
      </w:pPr>
      <w:r w:rsidRPr="003E7DB9">
        <w:rPr>
          <w:color w:val="000000" w:themeColor="text1"/>
        </w:rPr>
        <w:br w:type="page"/>
      </w:r>
    </w:p>
    <w:p w14:paraId="0BCF51F0" w14:textId="3AA9D567" w:rsidR="006318FA" w:rsidRPr="003E7DB9" w:rsidRDefault="006318FA" w:rsidP="003168B2">
      <w:pPr>
        <w:spacing w:line="276" w:lineRule="auto"/>
        <w:rPr>
          <w:color w:val="000000" w:themeColor="text1"/>
        </w:rPr>
      </w:pPr>
      <w:r w:rsidRPr="003E7DB9">
        <w:rPr>
          <w:noProof/>
        </w:rPr>
        <w:lastRenderedPageBreak/>
        <w:drawing>
          <wp:inline distT="0" distB="0" distL="0" distR="0" wp14:anchorId="33B1966B" wp14:editId="0E7A0BDA">
            <wp:extent cx="5731510" cy="40502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ustainable schools with final map lay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050267"/>
                    </a:xfrm>
                    <a:prstGeom prst="rect">
                      <a:avLst/>
                    </a:prstGeom>
                  </pic:spPr>
                </pic:pic>
              </a:graphicData>
            </a:graphic>
          </wp:inline>
        </w:drawing>
      </w:r>
    </w:p>
    <w:p w14:paraId="76D02121" w14:textId="05C3C569" w:rsidR="006318FA" w:rsidRPr="003E7DB9" w:rsidRDefault="006318FA" w:rsidP="006318FA">
      <w:pPr>
        <w:pStyle w:val="Caption"/>
        <w:rPr>
          <w:rFonts w:ascii="Times New Roman" w:hAnsi="Times New Roman" w:cs="Times New Roman"/>
          <w:color w:val="000000" w:themeColor="text1"/>
          <w:sz w:val="24"/>
          <w:szCs w:val="24"/>
        </w:rPr>
      </w:pPr>
      <w:r w:rsidRPr="003E7DB9">
        <w:rPr>
          <w:rFonts w:ascii="Times New Roman" w:hAnsi="Times New Roman" w:cs="Times New Roman"/>
          <w:sz w:val="24"/>
          <w:szCs w:val="24"/>
        </w:rPr>
        <w:t xml:space="preserve">Map 1: Isolated Pairs of </w:t>
      </w:r>
      <w:r w:rsidR="00026813" w:rsidRPr="003E7DB9">
        <w:rPr>
          <w:rFonts w:ascii="Times New Roman" w:hAnsi="Times New Roman" w:cs="Times New Roman"/>
          <w:sz w:val="24"/>
          <w:szCs w:val="24"/>
        </w:rPr>
        <w:t>primar</w:t>
      </w:r>
      <w:r w:rsidRPr="003E7DB9">
        <w:rPr>
          <w:rFonts w:ascii="Times New Roman" w:hAnsi="Times New Roman" w:cs="Times New Roman"/>
          <w:sz w:val="24"/>
          <w:szCs w:val="24"/>
        </w:rPr>
        <w:t xml:space="preserve">y </w:t>
      </w:r>
      <w:r w:rsidR="00026813" w:rsidRPr="003E7DB9">
        <w:rPr>
          <w:rFonts w:ascii="Times New Roman" w:hAnsi="Times New Roman" w:cs="Times New Roman"/>
          <w:sz w:val="24"/>
          <w:szCs w:val="24"/>
        </w:rPr>
        <w:t>school</w:t>
      </w:r>
      <w:r w:rsidRPr="003E7DB9">
        <w:rPr>
          <w:rFonts w:ascii="Times New Roman" w:hAnsi="Times New Roman" w:cs="Times New Roman"/>
          <w:sz w:val="24"/>
          <w:szCs w:val="24"/>
        </w:rPr>
        <w:t xml:space="preserve">s 3 miles or more from similar schools </w:t>
      </w:r>
    </w:p>
    <w:p w14:paraId="206C9701" w14:textId="2A99C491" w:rsidR="006318FA" w:rsidRPr="003E7DB9" w:rsidRDefault="006318FA">
      <w:pPr>
        <w:rPr>
          <w:color w:val="000000" w:themeColor="text1"/>
        </w:rPr>
      </w:pPr>
      <w:r w:rsidRPr="003E7DB9">
        <w:rPr>
          <w:color w:val="000000" w:themeColor="text1"/>
        </w:rPr>
        <w:br w:type="page"/>
      </w:r>
    </w:p>
    <w:p w14:paraId="6816C1FE" w14:textId="0F5ED411" w:rsidR="006318FA" w:rsidRPr="003E7DB9" w:rsidRDefault="00912F45" w:rsidP="003168B2">
      <w:pPr>
        <w:spacing w:line="276" w:lineRule="auto"/>
        <w:rPr>
          <w:color w:val="000000" w:themeColor="text1"/>
        </w:rPr>
      </w:pPr>
      <w:r w:rsidRPr="003E7DB9">
        <w:rPr>
          <w:noProof/>
          <w:color w:val="000000" w:themeColor="text1"/>
        </w:rPr>
        <w:lastRenderedPageBreak/>
        <w:drawing>
          <wp:inline distT="0" distB="0" distL="0" distR="0" wp14:anchorId="43FA3C62" wp14:editId="7AFA4294">
            <wp:extent cx="6327461" cy="3763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 funding graph.png"/>
                    <pic:cNvPicPr/>
                  </pic:nvPicPr>
                  <pic:blipFill>
                    <a:blip r:embed="rId9">
                      <a:extLst>
                        <a:ext uri="{28A0092B-C50C-407E-A947-70E740481C1C}">
                          <a14:useLocalDpi xmlns:a14="http://schemas.microsoft.com/office/drawing/2010/main" val="0"/>
                        </a:ext>
                      </a:extLst>
                    </a:blip>
                    <a:stretch>
                      <a:fillRect/>
                    </a:stretch>
                  </pic:blipFill>
                  <pic:spPr>
                    <a:xfrm>
                      <a:off x="0" y="0"/>
                      <a:ext cx="6330258" cy="3764772"/>
                    </a:xfrm>
                    <a:prstGeom prst="rect">
                      <a:avLst/>
                    </a:prstGeom>
                  </pic:spPr>
                </pic:pic>
              </a:graphicData>
            </a:graphic>
          </wp:inline>
        </w:drawing>
      </w:r>
    </w:p>
    <w:p w14:paraId="27E6BC8E" w14:textId="375EA255" w:rsidR="006318FA" w:rsidRPr="003E7DB9" w:rsidRDefault="006318FA" w:rsidP="006318FA">
      <w:pPr>
        <w:spacing w:line="276" w:lineRule="auto"/>
        <w:ind w:left="-567"/>
        <w:rPr>
          <w:i/>
          <w:iCs/>
          <w:color w:val="000000" w:themeColor="text1"/>
        </w:rPr>
      </w:pPr>
      <w:r w:rsidRPr="003E7DB9">
        <w:rPr>
          <w:i/>
          <w:iCs/>
          <w:color w:val="000000" w:themeColor="text1"/>
        </w:rPr>
        <w:t xml:space="preserve">Graph 1: Formula funding to pairs of isolated </w:t>
      </w:r>
      <w:r w:rsidR="00026813" w:rsidRPr="003E7DB9">
        <w:rPr>
          <w:i/>
          <w:iCs/>
          <w:color w:val="000000" w:themeColor="text1"/>
        </w:rPr>
        <w:t>primar</w:t>
      </w:r>
      <w:r w:rsidRPr="003E7DB9">
        <w:rPr>
          <w:i/>
          <w:iCs/>
          <w:color w:val="000000" w:themeColor="text1"/>
        </w:rPr>
        <w:t xml:space="preserve">y </w:t>
      </w:r>
      <w:r w:rsidR="00026813" w:rsidRPr="003E7DB9">
        <w:rPr>
          <w:i/>
          <w:iCs/>
          <w:color w:val="000000" w:themeColor="text1"/>
        </w:rPr>
        <w:t>school</w:t>
      </w:r>
      <w:r w:rsidRPr="003E7DB9">
        <w:rPr>
          <w:i/>
          <w:iCs/>
          <w:color w:val="000000" w:themeColor="text1"/>
        </w:rPr>
        <w:t>s combined, compared to funding given to unitary schools of similar size.</w:t>
      </w:r>
    </w:p>
    <w:sectPr w:rsidR="006318FA" w:rsidRPr="003E7DB9" w:rsidSect="00EC571A">
      <w:footerReference w:type="even" r:id="rId10"/>
      <w:footerReference w:type="default" r:id="rId11"/>
      <w:footnotePr>
        <w:pos w:val="beneathText"/>
      </w:footnotePr>
      <w:endnotePr>
        <w:numFmt w:val="decimal"/>
      </w:endnotePr>
      <w:pgSz w:w="11906" w:h="16838"/>
      <w:pgMar w:top="1213" w:right="1440" w:bottom="12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B99EC" w14:textId="77777777" w:rsidR="00A87F84" w:rsidRDefault="00A87F84" w:rsidP="00EC571A">
      <w:r>
        <w:separator/>
      </w:r>
    </w:p>
  </w:endnote>
  <w:endnote w:type="continuationSeparator" w:id="0">
    <w:p w14:paraId="355798C5" w14:textId="77777777" w:rsidR="00A87F84" w:rsidRDefault="00A87F84" w:rsidP="00EC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GUMIR+Calibri-Light">
    <w:altName w:val="Calibri"/>
    <w:panose1 w:val="020B0604020202020204"/>
    <w:charset w:val="00"/>
    <w:family w:val="swiss"/>
    <w:pitch w:val="default"/>
    <w:sig w:usb0="00000003" w:usb1="00000000" w:usb2="00000000" w:usb3="00000000" w:csb0="00000001" w:csb1="00000000"/>
  </w:font>
  <w:font w:name="Ü'C ˛">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940361"/>
      <w:docPartObj>
        <w:docPartGallery w:val="Page Numbers (Bottom of Page)"/>
        <w:docPartUnique/>
      </w:docPartObj>
    </w:sdtPr>
    <w:sdtContent>
      <w:p w14:paraId="140CFB4E" w14:textId="77777777" w:rsidR="00583B80" w:rsidRDefault="00583B80" w:rsidP="001345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18B18" w14:textId="77777777" w:rsidR="00583B80" w:rsidRDefault="0058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3787603"/>
      <w:docPartObj>
        <w:docPartGallery w:val="Page Numbers (Bottom of Page)"/>
        <w:docPartUnique/>
      </w:docPartObj>
    </w:sdtPr>
    <w:sdtContent>
      <w:p w14:paraId="30DFC773" w14:textId="77777777" w:rsidR="00583B80" w:rsidRDefault="00583B80" w:rsidP="001345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13F354C8" w14:textId="77777777" w:rsidR="00583B80" w:rsidRDefault="0058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54A9" w14:textId="77777777" w:rsidR="00A87F84" w:rsidRDefault="00A87F84" w:rsidP="00EC571A">
      <w:r>
        <w:separator/>
      </w:r>
    </w:p>
  </w:footnote>
  <w:footnote w:type="continuationSeparator" w:id="0">
    <w:p w14:paraId="62FF42DC" w14:textId="77777777" w:rsidR="00A87F84" w:rsidRDefault="00A87F84" w:rsidP="00EC571A">
      <w:r>
        <w:continuationSeparator/>
      </w:r>
    </w:p>
  </w:footnote>
  <w:footnote w:id="1">
    <w:p w14:paraId="740470BA" w14:textId="110D4298" w:rsidR="00583B80" w:rsidRPr="00C34454" w:rsidRDefault="00583B80">
      <w:pPr>
        <w:pStyle w:val="FootnoteText"/>
        <w:rPr>
          <w:sz w:val="16"/>
          <w:szCs w:val="16"/>
          <w:lang w:val="en-US"/>
        </w:rPr>
      </w:pPr>
      <w:r w:rsidRPr="00C34454">
        <w:rPr>
          <w:rStyle w:val="FootnoteReference"/>
          <w:sz w:val="16"/>
          <w:szCs w:val="16"/>
        </w:rPr>
        <w:footnoteRef/>
      </w:r>
      <w:r w:rsidRPr="00C34454">
        <w:rPr>
          <w:sz w:val="16"/>
          <w:szCs w:val="16"/>
        </w:rPr>
        <w:t xml:space="preserve"> The rationale was that schools under the same management authority (Education Authority for Controlled Schools and Council for the Catholic Maintained Sector for Maintained schools) will already have rationalised, where possible, duplicate schools, but that schools under different management authorities may not have been rationalised</w:t>
      </w:r>
      <w:r>
        <w:rPr>
          <w:sz w:val="16"/>
          <w:szCs w:val="16"/>
        </w:rPr>
        <w:t xml:space="preserve"> vis-à-vis each other</w:t>
      </w:r>
      <w:r w:rsidRPr="00C34454">
        <w:rPr>
          <w:sz w:val="16"/>
          <w:szCs w:val="16"/>
        </w:rPr>
        <w:t>.</w:t>
      </w:r>
    </w:p>
  </w:footnote>
  <w:footnote w:id="2">
    <w:p w14:paraId="72E21A8F" w14:textId="7B2E0EC6" w:rsidR="00583B80" w:rsidRPr="00CC0BF4" w:rsidRDefault="00583B80">
      <w:pPr>
        <w:pStyle w:val="FootnoteText"/>
        <w:rPr>
          <w:sz w:val="16"/>
          <w:szCs w:val="16"/>
          <w:lang w:val="en-US"/>
        </w:rPr>
      </w:pPr>
      <w:r w:rsidRPr="00CC0BF4">
        <w:rPr>
          <w:rStyle w:val="FootnoteReference"/>
          <w:sz w:val="16"/>
          <w:szCs w:val="16"/>
        </w:rPr>
        <w:footnoteRef/>
      </w:r>
      <w:r w:rsidRPr="00CC0BF4">
        <w:rPr>
          <w:sz w:val="16"/>
          <w:szCs w:val="16"/>
        </w:rPr>
        <w:t xml:space="preserve"> </w:t>
      </w:r>
      <w:r w:rsidRPr="00CC0BF4">
        <w:rPr>
          <w:rFonts w:cstheme="minorHAnsi"/>
          <w:color w:val="000000" w:themeColor="text1"/>
          <w:sz w:val="16"/>
          <w:szCs w:val="16"/>
        </w:rPr>
        <w:t xml:space="preserve">While many sources suggest that less that 2 miles may be more representative (see DfT, 2014 and Owen </w:t>
      </w:r>
      <w:r w:rsidRPr="00CC0BF4">
        <w:rPr>
          <w:rFonts w:cstheme="minorHAnsi"/>
          <w:i/>
          <w:iCs/>
          <w:color w:val="000000" w:themeColor="text1"/>
          <w:sz w:val="16"/>
          <w:szCs w:val="16"/>
        </w:rPr>
        <w:t>et al</w:t>
      </w:r>
      <w:r w:rsidRPr="00CC0BF4">
        <w:rPr>
          <w:rFonts w:cstheme="minorHAnsi"/>
          <w:color w:val="000000" w:themeColor="text1"/>
          <w:sz w:val="16"/>
          <w:szCs w:val="16"/>
        </w:rPr>
        <w:t>., 2012), Kelly and Fu (2014) cite 4.88km (3.03 miles) as the average travel distance for Irish primary school pupils.</w:t>
      </w:r>
    </w:p>
  </w:footnote>
  <w:footnote w:id="3">
    <w:p w14:paraId="76A4C56F" w14:textId="7A44EB11" w:rsidR="00583B80" w:rsidRPr="00031F0D" w:rsidRDefault="00583B80" w:rsidP="00EC571A">
      <w:pPr>
        <w:pStyle w:val="FootnoteText"/>
        <w:rPr>
          <w:lang w:val="en-US"/>
        </w:rPr>
      </w:pPr>
      <w:r w:rsidRPr="00CC0BF4">
        <w:rPr>
          <w:rStyle w:val="FootnoteReference"/>
          <w:sz w:val="16"/>
          <w:szCs w:val="16"/>
        </w:rPr>
        <w:footnoteRef/>
      </w:r>
      <w:r w:rsidRPr="00CC0BF4">
        <w:rPr>
          <w:sz w:val="16"/>
          <w:szCs w:val="16"/>
        </w:rPr>
        <w:t xml:space="preserve"> </w:t>
      </w:r>
      <w:r w:rsidRPr="00CC0BF4">
        <w:rPr>
          <w:sz w:val="16"/>
          <w:szCs w:val="16"/>
          <w:lang w:val="en-US"/>
        </w:rPr>
        <w:t>There are four anomalous Controlled Primaries with 10% or more Catholic learners, most in locations close to the border with the Republic of Ireland. This is often a consequence of selective population migration from these areas.</w:t>
      </w:r>
    </w:p>
  </w:footnote>
  <w:footnote w:id="4">
    <w:p w14:paraId="7EA2DBEB" w14:textId="777A7DE9" w:rsidR="00583B80" w:rsidRPr="00C34454" w:rsidRDefault="00583B80" w:rsidP="00EC571A">
      <w:pPr>
        <w:pStyle w:val="FootnoteText"/>
        <w:rPr>
          <w:sz w:val="16"/>
          <w:szCs w:val="16"/>
          <w:lang w:val="en-US"/>
        </w:rPr>
      </w:pPr>
      <w:r w:rsidRPr="00C34454">
        <w:rPr>
          <w:rStyle w:val="FootnoteReference"/>
          <w:sz w:val="16"/>
          <w:szCs w:val="16"/>
        </w:rPr>
        <w:footnoteRef/>
      </w:r>
      <w:r w:rsidRPr="00C34454">
        <w:rPr>
          <w:sz w:val="16"/>
          <w:szCs w:val="16"/>
        </w:rPr>
        <w:t xml:space="preserve"> </w:t>
      </w:r>
      <w:r w:rsidRPr="00C34454">
        <w:rPr>
          <w:sz w:val="16"/>
          <w:szCs w:val="16"/>
          <w:lang w:val="en-US"/>
        </w:rPr>
        <w:t>This is not an unproblematic source. School websites may not be up-to-date or reliable for this type of information. Additionally, larger schools generally have websites while a few very small schools do not.</w:t>
      </w:r>
    </w:p>
  </w:footnote>
  <w:footnote w:id="5">
    <w:p w14:paraId="1BBB9F3F" w14:textId="5A2EE526" w:rsidR="00583B80" w:rsidRPr="00C34454" w:rsidRDefault="00583B80">
      <w:pPr>
        <w:pStyle w:val="FootnoteText"/>
        <w:rPr>
          <w:sz w:val="16"/>
          <w:szCs w:val="16"/>
          <w:lang w:val="en-US"/>
        </w:rPr>
      </w:pPr>
      <w:r w:rsidRPr="00C34454">
        <w:rPr>
          <w:rStyle w:val="FootnoteReference"/>
          <w:sz w:val="16"/>
          <w:szCs w:val="16"/>
        </w:rPr>
        <w:footnoteRef/>
      </w:r>
      <w:r w:rsidRPr="00C34454">
        <w:rPr>
          <w:sz w:val="16"/>
          <w:szCs w:val="16"/>
        </w:rPr>
        <w:t xml:space="preserve"> </w:t>
      </w:r>
      <w:r w:rsidRPr="00C34454">
        <w:rPr>
          <w:sz w:val="16"/>
          <w:szCs w:val="16"/>
          <w:lang w:val="en-US"/>
        </w:rPr>
        <w:t>School budgets are published each year providing details of the overall funding made available to each school</w:t>
      </w:r>
      <w:r>
        <w:rPr>
          <w:sz w:val="16"/>
          <w:szCs w:val="16"/>
          <w:lang w:val="en-US"/>
        </w:rPr>
        <w:t xml:space="preserve"> (DENI, n.d.)</w:t>
      </w:r>
      <w:r w:rsidRPr="00C34454">
        <w:rPr>
          <w:sz w:val="16"/>
          <w:szCs w:val="16"/>
          <w:lang w:val="en-US"/>
        </w:rPr>
        <w:t xml:space="preserve">. For this exercise </w:t>
      </w:r>
      <w:r>
        <w:rPr>
          <w:sz w:val="16"/>
          <w:szCs w:val="16"/>
          <w:lang w:val="en-US"/>
        </w:rPr>
        <w:t xml:space="preserve">a comparison was made between </w:t>
      </w:r>
      <w:r w:rsidRPr="00C34454">
        <w:rPr>
          <w:sz w:val="16"/>
          <w:szCs w:val="16"/>
          <w:lang w:val="en-US"/>
        </w:rPr>
        <w:t>the</w:t>
      </w:r>
      <w:r>
        <w:rPr>
          <w:sz w:val="16"/>
          <w:szCs w:val="16"/>
          <w:lang w:val="en-US"/>
        </w:rPr>
        <w:t xml:space="preserve"> combined funding of isolated pairs of schools compared to</w:t>
      </w:r>
      <w:r w:rsidRPr="00C34454">
        <w:rPr>
          <w:sz w:val="16"/>
          <w:szCs w:val="16"/>
          <w:lang w:val="en-US"/>
        </w:rPr>
        <w:t xml:space="preserve"> average funding to five schools </w:t>
      </w:r>
      <w:r>
        <w:rPr>
          <w:sz w:val="16"/>
          <w:szCs w:val="16"/>
          <w:lang w:val="en-US"/>
        </w:rPr>
        <w:t>with</w:t>
      </w:r>
      <w:r w:rsidRPr="00C34454">
        <w:rPr>
          <w:sz w:val="16"/>
          <w:szCs w:val="16"/>
          <w:lang w:val="en-US"/>
        </w:rPr>
        <w:t xml:space="preserve"> </w:t>
      </w:r>
      <w:r>
        <w:rPr>
          <w:sz w:val="16"/>
          <w:szCs w:val="16"/>
          <w:lang w:val="en-US"/>
        </w:rPr>
        <w:t>the same</w:t>
      </w:r>
      <w:r w:rsidRPr="00C34454">
        <w:rPr>
          <w:sz w:val="16"/>
          <w:szCs w:val="16"/>
          <w:lang w:val="en-US"/>
        </w:rPr>
        <w:t xml:space="preserve"> </w:t>
      </w:r>
      <w:r>
        <w:rPr>
          <w:sz w:val="16"/>
          <w:szCs w:val="16"/>
          <w:lang w:val="en-US"/>
        </w:rPr>
        <w:t>overall enrolment</w:t>
      </w:r>
      <w:r w:rsidRPr="00C34454">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14AA039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C9B74C9"/>
    <w:multiLevelType w:val="hybridMultilevel"/>
    <w:tmpl w:val="D19A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2"/>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1A"/>
    <w:rsid w:val="000057BB"/>
    <w:rsid w:val="00013D7D"/>
    <w:rsid w:val="00013F95"/>
    <w:rsid w:val="00026813"/>
    <w:rsid w:val="000304C8"/>
    <w:rsid w:val="0003242D"/>
    <w:rsid w:val="00037C05"/>
    <w:rsid w:val="00043BFC"/>
    <w:rsid w:val="0004466E"/>
    <w:rsid w:val="000446C1"/>
    <w:rsid w:val="00051C84"/>
    <w:rsid w:val="00057E04"/>
    <w:rsid w:val="0006255B"/>
    <w:rsid w:val="000631F4"/>
    <w:rsid w:val="00065229"/>
    <w:rsid w:val="00076C03"/>
    <w:rsid w:val="000A05C7"/>
    <w:rsid w:val="000B5EB1"/>
    <w:rsid w:val="000D408E"/>
    <w:rsid w:val="000D71BB"/>
    <w:rsid w:val="000E1D2F"/>
    <w:rsid w:val="000F6E31"/>
    <w:rsid w:val="00101CB2"/>
    <w:rsid w:val="00113CB7"/>
    <w:rsid w:val="0013451C"/>
    <w:rsid w:val="00147710"/>
    <w:rsid w:val="00153F99"/>
    <w:rsid w:val="0015402A"/>
    <w:rsid w:val="001557E5"/>
    <w:rsid w:val="001570C3"/>
    <w:rsid w:val="00161244"/>
    <w:rsid w:val="00161DC2"/>
    <w:rsid w:val="001627CD"/>
    <w:rsid w:val="001673B5"/>
    <w:rsid w:val="0017306D"/>
    <w:rsid w:val="00175BC2"/>
    <w:rsid w:val="00192D6A"/>
    <w:rsid w:val="00193639"/>
    <w:rsid w:val="00197617"/>
    <w:rsid w:val="001A380E"/>
    <w:rsid w:val="001B59B5"/>
    <w:rsid w:val="001B63F7"/>
    <w:rsid w:val="001C5FC7"/>
    <w:rsid w:val="001C7070"/>
    <w:rsid w:val="001E0C3E"/>
    <w:rsid w:val="001F0290"/>
    <w:rsid w:val="001F0B5F"/>
    <w:rsid w:val="001F2C90"/>
    <w:rsid w:val="00216B7F"/>
    <w:rsid w:val="00230C3F"/>
    <w:rsid w:val="002408EF"/>
    <w:rsid w:val="00270E92"/>
    <w:rsid w:val="002713A1"/>
    <w:rsid w:val="00275147"/>
    <w:rsid w:val="00290AB9"/>
    <w:rsid w:val="002B3B54"/>
    <w:rsid w:val="002C7ACE"/>
    <w:rsid w:val="002D29AE"/>
    <w:rsid w:val="002E5F35"/>
    <w:rsid w:val="002F5275"/>
    <w:rsid w:val="003102CD"/>
    <w:rsid w:val="003104E3"/>
    <w:rsid w:val="0031084E"/>
    <w:rsid w:val="00311F31"/>
    <w:rsid w:val="003168B2"/>
    <w:rsid w:val="00322996"/>
    <w:rsid w:val="00325F71"/>
    <w:rsid w:val="00331029"/>
    <w:rsid w:val="003316B4"/>
    <w:rsid w:val="00337468"/>
    <w:rsid w:val="00352861"/>
    <w:rsid w:val="00354791"/>
    <w:rsid w:val="0037694B"/>
    <w:rsid w:val="00376AC6"/>
    <w:rsid w:val="003A1808"/>
    <w:rsid w:val="003A33AC"/>
    <w:rsid w:val="003B0AAF"/>
    <w:rsid w:val="003B6C77"/>
    <w:rsid w:val="003B7450"/>
    <w:rsid w:val="003C5F5A"/>
    <w:rsid w:val="003D5BD5"/>
    <w:rsid w:val="003D69AB"/>
    <w:rsid w:val="003E7DB9"/>
    <w:rsid w:val="003F0D69"/>
    <w:rsid w:val="0040122A"/>
    <w:rsid w:val="004028FA"/>
    <w:rsid w:val="00412284"/>
    <w:rsid w:val="0042361C"/>
    <w:rsid w:val="00423819"/>
    <w:rsid w:val="00450299"/>
    <w:rsid w:val="00452D46"/>
    <w:rsid w:val="00456A7E"/>
    <w:rsid w:val="004653C4"/>
    <w:rsid w:val="00472EE0"/>
    <w:rsid w:val="0048353F"/>
    <w:rsid w:val="004845DF"/>
    <w:rsid w:val="004927BD"/>
    <w:rsid w:val="0049476B"/>
    <w:rsid w:val="00494F8D"/>
    <w:rsid w:val="00496D5A"/>
    <w:rsid w:val="004E1599"/>
    <w:rsid w:val="004E4A20"/>
    <w:rsid w:val="004F1728"/>
    <w:rsid w:val="004F6F20"/>
    <w:rsid w:val="004F7155"/>
    <w:rsid w:val="00502E0A"/>
    <w:rsid w:val="005059E8"/>
    <w:rsid w:val="00514402"/>
    <w:rsid w:val="005256CD"/>
    <w:rsid w:val="005343AB"/>
    <w:rsid w:val="005410A4"/>
    <w:rsid w:val="0054409C"/>
    <w:rsid w:val="00544B06"/>
    <w:rsid w:val="00553A61"/>
    <w:rsid w:val="00564E82"/>
    <w:rsid w:val="00573B12"/>
    <w:rsid w:val="00583B80"/>
    <w:rsid w:val="005843B2"/>
    <w:rsid w:val="00596B87"/>
    <w:rsid w:val="005A2E41"/>
    <w:rsid w:val="005A6219"/>
    <w:rsid w:val="005B1470"/>
    <w:rsid w:val="005B548A"/>
    <w:rsid w:val="005B5EE2"/>
    <w:rsid w:val="005D6A7E"/>
    <w:rsid w:val="005E08DC"/>
    <w:rsid w:val="005E4D4E"/>
    <w:rsid w:val="005E7210"/>
    <w:rsid w:val="00606D05"/>
    <w:rsid w:val="00615F5E"/>
    <w:rsid w:val="006228DB"/>
    <w:rsid w:val="00626824"/>
    <w:rsid w:val="006318FA"/>
    <w:rsid w:val="006377C5"/>
    <w:rsid w:val="0064014C"/>
    <w:rsid w:val="00640E45"/>
    <w:rsid w:val="00640FD8"/>
    <w:rsid w:val="00652E40"/>
    <w:rsid w:val="0068313E"/>
    <w:rsid w:val="006852D7"/>
    <w:rsid w:val="00687506"/>
    <w:rsid w:val="00696EDC"/>
    <w:rsid w:val="00697CD9"/>
    <w:rsid w:val="006A1A17"/>
    <w:rsid w:val="006B04A5"/>
    <w:rsid w:val="006B45A2"/>
    <w:rsid w:val="006C3CD5"/>
    <w:rsid w:val="007137CB"/>
    <w:rsid w:val="0072466E"/>
    <w:rsid w:val="00743530"/>
    <w:rsid w:val="00750A8D"/>
    <w:rsid w:val="007528A9"/>
    <w:rsid w:val="00754C14"/>
    <w:rsid w:val="007563F9"/>
    <w:rsid w:val="0076780E"/>
    <w:rsid w:val="00774850"/>
    <w:rsid w:val="00783132"/>
    <w:rsid w:val="007837B6"/>
    <w:rsid w:val="00787406"/>
    <w:rsid w:val="00787761"/>
    <w:rsid w:val="007A37E7"/>
    <w:rsid w:val="007A5A15"/>
    <w:rsid w:val="007A7C09"/>
    <w:rsid w:val="007B0EB4"/>
    <w:rsid w:val="007D4266"/>
    <w:rsid w:val="007E4225"/>
    <w:rsid w:val="007F2FF1"/>
    <w:rsid w:val="007F45C5"/>
    <w:rsid w:val="00803D3E"/>
    <w:rsid w:val="00805265"/>
    <w:rsid w:val="00811D4B"/>
    <w:rsid w:val="0084023B"/>
    <w:rsid w:val="0087151F"/>
    <w:rsid w:val="00881F5E"/>
    <w:rsid w:val="00883A68"/>
    <w:rsid w:val="008843AD"/>
    <w:rsid w:val="00893B3B"/>
    <w:rsid w:val="008A424D"/>
    <w:rsid w:val="008A42C1"/>
    <w:rsid w:val="008A79CE"/>
    <w:rsid w:val="008B405D"/>
    <w:rsid w:val="008C175C"/>
    <w:rsid w:val="008C40D0"/>
    <w:rsid w:val="008D530F"/>
    <w:rsid w:val="008E011A"/>
    <w:rsid w:val="008E6745"/>
    <w:rsid w:val="008E6A15"/>
    <w:rsid w:val="008F1A43"/>
    <w:rsid w:val="008F2A6C"/>
    <w:rsid w:val="008F2D3F"/>
    <w:rsid w:val="009015E2"/>
    <w:rsid w:val="00912F45"/>
    <w:rsid w:val="00924F78"/>
    <w:rsid w:val="0092516D"/>
    <w:rsid w:val="00942467"/>
    <w:rsid w:val="009435FC"/>
    <w:rsid w:val="00961F71"/>
    <w:rsid w:val="00967394"/>
    <w:rsid w:val="00967708"/>
    <w:rsid w:val="00975EDF"/>
    <w:rsid w:val="00986EEA"/>
    <w:rsid w:val="00992CAB"/>
    <w:rsid w:val="009B4BB3"/>
    <w:rsid w:val="009C688F"/>
    <w:rsid w:val="009D1883"/>
    <w:rsid w:val="009E3CC1"/>
    <w:rsid w:val="00A01D0F"/>
    <w:rsid w:val="00A12A2B"/>
    <w:rsid w:val="00A20CE6"/>
    <w:rsid w:val="00A23882"/>
    <w:rsid w:val="00A314D5"/>
    <w:rsid w:val="00A4081F"/>
    <w:rsid w:val="00A614FE"/>
    <w:rsid w:val="00A66332"/>
    <w:rsid w:val="00A758FE"/>
    <w:rsid w:val="00A767CF"/>
    <w:rsid w:val="00A8384C"/>
    <w:rsid w:val="00A87F84"/>
    <w:rsid w:val="00AA07B9"/>
    <w:rsid w:val="00AC0D3D"/>
    <w:rsid w:val="00AD49AD"/>
    <w:rsid w:val="00AD73F5"/>
    <w:rsid w:val="00AE1CBE"/>
    <w:rsid w:val="00AE7A73"/>
    <w:rsid w:val="00AF155A"/>
    <w:rsid w:val="00AF24B0"/>
    <w:rsid w:val="00AF3E07"/>
    <w:rsid w:val="00B0572F"/>
    <w:rsid w:val="00B1335C"/>
    <w:rsid w:val="00B15162"/>
    <w:rsid w:val="00B201C1"/>
    <w:rsid w:val="00B20B70"/>
    <w:rsid w:val="00B23C2E"/>
    <w:rsid w:val="00B31F60"/>
    <w:rsid w:val="00B432F6"/>
    <w:rsid w:val="00B51BBA"/>
    <w:rsid w:val="00B54F7D"/>
    <w:rsid w:val="00B617F0"/>
    <w:rsid w:val="00B9172B"/>
    <w:rsid w:val="00B94226"/>
    <w:rsid w:val="00BB3F49"/>
    <w:rsid w:val="00BB792F"/>
    <w:rsid w:val="00BD4834"/>
    <w:rsid w:val="00BE0896"/>
    <w:rsid w:val="00BE3BC2"/>
    <w:rsid w:val="00C14D0A"/>
    <w:rsid w:val="00C26E34"/>
    <w:rsid w:val="00C3439D"/>
    <w:rsid w:val="00C34454"/>
    <w:rsid w:val="00C414A8"/>
    <w:rsid w:val="00C4454E"/>
    <w:rsid w:val="00C4665A"/>
    <w:rsid w:val="00C5783C"/>
    <w:rsid w:val="00C57B44"/>
    <w:rsid w:val="00C642A8"/>
    <w:rsid w:val="00C71C1D"/>
    <w:rsid w:val="00C71DA8"/>
    <w:rsid w:val="00C725EE"/>
    <w:rsid w:val="00CB1355"/>
    <w:rsid w:val="00CB5E48"/>
    <w:rsid w:val="00CC0BF4"/>
    <w:rsid w:val="00CC2D36"/>
    <w:rsid w:val="00CD2519"/>
    <w:rsid w:val="00D07C17"/>
    <w:rsid w:val="00D17AD1"/>
    <w:rsid w:val="00D21909"/>
    <w:rsid w:val="00D227A3"/>
    <w:rsid w:val="00D26714"/>
    <w:rsid w:val="00D2708F"/>
    <w:rsid w:val="00D335C4"/>
    <w:rsid w:val="00D46872"/>
    <w:rsid w:val="00D51460"/>
    <w:rsid w:val="00D51FE8"/>
    <w:rsid w:val="00D634D9"/>
    <w:rsid w:val="00D665A6"/>
    <w:rsid w:val="00D91F2C"/>
    <w:rsid w:val="00DA1F4A"/>
    <w:rsid w:val="00DA5DD9"/>
    <w:rsid w:val="00DB4FF1"/>
    <w:rsid w:val="00DC0522"/>
    <w:rsid w:val="00DE5AF3"/>
    <w:rsid w:val="00DE6FEF"/>
    <w:rsid w:val="00E06F8D"/>
    <w:rsid w:val="00E2220C"/>
    <w:rsid w:val="00E37BC2"/>
    <w:rsid w:val="00E463F3"/>
    <w:rsid w:val="00E4738F"/>
    <w:rsid w:val="00E52C01"/>
    <w:rsid w:val="00E60813"/>
    <w:rsid w:val="00E665D2"/>
    <w:rsid w:val="00E7790B"/>
    <w:rsid w:val="00E844AF"/>
    <w:rsid w:val="00E9059F"/>
    <w:rsid w:val="00E940F5"/>
    <w:rsid w:val="00EB157A"/>
    <w:rsid w:val="00EB62C9"/>
    <w:rsid w:val="00EC571A"/>
    <w:rsid w:val="00EF38A7"/>
    <w:rsid w:val="00F14CFF"/>
    <w:rsid w:val="00F16FEA"/>
    <w:rsid w:val="00F269DC"/>
    <w:rsid w:val="00F277C0"/>
    <w:rsid w:val="00F30072"/>
    <w:rsid w:val="00F326B1"/>
    <w:rsid w:val="00F34713"/>
    <w:rsid w:val="00F44B94"/>
    <w:rsid w:val="00F75FD5"/>
    <w:rsid w:val="00F80AAE"/>
    <w:rsid w:val="00F82FA3"/>
    <w:rsid w:val="00F85101"/>
    <w:rsid w:val="00F9492C"/>
    <w:rsid w:val="00F94A69"/>
    <w:rsid w:val="00FB17AD"/>
    <w:rsid w:val="00FC7DF9"/>
    <w:rsid w:val="00FC7F6F"/>
    <w:rsid w:val="00FD40FB"/>
    <w:rsid w:val="00FF42C3"/>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7DD8"/>
  <w15:chartTrackingRefBased/>
  <w15:docId w15:val="{F4E51086-1A2F-6240-9921-B6AAEF2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A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C571A"/>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en-US"/>
    </w:rPr>
  </w:style>
  <w:style w:type="paragraph" w:styleId="Heading2">
    <w:name w:val="heading 2"/>
    <w:basedOn w:val="Normal"/>
    <w:next w:val="Normal"/>
    <w:link w:val="Heading2Char"/>
    <w:uiPriority w:val="9"/>
    <w:unhideWhenUsed/>
    <w:qFormat/>
    <w:rsid w:val="00EC571A"/>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eastAsia="en-US"/>
    </w:rPr>
  </w:style>
  <w:style w:type="paragraph" w:styleId="Heading3">
    <w:name w:val="heading 3"/>
    <w:basedOn w:val="Normal"/>
    <w:next w:val="Normal"/>
    <w:link w:val="Heading3Char"/>
    <w:uiPriority w:val="9"/>
    <w:unhideWhenUsed/>
    <w:qFormat/>
    <w:rsid w:val="00EC571A"/>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eastAsia="en-US"/>
    </w:rPr>
  </w:style>
  <w:style w:type="paragraph" w:styleId="Heading4">
    <w:name w:val="heading 4"/>
    <w:basedOn w:val="Normal"/>
    <w:next w:val="Normal"/>
    <w:link w:val="Heading4Char"/>
    <w:uiPriority w:val="9"/>
    <w:semiHidden/>
    <w:unhideWhenUsed/>
    <w:qFormat/>
    <w:rsid w:val="00EC571A"/>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eastAsia="en-US"/>
    </w:rPr>
  </w:style>
  <w:style w:type="paragraph" w:styleId="Heading5">
    <w:name w:val="heading 5"/>
    <w:basedOn w:val="Normal"/>
    <w:next w:val="Normal"/>
    <w:link w:val="Heading5Char"/>
    <w:uiPriority w:val="9"/>
    <w:semiHidden/>
    <w:unhideWhenUsed/>
    <w:qFormat/>
    <w:rsid w:val="00EC571A"/>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eastAsia="en-US"/>
    </w:rPr>
  </w:style>
  <w:style w:type="paragraph" w:styleId="Heading6">
    <w:name w:val="heading 6"/>
    <w:basedOn w:val="Normal"/>
    <w:next w:val="Normal"/>
    <w:link w:val="Heading6Char"/>
    <w:uiPriority w:val="9"/>
    <w:semiHidden/>
    <w:unhideWhenUsed/>
    <w:qFormat/>
    <w:rsid w:val="00EC571A"/>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eastAsia="en-US"/>
    </w:rPr>
  </w:style>
  <w:style w:type="paragraph" w:styleId="Heading7">
    <w:name w:val="heading 7"/>
    <w:basedOn w:val="Normal"/>
    <w:next w:val="Normal"/>
    <w:link w:val="Heading7Char"/>
    <w:uiPriority w:val="9"/>
    <w:semiHidden/>
    <w:unhideWhenUsed/>
    <w:qFormat/>
    <w:rsid w:val="00EC571A"/>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EC571A"/>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EC571A"/>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71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EC571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EC571A"/>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semiHidden/>
    <w:rsid w:val="00EC571A"/>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semiHidden/>
    <w:rsid w:val="00EC571A"/>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semiHidden/>
    <w:rsid w:val="00EC571A"/>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semiHidden/>
    <w:rsid w:val="00EC571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C57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571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C571A"/>
    <w:pPr>
      <w:spacing w:after="160" w:line="259" w:lineRule="auto"/>
      <w:ind w:left="720"/>
      <w:contextualSpacing/>
    </w:pPr>
    <w:rPr>
      <w:rFonts w:asciiTheme="minorHAnsi" w:eastAsiaTheme="minorEastAsia" w:hAnsiTheme="minorHAnsi" w:cstheme="minorBidi"/>
      <w:sz w:val="22"/>
      <w:szCs w:val="22"/>
      <w:lang w:eastAsia="en-US"/>
    </w:rPr>
  </w:style>
  <w:style w:type="paragraph" w:styleId="FootnoteText">
    <w:name w:val="footnote text"/>
    <w:basedOn w:val="Normal"/>
    <w:link w:val="FootnoteTextChar"/>
    <w:uiPriority w:val="99"/>
    <w:unhideWhenUsed/>
    <w:rsid w:val="00EC571A"/>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EC571A"/>
    <w:rPr>
      <w:rFonts w:eastAsiaTheme="minorEastAsia"/>
      <w:sz w:val="20"/>
      <w:szCs w:val="20"/>
    </w:rPr>
  </w:style>
  <w:style w:type="character" w:styleId="FootnoteReference">
    <w:name w:val="footnote reference"/>
    <w:basedOn w:val="DefaultParagraphFont"/>
    <w:uiPriority w:val="99"/>
    <w:unhideWhenUsed/>
    <w:rsid w:val="00EC571A"/>
    <w:rPr>
      <w:vertAlign w:val="superscript"/>
    </w:rPr>
  </w:style>
  <w:style w:type="paragraph" w:styleId="Title">
    <w:name w:val="Title"/>
    <w:basedOn w:val="Normal"/>
    <w:next w:val="Normal"/>
    <w:link w:val="TitleChar"/>
    <w:uiPriority w:val="10"/>
    <w:qFormat/>
    <w:rsid w:val="00EC571A"/>
    <w:pPr>
      <w:contextualSpacing/>
    </w:pPr>
    <w:rPr>
      <w:rFonts w:asciiTheme="majorHAnsi" w:eastAsiaTheme="majorEastAsia" w:hAnsiTheme="majorHAnsi" w:cstheme="majorBidi"/>
      <w:color w:val="000000" w:themeColor="text1"/>
      <w:sz w:val="56"/>
      <w:szCs w:val="56"/>
      <w:lang w:eastAsia="en-US"/>
    </w:rPr>
  </w:style>
  <w:style w:type="character" w:customStyle="1" w:styleId="TitleChar">
    <w:name w:val="Title Char"/>
    <w:basedOn w:val="DefaultParagraphFont"/>
    <w:link w:val="Title"/>
    <w:uiPriority w:val="10"/>
    <w:rsid w:val="00EC571A"/>
    <w:rPr>
      <w:rFonts w:asciiTheme="majorHAnsi" w:eastAsiaTheme="majorEastAsia" w:hAnsiTheme="majorHAnsi" w:cstheme="majorBidi"/>
      <w:color w:val="000000" w:themeColor="text1"/>
      <w:sz w:val="56"/>
      <w:szCs w:val="56"/>
    </w:rPr>
  </w:style>
  <w:style w:type="paragraph" w:styleId="Caption">
    <w:name w:val="caption"/>
    <w:basedOn w:val="Normal"/>
    <w:next w:val="Normal"/>
    <w:uiPriority w:val="35"/>
    <w:unhideWhenUsed/>
    <w:qFormat/>
    <w:rsid w:val="00EC571A"/>
    <w:pPr>
      <w:spacing w:after="200"/>
    </w:pPr>
    <w:rPr>
      <w:rFonts w:asciiTheme="minorHAnsi" w:eastAsiaTheme="minorEastAsia" w:hAnsiTheme="minorHAnsi" w:cstheme="minorBidi"/>
      <w:i/>
      <w:iCs/>
      <w:color w:val="44546A" w:themeColor="text2"/>
      <w:sz w:val="18"/>
      <w:szCs w:val="18"/>
      <w:lang w:eastAsia="en-US"/>
    </w:rPr>
  </w:style>
  <w:style w:type="character" w:styleId="Hyperlink">
    <w:name w:val="Hyperlink"/>
    <w:basedOn w:val="DefaultParagraphFont"/>
    <w:uiPriority w:val="99"/>
    <w:unhideWhenUsed/>
    <w:rsid w:val="00EC571A"/>
    <w:rPr>
      <w:color w:val="0563C1" w:themeColor="hyperlink"/>
      <w:u w:val="single"/>
    </w:rPr>
  </w:style>
  <w:style w:type="table" w:styleId="TableGrid">
    <w:name w:val="Table Grid"/>
    <w:basedOn w:val="TableNormal"/>
    <w:uiPriority w:val="39"/>
    <w:rsid w:val="00EC57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571A"/>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EC571A"/>
    <w:rPr>
      <w:rFonts w:eastAsiaTheme="minorEastAsia"/>
      <w:sz w:val="22"/>
      <w:szCs w:val="22"/>
    </w:rPr>
  </w:style>
  <w:style w:type="character" w:styleId="PageNumber">
    <w:name w:val="page number"/>
    <w:basedOn w:val="DefaultParagraphFont"/>
    <w:uiPriority w:val="99"/>
    <w:semiHidden/>
    <w:unhideWhenUsed/>
    <w:rsid w:val="00EC571A"/>
  </w:style>
  <w:style w:type="character" w:styleId="CommentReference">
    <w:name w:val="annotation reference"/>
    <w:basedOn w:val="DefaultParagraphFont"/>
    <w:uiPriority w:val="99"/>
    <w:semiHidden/>
    <w:unhideWhenUsed/>
    <w:rsid w:val="002C7ACE"/>
    <w:rPr>
      <w:sz w:val="16"/>
      <w:szCs w:val="16"/>
    </w:rPr>
  </w:style>
  <w:style w:type="paragraph" w:styleId="CommentText">
    <w:name w:val="annotation text"/>
    <w:basedOn w:val="Normal"/>
    <w:link w:val="CommentTextChar"/>
    <w:uiPriority w:val="99"/>
    <w:semiHidden/>
    <w:unhideWhenUsed/>
    <w:rsid w:val="002C7ACE"/>
    <w:rPr>
      <w:sz w:val="20"/>
      <w:szCs w:val="20"/>
      <w:lang w:eastAsia="en-US"/>
    </w:rPr>
  </w:style>
  <w:style w:type="character" w:customStyle="1" w:styleId="CommentTextChar">
    <w:name w:val="Comment Text Char"/>
    <w:basedOn w:val="DefaultParagraphFont"/>
    <w:link w:val="CommentText"/>
    <w:uiPriority w:val="99"/>
    <w:semiHidden/>
    <w:rsid w:val="002C7A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7ACE"/>
    <w:rPr>
      <w:b/>
      <w:bCs/>
    </w:rPr>
  </w:style>
  <w:style w:type="character" w:customStyle="1" w:styleId="CommentSubjectChar">
    <w:name w:val="Comment Subject Char"/>
    <w:basedOn w:val="CommentTextChar"/>
    <w:link w:val="CommentSubject"/>
    <w:uiPriority w:val="99"/>
    <w:semiHidden/>
    <w:rsid w:val="002C7A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7ACE"/>
    <w:rPr>
      <w:sz w:val="18"/>
      <w:szCs w:val="18"/>
      <w:lang w:eastAsia="en-US"/>
    </w:rPr>
  </w:style>
  <w:style w:type="character" w:customStyle="1" w:styleId="BalloonTextChar">
    <w:name w:val="Balloon Text Char"/>
    <w:basedOn w:val="DefaultParagraphFont"/>
    <w:link w:val="BalloonText"/>
    <w:uiPriority w:val="99"/>
    <w:semiHidden/>
    <w:rsid w:val="002C7AC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7A7C09"/>
    <w:rPr>
      <w:color w:val="605E5C"/>
      <w:shd w:val="clear" w:color="auto" w:fill="E1DFDD"/>
    </w:rPr>
  </w:style>
  <w:style w:type="character" w:styleId="FollowedHyperlink">
    <w:name w:val="FollowedHyperlink"/>
    <w:basedOn w:val="DefaultParagraphFont"/>
    <w:uiPriority w:val="99"/>
    <w:semiHidden/>
    <w:unhideWhenUsed/>
    <w:rsid w:val="005256CD"/>
    <w:rPr>
      <w:color w:val="954F72" w:themeColor="followedHyperlink"/>
      <w:u w:val="single"/>
    </w:rPr>
  </w:style>
  <w:style w:type="paragraph" w:customStyle="1" w:styleId="Default">
    <w:name w:val="Default"/>
    <w:rsid w:val="00A4081F"/>
    <w:pPr>
      <w:autoSpaceDE w:val="0"/>
      <w:autoSpaceDN w:val="0"/>
      <w:adjustRightInd w:val="0"/>
    </w:pPr>
    <w:rPr>
      <w:rFonts w:ascii="SGUMIR+Calibri-Light" w:hAnsi="SGUMIR+Calibri-Light" w:cs="SGUMIR+Calibri-Light"/>
      <w:color w:val="000000"/>
    </w:rPr>
  </w:style>
  <w:style w:type="character" w:styleId="Emphasis">
    <w:name w:val="Emphasis"/>
    <w:basedOn w:val="DefaultParagraphFont"/>
    <w:uiPriority w:val="20"/>
    <w:qFormat/>
    <w:rsid w:val="00F30072"/>
    <w:rPr>
      <w:i/>
      <w:iCs/>
    </w:rPr>
  </w:style>
  <w:style w:type="character" w:customStyle="1" w:styleId="personname">
    <w:name w:val="person_name"/>
    <w:basedOn w:val="DefaultParagraphFont"/>
    <w:rsid w:val="00AD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2305">
      <w:bodyDiv w:val="1"/>
      <w:marLeft w:val="0"/>
      <w:marRight w:val="0"/>
      <w:marTop w:val="0"/>
      <w:marBottom w:val="0"/>
      <w:divBdr>
        <w:top w:val="none" w:sz="0" w:space="0" w:color="auto"/>
        <w:left w:val="none" w:sz="0" w:space="0" w:color="auto"/>
        <w:bottom w:val="none" w:sz="0" w:space="0" w:color="auto"/>
        <w:right w:val="none" w:sz="0" w:space="0" w:color="auto"/>
      </w:divBdr>
    </w:div>
    <w:div w:id="249775169">
      <w:bodyDiv w:val="1"/>
      <w:marLeft w:val="0"/>
      <w:marRight w:val="0"/>
      <w:marTop w:val="0"/>
      <w:marBottom w:val="0"/>
      <w:divBdr>
        <w:top w:val="none" w:sz="0" w:space="0" w:color="auto"/>
        <w:left w:val="none" w:sz="0" w:space="0" w:color="auto"/>
        <w:bottom w:val="none" w:sz="0" w:space="0" w:color="auto"/>
        <w:right w:val="none" w:sz="0" w:space="0" w:color="auto"/>
      </w:divBdr>
    </w:div>
    <w:div w:id="516044248">
      <w:bodyDiv w:val="1"/>
      <w:marLeft w:val="0"/>
      <w:marRight w:val="0"/>
      <w:marTop w:val="0"/>
      <w:marBottom w:val="0"/>
      <w:divBdr>
        <w:top w:val="none" w:sz="0" w:space="0" w:color="auto"/>
        <w:left w:val="none" w:sz="0" w:space="0" w:color="auto"/>
        <w:bottom w:val="none" w:sz="0" w:space="0" w:color="auto"/>
        <w:right w:val="none" w:sz="0" w:space="0" w:color="auto"/>
      </w:divBdr>
    </w:div>
    <w:div w:id="539778857">
      <w:bodyDiv w:val="1"/>
      <w:marLeft w:val="0"/>
      <w:marRight w:val="0"/>
      <w:marTop w:val="0"/>
      <w:marBottom w:val="0"/>
      <w:divBdr>
        <w:top w:val="none" w:sz="0" w:space="0" w:color="auto"/>
        <w:left w:val="none" w:sz="0" w:space="0" w:color="auto"/>
        <w:bottom w:val="none" w:sz="0" w:space="0" w:color="auto"/>
        <w:right w:val="none" w:sz="0" w:space="0" w:color="auto"/>
      </w:divBdr>
      <w:divsChild>
        <w:div w:id="101536247">
          <w:marLeft w:val="0"/>
          <w:marRight w:val="0"/>
          <w:marTop w:val="0"/>
          <w:marBottom w:val="0"/>
          <w:divBdr>
            <w:top w:val="none" w:sz="0" w:space="0" w:color="auto"/>
            <w:left w:val="none" w:sz="0" w:space="0" w:color="auto"/>
            <w:bottom w:val="none" w:sz="0" w:space="0" w:color="auto"/>
            <w:right w:val="none" w:sz="0" w:space="0" w:color="auto"/>
          </w:divBdr>
        </w:div>
      </w:divsChild>
    </w:div>
    <w:div w:id="721907702">
      <w:bodyDiv w:val="1"/>
      <w:marLeft w:val="0"/>
      <w:marRight w:val="0"/>
      <w:marTop w:val="0"/>
      <w:marBottom w:val="0"/>
      <w:divBdr>
        <w:top w:val="none" w:sz="0" w:space="0" w:color="auto"/>
        <w:left w:val="none" w:sz="0" w:space="0" w:color="auto"/>
        <w:bottom w:val="none" w:sz="0" w:space="0" w:color="auto"/>
        <w:right w:val="none" w:sz="0" w:space="0" w:color="auto"/>
      </w:divBdr>
      <w:divsChild>
        <w:div w:id="1471433944">
          <w:marLeft w:val="0"/>
          <w:marRight w:val="0"/>
          <w:marTop w:val="0"/>
          <w:marBottom w:val="0"/>
          <w:divBdr>
            <w:top w:val="none" w:sz="0" w:space="0" w:color="auto"/>
            <w:left w:val="none" w:sz="0" w:space="0" w:color="auto"/>
            <w:bottom w:val="none" w:sz="0" w:space="0" w:color="auto"/>
            <w:right w:val="none" w:sz="0" w:space="0" w:color="auto"/>
          </w:divBdr>
        </w:div>
      </w:divsChild>
    </w:div>
    <w:div w:id="724639848">
      <w:bodyDiv w:val="1"/>
      <w:marLeft w:val="0"/>
      <w:marRight w:val="0"/>
      <w:marTop w:val="0"/>
      <w:marBottom w:val="0"/>
      <w:divBdr>
        <w:top w:val="none" w:sz="0" w:space="0" w:color="auto"/>
        <w:left w:val="none" w:sz="0" w:space="0" w:color="auto"/>
        <w:bottom w:val="none" w:sz="0" w:space="0" w:color="auto"/>
        <w:right w:val="none" w:sz="0" w:space="0" w:color="auto"/>
      </w:divBdr>
      <w:divsChild>
        <w:div w:id="850920025">
          <w:marLeft w:val="0"/>
          <w:marRight w:val="0"/>
          <w:marTop w:val="0"/>
          <w:marBottom w:val="0"/>
          <w:divBdr>
            <w:top w:val="none" w:sz="0" w:space="0" w:color="auto"/>
            <w:left w:val="none" w:sz="0" w:space="0" w:color="auto"/>
            <w:bottom w:val="none" w:sz="0" w:space="0" w:color="auto"/>
            <w:right w:val="none" w:sz="0" w:space="0" w:color="auto"/>
          </w:divBdr>
        </w:div>
      </w:divsChild>
    </w:div>
    <w:div w:id="991715165">
      <w:bodyDiv w:val="1"/>
      <w:marLeft w:val="0"/>
      <w:marRight w:val="0"/>
      <w:marTop w:val="0"/>
      <w:marBottom w:val="0"/>
      <w:divBdr>
        <w:top w:val="none" w:sz="0" w:space="0" w:color="auto"/>
        <w:left w:val="none" w:sz="0" w:space="0" w:color="auto"/>
        <w:bottom w:val="none" w:sz="0" w:space="0" w:color="auto"/>
        <w:right w:val="none" w:sz="0" w:space="0" w:color="auto"/>
      </w:divBdr>
      <w:divsChild>
        <w:div w:id="2099321766">
          <w:marLeft w:val="0"/>
          <w:marRight w:val="0"/>
          <w:marTop w:val="0"/>
          <w:marBottom w:val="0"/>
          <w:divBdr>
            <w:top w:val="none" w:sz="0" w:space="0" w:color="auto"/>
            <w:left w:val="none" w:sz="0" w:space="0" w:color="auto"/>
            <w:bottom w:val="none" w:sz="0" w:space="0" w:color="auto"/>
            <w:right w:val="none" w:sz="0" w:space="0" w:color="auto"/>
          </w:divBdr>
        </w:div>
      </w:divsChild>
    </w:div>
    <w:div w:id="1027177382">
      <w:bodyDiv w:val="1"/>
      <w:marLeft w:val="0"/>
      <w:marRight w:val="0"/>
      <w:marTop w:val="0"/>
      <w:marBottom w:val="0"/>
      <w:divBdr>
        <w:top w:val="none" w:sz="0" w:space="0" w:color="auto"/>
        <w:left w:val="none" w:sz="0" w:space="0" w:color="auto"/>
        <w:bottom w:val="none" w:sz="0" w:space="0" w:color="auto"/>
        <w:right w:val="none" w:sz="0" w:space="0" w:color="auto"/>
      </w:divBdr>
    </w:div>
    <w:div w:id="1074203150">
      <w:bodyDiv w:val="1"/>
      <w:marLeft w:val="0"/>
      <w:marRight w:val="0"/>
      <w:marTop w:val="0"/>
      <w:marBottom w:val="0"/>
      <w:divBdr>
        <w:top w:val="none" w:sz="0" w:space="0" w:color="auto"/>
        <w:left w:val="none" w:sz="0" w:space="0" w:color="auto"/>
        <w:bottom w:val="none" w:sz="0" w:space="0" w:color="auto"/>
        <w:right w:val="none" w:sz="0" w:space="0" w:color="auto"/>
      </w:divBdr>
    </w:div>
    <w:div w:id="1207259415">
      <w:bodyDiv w:val="1"/>
      <w:marLeft w:val="0"/>
      <w:marRight w:val="0"/>
      <w:marTop w:val="0"/>
      <w:marBottom w:val="0"/>
      <w:divBdr>
        <w:top w:val="none" w:sz="0" w:space="0" w:color="auto"/>
        <w:left w:val="none" w:sz="0" w:space="0" w:color="auto"/>
        <w:bottom w:val="none" w:sz="0" w:space="0" w:color="auto"/>
        <w:right w:val="none" w:sz="0" w:space="0" w:color="auto"/>
      </w:divBdr>
    </w:div>
    <w:div w:id="1222407591">
      <w:bodyDiv w:val="1"/>
      <w:marLeft w:val="0"/>
      <w:marRight w:val="0"/>
      <w:marTop w:val="0"/>
      <w:marBottom w:val="0"/>
      <w:divBdr>
        <w:top w:val="none" w:sz="0" w:space="0" w:color="auto"/>
        <w:left w:val="none" w:sz="0" w:space="0" w:color="auto"/>
        <w:bottom w:val="none" w:sz="0" w:space="0" w:color="auto"/>
        <w:right w:val="none" w:sz="0" w:space="0" w:color="auto"/>
      </w:divBdr>
    </w:div>
    <w:div w:id="1401563786">
      <w:bodyDiv w:val="1"/>
      <w:marLeft w:val="0"/>
      <w:marRight w:val="0"/>
      <w:marTop w:val="0"/>
      <w:marBottom w:val="0"/>
      <w:divBdr>
        <w:top w:val="none" w:sz="0" w:space="0" w:color="auto"/>
        <w:left w:val="none" w:sz="0" w:space="0" w:color="auto"/>
        <w:bottom w:val="none" w:sz="0" w:space="0" w:color="auto"/>
        <w:right w:val="none" w:sz="0" w:space="0" w:color="auto"/>
      </w:divBdr>
    </w:div>
    <w:div w:id="1403988323">
      <w:bodyDiv w:val="1"/>
      <w:marLeft w:val="0"/>
      <w:marRight w:val="0"/>
      <w:marTop w:val="0"/>
      <w:marBottom w:val="0"/>
      <w:divBdr>
        <w:top w:val="none" w:sz="0" w:space="0" w:color="auto"/>
        <w:left w:val="none" w:sz="0" w:space="0" w:color="auto"/>
        <w:bottom w:val="none" w:sz="0" w:space="0" w:color="auto"/>
        <w:right w:val="none" w:sz="0" w:space="0" w:color="auto"/>
      </w:divBdr>
      <w:divsChild>
        <w:div w:id="1558737553">
          <w:marLeft w:val="0"/>
          <w:marRight w:val="0"/>
          <w:marTop w:val="0"/>
          <w:marBottom w:val="0"/>
          <w:divBdr>
            <w:top w:val="none" w:sz="0" w:space="0" w:color="auto"/>
            <w:left w:val="none" w:sz="0" w:space="0" w:color="auto"/>
            <w:bottom w:val="none" w:sz="0" w:space="0" w:color="auto"/>
            <w:right w:val="none" w:sz="0" w:space="0" w:color="auto"/>
          </w:divBdr>
        </w:div>
      </w:divsChild>
    </w:div>
    <w:div w:id="1416898657">
      <w:bodyDiv w:val="1"/>
      <w:marLeft w:val="0"/>
      <w:marRight w:val="0"/>
      <w:marTop w:val="0"/>
      <w:marBottom w:val="0"/>
      <w:divBdr>
        <w:top w:val="none" w:sz="0" w:space="0" w:color="auto"/>
        <w:left w:val="none" w:sz="0" w:space="0" w:color="auto"/>
        <w:bottom w:val="none" w:sz="0" w:space="0" w:color="auto"/>
        <w:right w:val="none" w:sz="0" w:space="0" w:color="auto"/>
      </w:divBdr>
    </w:div>
    <w:div w:id="1439253448">
      <w:bodyDiv w:val="1"/>
      <w:marLeft w:val="0"/>
      <w:marRight w:val="0"/>
      <w:marTop w:val="0"/>
      <w:marBottom w:val="0"/>
      <w:divBdr>
        <w:top w:val="none" w:sz="0" w:space="0" w:color="auto"/>
        <w:left w:val="none" w:sz="0" w:space="0" w:color="auto"/>
        <w:bottom w:val="none" w:sz="0" w:space="0" w:color="auto"/>
        <w:right w:val="none" w:sz="0" w:space="0" w:color="auto"/>
      </w:divBdr>
    </w:div>
    <w:div w:id="1454132458">
      <w:bodyDiv w:val="1"/>
      <w:marLeft w:val="0"/>
      <w:marRight w:val="0"/>
      <w:marTop w:val="0"/>
      <w:marBottom w:val="0"/>
      <w:divBdr>
        <w:top w:val="none" w:sz="0" w:space="0" w:color="auto"/>
        <w:left w:val="none" w:sz="0" w:space="0" w:color="auto"/>
        <w:bottom w:val="none" w:sz="0" w:space="0" w:color="auto"/>
        <w:right w:val="none" w:sz="0" w:space="0" w:color="auto"/>
      </w:divBdr>
      <w:divsChild>
        <w:div w:id="558975640">
          <w:marLeft w:val="0"/>
          <w:marRight w:val="0"/>
          <w:marTop w:val="0"/>
          <w:marBottom w:val="0"/>
          <w:divBdr>
            <w:top w:val="none" w:sz="0" w:space="0" w:color="auto"/>
            <w:left w:val="none" w:sz="0" w:space="0" w:color="auto"/>
            <w:bottom w:val="none" w:sz="0" w:space="0" w:color="auto"/>
            <w:right w:val="none" w:sz="0" w:space="0" w:color="auto"/>
          </w:divBdr>
        </w:div>
      </w:divsChild>
    </w:div>
    <w:div w:id="1620377671">
      <w:bodyDiv w:val="1"/>
      <w:marLeft w:val="0"/>
      <w:marRight w:val="0"/>
      <w:marTop w:val="0"/>
      <w:marBottom w:val="0"/>
      <w:divBdr>
        <w:top w:val="none" w:sz="0" w:space="0" w:color="auto"/>
        <w:left w:val="none" w:sz="0" w:space="0" w:color="auto"/>
        <w:bottom w:val="none" w:sz="0" w:space="0" w:color="auto"/>
        <w:right w:val="none" w:sz="0" w:space="0" w:color="auto"/>
      </w:divBdr>
    </w:div>
    <w:div w:id="1671758828">
      <w:bodyDiv w:val="1"/>
      <w:marLeft w:val="0"/>
      <w:marRight w:val="0"/>
      <w:marTop w:val="0"/>
      <w:marBottom w:val="0"/>
      <w:divBdr>
        <w:top w:val="none" w:sz="0" w:space="0" w:color="auto"/>
        <w:left w:val="none" w:sz="0" w:space="0" w:color="auto"/>
        <w:bottom w:val="none" w:sz="0" w:space="0" w:color="auto"/>
        <w:right w:val="none" w:sz="0" w:space="0" w:color="auto"/>
      </w:divBdr>
      <w:divsChild>
        <w:div w:id="2121292038">
          <w:marLeft w:val="0"/>
          <w:marRight w:val="0"/>
          <w:marTop w:val="0"/>
          <w:marBottom w:val="0"/>
          <w:divBdr>
            <w:top w:val="none" w:sz="0" w:space="0" w:color="auto"/>
            <w:left w:val="none" w:sz="0" w:space="0" w:color="auto"/>
            <w:bottom w:val="none" w:sz="0" w:space="0" w:color="auto"/>
            <w:right w:val="none" w:sz="0" w:space="0" w:color="auto"/>
          </w:divBdr>
        </w:div>
      </w:divsChild>
    </w:div>
    <w:div w:id="1701469155">
      <w:bodyDiv w:val="1"/>
      <w:marLeft w:val="0"/>
      <w:marRight w:val="0"/>
      <w:marTop w:val="0"/>
      <w:marBottom w:val="0"/>
      <w:divBdr>
        <w:top w:val="none" w:sz="0" w:space="0" w:color="auto"/>
        <w:left w:val="none" w:sz="0" w:space="0" w:color="auto"/>
        <w:bottom w:val="none" w:sz="0" w:space="0" w:color="auto"/>
        <w:right w:val="none" w:sz="0" w:space="0" w:color="auto"/>
      </w:divBdr>
    </w:div>
    <w:div w:id="1901669378">
      <w:bodyDiv w:val="1"/>
      <w:marLeft w:val="0"/>
      <w:marRight w:val="0"/>
      <w:marTop w:val="0"/>
      <w:marBottom w:val="0"/>
      <w:divBdr>
        <w:top w:val="none" w:sz="0" w:space="0" w:color="auto"/>
        <w:left w:val="none" w:sz="0" w:space="0" w:color="auto"/>
        <w:bottom w:val="none" w:sz="0" w:space="0" w:color="auto"/>
        <w:right w:val="none" w:sz="0" w:space="0" w:color="auto"/>
      </w:divBdr>
    </w:div>
    <w:div w:id="2077123963">
      <w:bodyDiv w:val="1"/>
      <w:marLeft w:val="0"/>
      <w:marRight w:val="0"/>
      <w:marTop w:val="0"/>
      <w:marBottom w:val="0"/>
      <w:divBdr>
        <w:top w:val="none" w:sz="0" w:space="0" w:color="auto"/>
        <w:left w:val="none" w:sz="0" w:space="0" w:color="auto"/>
        <w:bottom w:val="none" w:sz="0" w:space="0" w:color="auto"/>
        <w:right w:val="none" w:sz="0" w:space="0" w:color="auto"/>
      </w:divBdr>
      <w:divsChild>
        <w:div w:id="311178197">
          <w:marLeft w:val="0"/>
          <w:marRight w:val="0"/>
          <w:marTop w:val="0"/>
          <w:marBottom w:val="0"/>
          <w:divBdr>
            <w:top w:val="none" w:sz="0" w:space="0" w:color="auto"/>
            <w:left w:val="none" w:sz="0" w:space="0" w:color="auto"/>
            <w:bottom w:val="none" w:sz="0" w:space="0" w:color="auto"/>
            <w:right w:val="none" w:sz="0" w:space="0" w:color="auto"/>
          </w:divBdr>
        </w:div>
      </w:divsChild>
    </w:div>
    <w:div w:id="2085033036">
      <w:bodyDiv w:val="1"/>
      <w:marLeft w:val="0"/>
      <w:marRight w:val="0"/>
      <w:marTop w:val="0"/>
      <w:marBottom w:val="0"/>
      <w:divBdr>
        <w:top w:val="none" w:sz="0" w:space="0" w:color="auto"/>
        <w:left w:val="none" w:sz="0" w:space="0" w:color="auto"/>
        <w:bottom w:val="none" w:sz="0" w:space="0" w:color="auto"/>
        <w:right w:val="none" w:sz="0" w:space="0" w:color="auto"/>
      </w:divBdr>
      <w:divsChild>
        <w:div w:id="108011722">
          <w:marLeft w:val="0"/>
          <w:marRight w:val="0"/>
          <w:marTop w:val="0"/>
          <w:marBottom w:val="0"/>
          <w:divBdr>
            <w:top w:val="none" w:sz="0" w:space="0" w:color="auto"/>
            <w:left w:val="none" w:sz="0" w:space="0" w:color="auto"/>
            <w:bottom w:val="none" w:sz="0" w:space="0" w:color="auto"/>
            <w:right w:val="none" w:sz="0" w:space="0" w:color="auto"/>
          </w:divBdr>
        </w:div>
      </w:divsChild>
    </w:div>
    <w:div w:id="20888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E5B1-27C5-4A4F-8035-E19080CF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7692</Words>
  <Characters>43846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Roulston, Stephen</dc:creator>
  <cp:keywords/>
  <dc:description/>
  <cp:lastModifiedBy>Roulston, Stephen</cp:lastModifiedBy>
  <cp:revision>9</cp:revision>
  <cp:lastPrinted>2020-03-03T20:01:00Z</cp:lastPrinted>
  <dcterms:created xsi:type="dcterms:W3CDTF">2020-06-22T19:23:00Z</dcterms:created>
  <dcterms:modified xsi:type="dcterms:W3CDTF">2020-07-06T10:40:00Z</dcterms:modified>
</cp:coreProperties>
</file>