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FE82D" w14:textId="77777777" w:rsidR="00DD24A4" w:rsidRPr="00AA26AF" w:rsidRDefault="00DD24A4" w:rsidP="00AA26AF">
      <w:pPr>
        <w:pStyle w:val="WPTitleandSubtitle"/>
        <w:jc w:val="both"/>
        <w:rPr>
          <w:rFonts w:ascii="Arial" w:hAnsi="Arial" w:cs="Arial"/>
          <w:sz w:val="22"/>
          <w:szCs w:val="22"/>
        </w:rPr>
      </w:pPr>
      <w:bookmarkStart w:id="0" w:name="_GoBack"/>
      <w:bookmarkEnd w:id="0"/>
      <w:r w:rsidRPr="00AA26AF">
        <w:rPr>
          <w:rFonts w:ascii="Arial" w:hAnsi="Arial" w:cs="Arial"/>
          <w:sz w:val="22"/>
          <w:szCs w:val="22"/>
        </w:rPr>
        <w:t>Nationwide Mass Appraisal Modeling in China: Feasibility Analysis for Scalability Given Ad Valorem Property Tax Reform</w:t>
      </w:r>
    </w:p>
    <w:p w14:paraId="195ADF11" w14:textId="77777777" w:rsidR="00DD24A4" w:rsidRPr="00AA26AF" w:rsidRDefault="00DD24A4" w:rsidP="00DD24A4">
      <w:pPr>
        <w:pStyle w:val="WPBodyText"/>
        <w:rPr>
          <w:rFonts w:ascii="Arial" w:hAnsi="Arial" w:cs="Arial"/>
          <w:sz w:val="22"/>
          <w:szCs w:val="22"/>
        </w:rPr>
      </w:pPr>
    </w:p>
    <w:p w14:paraId="4E2C450C" w14:textId="471488A7" w:rsidR="00DD24A4" w:rsidRDefault="00AA26AF" w:rsidP="00AA26AF">
      <w:pPr>
        <w:pStyle w:val="WPFrontMatterHead"/>
        <w:rPr>
          <w:rFonts w:ascii="Arial" w:hAnsi="Arial" w:cs="Arial"/>
          <w:b w:val="0"/>
          <w:bCs/>
          <w:i/>
          <w:iCs/>
          <w:sz w:val="22"/>
          <w:szCs w:val="22"/>
        </w:rPr>
      </w:pPr>
      <w:r w:rsidRPr="00AA26AF">
        <w:rPr>
          <w:rFonts w:ascii="Arial" w:hAnsi="Arial" w:cs="Arial"/>
          <w:b w:val="0"/>
          <w:bCs/>
          <w:i/>
          <w:iCs/>
          <w:sz w:val="22"/>
          <w:szCs w:val="22"/>
        </w:rPr>
        <w:t>Davis, P</w:t>
      </w:r>
      <w:r w:rsidRPr="00AA26AF">
        <w:rPr>
          <w:rFonts w:ascii="Arial" w:hAnsi="Arial" w:cs="Arial"/>
          <w:b w:val="0"/>
          <w:bCs/>
          <w:i/>
          <w:iCs/>
          <w:sz w:val="22"/>
          <w:szCs w:val="22"/>
          <w:vertAlign w:val="superscript"/>
        </w:rPr>
        <w:t>1</w:t>
      </w:r>
      <w:r w:rsidRPr="00AA26AF">
        <w:rPr>
          <w:rFonts w:ascii="Arial" w:hAnsi="Arial" w:cs="Arial"/>
          <w:b w:val="0"/>
          <w:bCs/>
          <w:i/>
          <w:iCs/>
          <w:sz w:val="22"/>
          <w:szCs w:val="22"/>
        </w:rPr>
        <w:t>., McCord, M</w:t>
      </w:r>
      <w:r w:rsidRPr="00AA26AF">
        <w:rPr>
          <w:rFonts w:ascii="Arial" w:hAnsi="Arial" w:cs="Arial"/>
          <w:b w:val="0"/>
          <w:bCs/>
          <w:i/>
          <w:iCs/>
          <w:sz w:val="22"/>
          <w:szCs w:val="22"/>
          <w:vertAlign w:val="superscript"/>
        </w:rPr>
        <w:t>1</w:t>
      </w:r>
      <w:r w:rsidRPr="00AA26AF">
        <w:rPr>
          <w:rFonts w:ascii="Arial" w:hAnsi="Arial" w:cs="Arial"/>
          <w:b w:val="0"/>
          <w:bCs/>
          <w:i/>
          <w:iCs/>
          <w:sz w:val="22"/>
          <w:szCs w:val="22"/>
        </w:rPr>
        <w:t>.</w:t>
      </w:r>
      <w:r w:rsidR="00841C8E">
        <w:rPr>
          <w:rFonts w:ascii="Arial" w:hAnsi="Arial" w:cs="Arial"/>
          <w:b w:val="0"/>
          <w:bCs/>
          <w:i/>
          <w:iCs/>
          <w:sz w:val="22"/>
          <w:szCs w:val="22"/>
        </w:rPr>
        <w:t xml:space="preserve">, </w:t>
      </w:r>
      <w:r w:rsidR="00841C8E" w:rsidRPr="00AA26AF">
        <w:rPr>
          <w:rFonts w:ascii="Arial" w:hAnsi="Arial" w:cs="Arial"/>
          <w:b w:val="0"/>
          <w:bCs/>
          <w:i/>
          <w:iCs/>
          <w:sz w:val="22"/>
          <w:szCs w:val="22"/>
        </w:rPr>
        <w:t>Bidanset, P</w:t>
      </w:r>
      <w:r w:rsidR="00841C8E" w:rsidRPr="00AA26AF">
        <w:rPr>
          <w:rFonts w:ascii="Arial" w:hAnsi="Arial" w:cs="Arial"/>
          <w:b w:val="0"/>
          <w:bCs/>
          <w:i/>
          <w:iCs/>
          <w:sz w:val="22"/>
          <w:szCs w:val="22"/>
          <w:vertAlign w:val="superscript"/>
        </w:rPr>
        <w:t>2</w:t>
      </w:r>
      <w:r w:rsidR="00841C8E">
        <w:rPr>
          <w:rFonts w:ascii="Arial" w:hAnsi="Arial" w:cs="Arial"/>
          <w:b w:val="0"/>
          <w:bCs/>
          <w:i/>
          <w:iCs/>
          <w:sz w:val="22"/>
          <w:szCs w:val="22"/>
        </w:rPr>
        <w:t xml:space="preserve">. </w:t>
      </w:r>
      <w:r w:rsidRPr="00AA26AF">
        <w:rPr>
          <w:rFonts w:ascii="Arial" w:hAnsi="Arial" w:cs="Arial"/>
          <w:b w:val="0"/>
          <w:bCs/>
          <w:i/>
          <w:iCs/>
          <w:sz w:val="22"/>
          <w:szCs w:val="22"/>
        </w:rPr>
        <w:t>and Cusack, M</w:t>
      </w:r>
      <w:r w:rsidRPr="00AA26AF">
        <w:rPr>
          <w:rFonts w:ascii="Arial" w:hAnsi="Arial" w:cs="Arial"/>
          <w:b w:val="0"/>
          <w:bCs/>
          <w:i/>
          <w:iCs/>
          <w:sz w:val="22"/>
          <w:szCs w:val="22"/>
          <w:vertAlign w:val="superscript"/>
        </w:rPr>
        <w:t>2</w:t>
      </w:r>
      <w:r w:rsidRPr="00AA26AF">
        <w:rPr>
          <w:rFonts w:ascii="Arial" w:hAnsi="Arial" w:cs="Arial"/>
          <w:b w:val="0"/>
          <w:bCs/>
          <w:i/>
          <w:iCs/>
          <w:sz w:val="22"/>
          <w:szCs w:val="22"/>
        </w:rPr>
        <w:t>.</w:t>
      </w:r>
    </w:p>
    <w:p w14:paraId="3C529985" w14:textId="0FC1A752" w:rsidR="00AA26AF" w:rsidRPr="005349DE" w:rsidRDefault="00AA26AF" w:rsidP="00AA26AF">
      <w:pPr>
        <w:autoSpaceDE w:val="0"/>
        <w:autoSpaceDN w:val="0"/>
        <w:adjustRightInd w:val="0"/>
        <w:spacing w:after="0" w:line="240" w:lineRule="auto"/>
        <w:jc w:val="center"/>
        <w:rPr>
          <w:rFonts w:ascii="Arial" w:hAnsi="Arial" w:cs="Arial"/>
          <w:i/>
          <w:lang w:val="en-US"/>
        </w:rPr>
      </w:pPr>
      <w:r w:rsidRPr="005349DE">
        <w:rPr>
          <w:rFonts w:ascii="Arial" w:hAnsi="Arial" w:cs="Arial"/>
          <w:i/>
          <w:vertAlign w:val="superscript"/>
          <w:lang w:val="en-US"/>
        </w:rPr>
        <w:t>1</w:t>
      </w:r>
      <w:r w:rsidRPr="005349DE">
        <w:rPr>
          <w:rFonts w:ascii="Arial" w:hAnsi="Arial" w:cs="Arial"/>
          <w:i/>
          <w:lang w:val="en-US"/>
        </w:rPr>
        <w:t>School of the Built Environment, Ulster University, Newtownabbey, UK.</w:t>
      </w:r>
    </w:p>
    <w:p w14:paraId="47D860D4" w14:textId="77777777" w:rsidR="00AA26AF" w:rsidRPr="005349DE" w:rsidRDefault="00AA26AF" w:rsidP="00AA26AF">
      <w:pPr>
        <w:autoSpaceDE w:val="0"/>
        <w:autoSpaceDN w:val="0"/>
        <w:adjustRightInd w:val="0"/>
        <w:spacing w:after="0" w:line="240" w:lineRule="auto"/>
        <w:jc w:val="center"/>
        <w:rPr>
          <w:rFonts w:ascii="Arial" w:hAnsi="Arial" w:cs="Arial"/>
          <w:i/>
          <w:sz w:val="24"/>
          <w:szCs w:val="24"/>
          <w:lang w:val="en-US"/>
        </w:rPr>
      </w:pPr>
      <w:r w:rsidRPr="005349DE">
        <w:rPr>
          <w:rFonts w:ascii="Arial" w:hAnsi="Arial" w:cs="Arial"/>
          <w:i/>
          <w:vertAlign w:val="superscript"/>
          <w:lang w:val="en-US"/>
        </w:rPr>
        <w:t>2</w:t>
      </w:r>
      <w:r w:rsidRPr="005349DE">
        <w:rPr>
          <w:rFonts w:ascii="Arial" w:hAnsi="Arial" w:cs="Arial"/>
          <w:i/>
          <w:lang w:val="en-US"/>
        </w:rPr>
        <w:t>International Association of Assessing Officers</w:t>
      </w:r>
      <w:r w:rsidRPr="005349DE">
        <w:rPr>
          <w:rFonts w:ascii="Arial" w:hAnsi="Arial" w:cs="Arial"/>
          <w:shd w:val="clear" w:color="auto" w:fill="FFFFFF"/>
        </w:rPr>
        <w:t xml:space="preserve">, Kansas City, Missouri </w:t>
      </w:r>
      <w:r w:rsidRPr="005349DE">
        <w:rPr>
          <w:rFonts w:ascii="Arial" w:hAnsi="Arial" w:cs="Arial"/>
          <w:i/>
          <w:lang w:val="en-US"/>
        </w:rPr>
        <w:t>USA</w:t>
      </w:r>
      <w:r w:rsidRPr="005349DE">
        <w:rPr>
          <w:rFonts w:ascii="Arial" w:hAnsi="Arial" w:cs="Arial"/>
          <w:i/>
          <w:sz w:val="24"/>
          <w:szCs w:val="24"/>
          <w:lang w:val="en-US"/>
        </w:rPr>
        <w:t>.</w:t>
      </w:r>
    </w:p>
    <w:p w14:paraId="66F368D2" w14:textId="240A5B05" w:rsidR="00AA26AF" w:rsidRPr="005349DE" w:rsidRDefault="00AA26AF" w:rsidP="00AA26AF">
      <w:pPr>
        <w:pStyle w:val="WPBodyText"/>
        <w:rPr>
          <w:rFonts w:ascii="Arial" w:hAnsi="Arial" w:cs="Arial"/>
        </w:rPr>
      </w:pPr>
    </w:p>
    <w:p w14:paraId="644F294E" w14:textId="77777777" w:rsidR="00AA26AF" w:rsidRDefault="00AA26AF" w:rsidP="00DD24A4">
      <w:pPr>
        <w:pStyle w:val="WPFrontMatterHead"/>
        <w:jc w:val="left"/>
        <w:rPr>
          <w:rFonts w:ascii="Arial" w:hAnsi="Arial" w:cs="Arial"/>
          <w:sz w:val="22"/>
          <w:szCs w:val="22"/>
        </w:rPr>
      </w:pPr>
    </w:p>
    <w:p w14:paraId="1361CE34" w14:textId="6D11F0C8" w:rsidR="00DD24A4" w:rsidRPr="00AA26AF" w:rsidRDefault="00DD24A4" w:rsidP="00DD24A4">
      <w:pPr>
        <w:pStyle w:val="WPFrontMatterHead"/>
        <w:jc w:val="left"/>
        <w:rPr>
          <w:rFonts w:ascii="Arial" w:hAnsi="Arial" w:cs="Arial"/>
          <w:sz w:val="22"/>
          <w:szCs w:val="22"/>
        </w:rPr>
      </w:pPr>
      <w:r w:rsidRPr="00AA26AF">
        <w:rPr>
          <w:rFonts w:ascii="Arial" w:hAnsi="Arial" w:cs="Arial"/>
          <w:sz w:val="22"/>
          <w:szCs w:val="22"/>
        </w:rPr>
        <w:t>Abstract</w:t>
      </w:r>
    </w:p>
    <w:p w14:paraId="2A30697F" w14:textId="77777777" w:rsidR="00DD24A4" w:rsidRPr="00AA26AF" w:rsidRDefault="00DD24A4" w:rsidP="00DD24A4">
      <w:pPr>
        <w:pStyle w:val="WPBodyText"/>
        <w:rPr>
          <w:rFonts w:ascii="Arial" w:hAnsi="Arial" w:cs="Arial"/>
          <w:sz w:val="22"/>
          <w:szCs w:val="22"/>
        </w:rPr>
      </w:pPr>
    </w:p>
    <w:p w14:paraId="1E4C075A" w14:textId="356E1C17" w:rsidR="00DD24A4" w:rsidRPr="00DF16F7" w:rsidRDefault="00DD24A4" w:rsidP="00DD24A4">
      <w:pPr>
        <w:pStyle w:val="WPBodyText"/>
        <w:jc w:val="both"/>
        <w:rPr>
          <w:rFonts w:ascii="Arial" w:hAnsi="Arial" w:cs="Arial"/>
          <w:iCs/>
          <w:sz w:val="22"/>
          <w:szCs w:val="22"/>
        </w:rPr>
      </w:pPr>
      <w:r w:rsidRPr="00DF16F7">
        <w:rPr>
          <w:rFonts w:ascii="Arial" w:hAnsi="Arial" w:cs="Arial"/>
          <w:iCs/>
          <w:sz w:val="22"/>
          <w:szCs w:val="22"/>
        </w:rPr>
        <w:t xml:space="preserve">The Chinese government has </w:t>
      </w:r>
      <w:r w:rsidR="00147CE7" w:rsidRPr="00DF16F7">
        <w:rPr>
          <w:rFonts w:ascii="Arial" w:hAnsi="Arial" w:cs="Arial"/>
          <w:iCs/>
          <w:sz w:val="22"/>
          <w:szCs w:val="22"/>
        </w:rPr>
        <w:t>stated the intention of</w:t>
      </w:r>
      <w:r w:rsidRPr="00DF16F7">
        <w:rPr>
          <w:rFonts w:ascii="Arial" w:hAnsi="Arial" w:cs="Arial"/>
          <w:iCs/>
          <w:sz w:val="22"/>
          <w:szCs w:val="22"/>
        </w:rPr>
        <w:t xml:space="preserve"> introducing an annual property tax (since 2003), and while selecting six pilot cities for experimenting with the viability of a mass appraisal system rollout, has not </w:t>
      </w:r>
      <w:r w:rsidR="00803EB2">
        <w:rPr>
          <w:rFonts w:ascii="Arial" w:hAnsi="Arial" w:cs="Arial"/>
          <w:iCs/>
          <w:sz w:val="22"/>
          <w:szCs w:val="22"/>
        </w:rPr>
        <w:t xml:space="preserve">yet </w:t>
      </w:r>
      <w:r w:rsidRPr="00DF16F7">
        <w:rPr>
          <w:rFonts w:ascii="Arial" w:hAnsi="Arial" w:cs="Arial"/>
          <w:iCs/>
          <w:sz w:val="22"/>
          <w:szCs w:val="22"/>
        </w:rPr>
        <w:t xml:space="preserve">adopted this as policy. </w:t>
      </w:r>
      <w:r w:rsidR="00CA2217">
        <w:rPr>
          <w:rFonts w:ascii="Arial" w:hAnsi="Arial" w:cs="Arial"/>
          <w:iCs/>
          <w:sz w:val="22"/>
          <w:szCs w:val="22"/>
        </w:rPr>
        <w:t xml:space="preserve">In order to </w:t>
      </w:r>
      <w:r w:rsidR="00E93C7A">
        <w:rPr>
          <w:rFonts w:ascii="Arial" w:hAnsi="Arial" w:cs="Arial"/>
          <w:iCs/>
          <w:sz w:val="22"/>
          <w:szCs w:val="22"/>
        </w:rPr>
        <w:t>facilitate</w:t>
      </w:r>
      <w:r w:rsidRPr="00DF16F7">
        <w:rPr>
          <w:rFonts w:ascii="Arial" w:hAnsi="Arial" w:cs="Arial"/>
          <w:iCs/>
          <w:sz w:val="22"/>
          <w:szCs w:val="22"/>
        </w:rPr>
        <w:t xml:space="preserve"> </w:t>
      </w:r>
      <w:r w:rsidR="00E93C7A">
        <w:rPr>
          <w:rFonts w:ascii="Arial" w:hAnsi="Arial" w:cs="Arial"/>
          <w:iCs/>
          <w:sz w:val="22"/>
          <w:szCs w:val="22"/>
        </w:rPr>
        <w:t xml:space="preserve">a process of </w:t>
      </w:r>
      <w:r w:rsidRPr="00DF16F7">
        <w:rPr>
          <w:rFonts w:ascii="Arial" w:hAnsi="Arial" w:cs="Arial"/>
          <w:iCs/>
          <w:sz w:val="22"/>
          <w:szCs w:val="22"/>
        </w:rPr>
        <w:t xml:space="preserve">piloting the viability of property taxes, the Shenzhen Center for Assessment and Development of Real Estate was founded </w:t>
      </w:r>
      <w:r w:rsidR="00FA75B6">
        <w:rPr>
          <w:rFonts w:ascii="Arial" w:hAnsi="Arial" w:cs="Arial"/>
          <w:iCs/>
          <w:sz w:val="22"/>
          <w:szCs w:val="22"/>
        </w:rPr>
        <w:t>with the intention to</w:t>
      </w:r>
      <w:r w:rsidRPr="00DF16F7">
        <w:rPr>
          <w:rFonts w:ascii="Arial" w:hAnsi="Arial" w:cs="Arial"/>
          <w:iCs/>
          <w:sz w:val="22"/>
          <w:szCs w:val="22"/>
        </w:rPr>
        <w:t xml:space="preserve"> commence citywide valuation, an initiative which coincided with the Lincoln </w:t>
      </w:r>
      <w:r w:rsidR="00FA75B6">
        <w:rPr>
          <w:rFonts w:ascii="Arial" w:hAnsi="Arial" w:cs="Arial"/>
          <w:iCs/>
          <w:sz w:val="22"/>
          <w:szCs w:val="22"/>
        </w:rPr>
        <w:t xml:space="preserve">Institute of </w:t>
      </w:r>
      <w:r w:rsidRPr="00DF16F7">
        <w:rPr>
          <w:rFonts w:ascii="Arial" w:hAnsi="Arial" w:cs="Arial"/>
          <w:iCs/>
          <w:sz w:val="22"/>
          <w:szCs w:val="22"/>
        </w:rPr>
        <w:t xml:space="preserve">Land </w:t>
      </w:r>
      <w:r w:rsidR="00FA75B6">
        <w:rPr>
          <w:rFonts w:ascii="Arial" w:hAnsi="Arial" w:cs="Arial"/>
          <w:iCs/>
          <w:sz w:val="22"/>
          <w:szCs w:val="22"/>
        </w:rPr>
        <w:t>Polic</w:t>
      </w:r>
      <w:r w:rsidR="000A0AAC">
        <w:rPr>
          <w:rFonts w:ascii="Arial" w:hAnsi="Arial" w:cs="Arial"/>
          <w:iCs/>
          <w:sz w:val="22"/>
          <w:szCs w:val="22"/>
        </w:rPr>
        <w:t>y’s</w:t>
      </w:r>
      <w:r w:rsidRPr="00DF16F7">
        <w:rPr>
          <w:rFonts w:ascii="Arial" w:hAnsi="Arial" w:cs="Arial"/>
          <w:iCs/>
          <w:sz w:val="22"/>
          <w:szCs w:val="22"/>
        </w:rPr>
        <w:t xml:space="preserve"> </w:t>
      </w:r>
      <w:r w:rsidR="000A0AAC">
        <w:rPr>
          <w:rFonts w:ascii="Arial" w:hAnsi="Arial" w:cs="Arial"/>
          <w:iCs/>
          <w:sz w:val="22"/>
          <w:szCs w:val="22"/>
        </w:rPr>
        <w:t>initial involvement</w:t>
      </w:r>
      <w:r w:rsidRPr="00DF16F7">
        <w:rPr>
          <w:rFonts w:ascii="Arial" w:hAnsi="Arial" w:cs="Arial"/>
          <w:iCs/>
          <w:sz w:val="22"/>
          <w:szCs w:val="22"/>
        </w:rPr>
        <w:t xml:space="preserve"> in China in 2003 </w:t>
      </w:r>
      <w:r w:rsidR="004727E0">
        <w:rPr>
          <w:rFonts w:ascii="Arial" w:hAnsi="Arial" w:cs="Arial"/>
          <w:iCs/>
          <w:sz w:val="22"/>
          <w:szCs w:val="22"/>
        </w:rPr>
        <w:t>(</w:t>
      </w:r>
      <w:r w:rsidR="0039451E">
        <w:rPr>
          <w:rFonts w:ascii="Arial" w:hAnsi="Arial" w:cs="Arial"/>
          <w:iCs/>
          <w:sz w:val="22"/>
          <w:szCs w:val="22"/>
        </w:rPr>
        <w:t xml:space="preserve">with </w:t>
      </w:r>
      <w:r w:rsidR="00841C8E">
        <w:rPr>
          <w:rFonts w:ascii="Arial" w:hAnsi="Arial" w:cs="Arial"/>
          <w:iCs/>
          <w:sz w:val="22"/>
          <w:szCs w:val="22"/>
        </w:rPr>
        <w:t xml:space="preserve">IPTI, ESRI Canada and </w:t>
      </w:r>
      <w:r w:rsidR="0039451E">
        <w:rPr>
          <w:rFonts w:ascii="Arial" w:hAnsi="Arial" w:cs="Arial"/>
          <w:iCs/>
          <w:sz w:val="22"/>
          <w:szCs w:val="22"/>
        </w:rPr>
        <w:t>other</w:t>
      </w:r>
      <w:r w:rsidR="00803EB2">
        <w:rPr>
          <w:rFonts w:ascii="Arial" w:hAnsi="Arial" w:cs="Arial"/>
          <w:iCs/>
          <w:sz w:val="22"/>
          <w:szCs w:val="22"/>
        </w:rPr>
        <w:t>s</w:t>
      </w:r>
      <w:r w:rsidR="004727E0">
        <w:rPr>
          <w:rFonts w:ascii="Arial" w:hAnsi="Arial" w:cs="Arial"/>
          <w:iCs/>
          <w:sz w:val="22"/>
          <w:szCs w:val="22"/>
        </w:rPr>
        <w:t>)</w:t>
      </w:r>
      <w:r w:rsidR="0039451E">
        <w:rPr>
          <w:rFonts w:ascii="Arial" w:hAnsi="Arial" w:cs="Arial"/>
          <w:iCs/>
          <w:sz w:val="22"/>
          <w:szCs w:val="22"/>
        </w:rPr>
        <w:t xml:space="preserve"> </w:t>
      </w:r>
      <w:r w:rsidRPr="00DF16F7">
        <w:rPr>
          <w:rFonts w:ascii="Arial" w:hAnsi="Arial" w:cs="Arial"/>
          <w:iCs/>
          <w:sz w:val="22"/>
          <w:szCs w:val="22"/>
        </w:rPr>
        <w:t>to provide expertise pertaining to topics ranging from property tax and municipal finance to public land management and land expropriation.</w:t>
      </w:r>
      <w:r w:rsidR="0096126C">
        <w:rPr>
          <w:rFonts w:ascii="Arial" w:hAnsi="Arial" w:cs="Arial"/>
          <w:iCs/>
          <w:sz w:val="22"/>
          <w:szCs w:val="22"/>
        </w:rPr>
        <w:t xml:space="preserve"> The long standing intention to roll out </w:t>
      </w:r>
      <w:r w:rsidR="00A360D5">
        <w:rPr>
          <w:rFonts w:ascii="Arial" w:hAnsi="Arial" w:cs="Arial"/>
          <w:iCs/>
          <w:sz w:val="22"/>
          <w:szCs w:val="22"/>
        </w:rPr>
        <w:t xml:space="preserve">property tax, allied to the significant capacity building </w:t>
      </w:r>
      <w:r w:rsidR="00B20F56">
        <w:rPr>
          <w:rFonts w:ascii="Arial" w:hAnsi="Arial" w:cs="Arial"/>
          <w:iCs/>
          <w:sz w:val="22"/>
          <w:szCs w:val="22"/>
        </w:rPr>
        <w:t>begs the question as to why the</w:t>
      </w:r>
      <w:r w:rsidR="00841C8E">
        <w:rPr>
          <w:rFonts w:ascii="Arial" w:hAnsi="Arial" w:cs="Arial"/>
          <w:iCs/>
          <w:sz w:val="22"/>
          <w:szCs w:val="22"/>
        </w:rPr>
        <w:t>re</w:t>
      </w:r>
      <w:r w:rsidR="00B20F56">
        <w:rPr>
          <w:rFonts w:ascii="Arial" w:hAnsi="Arial" w:cs="Arial"/>
          <w:iCs/>
          <w:sz w:val="22"/>
          <w:szCs w:val="22"/>
        </w:rPr>
        <w:t xml:space="preserve"> has not been more progress to date, </w:t>
      </w:r>
      <w:r w:rsidR="00406652">
        <w:rPr>
          <w:rFonts w:ascii="Arial" w:hAnsi="Arial" w:cs="Arial"/>
          <w:iCs/>
          <w:sz w:val="22"/>
          <w:szCs w:val="22"/>
        </w:rPr>
        <w:t>and whether there are any fundamental barriers to policy adoption.</w:t>
      </w:r>
      <w:r w:rsidRPr="00DF16F7">
        <w:rPr>
          <w:rFonts w:ascii="Arial" w:hAnsi="Arial" w:cs="Arial"/>
          <w:iCs/>
          <w:sz w:val="22"/>
          <w:szCs w:val="22"/>
        </w:rPr>
        <w:t xml:space="preserve"> This paper</w:t>
      </w:r>
      <w:r w:rsidR="00E81A01">
        <w:rPr>
          <w:rFonts w:ascii="Arial" w:hAnsi="Arial" w:cs="Arial"/>
          <w:iCs/>
          <w:sz w:val="22"/>
          <w:szCs w:val="22"/>
        </w:rPr>
        <w:t xml:space="preserve"> seeks to contribute to understanding this issue, by</w:t>
      </w:r>
      <w:r w:rsidRPr="00DF16F7">
        <w:rPr>
          <w:rFonts w:ascii="Arial" w:hAnsi="Arial" w:cs="Arial"/>
          <w:iCs/>
          <w:sz w:val="22"/>
          <w:szCs w:val="22"/>
        </w:rPr>
        <w:t xml:space="preserve"> assess</w:t>
      </w:r>
      <w:r w:rsidR="00E81A01">
        <w:rPr>
          <w:rFonts w:ascii="Arial" w:hAnsi="Arial" w:cs="Arial"/>
          <w:iCs/>
          <w:sz w:val="22"/>
          <w:szCs w:val="22"/>
        </w:rPr>
        <w:t>ing</w:t>
      </w:r>
      <w:r w:rsidRPr="00DF16F7">
        <w:rPr>
          <w:rFonts w:ascii="Arial" w:hAnsi="Arial" w:cs="Arial"/>
          <w:iCs/>
          <w:sz w:val="22"/>
          <w:szCs w:val="22"/>
        </w:rPr>
        <w:t xml:space="preserve"> the feasibility of creating computer assisted mass appraisal (CAMA) and automated valuation models (AVMs) in China and their respective capability of conforming to IAAO valuation standards, with implications for scalability across national </w:t>
      </w:r>
      <w:r w:rsidR="0039451E">
        <w:rPr>
          <w:rFonts w:ascii="Arial" w:hAnsi="Arial" w:cs="Arial"/>
          <w:iCs/>
          <w:sz w:val="22"/>
          <w:szCs w:val="22"/>
        </w:rPr>
        <w:t xml:space="preserve">and regional </w:t>
      </w:r>
      <w:r w:rsidRPr="00DF16F7">
        <w:rPr>
          <w:rFonts w:ascii="Arial" w:hAnsi="Arial" w:cs="Arial"/>
          <w:iCs/>
          <w:sz w:val="22"/>
          <w:szCs w:val="22"/>
        </w:rPr>
        <w:t xml:space="preserve">markets.   </w:t>
      </w:r>
    </w:p>
    <w:p w14:paraId="65C2D5D8" w14:textId="77777777" w:rsidR="00744F26" w:rsidRDefault="00744F26">
      <w:pPr>
        <w:rPr>
          <w:lang w:val="en-US"/>
        </w:rPr>
      </w:pPr>
    </w:p>
    <w:p w14:paraId="7E92AA9D" w14:textId="77777777" w:rsidR="00DD24A4" w:rsidRPr="00BC22F7" w:rsidRDefault="00DD24A4" w:rsidP="00B80853">
      <w:pPr>
        <w:pStyle w:val="Heading7"/>
        <w:ind w:left="0"/>
        <w:jc w:val="both"/>
        <w:rPr>
          <w:rFonts w:ascii="Arial" w:hAnsi="Arial" w:cs="Arial"/>
          <w:sz w:val="22"/>
          <w:szCs w:val="18"/>
        </w:rPr>
      </w:pPr>
      <w:r w:rsidRPr="00BC22F7">
        <w:rPr>
          <w:rFonts w:ascii="Arial" w:hAnsi="Arial" w:cs="Arial"/>
          <w:sz w:val="22"/>
          <w:szCs w:val="18"/>
        </w:rPr>
        <w:t>Introduction</w:t>
      </w:r>
    </w:p>
    <w:p w14:paraId="13A1FF6C" w14:textId="38759FF7" w:rsidR="00AA26AF" w:rsidRDefault="00421EF5" w:rsidP="00AA26AF">
      <w:pPr>
        <w:pStyle w:val="WPBodyText"/>
        <w:spacing w:line="360" w:lineRule="auto"/>
        <w:jc w:val="both"/>
        <w:rPr>
          <w:rFonts w:ascii="Arial" w:hAnsi="Arial" w:cs="Arial"/>
          <w:sz w:val="22"/>
          <w:szCs w:val="22"/>
        </w:rPr>
      </w:pPr>
      <w:r w:rsidRPr="00BC22F7">
        <w:rPr>
          <w:rFonts w:ascii="Arial" w:hAnsi="Arial" w:cs="Arial"/>
          <w:sz w:val="22"/>
          <w:szCs w:val="22"/>
        </w:rPr>
        <w:t>Th</w:t>
      </w:r>
      <w:r w:rsidR="005C6309" w:rsidRPr="00BC22F7">
        <w:rPr>
          <w:rFonts w:ascii="Arial" w:hAnsi="Arial" w:cs="Arial"/>
          <w:sz w:val="22"/>
          <w:szCs w:val="22"/>
        </w:rPr>
        <w:t>e</w:t>
      </w:r>
      <w:r w:rsidRPr="00BC22F7">
        <w:rPr>
          <w:rFonts w:ascii="Arial" w:hAnsi="Arial" w:cs="Arial"/>
          <w:sz w:val="22"/>
          <w:szCs w:val="22"/>
        </w:rPr>
        <w:t xml:space="preserve"> vast restructuring of the Chinese economy, urbanization and social processes (Ma, 200</w:t>
      </w:r>
      <w:r w:rsidR="00C20E0C">
        <w:rPr>
          <w:rFonts w:ascii="Arial" w:hAnsi="Arial" w:cs="Arial"/>
          <w:sz w:val="22"/>
          <w:szCs w:val="22"/>
        </w:rPr>
        <w:t>4</w:t>
      </w:r>
      <w:r w:rsidRPr="00BC22F7">
        <w:rPr>
          <w:rFonts w:ascii="Arial" w:hAnsi="Arial" w:cs="Arial"/>
          <w:sz w:val="22"/>
          <w:szCs w:val="22"/>
        </w:rPr>
        <w:t xml:space="preserve">) </w:t>
      </w:r>
      <w:r w:rsidR="005C6309" w:rsidRPr="00BC22F7">
        <w:rPr>
          <w:rFonts w:ascii="Arial" w:hAnsi="Arial" w:cs="Arial"/>
          <w:sz w:val="22"/>
          <w:szCs w:val="22"/>
        </w:rPr>
        <w:t>in tandem with a series of sweeping housing reforms which have taken place since 1978, have fundamentally transformed the nature of Chinese citie</w:t>
      </w:r>
      <w:r w:rsidR="00250900" w:rsidRPr="00BC22F7">
        <w:rPr>
          <w:rFonts w:ascii="Arial" w:hAnsi="Arial" w:cs="Arial"/>
          <w:sz w:val="22"/>
          <w:szCs w:val="22"/>
        </w:rPr>
        <w:t>s.</w:t>
      </w:r>
      <w:r w:rsidR="00D503A0">
        <w:rPr>
          <w:rFonts w:ascii="Arial" w:hAnsi="Arial" w:cs="Arial"/>
          <w:sz w:val="22"/>
          <w:szCs w:val="22"/>
        </w:rPr>
        <w:t xml:space="preserve"> T</w:t>
      </w:r>
      <w:r w:rsidR="00250900" w:rsidRPr="00BC22F7">
        <w:rPr>
          <w:rFonts w:ascii="Arial" w:hAnsi="Arial" w:cs="Arial"/>
          <w:sz w:val="22"/>
          <w:szCs w:val="22"/>
        </w:rPr>
        <w:t>hese reforms</w:t>
      </w:r>
      <w:r w:rsidR="00BC22F7" w:rsidRPr="00BC22F7">
        <w:rPr>
          <w:rFonts w:ascii="Arial" w:hAnsi="Arial" w:cs="Arial"/>
          <w:sz w:val="22"/>
          <w:szCs w:val="22"/>
        </w:rPr>
        <w:t xml:space="preserve"> have </w:t>
      </w:r>
      <w:r w:rsidR="005C6309" w:rsidRPr="00BC22F7">
        <w:rPr>
          <w:rFonts w:ascii="Arial" w:hAnsi="Arial" w:cs="Arial"/>
          <w:sz w:val="22"/>
          <w:szCs w:val="22"/>
        </w:rPr>
        <w:t xml:space="preserve">engendered a gradual shift towards a </w:t>
      </w:r>
      <w:r w:rsidR="00E16580">
        <w:rPr>
          <w:rFonts w:ascii="Arial" w:hAnsi="Arial" w:cs="Arial"/>
          <w:sz w:val="22"/>
          <w:szCs w:val="22"/>
        </w:rPr>
        <w:t xml:space="preserve"> </w:t>
      </w:r>
      <w:r w:rsidR="005C6309" w:rsidRPr="00BC22F7">
        <w:rPr>
          <w:rFonts w:ascii="Arial" w:hAnsi="Arial" w:cs="Arial"/>
          <w:sz w:val="22"/>
          <w:szCs w:val="22"/>
        </w:rPr>
        <w:t>market system</w:t>
      </w:r>
      <w:r w:rsidR="00D503A0">
        <w:rPr>
          <w:rFonts w:ascii="Arial" w:hAnsi="Arial" w:cs="Arial"/>
          <w:sz w:val="22"/>
          <w:szCs w:val="22"/>
        </w:rPr>
        <w:t>,</w:t>
      </w:r>
      <w:r w:rsidR="005C6309" w:rsidRPr="00BC22F7">
        <w:rPr>
          <w:rFonts w:ascii="Arial" w:hAnsi="Arial" w:cs="Arial"/>
          <w:sz w:val="22"/>
          <w:szCs w:val="22"/>
        </w:rPr>
        <w:t xml:space="preserve"> with new institutions being established to enable the decentralized, monetized, and privatized allocation of housing</w:t>
      </w:r>
      <w:r w:rsidR="00BC22F7" w:rsidRPr="00BC22F7">
        <w:rPr>
          <w:rFonts w:ascii="Arial" w:hAnsi="Arial" w:cs="Arial"/>
          <w:sz w:val="22"/>
          <w:szCs w:val="22"/>
        </w:rPr>
        <w:t xml:space="preserve"> (Tang, </w:t>
      </w:r>
      <w:proofErr w:type="spellStart"/>
      <w:r w:rsidR="00BC22F7" w:rsidRPr="00BC22F7">
        <w:rPr>
          <w:rFonts w:ascii="Arial" w:hAnsi="Arial" w:cs="Arial"/>
          <w:sz w:val="22"/>
          <w:szCs w:val="22"/>
        </w:rPr>
        <w:t>Haila</w:t>
      </w:r>
      <w:proofErr w:type="spellEnd"/>
      <w:r w:rsidR="00BC22F7" w:rsidRPr="00BC22F7">
        <w:rPr>
          <w:rFonts w:ascii="Arial" w:hAnsi="Arial" w:cs="Arial"/>
          <w:sz w:val="22"/>
          <w:szCs w:val="22"/>
        </w:rPr>
        <w:t>, and Wong, 2006)</w:t>
      </w:r>
      <w:r w:rsidR="005C6309" w:rsidRPr="00BC22F7">
        <w:rPr>
          <w:rFonts w:ascii="Arial" w:hAnsi="Arial" w:cs="Arial"/>
          <w:sz w:val="22"/>
          <w:szCs w:val="22"/>
        </w:rPr>
        <w:t xml:space="preserve">. </w:t>
      </w:r>
      <w:r w:rsidR="00E16580">
        <w:rPr>
          <w:rFonts w:ascii="Arial" w:hAnsi="Arial" w:cs="Arial"/>
          <w:sz w:val="22"/>
          <w:szCs w:val="22"/>
        </w:rPr>
        <w:t xml:space="preserve">As a consequence of these processes, </w:t>
      </w:r>
      <w:r w:rsidR="00DD24A4" w:rsidRPr="00BC22F7">
        <w:rPr>
          <w:rFonts w:ascii="Arial" w:hAnsi="Arial" w:cs="Arial"/>
          <w:sz w:val="22"/>
          <w:szCs w:val="22"/>
        </w:rPr>
        <w:t>Li (200</w:t>
      </w:r>
      <w:r w:rsidR="00C20E0C">
        <w:rPr>
          <w:rFonts w:ascii="Arial" w:hAnsi="Arial" w:cs="Arial"/>
          <w:sz w:val="22"/>
          <w:szCs w:val="22"/>
        </w:rPr>
        <w:t>5</w:t>
      </w:r>
      <w:r w:rsidR="00DD24A4" w:rsidRPr="00BC22F7">
        <w:rPr>
          <w:rFonts w:ascii="Arial" w:hAnsi="Arial" w:cs="Arial"/>
          <w:sz w:val="22"/>
          <w:szCs w:val="22"/>
        </w:rPr>
        <w:t>) estimate</w:t>
      </w:r>
      <w:r w:rsidR="0039451E">
        <w:rPr>
          <w:rFonts w:ascii="Arial" w:hAnsi="Arial" w:cs="Arial"/>
          <w:sz w:val="22"/>
          <w:szCs w:val="22"/>
        </w:rPr>
        <w:t>d</w:t>
      </w:r>
      <w:r w:rsidR="002751F4" w:rsidRPr="00BC22F7">
        <w:rPr>
          <w:rFonts w:ascii="Arial" w:hAnsi="Arial" w:cs="Arial"/>
          <w:sz w:val="22"/>
          <w:szCs w:val="22"/>
        </w:rPr>
        <w:t xml:space="preserve"> that</w:t>
      </w:r>
      <w:r w:rsidR="00DD24A4" w:rsidRPr="00BC22F7">
        <w:rPr>
          <w:rFonts w:ascii="Arial" w:hAnsi="Arial" w:cs="Arial"/>
          <w:sz w:val="22"/>
          <w:szCs w:val="22"/>
        </w:rPr>
        <w:t xml:space="preserve"> over 80% of public housing was sold to the existing tenants over two decades from the introduction of policy reforms</w:t>
      </w:r>
      <w:r w:rsidR="00AA26AF">
        <w:rPr>
          <w:rFonts w:ascii="Arial" w:hAnsi="Arial" w:cs="Arial"/>
          <w:sz w:val="22"/>
          <w:szCs w:val="22"/>
        </w:rPr>
        <w:t>,</w:t>
      </w:r>
      <w:r w:rsidR="00BC22F7" w:rsidRPr="00BC22F7">
        <w:rPr>
          <w:rFonts w:ascii="Arial" w:hAnsi="Arial" w:cs="Arial"/>
          <w:sz w:val="22"/>
          <w:szCs w:val="22"/>
        </w:rPr>
        <w:t xml:space="preserve"> with </w:t>
      </w:r>
      <w:r w:rsidR="00DD24A4" w:rsidRPr="00BC22F7">
        <w:rPr>
          <w:rFonts w:ascii="Arial" w:hAnsi="Arial" w:cs="Arial"/>
          <w:sz w:val="22"/>
          <w:szCs w:val="22"/>
        </w:rPr>
        <w:t xml:space="preserve">Tan </w:t>
      </w:r>
      <w:r w:rsidR="00D47BE6" w:rsidRPr="00D47BE6">
        <w:rPr>
          <w:rFonts w:ascii="Arial" w:hAnsi="Arial" w:cs="Arial"/>
          <w:i/>
          <w:iCs/>
          <w:sz w:val="22"/>
          <w:szCs w:val="22"/>
        </w:rPr>
        <w:t>et al.</w:t>
      </w:r>
      <w:r w:rsidR="00DD24A4" w:rsidRPr="00BC22F7">
        <w:rPr>
          <w:rFonts w:ascii="Arial" w:hAnsi="Arial" w:cs="Arial"/>
          <w:sz w:val="22"/>
          <w:szCs w:val="22"/>
        </w:rPr>
        <w:t xml:space="preserve"> (2005) </w:t>
      </w:r>
      <w:r w:rsidR="00BC22F7" w:rsidRPr="00BC22F7">
        <w:rPr>
          <w:rFonts w:ascii="Arial" w:hAnsi="Arial" w:cs="Arial"/>
          <w:sz w:val="22"/>
          <w:szCs w:val="22"/>
        </w:rPr>
        <w:t>indicating that</w:t>
      </w:r>
      <w:r w:rsidR="00DD24A4" w:rsidRPr="00BC22F7">
        <w:rPr>
          <w:rFonts w:ascii="Arial" w:hAnsi="Arial" w:cs="Arial"/>
          <w:sz w:val="22"/>
          <w:szCs w:val="22"/>
        </w:rPr>
        <w:t xml:space="preserve"> </w:t>
      </w:r>
      <w:r w:rsidR="0061736F" w:rsidRPr="00BC22F7">
        <w:rPr>
          <w:rFonts w:ascii="Arial" w:hAnsi="Arial" w:cs="Arial"/>
          <w:sz w:val="22"/>
          <w:szCs w:val="22"/>
        </w:rPr>
        <w:t>th</w:t>
      </w:r>
      <w:r w:rsidR="00AA26AF">
        <w:rPr>
          <w:rFonts w:ascii="Arial" w:hAnsi="Arial" w:cs="Arial"/>
          <w:sz w:val="22"/>
          <w:szCs w:val="22"/>
        </w:rPr>
        <w:t xml:space="preserve">is has led to the development of </w:t>
      </w:r>
      <w:r w:rsidR="0061736F" w:rsidRPr="00BC22F7">
        <w:rPr>
          <w:rFonts w:ascii="Arial" w:hAnsi="Arial" w:cs="Arial"/>
          <w:sz w:val="22"/>
          <w:szCs w:val="22"/>
        </w:rPr>
        <w:t>vibrant resale market</w:t>
      </w:r>
      <w:r w:rsidR="00AA26AF">
        <w:rPr>
          <w:rFonts w:ascii="Arial" w:hAnsi="Arial" w:cs="Arial"/>
          <w:sz w:val="22"/>
          <w:szCs w:val="22"/>
        </w:rPr>
        <w:t xml:space="preserve">s. </w:t>
      </w:r>
      <w:r w:rsidRPr="00BC22F7">
        <w:rPr>
          <w:rFonts w:ascii="Arial" w:hAnsi="Arial" w:cs="Arial"/>
          <w:sz w:val="22"/>
          <w:szCs w:val="22"/>
        </w:rPr>
        <w:t>Despite the</w:t>
      </w:r>
      <w:r w:rsidR="00AA26AF">
        <w:rPr>
          <w:rFonts w:ascii="Arial" w:hAnsi="Arial" w:cs="Arial"/>
          <w:sz w:val="22"/>
          <w:szCs w:val="22"/>
        </w:rPr>
        <w:t>se</w:t>
      </w:r>
      <w:r w:rsidRPr="00BC22F7">
        <w:rPr>
          <w:rFonts w:ascii="Arial" w:hAnsi="Arial" w:cs="Arial"/>
          <w:sz w:val="22"/>
          <w:szCs w:val="22"/>
        </w:rPr>
        <w:t xml:space="preserve"> evolving policy reforms</w:t>
      </w:r>
      <w:r w:rsidR="00DD24A4" w:rsidRPr="00BC22F7">
        <w:rPr>
          <w:rFonts w:ascii="Arial" w:hAnsi="Arial" w:cs="Arial"/>
          <w:sz w:val="22"/>
          <w:szCs w:val="22"/>
        </w:rPr>
        <w:t xml:space="preserve">, Li (2000b) </w:t>
      </w:r>
      <w:r w:rsidR="0014446A" w:rsidRPr="00BC22F7">
        <w:rPr>
          <w:rFonts w:ascii="Arial" w:hAnsi="Arial" w:cs="Arial"/>
          <w:sz w:val="22"/>
          <w:szCs w:val="22"/>
        </w:rPr>
        <w:t>suggest</w:t>
      </w:r>
      <w:r w:rsidR="00BC22F7" w:rsidRPr="00BC22F7">
        <w:rPr>
          <w:rFonts w:ascii="Arial" w:hAnsi="Arial" w:cs="Arial"/>
          <w:sz w:val="22"/>
          <w:szCs w:val="22"/>
        </w:rPr>
        <w:t>ed</w:t>
      </w:r>
      <w:r w:rsidR="0014446A" w:rsidRPr="00BC22F7">
        <w:rPr>
          <w:rFonts w:ascii="Arial" w:hAnsi="Arial" w:cs="Arial"/>
          <w:sz w:val="22"/>
          <w:szCs w:val="22"/>
        </w:rPr>
        <w:t xml:space="preserve"> t</w:t>
      </w:r>
      <w:r w:rsidR="00DD24A4" w:rsidRPr="00BC22F7">
        <w:rPr>
          <w:rFonts w:ascii="Arial" w:hAnsi="Arial" w:cs="Arial"/>
          <w:sz w:val="22"/>
          <w:szCs w:val="22"/>
        </w:rPr>
        <w:t>hat different regions and cities have proceeded at a different pace</w:t>
      </w:r>
      <w:r w:rsidR="001E3501">
        <w:rPr>
          <w:rFonts w:ascii="Arial" w:hAnsi="Arial" w:cs="Arial"/>
          <w:sz w:val="22"/>
          <w:szCs w:val="22"/>
        </w:rPr>
        <w:t>,</w:t>
      </w:r>
      <w:r w:rsidR="00DD24A4" w:rsidRPr="00BC22F7">
        <w:rPr>
          <w:rFonts w:ascii="Arial" w:hAnsi="Arial" w:cs="Arial"/>
          <w:sz w:val="22"/>
          <w:szCs w:val="22"/>
        </w:rPr>
        <w:t xml:space="preserve"> which makes </w:t>
      </w:r>
      <w:r w:rsidR="00004954" w:rsidRPr="00BC22F7">
        <w:rPr>
          <w:rFonts w:ascii="Arial" w:hAnsi="Arial" w:cs="Arial"/>
          <w:sz w:val="22"/>
          <w:szCs w:val="22"/>
        </w:rPr>
        <w:t>the equitability of</w:t>
      </w:r>
      <w:r w:rsidR="00DD24A4" w:rsidRPr="00BC22F7">
        <w:rPr>
          <w:rFonts w:ascii="Arial" w:hAnsi="Arial" w:cs="Arial"/>
          <w:sz w:val="22"/>
          <w:szCs w:val="22"/>
        </w:rPr>
        <w:t xml:space="preserve"> (future) policy </w:t>
      </w:r>
      <w:r w:rsidR="00004954" w:rsidRPr="00BC22F7">
        <w:rPr>
          <w:rFonts w:ascii="Arial" w:hAnsi="Arial" w:cs="Arial"/>
          <w:sz w:val="22"/>
          <w:szCs w:val="22"/>
        </w:rPr>
        <w:t>uncertain</w:t>
      </w:r>
      <w:r w:rsidR="00DD24A4" w:rsidRPr="00BC22F7">
        <w:rPr>
          <w:rFonts w:ascii="Arial" w:hAnsi="Arial" w:cs="Arial"/>
          <w:sz w:val="22"/>
          <w:szCs w:val="22"/>
        </w:rPr>
        <w:t>.</w:t>
      </w:r>
      <w:r w:rsidR="00BC22F7" w:rsidRPr="00BC22F7">
        <w:rPr>
          <w:rFonts w:ascii="Arial" w:hAnsi="Arial" w:cs="Arial"/>
          <w:sz w:val="22"/>
          <w:szCs w:val="22"/>
        </w:rPr>
        <w:t xml:space="preserve"> </w:t>
      </w:r>
    </w:p>
    <w:p w14:paraId="704B4D80" w14:textId="77777777" w:rsidR="00F52FC1" w:rsidRDefault="00F52FC1" w:rsidP="00AA26AF">
      <w:pPr>
        <w:pStyle w:val="WPBodyText"/>
        <w:spacing w:line="360" w:lineRule="auto"/>
        <w:jc w:val="both"/>
        <w:rPr>
          <w:rFonts w:ascii="Arial" w:hAnsi="Arial" w:cs="Arial"/>
          <w:sz w:val="22"/>
          <w:szCs w:val="22"/>
        </w:rPr>
      </w:pPr>
    </w:p>
    <w:p w14:paraId="65809E02" w14:textId="10172C07" w:rsidR="00F52FC1" w:rsidRPr="00F52FC1" w:rsidRDefault="00AA26AF" w:rsidP="00F52FC1">
      <w:pPr>
        <w:pStyle w:val="WPBodyText"/>
        <w:spacing w:line="360" w:lineRule="auto"/>
        <w:jc w:val="both"/>
        <w:rPr>
          <w:rFonts w:ascii="Arial" w:hAnsi="Arial" w:cs="Arial"/>
          <w:sz w:val="22"/>
          <w:szCs w:val="18"/>
        </w:rPr>
      </w:pPr>
      <w:r>
        <w:rPr>
          <w:rFonts w:ascii="Arial" w:hAnsi="Arial" w:cs="Arial"/>
          <w:sz w:val="22"/>
          <w:szCs w:val="22"/>
        </w:rPr>
        <w:t xml:space="preserve">The </w:t>
      </w:r>
      <w:r w:rsidRPr="00AA26AF">
        <w:rPr>
          <w:rFonts w:ascii="Arial" w:hAnsi="Arial" w:cs="Arial"/>
          <w:sz w:val="22"/>
          <w:szCs w:val="22"/>
        </w:rPr>
        <w:t xml:space="preserve">economic prosperity </w:t>
      </w:r>
      <w:r w:rsidR="000D21C2">
        <w:rPr>
          <w:rFonts w:ascii="Arial" w:hAnsi="Arial" w:cs="Arial"/>
          <w:sz w:val="22"/>
          <w:szCs w:val="22"/>
        </w:rPr>
        <w:t>witnessed in</w:t>
      </w:r>
      <w:r w:rsidRPr="00AA26AF">
        <w:rPr>
          <w:rFonts w:ascii="Arial" w:hAnsi="Arial" w:cs="Arial"/>
          <w:sz w:val="22"/>
          <w:szCs w:val="22"/>
        </w:rPr>
        <w:t xml:space="preserve"> China over the past two decades, and particularly </w:t>
      </w:r>
      <w:r w:rsidR="000D21C2">
        <w:rPr>
          <w:rFonts w:ascii="Arial" w:hAnsi="Arial" w:cs="Arial"/>
          <w:sz w:val="22"/>
          <w:szCs w:val="22"/>
        </w:rPr>
        <w:t xml:space="preserve">that </w:t>
      </w:r>
      <w:r w:rsidR="00514E40">
        <w:rPr>
          <w:rFonts w:ascii="Arial" w:hAnsi="Arial" w:cs="Arial"/>
          <w:sz w:val="22"/>
          <w:szCs w:val="22"/>
        </w:rPr>
        <w:t xml:space="preserve">associated with </w:t>
      </w:r>
      <w:r w:rsidRPr="00AA26AF">
        <w:rPr>
          <w:rFonts w:ascii="Arial" w:hAnsi="Arial" w:cs="Arial"/>
          <w:sz w:val="22"/>
          <w:szCs w:val="22"/>
        </w:rPr>
        <w:t>house price inflation, has resulted in the</w:t>
      </w:r>
      <w:r w:rsidR="00DD24A4" w:rsidRPr="00AA26AF">
        <w:rPr>
          <w:rFonts w:ascii="Arial" w:hAnsi="Arial" w:cs="Arial"/>
          <w:sz w:val="22"/>
          <w:szCs w:val="22"/>
        </w:rPr>
        <w:t xml:space="preserve"> Chinese government adopt</w:t>
      </w:r>
      <w:r w:rsidRPr="00AA26AF">
        <w:rPr>
          <w:rFonts w:ascii="Arial" w:hAnsi="Arial" w:cs="Arial"/>
          <w:sz w:val="22"/>
          <w:szCs w:val="22"/>
        </w:rPr>
        <w:t>ing</w:t>
      </w:r>
      <w:r w:rsidR="00DD24A4" w:rsidRPr="00AA26AF">
        <w:rPr>
          <w:rFonts w:ascii="Arial" w:hAnsi="Arial" w:cs="Arial"/>
          <w:sz w:val="22"/>
          <w:szCs w:val="22"/>
        </w:rPr>
        <w:t xml:space="preserve"> a series of policies</w:t>
      </w:r>
      <w:r w:rsidR="00514E40">
        <w:rPr>
          <w:rFonts w:ascii="Arial" w:hAnsi="Arial" w:cs="Arial"/>
          <w:sz w:val="22"/>
          <w:szCs w:val="22"/>
        </w:rPr>
        <w:t xml:space="preserve"> directed at the housing market.</w:t>
      </w:r>
      <w:r w:rsidR="004120A8">
        <w:rPr>
          <w:rFonts w:ascii="Arial" w:hAnsi="Arial" w:cs="Arial"/>
          <w:sz w:val="22"/>
          <w:szCs w:val="22"/>
        </w:rPr>
        <w:t xml:space="preserve"> </w:t>
      </w:r>
      <w:r w:rsidR="00514E40">
        <w:rPr>
          <w:rFonts w:ascii="Arial" w:hAnsi="Arial" w:cs="Arial"/>
          <w:sz w:val="22"/>
          <w:szCs w:val="22"/>
        </w:rPr>
        <w:t>These</w:t>
      </w:r>
      <w:r w:rsidR="00DD24A4" w:rsidRPr="00AA26AF">
        <w:rPr>
          <w:rFonts w:ascii="Arial" w:hAnsi="Arial" w:cs="Arial"/>
          <w:sz w:val="22"/>
          <w:szCs w:val="22"/>
        </w:rPr>
        <w:t xml:space="preserve"> </w:t>
      </w:r>
      <w:r w:rsidR="00004954" w:rsidRPr="00AA26AF">
        <w:rPr>
          <w:rFonts w:ascii="Arial" w:hAnsi="Arial" w:cs="Arial"/>
          <w:sz w:val="22"/>
          <w:szCs w:val="22"/>
        </w:rPr>
        <w:t>includ</w:t>
      </w:r>
      <w:r w:rsidR="004120A8">
        <w:rPr>
          <w:rFonts w:ascii="Arial" w:hAnsi="Arial" w:cs="Arial"/>
          <w:sz w:val="22"/>
          <w:szCs w:val="22"/>
        </w:rPr>
        <w:t>e</w:t>
      </w:r>
      <w:r w:rsidR="00DD24A4" w:rsidRPr="00AA26AF">
        <w:rPr>
          <w:rFonts w:ascii="Arial" w:hAnsi="Arial" w:cs="Arial"/>
          <w:sz w:val="22"/>
          <w:szCs w:val="22"/>
        </w:rPr>
        <w:t xml:space="preserve"> home purchase restriction</w:t>
      </w:r>
      <w:r w:rsidR="004120A8">
        <w:rPr>
          <w:rFonts w:ascii="Arial" w:hAnsi="Arial" w:cs="Arial"/>
          <w:sz w:val="22"/>
          <w:szCs w:val="22"/>
        </w:rPr>
        <w:t>s</w:t>
      </w:r>
      <w:r w:rsidR="00DD24A4" w:rsidRPr="00AA26AF">
        <w:rPr>
          <w:rFonts w:ascii="Arial" w:hAnsi="Arial" w:cs="Arial"/>
          <w:sz w:val="22"/>
          <w:szCs w:val="22"/>
        </w:rPr>
        <w:t xml:space="preserve"> and </w:t>
      </w:r>
      <w:r w:rsidR="00004954" w:rsidRPr="00AA26AF">
        <w:rPr>
          <w:rFonts w:ascii="Arial" w:hAnsi="Arial" w:cs="Arial"/>
          <w:sz w:val="22"/>
          <w:szCs w:val="22"/>
        </w:rPr>
        <w:t xml:space="preserve">the intention to introduce </w:t>
      </w:r>
      <w:r w:rsidR="004120A8">
        <w:rPr>
          <w:rFonts w:ascii="Arial" w:hAnsi="Arial" w:cs="Arial"/>
          <w:sz w:val="22"/>
          <w:szCs w:val="22"/>
        </w:rPr>
        <w:t xml:space="preserve">a </w:t>
      </w:r>
      <w:r w:rsidR="004B1CE0" w:rsidRPr="00AA26AF">
        <w:rPr>
          <w:rFonts w:ascii="Arial" w:hAnsi="Arial" w:cs="Arial"/>
          <w:sz w:val="22"/>
          <w:szCs w:val="22"/>
        </w:rPr>
        <w:t xml:space="preserve">recurrent </w:t>
      </w:r>
      <w:r w:rsidR="00DD24A4" w:rsidRPr="00AA26AF">
        <w:rPr>
          <w:rFonts w:ascii="Arial" w:hAnsi="Arial" w:cs="Arial"/>
          <w:sz w:val="22"/>
          <w:szCs w:val="22"/>
        </w:rPr>
        <w:t xml:space="preserve">property tax (Du and Zhang, 2015). </w:t>
      </w:r>
      <w:r w:rsidRPr="00AA26AF">
        <w:rPr>
          <w:rFonts w:ascii="Arial" w:hAnsi="Arial" w:cs="Arial"/>
          <w:sz w:val="22"/>
          <w:szCs w:val="22"/>
        </w:rPr>
        <w:t>The h</w:t>
      </w:r>
      <w:r w:rsidR="00DD24A4" w:rsidRPr="00AA26AF">
        <w:rPr>
          <w:rFonts w:ascii="Arial" w:hAnsi="Arial" w:cs="Arial"/>
          <w:sz w:val="22"/>
          <w:szCs w:val="22"/>
        </w:rPr>
        <w:t>ome-purchase restriction</w:t>
      </w:r>
      <w:r w:rsidRPr="00AA26AF">
        <w:rPr>
          <w:rFonts w:ascii="Arial" w:hAnsi="Arial" w:cs="Arial"/>
          <w:sz w:val="22"/>
          <w:szCs w:val="22"/>
        </w:rPr>
        <w:t xml:space="preserve"> </w:t>
      </w:r>
      <w:r w:rsidR="00DD24A4" w:rsidRPr="00AA26AF">
        <w:rPr>
          <w:rFonts w:ascii="Arial" w:hAnsi="Arial" w:cs="Arial"/>
          <w:sz w:val="22"/>
          <w:szCs w:val="22"/>
        </w:rPr>
        <w:t xml:space="preserve">was first introduced in Beijing in 2010 and progressively implemented in most major cities throughout China. This tax policy initiative prohibits resident households from </w:t>
      </w:r>
      <w:r w:rsidR="00DD24A4" w:rsidRPr="00AA26AF">
        <w:rPr>
          <w:rFonts w:ascii="Arial" w:hAnsi="Arial" w:cs="Arial"/>
          <w:sz w:val="22"/>
          <w:szCs w:val="22"/>
        </w:rPr>
        <w:lastRenderedPageBreak/>
        <w:t xml:space="preserve">buying more than two homes and non-resident households from buying more than one home. </w:t>
      </w:r>
      <w:r w:rsidR="007C1742">
        <w:rPr>
          <w:rFonts w:ascii="Arial" w:hAnsi="Arial" w:cs="Arial"/>
          <w:sz w:val="22"/>
          <w:szCs w:val="22"/>
        </w:rPr>
        <w:t>In terms of property tax</w:t>
      </w:r>
      <w:r w:rsidR="00636DB5">
        <w:rPr>
          <w:rFonts w:ascii="Arial" w:hAnsi="Arial" w:cs="Arial"/>
          <w:sz w:val="22"/>
          <w:szCs w:val="22"/>
        </w:rPr>
        <w:t>,</w:t>
      </w:r>
      <w:r w:rsidR="00462E70">
        <w:rPr>
          <w:rFonts w:ascii="Arial" w:hAnsi="Arial" w:cs="Arial"/>
          <w:sz w:val="22"/>
          <w:szCs w:val="22"/>
        </w:rPr>
        <w:t xml:space="preserve"> there has been only limited progress. P</w:t>
      </w:r>
      <w:r w:rsidR="00DD24A4" w:rsidRPr="00AA26AF">
        <w:rPr>
          <w:rFonts w:ascii="Arial" w:hAnsi="Arial" w:cs="Arial"/>
          <w:sz w:val="22"/>
          <w:szCs w:val="22"/>
        </w:rPr>
        <w:t xml:space="preserve">ilot </w:t>
      </w:r>
      <w:r w:rsidR="00AA2EE0" w:rsidRPr="00AA26AF">
        <w:rPr>
          <w:rFonts w:ascii="Arial" w:hAnsi="Arial" w:cs="Arial"/>
          <w:sz w:val="22"/>
          <w:szCs w:val="22"/>
        </w:rPr>
        <w:t xml:space="preserve">property tax </w:t>
      </w:r>
      <w:r w:rsidR="00DD24A4" w:rsidRPr="00AA26AF">
        <w:rPr>
          <w:rFonts w:ascii="Arial" w:hAnsi="Arial" w:cs="Arial"/>
          <w:sz w:val="22"/>
          <w:szCs w:val="22"/>
        </w:rPr>
        <w:t>programs were implemented in Shanghai and Chongqing in 2011 (in Shanghai the property tax targets second homes, whilst the property tax enacted in Chongqing is mainly levied on high-end homes)</w:t>
      </w:r>
      <w:r w:rsidR="007C1742">
        <w:rPr>
          <w:rFonts w:ascii="Arial" w:hAnsi="Arial" w:cs="Arial"/>
          <w:sz w:val="22"/>
          <w:szCs w:val="22"/>
        </w:rPr>
        <w:t>. These pilots</w:t>
      </w:r>
      <w:r w:rsidR="00DD24A4" w:rsidRPr="00AA26AF">
        <w:rPr>
          <w:rFonts w:ascii="Arial" w:hAnsi="Arial" w:cs="Arial"/>
          <w:sz w:val="22"/>
          <w:szCs w:val="22"/>
        </w:rPr>
        <w:t xml:space="preserve"> </w:t>
      </w:r>
      <w:r w:rsidR="007C1742">
        <w:rPr>
          <w:rFonts w:ascii="Arial" w:hAnsi="Arial" w:cs="Arial"/>
          <w:sz w:val="22"/>
          <w:szCs w:val="22"/>
        </w:rPr>
        <w:t>have</w:t>
      </w:r>
      <w:r w:rsidR="00DD24A4" w:rsidRPr="00AA26AF">
        <w:rPr>
          <w:rFonts w:ascii="Arial" w:hAnsi="Arial" w:cs="Arial"/>
          <w:sz w:val="22"/>
          <w:szCs w:val="22"/>
        </w:rPr>
        <w:t xml:space="preserve"> generated heated debate regarding inequity and </w:t>
      </w:r>
      <w:r w:rsidR="00DD24A4" w:rsidRPr="00DF16F7">
        <w:rPr>
          <w:rFonts w:ascii="Arial" w:hAnsi="Arial" w:cs="Arial"/>
          <w:sz w:val="22"/>
          <w:szCs w:val="22"/>
        </w:rPr>
        <w:t>inequality</w:t>
      </w:r>
      <w:r w:rsidR="007C1742">
        <w:rPr>
          <w:rFonts w:ascii="Arial" w:hAnsi="Arial" w:cs="Arial"/>
          <w:sz w:val="22"/>
          <w:szCs w:val="22"/>
        </w:rPr>
        <w:t>,</w:t>
      </w:r>
      <w:r w:rsidR="00F52FC1" w:rsidRPr="00DF16F7">
        <w:rPr>
          <w:rFonts w:ascii="Arial" w:hAnsi="Arial" w:cs="Arial"/>
          <w:sz w:val="22"/>
          <w:szCs w:val="22"/>
        </w:rPr>
        <w:t xml:space="preserve"> related to potential distributional effects</w:t>
      </w:r>
      <w:r w:rsidR="00DF16F7" w:rsidRPr="00DF16F7">
        <w:rPr>
          <w:rFonts w:ascii="Arial" w:hAnsi="Arial" w:cs="Arial"/>
          <w:sz w:val="22"/>
          <w:szCs w:val="22"/>
        </w:rPr>
        <w:t xml:space="preserve"> relative to the </w:t>
      </w:r>
      <w:r w:rsidR="00F52FC1" w:rsidRPr="00DF16F7">
        <w:rPr>
          <w:rFonts w:ascii="Arial" w:hAnsi="Arial" w:cs="Arial"/>
          <w:sz w:val="22"/>
          <w:szCs w:val="22"/>
        </w:rPr>
        <w:t>diverse distribution of income and urbanization related issues. This is</w:t>
      </w:r>
      <w:r w:rsidR="00934DB0">
        <w:rPr>
          <w:rFonts w:ascii="Arial" w:hAnsi="Arial" w:cs="Arial"/>
          <w:sz w:val="22"/>
          <w:szCs w:val="22"/>
        </w:rPr>
        <w:t xml:space="preserve"> further </w:t>
      </w:r>
      <w:r w:rsidR="00F52FC1" w:rsidRPr="00DF16F7">
        <w:rPr>
          <w:rFonts w:ascii="Arial" w:hAnsi="Arial" w:cs="Arial"/>
          <w:sz w:val="22"/>
          <w:szCs w:val="22"/>
        </w:rPr>
        <w:t>compounded by the lack of uniform designation of a proper property tax reform process (Cao and Hu, 2016).</w:t>
      </w:r>
      <w:r w:rsidR="00F52FC1" w:rsidRPr="00F52FC1">
        <w:rPr>
          <w:rFonts w:ascii="Arial" w:hAnsi="Arial" w:cs="Arial"/>
        </w:rPr>
        <w:t xml:space="preserve">  </w:t>
      </w:r>
    </w:p>
    <w:p w14:paraId="3CB353C8" w14:textId="77777777" w:rsidR="00F52FC1" w:rsidRDefault="00F52FC1" w:rsidP="00436F88">
      <w:pPr>
        <w:pStyle w:val="WPBodyText"/>
        <w:spacing w:line="360" w:lineRule="auto"/>
        <w:jc w:val="both"/>
        <w:rPr>
          <w:rFonts w:ascii="Arial" w:hAnsi="Arial" w:cs="Arial"/>
          <w:sz w:val="22"/>
          <w:szCs w:val="18"/>
        </w:rPr>
      </w:pPr>
    </w:p>
    <w:p w14:paraId="4DEE96BB" w14:textId="30C4DC2C" w:rsidR="00EB2084" w:rsidRPr="00436F88" w:rsidRDefault="00DF16F7" w:rsidP="00436F88">
      <w:pPr>
        <w:pStyle w:val="WPBodyText"/>
        <w:spacing w:line="360" w:lineRule="auto"/>
        <w:jc w:val="both"/>
        <w:rPr>
          <w:sz w:val="22"/>
          <w:szCs w:val="18"/>
        </w:rPr>
      </w:pPr>
      <w:r>
        <w:rPr>
          <w:rFonts w:ascii="Arial" w:hAnsi="Arial" w:cs="Arial"/>
          <w:sz w:val="22"/>
          <w:szCs w:val="18"/>
        </w:rPr>
        <w:t>Therefore, d</w:t>
      </w:r>
      <w:r w:rsidR="00EB2084" w:rsidRPr="00436F88">
        <w:rPr>
          <w:rFonts w:ascii="Arial" w:hAnsi="Arial" w:cs="Arial"/>
          <w:sz w:val="22"/>
          <w:szCs w:val="18"/>
        </w:rPr>
        <w:t xml:space="preserve">espite </w:t>
      </w:r>
      <w:r w:rsidR="00AA26AF" w:rsidRPr="00436F88">
        <w:rPr>
          <w:rFonts w:ascii="Arial" w:hAnsi="Arial" w:cs="Arial"/>
          <w:sz w:val="22"/>
          <w:szCs w:val="18"/>
        </w:rPr>
        <w:t xml:space="preserve">the </w:t>
      </w:r>
      <w:r w:rsidR="00EB2084" w:rsidRPr="00436F88">
        <w:rPr>
          <w:rFonts w:ascii="Arial" w:hAnsi="Arial" w:cs="Arial"/>
          <w:sz w:val="22"/>
          <w:szCs w:val="18"/>
        </w:rPr>
        <w:t>considerable</w:t>
      </w:r>
      <w:r w:rsidR="00AA2EE0" w:rsidRPr="00436F88">
        <w:rPr>
          <w:rFonts w:ascii="Arial" w:hAnsi="Arial" w:cs="Arial"/>
          <w:sz w:val="22"/>
          <w:szCs w:val="18"/>
        </w:rPr>
        <w:t xml:space="preserve"> technical</w:t>
      </w:r>
      <w:r w:rsidR="00EB2084" w:rsidRPr="00436F88">
        <w:rPr>
          <w:rFonts w:ascii="Arial" w:hAnsi="Arial" w:cs="Arial"/>
          <w:sz w:val="22"/>
          <w:szCs w:val="18"/>
        </w:rPr>
        <w:t xml:space="preserve"> progress, property tax reform in China remains challenging.</w:t>
      </w:r>
      <w:r w:rsidR="00B27CE0">
        <w:rPr>
          <w:rFonts w:ascii="Arial" w:hAnsi="Arial" w:cs="Arial"/>
          <w:sz w:val="22"/>
          <w:szCs w:val="18"/>
        </w:rPr>
        <w:t xml:space="preserve"> </w:t>
      </w:r>
      <w:r w:rsidR="00EB2084" w:rsidRPr="00436F88">
        <w:rPr>
          <w:rFonts w:ascii="Arial" w:hAnsi="Arial" w:cs="Arial"/>
          <w:sz w:val="22"/>
          <w:szCs w:val="18"/>
        </w:rPr>
        <w:t>There remains considerable opposition to reforms from investors and local government official</w:t>
      </w:r>
      <w:r w:rsidR="00E864E5" w:rsidRPr="00436F88">
        <w:rPr>
          <w:rFonts w:ascii="Arial" w:hAnsi="Arial" w:cs="Arial"/>
          <w:sz w:val="22"/>
          <w:szCs w:val="18"/>
        </w:rPr>
        <w:t>s</w:t>
      </w:r>
      <w:r w:rsidR="00EB2084" w:rsidRPr="00436F88">
        <w:rPr>
          <w:rFonts w:ascii="Arial" w:hAnsi="Arial" w:cs="Arial"/>
          <w:sz w:val="22"/>
          <w:szCs w:val="18"/>
        </w:rPr>
        <w:t xml:space="preserve"> alike, propagated by concern that the</w:t>
      </w:r>
      <w:r w:rsidR="00B27CE0">
        <w:rPr>
          <w:rFonts w:ascii="Arial" w:hAnsi="Arial" w:cs="Arial"/>
          <w:sz w:val="22"/>
          <w:szCs w:val="18"/>
        </w:rPr>
        <w:t xml:space="preserve">y may </w:t>
      </w:r>
      <w:r w:rsidR="00EB2084" w:rsidRPr="00436F88">
        <w:rPr>
          <w:rFonts w:ascii="Arial" w:hAnsi="Arial" w:cs="Arial"/>
          <w:sz w:val="22"/>
          <w:szCs w:val="18"/>
        </w:rPr>
        <w:t>curb infrastructure investment, local GDP growth and development</w:t>
      </w:r>
      <w:r w:rsidR="00500BC8">
        <w:rPr>
          <w:rFonts w:ascii="Arial" w:hAnsi="Arial" w:cs="Arial"/>
          <w:sz w:val="22"/>
          <w:szCs w:val="18"/>
        </w:rPr>
        <w:t xml:space="preserve">. This complex economic debate </w:t>
      </w:r>
      <w:r w:rsidR="00E864E5" w:rsidRPr="00436F88">
        <w:rPr>
          <w:rFonts w:ascii="Arial" w:hAnsi="Arial" w:cs="Arial"/>
          <w:sz w:val="22"/>
          <w:szCs w:val="18"/>
        </w:rPr>
        <w:t>is</w:t>
      </w:r>
      <w:r w:rsidR="00EB2084" w:rsidRPr="00436F88">
        <w:rPr>
          <w:rFonts w:ascii="Arial" w:hAnsi="Arial" w:cs="Arial"/>
          <w:sz w:val="22"/>
          <w:szCs w:val="18"/>
        </w:rPr>
        <w:t xml:space="preserve"> </w:t>
      </w:r>
      <w:r w:rsidR="007246CF">
        <w:rPr>
          <w:rFonts w:ascii="Arial" w:hAnsi="Arial" w:cs="Arial"/>
          <w:sz w:val="22"/>
          <w:szCs w:val="18"/>
        </w:rPr>
        <w:t>exacerbated</w:t>
      </w:r>
      <w:r w:rsidR="00EB2084" w:rsidRPr="00436F88">
        <w:rPr>
          <w:rFonts w:ascii="Arial" w:hAnsi="Arial" w:cs="Arial"/>
          <w:sz w:val="22"/>
          <w:szCs w:val="18"/>
        </w:rPr>
        <w:t xml:space="preserve"> by confusion and misunderstanding (Man, 2011). In addition, </w:t>
      </w:r>
      <w:r w:rsidR="003A7689" w:rsidRPr="00436F88">
        <w:rPr>
          <w:rFonts w:ascii="Arial" w:hAnsi="Arial" w:cs="Arial"/>
          <w:sz w:val="22"/>
          <w:szCs w:val="18"/>
        </w:rPr>
        <w:t xml:space="preserve">there has been limited and piecemeal </w:t>
      </w:r>
      <w:r w:rsidR="00E71184" w:rsidRPr="00436F88">
        <w:rPr>
          <w:rFonts w:ascii="Arial" w:hAnsi="Arial" w:cs="Arial"/>
          <w:sz w:val="22"/>
          <w:szCs w:val="18"/>
        </w:rPr>
        <w:t xml:space="preserve">development of </w:t>
      </w:r>
      <w:r w:rsidR="00547670">
        <w:rPr>
          <w:rFonts w:ascii="Arial" w:hAnsi="Arial" w:cs="Arial"/>
          <w:sz w:val="22"/>
          <w:szCs w:val="18"/>
        </w:rPr>
        <w:t xml:space="preserve">the </w:t>
      </w:r>
      <w:r w:rsidR="00E71184" w:rsidRPr="00436F88">
        <w:rPr>
          <w:rFonts w:ascii="Arial" w:hAnsi="Arial" w:cs="Arial"/>
          <w:sz w:val="22"/>
          <w:szCs w:val="18"/>
        </w:rPr>
        <w:t xml:space="preserve">necessary </w:t>
      </w:r>
      <w:r w:rsidR="00EB2084" w:rsidRPr="00436F88">
        <w:rPr>
          <w:rFonts w:ascii="Arial" w:hAnsi="Arial" w:cs="Arial"/>
          <w:sz w:val="22"/>
          <w:szCs w:val="18"/>
        </w:rPr>
        <w:t>law</w:t>
      </w:r>
      <w:r w:rsidR="00E71184" w:rsidRPr="00436F88">
        <w:rPr>
          <w:rFonts w:ascii="Arial" w:hAnsi="Arial" w:cs="Arial"/>
          <w:sz w:val="22"/>
          <w:szCs w:val="18"/>
        </w:rPr>
        <w:t xml:space="preserve">s, </w:t>
      </w:r>
      <w:r w:rsidR="00EB2084" w:rsidRPr="00436F88">
        <w:rPr>
          <w:rFonts w:ascii="Arial" w:hAnsi="Arial" w:cs="Arial"/>
          <w:sz w:val="22"/>
          <w:szCs w:val="18"/>
        </w:rPr>
        <w:t>regulation</w:t>
      </w:r>
      <w:r w:rsidR="00E71184" w:rsidRPr="00436F88">
        <w:rPr>
          <w:rFonts w:ascii="Arial" w:hAnsi="Arial" w:cs="Arial"/>
          <w:sz w:val="22"/>
          <w:szCs w:val="18"/>
        </w:rPr>
        <w:t>s and</w:t>
      </w:r>
      <w:r w:rsidR="00EB2084" w:rsidRPr="00436F88">
        <w:rPr>
          <w:rFonts w:ascii="Arial" w:hAnsi="Arial" w:cs="Arial"/>
          <w:sz w:val="22"/>
          <w:szCs w:val="18"/>
        </w:rPr>
        <w:t xml:space="preserve"> assessment standards</w:t>
      </w:r>
      <w:r w:rsidR="00547670">
        <w:rPr>
          <w:rFonts w:ascii="Arial" w:hAnsi="Arial" w:cs="Arial"/>
          <w:sz w:val="22"/>
          <w:szCs w:val="18"/>
        </w:rPr>
        <w:t xml:space="preserve"> necessary for policy enactment</w:t>
      </w:r>
      <w:r w:rsidR="00EB2084" w:rsidRPr="00436F88">
        <w:rPr>
          <w:rFonts w:ascii="Arial" w:hAnsi="Arial" w:cs="Arial"/>
          <w:sz w:val="22"/>
          <w:szCs w:val="18"/>
        </w:rPr>
        <w:t xml:space="preserve">. Related to this is the lack of agreement as to the </w:t>
      </w:r>
      <w:r w:rsidR="00D63DB3" w:rsidRPr="00436F88">
        <w:rPr>
          <w:rFonts w:ascii="Arial" w:hAnsi="Arial" w:cs="Arial"/>
          <w:sz w:val="22"/>
          <w:szCs w:val="18"/>
        </w:rPr>
        <w:t>nature</w:t>
      </w:r>
      <w:r w:rsidR="00EB2084" w:rsidRPr="00436F88">
        <w:rPr>
          <w:rFonts w:ascii="Arial" w:hAnsi="Arial" w:cs="Arial"/>
          <w:sz w:val="22"/>
          <w:szCs w:val="18"/>
        </w:rPr>
        <w:t xml:space="preserve"> and specification of </w:t>
      </w:r>
      <w:r w:rsidR="00547670">
        <w:rPr>
          <w:rFonts w:ascii="Arial" w:hAnsi="Arial" w:cs="Arial"/>
          <w:sz w:val="22"/>
          <w:szCs w:val="18"/>
        </w:rPr>
        <w:t>a</w:t>
      </w:r>
      <w:r w:rsidR="00EB2084" w:rsidRPr="00436F88">
        <w:rPr>
          <w:rFonts w:ascii="Arial" w:hAnsi="Arial" w:cs="Arial"/>
          <w:sz w:val="22"/>
          <w:szCs w:val="18"/>
        </w:rPr>
        <w:t xml:space="preserve"> tax base, exemptions, </w:t>
      </w:r>
      <w:r w:rsidR="00D63DB3" w:rsidRPr="00436F88">
        <w:rPr>
          <w:rFonts w:ascii="Arial" w:hAnsi="Arial" w:cs="Arial"/>
          <w:sz w:val="22"/>
          <w:szCs w:val="18"/>
        </w:rPr>
        <w:t xml:space="preserve">assessment and </w:t>
      </w:r>
      <w:r w:rsidR="00EB2084" w:rsidRPr="00436F88">
        <w:rPr>
          <w:rFonts w:ascii="Arial" w:hAnsi="Arial" w:cs="Arial"/>
          <w:sz w:val="22"/>
          <w:szCs w:val="18"/>
        </w:rPr>
        <w:t>administration</w:t>
      </w:r>
      <w:r w:rsidR="00D63DB3" w:rsidRPr="00436F88">
        <w:rPr>
          <w:rFonts w:ascii="Arial" w:hAnsi="Arial" w:cs="Arial"/>
          <w:sz w:val="22"/>
          <w:szCs w:val="18"/>
        </w:rPr>
        <w:t xml:space="preserve"> systems, rate setting</w:t>
      </w:r>
      <w:r w:rsidR="00A7003F" w:rsidRPr="00436F88">
        <w:rPr>
          <w:rFonts w:ascii="Arial" w:hAnsi="Arial" w:cs="Arial"/>
          <w:sz w:val="22"/>
          <w:szCs w:val="18"/>
        </w:rPr>
        <w:t xml:space="preserve"> powers</w:t>
      </w:r>
      <w:r w:rsidR="00D63DB3" w:rsidRPr="00436F88">
        <w:rPr>
          <w:rFonts w:ascii="Arial" w:hAnsi="Arial" w:cs="Arial"/>
          <w:sz w:val="22"/>
          <w:szCs w:val="18"/>
        </w:rPr>
        <w:t xml:space="preserve"> </w:t>
      </w:r>
      <w:r w:rsidR="00EB2084" w:rsidRPr="00436F88">
        <w:rPr>
          <w:rFonts w:ascii="Arial" w:hAnsi="Arial" w:cs="Arial"/>
          <w:sz w:val="22"/>
          <w:szCs w:val="18"/>
        </w:rPr>
        <w:t xml:space="preserve">and allocation </w:t>
      </w:r>
      <w:r w:rsidR="00D63DB3" w:rsidRPr="00436F88">
        <w:rPr>
          <w:rFonts w:ascii="Arial" w:hAnsi="Arial" w:cs="Arial"/>
          <w:sz w:val="22"/>
          <w:szCs w:val="18"/>
        </w:rPr>
        <w:t>of the</w:t>
      </w:r>
      <w:r w:rsidR="00EB2084" w:rsidRPr="00436F88">
        <w:rPr>
          <w:rFonts w:ascii="Arial" w:hAnsi="Arial" w:cs="Arial"/>
          <w:sz w:val="22"/>
          <w:szCs w:val="18"/>
        </w:rPr>
        <w:t xml:space="preserve"> tax revenues (Lui, 2018)</w:t>
      </w:r>
      <w:r w:rsidR="008E003F">
        <w:rPr>
          <w:rFonts w:ascii="Arial" w:hAnsi="Arial" w:cs="Arial"/>
          <w:sz w:val="22"/>
          <w:szCs w:val="18"/>
        </w:rPr>
        <w:t xml:space="preserve"> – pretty much every aspect of the proposed </w:t>
      </w:r>
      <w:r w:rsidR="003E2029">
        <w:rPr>
          <w:rFonts w:ascii="Arial" w:hAnsi="Arial" w:cs="Arial"/>
          <w:sz w:val="22"/>
          <w:szCs w:val="18"/>
        </w:rPr>
        <w:t>property tax system</w:t>
      </w:r>
      <w:r w:rsidR="007246CF">
        <w:rPr>
          <w:rFonts w:ascii="Arial" w:hAnsi="Arial" w:cs="Arial"/>
          <w:sz w:val="22"/>
          <w:szCs w:val="18"/>
        </w:rPr>
        <w:t xml:space="preserve"> is as yet unspecifie</w:t>
      </w:r>
      <w:r w:rsidR="00D51DED">
        <w:rPr>
          <w:rFonts w:ascii="Arial" w:hAnsi="Arial" w:cs="Arial"/>
          <w:sz w:val="22"/>
          <w:szCs w:val="18"/>
        </w:rPr>
        <w:t>d and up for debate</w:t>
      </w:r>
      <w:r w:rsidR="00EB2084" w:rsidRPr="00436F88">
        <w:rPr>
          <w:rFonts w:ascii="Arial" w:hAnsi="Arial" w:cs="Arial"/>
          <w:sz w:val="22"/>
          <w:szCs w:val="18"/>
        </w:rPr>
        <w:t>.</w:t>
      </w:r>
      <w:r w:rsidR="00C42E90" w:rsidRPr="00436F88">
        <w:rPr>
          <w:sz w:val="22"/>
          <w:szCs w:val="18"/>
        </w:rPr>
        <w:t xml:space="preserve"> </w:t>
      </w:r>
      <w:r w:rsidR="003E2029">
        <w:rPr>
          <w:rFonts w:ascii="Arial" w:hAnsi="Arial" w:cs="Arial"/>
          <w:sz w:val="22"/>
          <w:szCs w:val="18"/>
        </w:rPr>
        <w:t>Against this rather</w:t>
      </w:r>
      <w:r w:rsidR="00F52FC2">
        <w:rPr>
          <w:rFonts w:ascii="Arial" w:hAnsi="Arial" w:cs="Arial"/>
          <w:sz w:val="22"/>
          <w:szCs w:val="18"/>
        </w:rPr>
        <w:t xml:space="preserve"> unpromising state of affairs</w:t>
      </w:r>
      <w:r w:rsidR="00436F88" w:rsidRPr="00436F88">
        <w:rPr>
          <w:rFonts w:ascii="Arial" w:hAnsi="Arial" w:cs="Arial"/>
          <w:sz w:val="22"/>
          <w:szCs w:val="18"/>
        </w:rPr>
        <w:t>, a</w:t>
      </w:r>
      <w:r w:rsidR="00EB2084" w:rsidRPr="00436F88">
        <w:rPr>
          <w:rFonts w:ascii="Arial" w:hAnsi="Arial" w:cs="Arial"/>
          <w:sz w:val="22"/>
          <w:szCs w:val="18"/>
        </w:rPr>
        <w:t xml:space="preserve">nnual tax assessed on property value is </w:t>
      </w:r>
      <w:r w:rsidR="000D1769">
        <w:rPr>
          <w:rFonts w:ascii="Arial" w:hAnsi="Arial" w:cs="Arial"/>
          <w:sz w:val="22"/>
          <w:szCs w:val="18"/>
        </w:rPr>
        <w:t xml:space="preserve">still </w:t>
      </w:r>
      <w:r w:rsidR="00C42E90" w:rsidRPr="00436F88">
        <w:rPr>
          <w:rFonts w:ascii="Arial" w:hAnsi="Arial" w:cs="Arial"/>
          <w:sz w:val="22"/>
          <w:szCs w:val="18"/>
        </w:rPr>
        <w:t>seen as</w:t>
      </w:r>
      <w:r w:rsidR="00315ECA">
        <w:rPr>
          <w:rFonts w:ascii="Arial" w:hAnsi="Arial" w:cs="Arial"/>
          <w:sz w:val="22"/>
          <w:szCs w:val="18"/>
        </w:rPr>
        <w:t xml:space="preserve"> </w:t>
      </w:r>
      <w:r w:rsidR="00EB2084" w:rsidRPr="00436F88">
        <w:rPr>
          <w:rFonts w:ascii="Arial" w:hAnsi="Arial" w:cs="Arial"/>
          <w:sz w:val="22"/>
          <w:szCs w:val="18"/>
        </w:rPr>
        <w:t>an efficient revenue resource which can reduce the dependency on land transfer fees</w:t>
      </w:r>
      <w:r w:rsidR="00436F88" w:rsidRPr="00436F88">
        <w:rPr>
          <w:rFonts w:ascii="Arial" w:hAnsi="Arial" w:cs="Arial"/>
          <w:sz w:val="22"/>
          <w:szCs w:val="18"/>
        </w:rPr>
        <w:t xml:space="preserve"> - the</w:t>
      </w:r>
      <w:r w:rsidR="00685F5E" w:rsidRPr="00436F88">
        <w:rPr>
          <w:rFonts w:ascii="Arial" w:hAnsi="Arial" w:cs="Arial"/>
          <w:sz w:val="22"/>
          <w:szCs w:val="18"/>
        </w:rPr>
        <w:t xml:space="preserve"> </w:t>
      </w:r>
      <w:r w:rsidR="00E34CBC" w:rsidRPr="00436F88">
        <w:rPr>
          <w:rFonts w:ascii="Arial" w:hAnsi="Arial" w:cs="Arial"/>
          <w:sz w:val="22"/>
          <w:szCs w:val="18"/>
        </w:rPr>
        <w:t>dependence on which has</w:t>
      </w:r>
      <w:r w:rsidR="00EB2084" w:rsidRPr="00436F88">
        <w:rPr>
          <w:rFonts w:ascii="Arial" w:hAnsi="Arial" w:cs="Arial"/>
          <w:sz w:val="22"/>
          <w:szCs w:val="18"/>
        </w:rPr>
        <w:t xml:space="preserve"> fuel</w:t>
      </w:r>
      <w:r w:rsidR="00E34CBC" w:rsidRPr="00436F88">
        <w:rPr>
          <w:rFonts w:ascii="Arial" w:hAnsi="Arial" w:cs="Arial"/>
          <w:sz w:val="22"/>
          <w:szCs w:val="18"/>
        </w:rPr>
        <w:t>ed</w:t>
      </w:r>
      <w:r w:rsidR="00EB2084" w:rsidRPr="00436F88">
        <w:rPr>
          <w:rFonts w:ascii="Arial" w:hAnsi="Arial" w:cs="Arial"/>
          <w:sz w:val="22"/>
          <w:szCs w:val="18"/>
        </w:rPr>
        <w:t xml:space="preserve"> rises in property prices. </w:t>
      </w:r>
      <w:r w:rsidR="006321FB">
        <w:rPr>
          <w:rFonts w:ascii="Arial" w:hAnsi="Arial" w:cs="Arial"/>
          <w:sz w:val="22"/>
          <w:szCs w:val="18"/>
        </w:rPr>
        <w:t xml:space="preserve">The revenue argument is strengthened further by the reality that </w:t>
      </w:r>
      <w:r w:rsidR="00EB2084" w:rsidRPr="00436F88">
        <w:rPr>
          <w:rFonts w:ascii="Arial" w:hAnsi="Arial" w:cs="Arial"/>
          <w:sz w:val="22"/>
          <w:szCs w:val="18"/>
        </w:rPr>
        <w:t>housing policy</w:t>
      </w:r>
      <w:r w:rsidR="00203756" w:rsidRPr="00436F88">
        <w:rPr>
          <w:rFonts w:ascii="Arial" w:hAnsi="Arial" w:cs="Arial"/>
          <w:sz w:val="22"/>
          <w:szCs w:val="18"/>
        </w:rPr>
        <w:t xml:space="preserve"> changes</w:t>
      </w:r>
      <w:r w:rsidR="00EB2084" w:rsidRPr="00436F88">
        <w:rPr>
          <w:rFonts w:ascii="Arial" w:hAnsi="Arial" w:cs="Arial"/>
          <w:sz w:val="22"/>
          <w:szCs w:val="18"/>
        </w:rPr>
        <w:t xml:space="preserve"> and </w:t>
      </w:r>
      <w:r w:rsidR="00203756" w:rsidRPr="00436F88">
        <w:rPr>
          <w:rFonts w:ascii="Arial" w:hAnsi="Arial" w:cs="Arial"/>
          <w:sz w:val="22"/>
          <w:szCs w:val="18"/>
        </w:rPr>
        <w:t xml:space="preserve">land </w:t>
      </w:r>
      <w:r w:rsidR="00EB2084" w:rsidRPr="00436F88">
        <w:rPr>
          <w:rFonts w:ascii="Arial" w:hAnsi="Arial" w:cs="Arial"/>
          <w:sz w:val="22"/>
          <w:szCs w:val="18"/>
        </w:rPr>
        <w:t>fee restrictions ha</w:t>
      </w:r>
      <w:r w:rsidR="006321FB">
        <w:rPr>
          <w:rFonts w:ascii="Arial" w:hAnsi="Arial" w:cs="Arial"/>
          <w:sz w:val="22"/>
          <w:szCs w:val="18"/>
        </w:rPr>
        <w:t>ve</w:t>
      </w:r>
      <w:r w:rsidR="00EB2084" w:rsidRPr="00436F88">
        <w:rPr>
          <w:rFonts w:ascii="Arial" w:hAnsi="Arial" w:cs="Arial"/>
          <w:sz w:val="22"/>
          <w:szCs w:val="18"/>
        </w:rPr>
        <w:t xml:space="preserve"> </w:t>
      </w:r>
      <w:r w:rsidR="00203756" w:rsidRPr="00436F88">
        <w:rPr>
          <w:rFonts w:ascii="Arial" w:hAnsi="Arial" w:cs="Arial"/>
          <w:sz w:val="22"/>
          <w:szCs w:val="18"/>
        </w:rPr>
        <w:t>resulted</w:t>
      </w:r>
      <w:r w:rsidR="00EB2084" w:rsidRPr="00436F88">
        <w:rPr>
          <w:rFonts w:ascii="Arial" w:hAnsi="Arial" w:cs="Arial"/>
          <w:sz w:val="22"/>
          <w:szCs w:val="18"/>
        </w:rPr>
        <w:t xml:space="preserve"> </w:t>
      </w:r>
      <w:r w:rsidR="00203756" w:rsidRPr="00436F88">
        <w:rPr>
          <w:rFonts w:ascii="Arial" w:hAnsi="Arial" w:cs="Arial"/>
          <w:sz w:val="22"/>
          <w:szCs w:val="18"/>
        </w:rPr>
        <w:t xml:space="preserve">in </w:t>
      </w:r>
      <w:r w:rsidR="00EB2084" w:rsidRPr="00436F88">
        <w:rPr>
          <w:rFonts w:ascii="Arial" w:hAnsi="Arial" w:cs="Arial"/>
          <w:sz w:val="22"/>
          <w:szCs w:val="18"/>
        </w:rPr>
        <w:t>a sharp decline in land transfer fees across 130 cities (China Index Institute, 2012)</w:t>
      </w:r>
      <w:r w:rsidR="00436F88" w:rsidRPr="00436F88">
        <w:rPr>
          <w:rFonts w:ascii="Arial" w:hAnsi="Arial" w:cs="Arial"/>
          <w:sz w:val="22"/>
          <w:szCs w:val="18"/>
        </w:rPr>
        <w:t xml:space="preserve">, </w:t>
      </w:r>
      <w:r w:rsidR="000210DE" w:rsidRPr="00436F88">
        <w:rPr>
          <w:rFonts w:ascii="Arial" w:hAnsi="Arial" w:cs="Arial"/>
          <w:sz w:val="22"/>
          <w:szCs w:val="18"/>
        </w:rPr>
        <w:t>highlighting</w:t>
      </w:r>
      <w:r w:rsidR="00EB2084" w:rsidRPr="00436F88">
        <w:rPr>
          <w:rFonts w:ascii="Arial" w:hAnsi="Arial" w:cs="Arial"/>
          <w:sz w:val="22"/>
          <w:szCs w:val="18"/>
        </w:rPr>
        <w:t xml:space="preserve"> the need to raise more sustainable revenue in the longer term. It is suggested</w:t>
      </w:r>
      <w:r w:rsidR="00CD0FE6">
        <w:rPr>
          <w:rFonts w:ascii="Arial" w:hAnsi="Arial" w:cs="Arial"/>
          <w:sz w:val="22"/>
          <w:szCs w:val="18"/>
        </w:rPr>
        <w:t xml:space="preserve"> by theory, and accepted in policy circles</w:t>
      </w:r>
      <w:r w:rsidR="00E3187C">
        <w:rPr>
          <w:rFonts w:ascii="Arial" w:hAnsi="Arial" w:cs="Arial"/>
          <w:sz w:val="22"/>
          <w:szCs w:val="18"/>
        </w:rPr>
        <w:t>,</w:t>
      </w:r>
      <w:r w:rsidR="00EB2084" w:rsidRPr="00436F88">
        <w:rPr>
          <w:rFonts w:ascii="Arial" w:hAnsi="Arial" w:cs="Arial"/>
          <w:sz w:val="22"/>
          <w:szCs w:val="18"/>
        </w:rPr>
        <w:t xml:space="preserve"> that </w:t>
      </w:r>
      <w:r w:rsidR="000210DE" w:rsidRPr="00436F88">
        <w:rPr>
          <w:rFonts w:ascii="Arial" w:hAnsi="Arial" w:cs="Arial"/>
          <w:sz w:val="22"/>
          <w:szCs w:val="18"/>
        </w:rPr>
        <w:t>deployment</w:t>
      </w:r>
      <w:r w:rsidR="00EB2084" w:rsidRPr="00436F88">
        <w:rPr>
          <w:rFonts w:ascii="Arial" w:hAnsi="Arial" w:cs="Arial"/>
          <w:sz w:val="22"/>
          <w:szCs w:val="18"/>
        </w:rPr>
        <w:t xml:space="preserve"> of a property tax system can offer an efficient, equitable, and sustainable </w:t>
      </w:r>
      <w:r w:rsidR="00D45830" w:rsidRPr="00436F88">
        <w:rPr>
          <w:rFonts w:ascii="Arial" w:hAnsi="Arial" w:cs="Arial"/>
          <w:sz w:val="22"/>
          <w:szCs w:val="18"/>
        </w:rPr>
        <w:t>source of municipal</w:t>
      </w:r>
      <w:r w:rsidR="00EB2084" w:rsidRPr="00436F88">
        <w:rPr>
          <w:rFonts w:ascii="Arial" w:hAnsi="Arial" w:cs="Arial"/>
          <w:sz w:val="22"/>
          <w:szCs w:val="18"/>
        </w:rPr>
        <w:t xml:space="preserve"> revenue</w:t>
      </w:r>
      <w:r w:rsidR="00D45830" w:rsidRPr="00436F88">
        <w:rPr>
          <w:rFonts w:ascii="Arial" w:hAnsi="Arial" w:cs="Arial"/>
          <w:sz w:val="22"/>
          <w:szCs w:val="18"/>
        </w:rPr>
        <w:t>,</w:t>
      </w:r>
      <w:r w:rsidR="00EB2084" w:rsidRPr="00436F88">
        <w:rPr>
          <w:rFonts w:ascii="Arial" w:hAnsi="Arial" w:cs="Arial"/>
          <w:sz w:val="22"/>
          <w:szCs w:val="18"/>
        </w:rPr>
        <w:t xml:space="preserve"> </w:t>
      </w:r>
      <w:r w:rsidR="00D45830" w:rsidRPr="00436F88">
        <w:rPr>
          <w:rFonts w:ascii="Arial" w:hAnsi="Arial" w:cs="Arial"/>
          <w:sz w:val="22"/>
          <w:szCs w:val="18"/>
        </w:rPr>
        <w:t xml:space="preserve">whilst </w:t>
      </w:r>
      <w:r w:rsidR="00AD54CB" w:rsidRPr="00436F88">
        <w:rPr>
          <w:rFonts w:ascii="Arial" w:hAnsi="Arial" w:cs="Arial"/>
          <w:sz w:val="22"/>
          <w:szCs w:val="18"/>
        </w:rPr>
        <w:t xml:space="preserve">providing a </w:t>
      </w:r>
      <w:r w:rsidR="003973EA" w:rsidRPr="00436F88">
        <w:rPr>
          <w:rFonts w:ascii="Arial" w:hAnsi="Arial" w:cs="Arial"/>
          <w:sz w:val="22"/>
          <w:szCs w:val="18"/>
        </w:rPr>
        <w:t xml:space="preserve">check </w:t>
      </w:r>
      <w:r w:rsidR="00AD54CB" w:rsidRPr="00436F88">
        <w:rPr>
          <w:rFonts w:ascii="Arial" w:hAnsi="Arial" w:cs="Arial"/>
          <w:sz w:val="22"/>
          <w:szCs w:val="18"/>
        </w:rPr>
        <w:t xml:space="preserve">mechanism </w:t>
      </w:r>
      <w:r w:rsidR="003973EA" w:rsidRPr="00436F88">
        <w:rPr>
          <w:rFonts w:ascii="Arial" w:hAnsi="Arial" w:cs="Arial"/>
          <w:sz w:val="22"/>
          <w:szCs w:val="18"/>
        </w:rPr>
        <w:t xml:space="preserve">on </w:t>
      </w:r>
      <w:r w:rsidR="00EB2084" w:rsidRPr="00436F88">
        <w:rPr>
          <w:rFonts w:ascii="Arial" w:hAnsi="Arial" w:cs="Arial"/>
          <w:sz w:val="22"/>
          <w:szCs w:val="18"/>
        </w:rPr>
        <w:t>property pric</w:t>
      </w:r>
      <w:r w:rsidR="003973EA" w:rsidRPr="00436F88">
        <w:rPr>
          <w:rFonts w:ascii="Arial" w:hAnsi="Arial" w:cs="Arial"/>
          <w:sz w:val="22"/>
          <w:szCs w:val="18"/>
        </w:rPr>
        <w:t>e inflation</w:t>
      </w:r>
      <w:r w:rsidR="00EB2084" w:rsidRPr="00436F88">
        <w:rPr>
          <w:rFonts w:ascii="Arial" w:hAnsi="Arial" w:cs="Arial"/>
          <w:sz w:val="22"/>
          <w:szCs w:val="18"/>
        </w:rPr>
        <w:t xml:space="preserve">. </w:t>
      </w:r>
    </w:p>
    <w:p w14:paraId="55196C02" w14:textId="77777777" w:rsidR="00EB2084" w:rsidRPr="004F275F" w:rsidRDefault="00EB2084" w:rsidP="00EB2084">
      <w:pPr>
        <w:pStyle w:val="WPBodyText"/>
        <w:rPr>
          <w:b/>
          <w:i/>
        </w:rPr>
      </w:pPr>
    </w:p>
    <w:p w14:paraId="1F0E44EA" w14:textId="2A246FDC" w:rsidR="00F52FC1" w:rsidRDefault="00EB2084" w:rsidP="00F52FC1">
      <w:pPr>
        <w:pStyle w:val="WPBodyText"/>
        <w:spacing w:line="360" w:lineRule="auto"/>
        <w:jc w:val="both"/>
        <w:rPr>
          <w:rFonts w:ascii="Arial" w:hAnsi="Arial" w:cs="Arial"/>
          <w:sz w:val="22"/>
          <w:szCs w:val="18"/>
        </w:rPr>
      </w:pPr>
      <w:r w:rsidRPr="00E37ECB">
        <w:rPr>
          <w:rFonts w:ascii="Arial" w:hAnsi="Arial" w:cs="Arial"/>
          <w:sz w:val="22"/>
          <w:szCs w:val="18"/>
        </w:rPr>
        <w:t>Nonetheless, although the Chinese government has long considered the introduction of an annual property tax</w:t>
      </w:r>
      <w:r w:rsidR="00F52FC1">
        <w:rPr>
          <w:rFonts w:ascii="Arial" w:hAnsi="Arial" w:cs="Arial"/>
          <w:sz w:val="22"/>
          <w:szCs w:val="18"/>
        </w:rPr>
        <w:t xml:space="preserve"> </w:t>
      </w:r>
      <w:r w:rsidRPr="00E37ECB">
        <w:rPr>
          <w:rFonts w:ascii="Arial" w:hAnsi="Arial" w:cs="Arial"/>
          <w:sz w:val="22"/>
          <w:szCs w:val="18"/>
        </w:rPr>
        <w:t>this has not yet been fully deployed</w:t>
      </w:r>
      <w:r w:rsidR="00ED15CF" w:rsidRPr="00E37ECB">
        <w:rPr>
          <w:rFonts w:ascii="Arial" w:hAnsi="Arial" w:cs="Arial"/>
          <w:sz w:val="22"/>
          <w:szCs w:val="18"/>
        </w:rPr>
        <w:t>,</w:t>
      </w:r>
      <w:r w:rsidRPr="00E37ECB">
        <w:rPr>
          <w:rFonts w:ascii="Arial" w:hAnsi="Arial" w:cs="Arial"/>
          <w:sz w:val="22"/>
          <w:szCs w:val="18"/>
        </w:rPr>
        <w:t xml:space="preserve"> with taxes remaining only at the point of sale (</w:t>
      </w:r>
      <w:proofErr w:type="spellStart"/>
      <w:r w:rsidRPr="00E37ECB">
        <w:rPr>
          <w:rFonts w:ascii="Arial" w:hAnsi="Arial" w:cs="Arial"/>
          <w:sz w:val="22"/>
          <w:szCs w:val="18"/>
        </w:rPr>
        <w:t>Nunlist</w:t>
      </w:r>
      <w:proofErr w:type="spellEnd"/>
      <w:r w:rsidRPr="00E37ECB">
        <w:rPr>
          <w:rFonts w:ascii="Arial" w:hAnsi="Arial" w:cs="Arial"/>
          <w:sz w:val="22"/>
          <w:szCs w:val="18"/>
        </w:rPr>
        <w:t xml:space="preserve">, 2017). Therefore, whilst property tax reform is making some progress in </w:t>
      </w:r>
      <w:r w:rsidR="00EA504A" w:rsidRPr="00E37ECB">
        <w:rPr>
          <w:rFonts w:ascii="Arial" w:hAnsi="Arial" w:cs="Arial"/>
          <w:sz w:val="22"/>
          <w:szCs w:val="18"/>
        </w:rPr>
        <w:t xml:space="preserve">technical </w:t>
      </w:r>
      <w:r w:rsidRPr="00E37ECB">
        <w:rPr>
          <w:rFonts w:ascii="Arial" w:hAnsi="Arial" w:cs="Arial"/>
          <w:sz w:val="22"/>
          <w:szCs w:val="18"/>
        </w:rPr>
        <w:t xml:space="preserve">research, </w:t>
      </w:r>
      <w:r w:rsidR="00EA504A" w:rsidRPr="00E37ECB">
        <w:rPr>
          <w:rFonts w:ascii="Arial" w:hAnsi="Arial" w:cs="Arial"/>
          <w:sz w:val="22"/>
          <w:szCs w:val="18"/>
        </w:rPr>
        <w:t>a</w:t>
      </w:r>
      <w:r w:rsidRPr="00E37ECB">
        <w:rPr>
          <w:rFonts w:ascii="Arial" w:hAnsi="Arial" w:cs="Arial"/>
          <w:sz w:val="22"/>
          <w:szCs w:val="18"/>
        </w:rPr>
        <w:t xml:space="preserve">nd to an extent </w:t>
      </w:r>
      <w:r w:rsidR="00297F1F" w:rsidRPr="00E37ECB">
        <w:rPr>
          <w:rFonts w:ascii="Arial" w:hAnsi="Arial" w:cs="Arial"/>
          <w:sz w:val="22"/>
          <w:szCs w:val="18"/>
        </w:rPr>
        <w:t xml:space="preserve">is gaining </w:t>
      </w:r>
      <w:r w:rsidR="00EB5A01" w:rsidRPr="00E37ECB">
        <w:rPr>
          <w:rFonts w:ascii="Arial" w:hAnsi="Arial" w:cs="Arial"/>
          <w:sz w:val="22"/>
          <w:szCs w:val="18"/>
        </w:rPr>
        <w:t xml:space="preserve">awareness </w:t>
      </w:r>
      <w:r w:rsidR="00F939DD" w:rsidRPr="00E37ECB">
        <w:rPr>
          <w:rFonts w:ascii="Arial" w:hAnsi="Arial" w:cs="Arial"/>
          <w:sz w:val="22"/>
          <w:szCs w:val="18"/>
        </w:rPr>
        <w:t xml:space="preserve">if not necessarily </w:t>
      </w:r>
      <w:r w:rsidR="00297F1F" w:rsidRPr="00E37ECB">
        <w:rPr>
          <w:rFonts w:ascii="Arial" w:hAnsi="Arial" w:cs="Arial"/>
          <w:sz w:val="22"/>
          <w:szCs w:val="18"/>
        </w:rPr>
        <w:t>acceptance</w:t>
      </w:r>
      <w:r w:rsidR="00F939DD" w:rsidRPr="00E37ECB">
        <w:rPr>
          <w:rFonts w:ascii="Arial" w:hAnsi="Arial" w:cs="Arial"/>
          <w:sz w:val="22"/>
          <w:szCs w:val="18"/>
        </w:rPr>
        <w:t xml:space="preserve"> in</w:t>
      </w:r>
      <w:r w:rsidR="00297F1F" w:rsidRPr="00E37ECB">
        <w:rPr>
          <w:rFonts w:ascii="Arial" w:hAnsi="Arial" w:cs="Arial"/>
          <w:sz w:val="22"/>
          <w:szCs w:val="18"/>
        </w:rPr>
        <w:t xml:space="preserve"> </w:t>
      </w:r>
      <w:r w:rsidRPr="00E37ECB">
        <w:rPr>
          <w:rFonts w:ascii="Arial" w:hAnsi="Arial" w:cs="Arial"/>
          <w:sz w:val="22"/>
          <w:szCs w:val="18"/>
        </w:rPr>
        <w:t xml:space="preserve">the public psyche, it remains embryonic and if it is to </w:t>
      </w:r>
      <w:r w:rsidRPr="00E37ECB">
        <w:rPr>
          <w:rFonts w:ascii="Arial" w:hAnsi="Arial" w:cs="Arial"/>
          <w:sz w:val="22"/>
          <w:szCs w:val="22"/>
        </w:rPr>
        <w:t xml:space="preserve">be become a major source of public revenue, requires </w:t>
      </w:r>
      <w:r w:rsidR="00745DD4" w:rsidRPr="00E37ECB">
        <w:rPr>
          <w:rFonts w:ascii="Arial" w:hAnsi="Arial" w:cs="Arial"/>
          <w:sz w:val="22"/>
          <w:szCs w:val="22"/>
        </w:rPr>
        <w:t xml:space="preserve">considerable </w:t>
      </w:r>
      <w:r w:rsidRPr="00E37ECB">
        <w:rPr>
          <w:rFonts w:ascii="Arial" w:hAnsi="Arial" w:cs="Arial"/>
          <w:sz w:val="22"/>
          <w:szCs w:val="22"/>
        </w:rPr>
        <w:t>support (Man, 2011). In this context</w:t>
      </w:r>
      <w:r w:rsidR="002056EA">
        <w:rPr>
          <w:rFonts w:ascii="Arial" w:hAnsi="Arial" w:cs="Arial"/>
          <w:sz w:val="22"/>
          <w:szCs w:val="22"/>
        </w:rPr>
        <w:t xml:space="preserve"> and in furthering this agenda</w:t>
      </w:r>
      <w:r w:rsidRPr="00E37ECB">
        <w:rPr>
          <w:rFonts w:ascii="Arial" w:hAnsi="Arial" w:cs="Arial"/>
          <w:sz w:val="22"/>
          <w:szCs w:val="22"/>
        </w:rPr>
        <w:t xml:space="preserve">, </w:t>
      </w:r>
      <w:r w:rsidR="00E37ECB" w:rsidRPr="00E37ECB">
        <w:rPr>
          <w:rFonts w:ascii="Arial" w:hAnsi="Arial" w:cs="Arial"/>
          <w:sz w:val="22"/>
          <w:szCs w:val="22"/>
        </w:rPr>
        <w:t xml:space="preserve">as attested to by </w:t>
      </w:r>
      <w:proofErr w:type="spellStart"/>
      <w:r w:rsidR="00E37ECB" w:rsidRPr="00E37ECB">
        <w:rPr>
          <w:rFonts w:ascii="Arial" w:hAnsi="Arial" w:cs="Arial"/>
          <w:sz w:val="22"/>
          <w:szCs w:val="22"/>
        </w:rPr>
        <w:t>Nunlist</w:t>
      </w:r>
      <w:proofErr w:type="spellEnd"/>
      <w:r w:rsidR="00E37ECB" w:rsidRPr="00E37ECB">
        <w:rPr>
          <w:rFonts w:ascii="Arial" w:hAnsi="Arial" w:cs="Arial"/>
          <w:sz w:val="22"/>
          <w:szCs w:val="22"/>
        </w:rPr>
        <w:t xml:space="preserve"> (2017), </w:t>
      </w:r>
      <w:r w:rsidRPr="00E37ECB">
        <w:rPr>
          <w:rFonts w:ascii="Arial" w:hAnsi="Arial" w:cs="Arial"/>
          <w:sz w:val="22"/>
          <w:szCs w:val="22"/>
        </w:rPr>
        <w:t>the Lincoln Institute</w:t>
      </w:r>
      <w:r w:rsidR="00D361E0">
        <w:rPr>
          <w:rFonts w:ascii="Arial" w:hAnsi="Arial" w:cs="Arial"/>
          <w:sz w:val="22"/>
          <w:szCs w:val="22"/>
        </w:rPr>
        <w:t xml:space="preserve"> of Land Policy</w:t>
      </w:r>
      <w:r w:rsidRPr="00E37ECB">
        <w:rPr>
          <w:rFonts w:ascii="Arial" w:hAnsi="Arial" w:cs="Arial"/>
          <w:sz w:val="22"/>
          <w:szCs w:val="22"/>
        </w:rPr>
        <w:t xml:space="preserve">, </w:t>
      </w:r>
      <w:r w:rsidR="00797DF6" w:rsidRPr="00E37ECB">
        <w:rPr>
          <w:rFonts w:ascii="Arial" w:hAnsi="Arial" w:cs="Arial"/>
          <w:sz w:val="22"/>
          <w:szCs w:val="22"/>
        </w:rPr>
        <w:t>via</w:t>
      </w:r>
      <w:r w:rsidRPr="00E37ECB">
        <w:rPr>
          <w:rFonts w:ascii="Arial" w:hAnsi="Arial" w:cs="Arial"/>
          <w:sz w:val="22"/>
          <w:szCs w:val="22"/>
        </w:rPr>
        <w:t xml:space="preserve"> the Peking University–Lincoln Institute Center for Urban Development and Land Policy (PLC) </w:t>
      </w:r>
      <w:r w:rsidR="00436F88" w:rsidRPr="00E37ECB">
        <w:rPr>
          <w:rFonts w:ascii="Arial" w:hAnsi="Arial" w:cs="Arial"/>
          <w:sz w:val="22"/>
          <w:szCs w:val="22"/>
        </w:rPr>
        <w:t xml:space="preserve">along with </w:t>
      </w:r>
      <w:r w:rsidR="00E37ECB" w:rsidRPr="00E37ECB">
        <w:rPr>
          <w:rFonts w:ascii="Arial" w:hAnsi="Arial" w:cs="Arial"/>
          <w:sz w:val="22"/>
          <w:szCs w:val="22"/>
        </w:rPr>
        <w:t xml:space="preserve">IPTI and </w:t>
      </w:r>
      <w:r w:rsidR="00E37ECB" w:rsidRPr="00E37ECB">
        <w:rPr>
          <w:rFonts w:ascii="Arial" w:hAnsi="Arial" w:cs="Arial"/>
          <w:sz w:val="22"/>
          <w:szCs w:val="22"/>
        </w:rPr>
        <w:lastRenderedPageBreak/>
        <w:t xml:space="preserve">ESRI Canada (particularly the noble efforts of Lomax and Yuen), exemplify the commitment of the international assessment community to </w:t>
      </w:r>
      <w:r w:rsidR="00A00D58">
        <w:rPr>
          <w:rFonts w:ascii="Arial" w:hAnsi="Arial" w:cs="Arial"/>
          <w:sz w:val="22"/>
          <w:szCs w:val="22"/>
        </w:rPr>
        <w:t>provide</w:t>
      </w:r>
      <w:r w:rsidRPr="00E37ECB">
        <w:rPr>
          <w:rFonts w:ascii="Arial" w:hAnsi="Arial" w:cs="Arial"/>
          <w:sz w:val="22"/>
          <w:szCs w:val="22"/>
        </w:rPr>
        <w:t xml:space="preserve"> international and domestic expert</w:t>
      </w:r>
      <w:r w:rsidR="00A00D58">
        <w:rPr>
          <w:rFonts w:ascii="Arial" w:hAnsi="Arial" w:cs="Arial"/>
          <w:sz w:val="22"/>
          <w:szCs w:val="22"/>
        </w:rPr>
        <w:t>ise, via</w:t>
      </w:r>
      <w:r w:rsidRPr="00E37ECB">
        <w:rPr>
          <w:rFonts w:ascii="Arial" w:hAnsi="Arial" w:cs="Arial"/>
          <w:sz w:val="22"/>
          <w:szCs w:val="22"/>
        </w:rPr>
        <w:t xml:space="preserve"> </w:t>
      </w:r>
      <w:r w:rsidR="00A00D58">
        <w:rPr>
          <w:rFonts w:ascii="Arial" w:hAnsi="Arial" w:cs="Arial"/>
          <w:sz w:val="22"/>
          <w:szCs w:val="22"/>
        </w:rPr>
        <w:t>commissioning</w:t>
      </w:r>
      <w:r w:rsidRPr="00E37ECB">
        <w:rPr>
          <w:rFonts w:ascii="Arial" w:hAnsi="Arial" w:cs="Arial"/>
          <w:sz w:val="22"/>
          <w:szCs w:val="22"/>
        </w:rPr>
        <w:t xml:space="preserve"> research and demonstration projects on property taxation and related topics. This has encompassed various projects</w:t>
      </w:r>
      <w:r w:rsidR="00A00D58">
        <w:rPr>
          <w:rFonts w:ascii="Arial" w:hAnsi="Arial" w:cs="Arial"/>
          <w:sz w:val="22"/>
          <w:szCs w:val="22"/>
        </w:rPr>
        <w:t>,</w:t>
      </w:r>
      <w:r w:rsidRPr="00E37ECB">
        <w:rPr>
          <w:rFonts w:ascii="Arial" w:hAnsi="Arial" w:cs="Arial"/>
          <w:sz w:val="22"/>
          <w:szCs w:val="22"/>
        </w:rPr>
        <w:t xml:space="preserve"> such as a pilot demonstration that established a CAMA system for the financial district of Beijing, and several other city implementations of CAMA, in anticipation of a future property tax.</w:t>
      </w:r>
      <w:r w:rsidRPr="004F275F">
        <w:t xml:space="preserve">   </w:t>
      </w:r>
    </w:p>
    <w:p w14:paraId="14DC0498" w14:textId="77777777" w:rsidR="00A00D58" w:rsidRDefault="00A00D58" w:rsidP="00DF16F7">
      <w:pPr>
        <w:pStyle w:val="WPBodyText"/>
        <w:spacing w:line="360" w:lineRule="auto"/>
        <w:jc w:val="both"/>
        <w:rPr>
          <w:rFonts w:ascii="Arial" w:hAnsi="Arial" w:cs="Arial"/>
          <w:sz w:val="22"/>
          <w:szCs w:val="18"/>
        </w:rPr>
      </w:pPr>
    </w:p>
    <w:p w14:paraId="052ED589" w14:textId="49A9722F" w:rsidR="00EB2084" w:rsidRPr="00DF16F7" w:rsidRDefault="004B3844" w:rsidP="00DF16F7">
      <w:pPr>
        <w:pStyle w:val="WPBodyText"/>
        <w:spacing w:line="360" w:lineRule="auto"/>
        <w:jc w:val="both"/>
        <w:rPr>
          <w:rFonts w:ascii="Arial" w:hAnsi="Arial" w:cs="Arial"/>
          <w:sz w:val="22"/>
          <w:szCs w:val="18"/>
        </w:rPr>
      </w:pPr>
      <w:r>
        <w:rPr>
          <w:rFonts w:ascii="Arial" w:hAnsi="Arial" w:cs="Arial"/>
          <w:sz w:val="22"/>
          <w:szCs w:val="18"/>
        </w:rPr>
        <w:t>There is some evidence of ‘</w:t>
      </w:r>
      <w:r w:rsidR="00DF16F7" w:rsidRPr="00DF16F7">
        <w:rPr>
          <w:rFonts w:ascii="Arial" w:hAnsi="Arial" w:cs="Arial"/>
          <w:sz w:val="22"/>
          <w:szCs w:val="18"/>
        </w:rPr>
        <w:t>gearing-up</w:t>
      </w:r>
      <w:r>
        <w:rPr>
          <w:rFonts w:ascii="Arial" w:hAnsi="Arial" w:cs="Arial"/>
          <w:sz w:val="22"/>
          <w:szCs w:val="18"/>
        </w:rPr>
        <w:t>’</w:t>
      </w:r>
      <w:r w:rsidR="00DF16F7" w:rsidRPr="00DF16F7">
        <w:rPr>
          <w:rFonts w:ascii="Arial" w:hAnsi="Arial" w:cs="Arial"/>
          <w:sz w:val="22"/>
          <w:szCs w:val="18"/>
        </w:rPr>
        <w:t xml:space="preserve"> </w:t>
      </w:r>
      <w:r w:rsidR="00F31E9C">
        <w:rPr>
          <w:rFonts w:ascii="Arial" w:hAnsi="Arial" w:cs="Arial"/>
          <w:sz w:val="22"/>
          <w:szCs w:val="18"/>
        </w:rPr>
        <w:t>for t</w:t>
      </w:r>
      <w:r w:rsidR="00DF16F7" w:rsidRPr="00DF16F7">
        <w:rPr>
          <w:rFonts w:ascii="Arial" w:hAnsi="Arial" w:cs="Arial"/>
          <w:sz w:val="22"/>
          <w:szCs w:val="18"/>
        </w:rPr>
        <w:t>he operationalization of CAMA systems, as evidenced by the housing registration system being developed to prepare for the future property tax reform (Cao and Hu, 2016), which is likely to form part of an enabling environment</w:t>
      </w:r>
      <w:r w:rsidR="00F31E9C">
        <w:rPr>
          <w:rFonts w:ascii="Arial" w:hAnsi="Arial" w:cs="Arial"/>
          <w:sz w:val="22"/>
          <w:szCs w:val="18"/>
        </w:rPr>
        <w:t xml:space="preserve">. </w:t>
      </w:r>
      <w:r w:rsidR="009C12E5">
        <w:rPr>
          <w:rFonts w:ascii="Arial" w:hAnsi="Arial" w:cs="Arial"/>
          <w:sz w:val="22"/>
          <w:szCs w:val="18"/>
        </w:rPr>
        <w:t>However,</w:t>
      </w:r>
      <w:r w:rsidR="00DF16F7" w:rsidRPr="00DF16F7">
        <w:rPr>
          <w:rFonts w:ascii="Arial" w:hAnsi="Arial" w:cs="Arial"/>
          <w:sz w:val="22"/>
          <w:szCs w:val="18"/>
        </w:rPr>
        <w:t xml:space="preserve"> </w:t>
      </w:r>
      <w:r w:rsidR="00EB2084" w:rsidRPr="00DF16F7">
        <w:rPr>
          <w:rFonts w:ascii="Arial" w:hAnsi="Arial" w:cs="Arial"/>
          <w:sz w:val="22"/>
          <w:szCs w:val="18"/>
        </w:rPr>
        <w:t xml:space="preserve">the </w:t>
      </w:r>
      <w:r w:rsidR="004A2A97" w:rsidRPr="00DF16F7">
        <w:rPr>
          <w:rFonts w:ascii="Arial" w:hAnsi="Arial" w:cs="Arial"/>
          <w:sz w:val="22"/>
          <w:szCs w:val="18"/>
        </w:rPr>
        <w:t>roll out</w:t>
      </w:r>
      <w:r w:rsidR="00EB2084" w:rsidRPr="00DF16F7">
        <w:rPr>
          <w:rFonts w:ascii="Arial" w:hAnsi="Arial" w:cs="Arial"/>
          <w:sz w:val="22"/>
          <w:szCs w:val="18"/>
        </w:rPr>
        <w:t xml:space="preserve"> of mass appraisal practice has been disjointed and </w:t>
      </w:r>
      <w:r w:rsidR="004A2A97" w:rsidRPr="00DF16F7">
        <w:rPr>
          <w:rFonts w:ascii="Arial" w:hAnsi="Arial" w:cs="Arial"/>
          <w:sz w:val="22"/>
          <w:szCs w:val="18"/>
        </w:rPr>
        <w:t>limited</w:t>
      </w:r>
      <w:r w:rsidR="00EB2084" w:rsidRPr="00DF16F7">
        <w:rPr>
          <w:rFonts w:ascii="Arial" w:hAnsi="Arial" w:cs="Arial"/>
          <w:sz w:val="22"/>
          <w:szCs w:val="18"/>
        </w:rPr>
        <w:t>, further compounded by the differing valuation approaches adopted</w:t>
      </w:r>
      <w:r w:rsidR="009C12E5">
        <w:rPr>
          <w:rFonts w:ascii="Arial" w:hAnsi="Arial" w:cs="Arial"/>
          <w:sz w:val="22"/>
          <w:szCs w:val="18"/>
        </w:rPr>
        <w:t xml:space="preserve"> to date</w:t>
      </w:r>
      <w:r w:rsidR="00EB2084" w:rsidRPr="00DF16F7">
        <w:rPr>
          <w:rFonts w:ascii="Arial" w:hAnsi="Arial" w:cs="Arial"/>
          <w:sz w:val="22"/>
          <w:szCs w:val="18"/>
        </w:rPr>
        <w:t>. The introduction of pilot schemes in a number of cities using dissimilar methods has also</w:t>
      </w:r>
      <w:r w:rsidR="009C12E5">
        <w:rPr>
          <w:rFonts w:ascii="Arial" w:hAnsi="Arial" w:cs="Arial"/>
          <w:sz w:val="22"/>
          <w:szCs w:val="18"/>
        </w:rPr>
        <w:t>,</w:t>
      </w:r>
      <w:r w:rsidR="00EB2084" w:rsidRPr="00DF16F7">
        <w:rPr>
          <w:rFonts w:ascii="Arial" w:hAnsi="Arial" w:cs="Arial"/>
          <w:sz w:val="22"/>
          <w:szCs w:val="18"/>
        </w:rPr>
        <w:t xml:space="preserve"> debatably</w:t>
      </w:r>
      <w:r w:rsidR="009C12E5">
        <w:rPr>
          <w:rFonts w:ascii="Arial" w:hAnsi="Arial" w:cs="Arial"/>
          <w:sz w:val="22"/>
          <w:szCs w:val="18"/>
        </w:rPr>
        <w:t>,</w:t>
      </w:r>
      <w:r w:rsidR="00EB2084" w:rsidRPr="00DF16F7">
        <w:rPr>
          <w:rFonts w:ascii="Arial" w:hAnsi="Arial" w:cs="Arial"/>
          <w:sz w:val="22"/>
          <w:szCs w:val="18"/>
        </w:rPr>
        <w:t xml:space="preserve"> impinged upon </w:t>
      </w:r>
      <w:r w:rsidR="009C12E5">
        <w:rPr>
          <w:rFonts w:ascii="Arial" w:hAnsi="Arial" w:cs="Arial"/>
          <w:sz w:val="22"/>
          <w:szCs w:val="18"/>
        </w:rPr>
        <w:t>the</w:t>
      </w:r>
      <w:r w:rsidR="00EB2084" w:rsidRPr="00DF16F7">
        <w:rPr>
          <w:rFonts w:ascii="Arial" w:hAnsi="Arial" w:cs="Arial"/>
          <w:sz w:val="22"/>
          <w:szCs w:val="18"/>
        </w:rPr>
        <w:t xml:space="preserve"> </w:t>
      </w:r>
      <w:r w:rsidR="0086152A">
        <w:rPr>
          <w:rFonts w:ascii="Arial" w:hAnsi="Arial" w:cs="Arial"/>
          <w:sz w:val="22"/>
          <w:szCs w:val="18"/>
        </w:rPr>
        <w:t xml:space="preserve">implementation of a </w:t>
      </w:r>
      <w:r w:rsidR="00EB2084" w:rsidRPr="00DF16F7">
        <w:rPr>
          <w:rFonts w:ascii="Arial" w:hAnsi="Arial" w:cs="Arial"/>
          <w:sz w:val="22"/>
          <w:szCs w:val="18"/>
        </w:rPr>
        <w:t xml:space="preserve">more unified approach. This has become a more pressing matter in light of continued house price appreciation, tight local government budgets, and the rising income gap (Cao and Hu, 2016). Central </w:t>
      </w:r>
      <w:r w:rsidR="0049394C" w:rsidRPr="00DF16F7">
        <w:rPr>
          <w:rFonts w:ascii="Arial" w:hAnsi="Arial" w:cs="Arial"/>
          <w:sz w:val="22"/>
          <w:szCs w:val="18"/>
        </w:rPr>
        <w:t>G</w:t>
      </w:r>
      <w:r w:rsidR="00EB2084" w:rsidRPr="00DF16F7">
        <w:rPr>
          <w:rFonts w:ascii="Arial" w:hAnsi="Arial" w:cs="Arial"/>
          <w:sz w:val="22"/>
          <w:szCs w:val="18"/>
        </w:rPr>
        <w:t>overnment in China has not yet decided whether to impose the property tax at a nation-wide level and whether this will take the form of a uniform rate or a regional rate decided by local government</w:t>
      </w:r>
      <w:r w:rsidR="00360DB0" w:rsidRPr="00DF16F7">
        <w:rPr>
          <w:rFonts w:ascii="Arial" w:hAnsi="Arial" w:cs="Arial"/>
          <w:sz w:val="22"/>
          <w:szCs w:val="18"/>
        </w:rPr>
        <w:t xml:space="preserve">. </w:t>
      </w:r>
      <w:r w:rsidR="001C7E32" w:rsidRPr="00DF16F7">
        <w:rPr>
          <w:rFonts w:ascii="Arial" w:hAnsi="Arial" w:cs="Arial"/>
          <w:sz w:val="22"/>
          <w:szCs w:val="18"/>
        </w:rPr>
        <w:t xml:space="preserve">There is still a long way to go in this regard and questions remain about the viability of </w:t>
      </w:r>
      <w:r w:rsidR="00B74EA4" w:rsidRPr="00DF16F7">
        <w:rPr>
          <w:rFonts w:ascii="Arial" w:hAnsi="Arial" w:cs="Arial"/>
          <w:sz w:val="22"/>
          <w:szCs w:val="18"/>
        </w:rPr>
        <w:t>undertaking nationwide property tax appraisal</w:t>
      </w:r>
      <w:r w:rsidR="007D077D" w:rsidRPr="00DF16F7">
        <w:rPr>
          <w:rFonts w:ascii="Arial" w:hAnsi="Arial" w:cs="Arial"/>
          <w:sz w:val="22"/>
          <w:szCs w:val="18"/>
        </w:rPr>
        <w:t>.</w:t>
      </w:r>
      <w:r w:rsidR="0086152A">
        <w:rPr>
          <w:rFonts w:ascii="Arial" w:hAnsi="Arial" w:cs="Arial"/>
          <w:sz w:val="22"/>
          <w:szCs w:val="18"/>
        </w:rPr>
        <w:t xml:space="preserve"> </w:t>
      </w:r>
    </w:p>
    <w:p w14:paraId="70C2ADED" w14:textId="77777777" w:rsidR="00EB2084" w:rsidRPr="00DF16F7" w:rsidRDefault="00EB2084" w:rsidP="00421EF5">
      <w:pPr>
        <w:pStyle w:val="WPBodyText"/>
        <w:jc w:val="both"/>
        <w:rPr>
          <w:rFonts w:ascii="Arial" w:hAnsi="Arial" w:cs="Arial"/>
          <w:sz w:val="22"/>
          <w:szCs w:val="18"/>
        </w:rPr>
      </w:pPr>
    </w:p>
    <w:p w14:paraId="77975009" w14:textId="6CF73A22" w:rsidR="00DD24A4" w:rsidRPr="00DF16F7" w:rsidRDefault="00421EF5" w:rsidP="00DF16F7">
      <w:pPr>
        <w:pStyle w:val="WPBodyText"/>
        <w:spacing w:line="360" w:lineRule="auto"/>
        <w:jc w:val="both"/>
        <w:rPr>
          <w:rFonts w:ascii="Arial" w:hAnsi="Arial" w:cs="Arial"/>
          <w:sz w:val="22"/>
          <w:szCs w:val="18"/>
        </w:rPr>
      </w:pPr>
      <w:r w:rsidRPr="00DF16F7">
        <w:rPr>
          <w:rFonts w:ascii="Arial" w:hAnsi="Arial" w:cs="Arial"/>
          <w:sz w:val="22"/>
          <w:szCs w:val="18"/>
        </w:rPr>
        <w:t xml:space="preserve">This paper </w:t>
      </w:r>
      <w:r w:rsidR="00A61096" w:rsidRPr="00DF16F7">
        <w:rPr>
          <w:rFonts w:ascii="Arial" w:hAnsi="Arial" w:cs="Arial"/>
          <w:sz w:val="22"/>
          <w:szCs w:val="18"/>
        </w:rPr>
        <w:t xml:space="preserve">is therefore positioned in an exploratory sense to investigate the </w:t>
      </w:r>
      <w:r w:rsidR="004C33D3" w:rsidRPr="00DF16F7">
        <w:rPr>
          <w:rFonts w:ascii="Arial" w:hAnsi="Arial" w:cs="Arial"/>
          <w:sz w:val="22"/>
          <w:szCs w:val="18"/>
        </w:rPr>
        <w:t xml:space="preserve">nature of a nationwide rollout of mass appraisal in China and </w:t>
      </w:r>
      <w:r w:rsidR="00126DCB">
        <w:rPr>
          <w:rFonts w:ascii="Arial" w:hAnsi="Arial" w:cs="Arial"/>
          <w:sz w:val="22"/>
          <w:szCs w:val="18"/>
        </w:rPr>
        <w:t xml:space="preserve">to </w:t>
      </w:r>
      <w:r w:rsidR="00A61096" w:rsidRPr="00DF16F7">
        <w:rPr>
          <w:rFonts w:ascii="Arial" w:hAnsi="Arial" w:cs="Arial"/>
          <w:sz w:val="22"/>
          <w:szCs w:val="18"/>
        </w:rPr>
        <w:t xml:space="preserve">assess whether mass appraisal models developed for China would </w:t>
      </w:r>
      <w:r w:rsidR="007D077D" w:rsidRPr="00DF16F7">
        <w:rPr>
          <w:rFonts w:ascii="Arial" w:hAnsi="Arial" w:cs="Arial"/>
          <w:sz w:val="22"/>
          <w:szCs w:val="18"/>
        </w:rPr>
        <w:t xml:space="preserve">be </w:t>
      </w:r>
      <w:r w:rsidR="004C33D3" w:rsidRPr="00DF16F7">
        <w:rPr>
          <w:rFonts w:ascii="Arial" w:hAnsi="Arial" w:cs="Arial"/>
          <w:sz w:val="22"/>
          <w:szCs w:val="18"/>
        </w:rPr>
        <w:t>scalab</w:t>
      </w:r>
      <w:r w:rsidR="00350550" w:rsidRPr="00DF16F7">
        <w:rPr>
          <w:rFonts w:ascii="Arial" w:hAnsi="Arial" w:cs="Arial"/>
          <w:sz w:val="22"/>
          <w:szCs w:val="18"/>
        </w:rPr>
        <w:t>le</w:t>
      </w:r>
      <w:r w:rsidR="004C33D3" w:rsidRPr="00DF16F7">
        <w:rPr>
          <w:rFonts w:ascii="Arial" w:hAnsi="Arial" w:cs="Arial"/>
          <w:sz w:val="22"/>
          <w:szCs w:val="18"/>
        </w:rPr>
        <w:t xml:space="preserve"> and </w:t>
      </w:r>
      <w:r w:rsidR="00350550" w:rsidRPr="00DF16F7">
        <w:rPr>
          <w:rFonts w:ascii="Arial" w:hAnsi="Arial" w:cs="Arial"/>
          <w:sz w:val="22"/>
          <w:szCs w:val="18"/>
        </w:rPr>
        <w:t xml:space="preserve">would </w:t>
      </w:r>
      <w:r w:rsidR="007D077D" w:rsidRPr="00DF16F7">
        <w:rPr>
          <w:rFonts w:ascii="Arial" w:hAnsi="Arial" w:cs="Arial"/>
          <w:sz w:val="22"/>
          <w:szCs w:val="18"/>
        </w:rPr>
        <w:t xml:space="preserve">conform to </w:t>
      </w:r>
      <w:r w:rsidR="00A61096" w:rsidRPr="00DF16F7">
        <w:rPr>
          <w:rFonts w:ascii="Arial" w:hAnsi="Arial" w:cs="Arial"/>
          <w:sz w:val="22"/>
          <w:szCs w:val="18"/>
        </w:rPr>
        <w:t>international benchmarks</w:t>
      </w:r>
      <w:r w:rsidR="004C33D3" w:rsidRPr="00DF16F7">
        <w:rPr>
          <w:rFonts w:ascii="Arial" w:hAnsi="Arial" w:cs="Arial"/>
          <w:sz w:val="22"/>
          <w:szCs w:val="18"/>
        </w:rPr>
        <w:t xml:space="preserve">. </w:t>
      </w:r>
      <w:r w:rsidR="00A61096" w:rsidRPr="00DF16F7">
        <w:rPr>
          <w:rFonts w:ascii="Arial" w:hAnsi="Arial" w:cs="Arial"/>
          <w:sz w:val="22"/>
          <w:szCs w:val="18"/>
        </w:rPr>
        <w:t xml:space="preserve"> </w:t>
      </w:r>
    </w:p>
    <w:p w14:paraId="02E65BB0" w14:textId="77777777" w:rsidR="004C33D3" w:rsidRPr="00D84437" w:rsidRDefault="004C33D3" w:rsidP="004C33D3">
      <w:pPr>
        <w:pStyle w:val="WPBodyText"/>
        <w:jc w:val="both"/>
      </w:pPr>
    </w:p>
    <w:p w14:paraId="5A583080" w14:textId="77777777" w:rsidR="00DD24A4" w:rsidRPr="00DF16F7" w:rsidRDefault="00421EF5" w:rsidP="003C04EB">
      <w:pPr>
        <w:pStyle w:val="WPBodyText"/>
        <w:rPr>
          <w:rFonts w:ascii="Arial" w:hAnsi="Arial" w:cs="Arial"/>
          <w:b/>
          <w:bCs/>
          <w:i/>
          <w:iCs/>
          <w:sz w:val="22"/>
          <w:szCs w:val="18"/>
        </w:rPr>
      </w:pPr>
      <w:r w:rsidRPr="00DF16F7">
        <w:rPr>
          <w:rFonts w:ascii="Arial" w:hAnsi="Arial" w:cs="Arial"/>
          <w:b/>
          <w:bCs/>
          <w:i/>
          <w:iCs/>
          <w:sz w:val="22"/>
          <w:szCs w:val="18"/>
        </w:rPr>
        <w:t>P</w:t>
      </w:r>
      <w:r w:rsidR="00DD24A4" w:rsidRPr="00DF16F7">
        <w:rPr>
          <w:rFonts w:ascii="Arial" w:hAnsi="Arial" w:cs="Arial"/>
          <w:b/>
          <w:bCs/>
          <w:i/>
          <w:iCs/>
          <w:sz w:val="22"/>
          <w:szCs w:val="18"/>
        </w:rPr>
        <w:t>roperty Tax in China</w:t>
      </w:r>
    </w:p>
    <w:p w14:paraId="044975DF" w14:textId="77777777" w:rsidR="00DD24A4" w:rsidRPr="00DF16F7" w:rsidRDefault="00DD24A4" w:rsidP="00DD24A4">
      <w:pPr>
        <w:pStyle w:val="WPBodyText"/>
        <w:rPr>
          <w:b/>
          <w:bCs/>
          <w:i/>
          <w:iCs/>
        </w:rPr>
      </w:pPr>
    </w:p>
    <w:p w14:paraId="3846FF0F" w14:textId="3A33A4BD" w:rsidR="00EA2B7F" w:rsidRPr="00DF16F7" w:rsidRDefault="00697FC2" w:rsidP="00DF16F7">
      <w:pPr>
        <w:pStyle w:val="WPBodyText"/>
        <w:spacing w:line="360" w:lineRule="auto"/>
        <w:jc w:val="both"/>
        <w:rPr>
          <w:rFonts w:ascii="Arial" w:hAnsi="Arial" w:cs="Arial"/>
          <w:sz w:val="22"/>
          <w:szCs w:val="18"/>
        </w:rPr>
      </w:pPr>
      <w:r w:rsidRPr="00DF16F7">
        <w:rPr>
          <w:rFonts w:ascii="Arial" w:hAnsi="Arial" w:cs="Arial"/>
          <w:sz w:val="22"/>
          <w:szCs w:val="18"/>
        </w:rPr>
        <w:t xml:space="preserve">Whilst there is no extant </w:t>
      </w:r>
      <w:r w:rsidR="000939D3" w:rsidRPr="00DF16F7">
        <w:rPr>
          <w:rFonts w:ascii="Arial" w:hAnsi="Arial" w:cs="Arial"/>
          <w:sz w:val="22"/>
          <w:szCs w:val="18"/>
        </w:rPr>
        <w:t xml:space="preserve">comprehensive, </w:t>
      </w:r>
      <w:r w:rsidRPr="00DF16F7">
        <w:rPr>
          <w:rFonts w:ascii="Arial" w:hAnsi="Arial" w:cs="Arial"/>
          <w:sz w:val="22"/>
          <w:szCs w:val="18"/>
        </w:rPr>
        <w:t xml:space="preserve">modern </w:t>
      </w:r>
      <w:r w:rsidRPr="00C20E0C">
        <w:rPr>
          <w:rFonts w:ascii="Arial" w:hAnsi="Arial" w:cs="Arial"/>
          <w:i/>
          <w:iCs/>
          <w:sz w:val="22"/>
          <w:szCs w:val="18"/>
        </w:rPr>
        <w:t>ad valorem</w:t>
      </w:r>
      <w:r w:rsidRPr="00DF16F7">
        <w:rPr>
          <w:rFonts w:ascii="Arial" w:hAnsi="Arial" w:cs="Arial"/>
          <w:sz w:val="22"/>
          <w:szCs w:val="18"/>
        </w:rPr>
        <w:t xml:space="preserve"> recurrent property tax</w:t>
      </w:r>
      <w:r w:rsidR="000939D3" w:rsidRPr="00DF16F7">
        <w:rPr>
          <w:rFonts w:ascii="Arial" w:hAnsi="Arial" w:cs="Arial"/>
          <w:sz w:val="22"/>
          <w:szCs w:val="18"/>
        </w:rPr>
        <w:t xml:space="preserve"> as would be recognized in the traditional sense, </w:t>
      </w:r>
      <w:r w:rsidR="00592758" w:rsidRPr="00DF16F7">
        <w:rPr>
          <w:rFonts w:ascii="Arial" w:hAnsi="Arial" w:cs="Arial"/>
          <w:sz w:val="22"/>
          <w:szCs w:val="18"/>
        </w:rPr>
        <w:t>there are a variety of taxes in use. Indeed,</w:t>
      </w:r>
      <w:r w:rsidRPr="00DF16F7">
        <w:rPr>
          <w:rFonts w:ascii="Arial" w:hAnsi="Arial" w:cs="Arial"/>
          <w:sz w:val="22"/>
          <w:szCs w:val="18"/>
        </w:rPr>
        <w:t xml:space="preserve"> </w:t>
      </w:r>
      <w:r w:rsidR="00DD24A4" w:rsidRPr="00DF16F7">
        <w:rPr>
          <w:rFonts w:ascii="Arial" w:hAnsi="Arial" w:cs="Arial"/>
          <w:sz w:val="22"/>
          <w:szCs w:val="18"/>
        </w:rPr>
        <w:t>China has eight different taxes on property (SAT</w:t>
      </w:r>
      <w:r w:rsidR="00C20E0C">
        <w:rPr>
          <w:rFonts w:ascii="Arial" w:hAnsi="Arial" w:cs="Arial"/>
          <w:sz w:val="22"/>
          <w:szCs w:val="18"/>
        </w:rPr>
        <w:t>,</w:t>
      </w:r>
      <w:r w:rsidR="00DD24A4" w:rsidRPr="00DF16F7">
        <w:rPr>
          <w:rFonts w:ascii="Arial" w:hAnsi="Arial" w:cs="Arial"/>
          <w:sz w:val="22"/>
          <w:szCs w:val="18"/>
        </w:rPr>
        <w:t xml:space="preserve"> 2012; Hong</w:t>
      </w:r>
      <w:r w:rsidR="00C20E0C">
        <w:rPr>
          <w:rFonts w:ascii="Arial" w:hAnsi="Arial" w:cs="Arial"/>
          <w:sz w:val="22"/>
          <w:szCs w:val="18"/>
        </w:rPr>
        <w:t>,</w:t>
      </w:r>
      <w:r w:rsidR="00DD24A4" w:rsidRPr="00DF16F7">
        <w:rPr>
          <w:rFonts w:ascii="Arial" w:hAnsi="Arial" w:cs="Arial"/>
          <w:sz w:val="22"/>
          <w:szCs w:val="18"/>
        </w:rPr>
        <w:t xml:space="preserve"> 201</w:t>
      </w:r>
      <w:r w:rsidR="00C20E0C">
        <w:rPr>
          <w:rFonts w:ascii="Arial" w:hAnsi="Arial" w:cs="Arial"/>
          <w:sz w:val="22"/>
          <w:szCs w:val="18"/>
        </w:rPr>
        <w:t>2</w:t>
      </w:r>
      <w:r w:rsidR="00DD24A4" w:rsidRPr="00DF16F7">
        <w:rPr>
          <w:rFonts w:ascii="Arial" w:hAnsi="Arial" w:cs="Arial"/>
          <w:sz w:val="22"/>
          <w:szCs w:val="18"/>
        </w:rPr>
        <w:t>)</w:t>
      </w:r>
      <w:r w:rsidR="00EB2084" w:rsidRPr="00DF16F7">
        <w:rPr>
          <w:rFonts w:ascii="Arial" w:hAnsi="Arial" w:cs="Arial"/>
          <w:sz w:val="22"/>
          <w:szCs w:val="18"/>
        </w:rPr>
        <w:t xml:space="preserve">, five </w:t>
      </w:r>
      <w:r w:rsidR="00DD24A4" w:rsidRPr="00DF16F7">
        <w:rPr>
          <w:rFonts w:ascii="Arial" w:hAnsi="Arial" w:cs="Arial"/>
          <w:sz w:val="22"/>
          <w:szCs w:val="18"/>
        </w:rPr>
        <w:t xml:space="preserve">of </w:t>
      </w:r>
      <w:r w:rsidR="00EB2084" w:rsidRPr="00DF16F7">
        <w:rPr>
          <w:rFonts w:ascii="Arial" w:hAnsi="Arial" w:cs="Arial"/>
          <w:sz w:val="22"/>
          <w:szCs w:val="18"/>
        </w:rPr>
        <w:t xml:space="preserve">which </w:t>
      </w:r>
      <w:r w:rsidR="00DD24A4" w:rsidRPr="00DF16F7">
        <w:rPr>
          <w:rFonts w:ascii="Arial" w:hAnsi="Arial" w:cs="Arial"/>
          <w:sz w:val="22"/>
          <w:szCs w:val="18"/>
        </w:rPr>
        <w:t xml:space="preserve">are related to real estate properties and account for approximately 22% of local tax revenues (Liu, 2018). </w:t>
      </w:r>
      <w:r w:rsidR="003C04EB" w:rsidRPr="00DF16F7">
        <w:rPr>
          <w:rFonts w:ascii="Arial" w:hAnsi="Arial" w:cs="Arial"/>
          <w:sz w:val="22"/>
          <w:szCs w:val="18"/>
        </w:rPr>
        <w:t>T</w:t>
      </w:r>
      <w:r w:rsidR="00DD24A4" w:rsidRPr="00DF16F7">
        <w:rPr>
          <w:rFonts w:ascii="Arial" w:hAnsi="Arial" w:cs="Arial"/>
          <w:sz w:val="22"/>
          <w:szCs w:val="18"/>
        </w:rPr>
        <w:t>hree of the taxes can be classified as a property tax: the House Property Tax, the Urban and Township Land Use Tax, and the Tax on the Use of Arable Land. In the collective sense, these taxes would comprise a traditional property tax (Salm, 2016), however, they are distinct due to the different types of property ownership (</w:t>
      </w:r>
      <w:proofErr w:type="spellStart"/>
      <w:r w:rsidR="00DD24A4" w:rsidRPr="00DF16F7">
        <w:rPr>
          <w:rFonts w:ascii="Arial" w:hAnsi="Arial" w:cs="Arial"/>
          <w:sz w:val="22"/>
          <w:szCs w:val="18"/>
        </w:rPr>
        <w:t>Keilbach</w:t>
      </w:r>
      <w:proofErr w:type="spellEnd"/>
      <w:r w:rsidR="00DD24A4" w:rsidRPr="00DF16F7">
        <w:rPr>
          <w:rFonts w:ascii="Arial" w:hAnsi="Arial" w:cs="Arial"/>
          <w:sz w:val="22"/>
          <w:szCs w:val="18"/>
        </w:rPr>
        <w:t xml:space="preserve"> and </w:t>
      </w:r>
      <w:proofErr w:type="spellStart"/>
      <w:r w:rsidR="00DD24A4" w:rsidRPr="00DF16F7">
        <w:rPr>
          <w:rFonts w:ascii="Arial" w:hAnsi="Arial" w:cs="Arial"/>
          <w:sz w:val="22"/>
          <w:szCs w:val="18"/>
        </w:rPr>
        <w:t>Nann</w:t>
      </w:r>
      <w:proofErr w:type="spellEnd"/>
      <w:r w:rsidR="00DD24A4" w:rsidRPr="00DF16F7">
        <w:rPr>
          <w:rFonts w:ascii="Arial" w:hAnsi="Arial" w:cs="Arial"/>
          <w:sz w:val="22"/>
          <w:szCs w:val="18"/>
        </w:rPr>
        <w:t xml:space="preserve"> 2010).</w:t>
      </w:r>
      <w:r w:rsidR="002F2924" w:rsidRPr="00DF16F7">
        <w:rPr>
          <w:rFonts w:ascii="Arial" w:hAnsi="Arial" w:cs="Arial"/>
          <w:sz w:val="22"/>
          <w:szCs w:val="18"/>
        </w:rPr>
        <w:t xml:space="preserve"> Analysis of the various taxes indicates that the majority are paid at the transaction stage, meaning they are non-recurrent taxes for the purpose of revenue (Salm, 2016). Furthermore, as the central or the local authorities exclude owner-occupied residential properties from </w:t>
      </w:r>
      <w:r w:rsidR="00693B65" w:rsidRPr="00DF16F7">
        <w:rPr>
          <w:rFonts w:ascii="Arial" w:hAnsi="Arial" w:cs="Arial"/>
          <w:sz w:val="22"/>
          <w:szCs w:val="18"/>
        </w:rPr>
        <w:t xml:space="preserve">the </w:t>
      </w:r>
      <w:r w:rsidR="002F2924" w:rsidRPr="00DF16F7">
        <w:rPr>
          <w:rFonts w:ascii="Arial" w:hAnsi="Arial" w:cs="Arial"/>
          <w:sz w:val="22"/>
          <w:szCs w:val="18"/>
        </w:rPr>
        <w:t xml:space="preserve">recurrent property taxes (including both House Property Tax and Urban and Township Land Use Tax), this also </w:t>
      </w:r>
      <w:r w:rsidR="002F2924" w:rsidRPr="00DF16F7">
        <w:rPr>
          <w:rFonts w:ascii="Arial" w:hAnsi="Arial" w:cs="Arial"/>
          <w:sz w:val="22"/>
          <w:szCs w:val="18"/>
        </w:rPr>
        <w:lastRenderedPageBreak/>
        <w:t xml:space="preserve">constrains local revenue generation. </w:t>
      </w:r>
      <w:r w:rsidR="00DD24A4" w:rsidRPr="00DF16F7">
        <w:rPr>
          <w:rFonts w:ascii="Arial" w:hAnsi="Arial" w:cs="Arial"/>
          <w:sz w:val="22"/>
          <w:szCs w:val="18"/>
        </w:rPr>
        <w:t xml:space="preserve">Therefore, despite being a potential source of sustainable municipal revenue, China remains one of a select few countries globally to not employ a property tax on the ownership of private residential properties (Liu, 2018). </w:t>
      </w:r>
      <w:r w:rsidR="00693B65" w:rsidRPr="00DF16F7">
        <w:rPr>
          <w:rFonts w:ascii="Arial" w:hAnsi="Arial" w:cs="Arial"/>
          <w:sz w:val="22"/>
          <w:szCs w:val="18"/>
        </w:rPr>
        <w:t>This has led to significant criticism and the view that gaps in public revenue are the consequence of a tax system that is weak, encumbered and requires reform.</w:t>
      </w:r>
      <w:r w:rsidR="00EA2B7F" w:rsidRPr="00DF16F7">
        <w:rPr>
          <w:rFonts w:ascii="Arial" w:hAnsi="Arial" w:cs="Arial"/>
          <w:sz w:val="22"/>
          <w:szCs w:val="18"/>
        </w:rPr>
        <w:t xml:space="preserve"> </w:t>
      </w:r>
    </w:p>
    <w:p w14:paraId="04A7E9ED" w14:textId="77777777" w:rsidR="00EA2B7F" w:rsidRDefault="00EA2B7F" w:rsidP="00EA2B7F">
      <w:pPr>
        <w:pStyle w:val="WPBodyText"/>
        <w:jc w:val="both"/>
      </w:pPr>
    </w:p>
    <w:p w14:paraId="1168E92A" w14:textId="5EB5821A" w:rsidR="00EA2B7F" w:rsidRPr="00DF16F7" w:rsidRDefault="00EA2B7F" w:rsidP="00DF16F7">
      <w:pPr>
        <w:pStyle w:val="WPBodyText"/>
        <w:spacing w:line="360" w:lineRule="auto"/>
        <w:jc w:val="both"/>
        <w:rPr>
          <w:rFonts w:ascii="Arial" w:hAnsi="Arial" w:cs="Arial"/>
          <w:sz w:val="22"/>
          <w:szCs w:val="18"/>
        </w:rPr>
      </w:pPr>
      <w:r w:rsidRPr="00DF16F7">
        <w:rPr>
          <w:rFonts w:ascii="Arial" w:hAnsi="Arial" w:cs="Arial"/>
          <w:sz w:val="22"/>
          <w:szCs w:val="18"/>
        </w:rPr>
        <w:t xml:space="preserve">Lui (2018) highlights that China has missed an opportunity to implement a property tax at the time before the housing boom and if not implemented, the problem of finding a sustainable own-source of municipal finance will continue to challenge municipalities. In view of the myriad of problems relating to, </w:t>
      </w:r>
      <w:r w:rsidRPr="00DF16F7">
        <w:rPr>
          <w:rFonts w:ascii="Arial" w:hAnsi="Arial" w:cs="Arial"/>
          <w:i/>
          <w:sz w:val="22"/>
          <w:szCs w:val="18"/>
        </w:rPr>
        <w:t>inter alia</w:t>
      </w:r>
      <w:r w:rsidRPr="00DF16F7">
        <w:rPr>
          <w:rFonts w:ascii="Arial" w:hAnsi="Arial" w:cs="Arial"/>
          <w:sz w:val="22"/>
          <w:szCs w:val="18"/>
        </w:rPr>
        <w:t xml:space="preserve">, economic inefficiency, inequitability and cost, a preponderance of literature invariably recommends a pertinent need to reform the Chinese property tax system in favor of market-value-based taxation (Gao, 2005; Jia and </w:t>
      </w:r>
      <w:proofErr w:type="spellStart"/>
      <w:r w:rsidRPr="00DF16F7">
        <w:rPr>
          <w:rFonts w:ascii="Arial" w:hAnsi="Arial" w:cs="Arial"/>
          <w:sz w:val="22"/>
          <w:szCs w:val="18"/>
        </w:rPr>
        <w:t>Zhuo</w:t>
      </w:r>
      <w:proofErr w:type="spellEnd"/>
      <w:r w:rsidRPr="00DF16F7">
        <w:rPr>
          <w:rFonts w:ascii="Arial" w:hAnsi="Arial" w:cs="Arial"/>
          <w:sz w:val="22"/>
          <w:szCs w:val="18"/>
        </w:rPr>
        <w:t>, 2006; Tao, 2006; Bird and Slack, 200</w:t>
      </w:r>
      <w:r w:rsidR="00D630CB">
        <w:rPr>
          <w:rFonts w:ascii="Arial" w:hAnsi="Arial" w:cs="Arial"/>
          <w:sz w:val="22"/>
          <w:szCs w:val="18"/>
        </w:rPr>
        <w:t>4</w:t>
      </w:r>
      <w:r w:rsidRPr="00DF16F7">
        <w:rPr>
          <w:rFonts w:ascii="Arial" w:hAnsi="Arial" w:cs="Arial"/>
          <w:sz w:val="22"/>
          <w:szCs w:val="18"/>
        </w:rPr>
        <w:t>; Salm, 2016)</w:t>
      </w:r>
      <w:r w:rsidR="00D47BE6">
        <w:rPr>
          <w:rFonts w:ascii="Arial" w:hAnsi="Arial" w:cs="Arial"/>
          <w:sz w:val="22"/>
          <w:szCs w:val="18"/>
        </w:rPr>
        <w:t>,</w:t>
      </w:r>
      <w:r w:rsidRPr="00DF16F7">
        <w:rPr>
          <w:rFonts w:ascii="Arial" w:hAnsi="Arial" w:cs="Arial"/>
          <w:sz w:val="22"/>
          <w:szCs w:val="18"/>
        </w:rPr>
        <w:t xml:space="preserve"> with </w:t>
      </w:r>
      <w:r w:rsidRPr="00DF16F7">
        <w:rPr>
          <w:rFonts w:ascii="Arial" w:hAnsi="Arial" w:cs="Arial"/>
          <w:sz w:val="22"/>
          <w:szCs w:val="18"/>
          <w:lang w:val="en-GB"/>
        </w:rPr>
        <w:t>Hou et. al (201</w:t>
      </w:r>
      <w:r w:rsidR="00D630CB">
        <w:rPr>
          <w:rFonts w:ascii="Arial" w:hAnsi="Arial" w:cs="Arial"/>
          <w:sz w:val="22"/>
          <w:szCs w:val="18"/>
          <w:lang w:val="en-GB"/>
        </w:rPr>
        <w:t>4</w:t>
      </w:r>
      <w:r w:rsidRPr="00DF16F7">
        <w:rPr>
          <w:rFonts w:ascii="Arial" w:hAnsi="Arial" w:cs="Arial"/>
          <w:sz w:val="22"/>
          <w:szCs w:val="18"/>
          <w:lang w:val="en-GB"/>
        </w:rPr>
        <w:t>) proposing a design of the property tax system for China.</w:t>
      </w:r>
      <w:r w:rsidRPr="00DF16F7">
        <w:rPr>
          <w:rFonts w:ascii="Arial" w:hAnsi="Arial" w:cs="Arial"/>
          <w:sz w:val="22"/>
          <w:szCs w:val="18"/>
        </w:rPr>
        <w:t xml:space="preserve"> Moreover, a burgeoning corpus of literature argues that Western taxation models should be adopted (Zhang, 2003a, 2003b; Xing, 2004</w:t>
      </w:r>
      <w:r w:rsidR="008B5C1C">
        <w:rPr>
          <w:rFonts w:ascii="Arial" w:hAnsi="Arial" w:cs="Arial"/>
          <w:sz w:val="22"/>
          <w:szCs w:val="18"/>
        </w:rPr>
        <w:t xml:space="preserve">; </w:t>
      </w:r>
      <w:r w:rsidRPr="00DF16F7">
        <w:rPr>
          <w:rFonts w:ascii="Arial" w:hAnsi="Arial" w:cs="Arial"/>
          <w:sz w:val="22"/>
          <w:szCs w:val="18"/>
        </w:rPr>
        <w:t>Sun and He, 2006), whilst other reform proposals highlight measures such as combining taxes, reducing tax rates, adopting uniform tax rates and strengthening property tax legislation and administration</w:t>
      </w:r>
      <w:r w:rsidR="008B5C1C">
        <w:rPr>
          <w:rFonts w:ascii="Arial" w:hAnsi="Arial" w:cs="Arial"/>
          <w:sz w:val="22"/>
          <w:szCs w:val="18"/>
        </w:rPr>
        <w:t xml:space="preserve"> </w:t>
      </w:r>
      <w:r w:rsidRPr="00DF16F7">
        <w:rPr>
          <w:rFonts w:ascii="Arial" w:hAnsi="Arial" w:cs="Arial"/>
          <w:sz w:val="22"/>
          <w:szCs w:val="18"/>
        </w:rPr>
        <w:t>(Mao, 2005; Xiao, 2005; Dong, 2006; Ng, 2006). Despite the clear need to implement institutional restructuring of the Chinese taxation system, progress and reform has been piecemeal and slow. Indeed, although the implementation of a market-value-based property taxation system was contemplated at the third plenary session of the 16th Chinese Communist Party Congress (October, 2003) there has been relatively little progression. That said, more recently, the 19th National Congress of the Communist Party of China, held in October 2017, emphasized ongoing fiscal policy reform, through the taxation system and improvement of the local tax system.  Pertinently, for the first time, the government proposed principles governing the diffusion of a property tax on the ownership of private residential properties (Lui, 2018).</w:t>
      </w:r>
    </w:p>
    <w:p w14:paraId="4995E7EB" w14:textId="6B50AF7B" w:rsidR="00DD24A4" w:rsidRPr="004F275F" w:rsidRDefault="00DD24A4" w:rsidP="00EB2084">
      <w:pPr>
        <w:pStyle w:val="WPBodyText"/>
        <w:jc w:val="both"/>
      </w:pPr>
    </w:p>
    <w:p w14:paraId="64DD26AE" w14:textId="0B4E8635" w:rsidR="00DD24A4" w:rsidRPr="00D9670F" w:rsidRDefault="00DD24A4" w:rsidP="0092237D">
      <w:pPr>
        <w:pStyle w:val="WPBodyText"/>
        <w:spacing w:line="360" w:lineRule="auto"/>
        <w:rPr>
          <w:rFonts w:ascii="Arial" w:hAnsi="Arial" w:cs="Arial"/>
          <w:bCs/>
          <w:i/>
          <w:iCs/>
          <w:sz w:val="22"/>
          <w:szCs w:val="18"/>
        </w:rPr>
      </w:pPr>
      <w:r w:rsidRPr="00DF16F7">
        <w:rPr>
          <w:rFonts w:ascii="Arial" w:hAnsi="Arial" w:cs="Arial"/>
          <w:bCs/>
          <w:i/>
          <w:iCs/>
          <w:sz w:val="22"/>
          <w:szCs w:val="18"/>
        </w:rPr>
        <w:t xml:space="preserve">Recent Developments in Property Tax Reform </w:t>
      </w:r>
    </w:p>
    <w:p w14:paraId="5121964A" w14:textId="42C9E589" w:rsidR="00DD24A4" w:rsidRPr="00DF16F7" w:rsidRDefault="00DD24A4" w:rsidP="0092237D">
      <w:pPr>
        <w:pStyle w:val="WPBodyText"/>
        <w:spacing w:line="360" w:lineRule="auto"/>
        <w:jc w:val="both"/>
        <w:rPr>
          <w:rFonts w:ascii="Arial" w:hAnsi="Arial" w:cs="Arial"/>
          <w:sz w:val="22"/>
          <w:szCs w:val="18"/>
        </w:rPr>
      </w:pPr>
      <w:r w:rsidRPr="00DF16F7">
        <w:rPr>
          <w:rFonts w:ascii="Arial" w:hAnsi="Arial" w:cs="Arial"/>
          <w:sz w:val="22"/>
          <w:szCs w:val="18"/>
        </w:rPr>
        <w:t>The Chinese central government has been exploring the possibility of reforming its current land and property tax system since 2003, whilst at the same time putting an end to excessive taxes and fees on real estate development and transaction</w:t>
      </w:r>
      <w:r w:rsidR="00353838" w:rsidRPr="00DF16F7">
        <w:rPr>
          <w:rFonts w:ascii="Arial" w:hAnsi="Arial" w:cs="Arial"/>
          <w:sz w:val="22"/>
          <w:szCs w:val="18"/>
        </w:rPr>
        <w:t>s</w:t>
      </w:r>
      <w:r w:rsidRPr="00DF16F7">
        <w:rPr>
          <w:rFonts w:ascii="Arial" w:hAnsi="Arial" w:cs="Arial"/>
          <w:sz w:val="22"/>
          <w:szCs w:val="18"/>
        </w:rPr>
        <w:t>. Such reform aims to generate significant revenue for local governments by establishing a system to tax the existing property premised on assessed value</w:t>
      </w:r>
      <w:r w:rsidR="003F0B2C">
        <w:rPr>
          <w:rFonts w:ascii="Arial" w:hAnsi="Arial" w:cs="Arial"/>
          <w:sz w:val="22"/>
          <w:szCs w:val="18"/>
        </w:rPr>
        <w:t>,</w:t>
      </w:r>
      <w:r w:rsidRPr="00DF16F7">
        <w:rPr>
          <w:rFonts w:ascii="Arial" w:hAnsi="Arial" w:cs="Arial"/>
          <w:sz w:val="22"/>
          <w:szCs w:val="18"/>
        </w:rPr>
        <w:t xml:space="preserve"> on an annual basis. Since then, considerable progress has been made in establishing land and property registries in Chinese cities. In 2010</w:t>
      </w:r>
      <w:r w:rsidR="00D47BE6">
        <w:rPr>
          <w:rFonts w:ascii="Arial" w:hAnsi="Arial" w:cs="Arial"/>
          <w:sz w:val="22"/>
          <w:szCs w:val="18"/>
        </w:rPr>
        <w:t>,</w:t>
      </w:r>
      <w:r w:rsidRPr="00DF16F7">
        <w:rPr>
          <w:rFonts w:ascii="Arial" w:hAnsi="Arial" w:cs="Arial"/>
          <w:sz w:val="22"/>
          <w:szCs w:val="18"/>
        </w:rPr>
        <w:t xml:space="preserve"> the State Administration of Taxation (SAT) ordered that every province must choose at least one city to experiment with property value assessment in order to verify the housing sales price self-</w:t>
      </w:r>
      <w:r w:rsidRPr="00DF16F7">
        <w:rPr>
          <w:rFonts w:ascii="Arial" w:hAnsi="Arial" w:cs="Arial"/>
          <w:sz w:val="22"/>
          <w:szCs w:val="18"/>
        </w:rPr>
        <w:lastRenderedPageBreak/>
        <w:t>reported by home purchasers for the deed tax. Similarly, China has not been slow in developing appraisal technology. Indeed, following three decades of development, considerable headway has also been made in developing computer-aided mass appraisal technology that matches the Chinese urban setting. The implementation of a mass appraisal system in Guangzhou was completed in 2007 providing the government with an objective and equitable property value database and providing an important tool to inform policy decisions on market regulation and facilitate market transparency by providing reference prices to all market participants (Liu</w:t>
      </w:r>
      <w:r w:rsidR="00172E23">
        <w:rPr>
          <w:rFonts w:ascii="Arial" w:hAnsi="Arial" w:cs="Arial"/>
          <w:sz w:val="22"/>
          <w:szCs w:val="18"/>
        </w:rPr>
        <w:t xml:space="preserve"> </w:t>
      </w:r>
      <w:r w:rsidR="00D47BE6" w:rsidRPr="00D47BE6">
        <w:rPr>
          <w:rFonts w:ascii="Arial" w:hAnsi="Arial" w:cs="Arial"/>
          <w:i/>
          <w:iCs/>
          <w:sz w:val="22"/>
          <w:szCs w:val="18"/>
        </w:rPr>
        <w:t>et al.</w:t>
      </w:r>
      <w:r w:rsidRPr="00DF16F7">
        <w:rPr>
          <w:rFonts w:ascii="Arial" w:hAnsi="Arial" w:cs="Arial"/>
          <w:sz w:val="22"/>
          <w:szCs w:val="18"/>
        </w:rPr>
        <w:t xml:space="preserve">, 2006).  </w:t>
      </w:r>
    </w:p>
    <w:p w14:paraId="108F70C0" w14:textId="77777777" w:rsidR="00DD24A4" w:rsidRPr="00DF16F7" w:rsidRDefault="00DD24A4" w:rsidP="0092237D">
      <w:pPr>
        <w:pStyle w:val="WPBodyText"/>
        <w:spacing w:line="360" w:lineRule="auto"/>
        <w:rPr>
          <w:rFonts w:ascii="Arial" w:hAnsi="Arial" w:cs="Arial"/>
          <w:sz w:val="22"/>
          <w:szCs w:val="18"/>
        </w:rPr>
      </w:pPr>
    </w:p>
    <w:p w14:paraId="69E51D63" w14:textId="7176FFEE" w:rsidR="00DD24A4" w:rsidRPr="00DF16F7" w:rsidRDefault="00DD24A4" w:rsidP="0092237D">
      <w:pPr>
        <w:pStyle w:val="WPBodyText"/>
        <w:spacing w:line="360" w:lineRule="auto"/>
        <w:jc w:val="both"/>
        <w:rPr>
          <w:rFonts w:ascii="Arial" w:hAnsi="Arial" w:cs="Arial"/>
          <w:sz w:val="22"/>
          <w:szCs w:val="18"/>
        </w:rPr>
      </w:pPr>
      <w:r w:rsidRPr="00DF16F7">
        <w:rPr>
          <w:rFonts w:ascii="Arial" w:hAnsi="Arial" w:cs="Arial"/>
          <w:sz w:val="22"/>
          <w:szCs w:val="18"/>
        </w:rPr>
        <w:t>Differing CAMA approaches have been considered and implemented in pilot cities, such as Hangzhou, Dandong, and Chongqing. In 2005, the SAT compiled a Real Property Assessment Valuation Regulation Trial that specified 12 chapters and 40 provisions covering data collection, standards, and the CAMA system. All the pilot cities have finished the simulation assessment and have calculated the tax burden and tax revenue according to different tax rate scenarios. In 2011</w:t>
      </w:r>
      <w:r w:rsidR="00D47BE6">
        <w:rPr>
          <w:rFonts w:ascii="Arial" w:hAnsi="Arial" w:cs="Arial"/>
          <w:sz w:val="22"/>
          <w:szCs w:val="18"/>
        </w:rPr>
        <w:t>,</w:t>
      </w:r>
      <w:r w:rsidRPr="00DF16F7">
        <w:rPr>
          <w:rFonts w:ascii="Arial" w:hAnsi="Arial" w:cs="Arial"/>
          <w:sz w:val="22"/>
          <w:szCs w:val="18"/>
        </w:rPr>
        <w:t xml:space="preserve"> at least one city in each province had been selected to conduct property value assessment of newly purchased property for the collection of the deed tax and, in early 2011, Shanghai started to collect taxes on newly purchased second homes of residents and first homes of non-residents based on transaction value, representing an important milestone for tax reform. Most recently, in 2016, an Appraisal Law was promulgated in order to set the legal status of the appraisal industry.  </w:t>
      </w:r>
    </w:p>
    <w:p w14:paraId="6B0039DF" w14:textId="77777777" w:rsidR="00172E23" w:rsidRDefault="00172E23" w:rsidP="0092237D">
      <w:pPr>
        <w:pStyle w:val="WPBodyText"/>
        <w:spacing w:line="360" w:lineRule="auto"/>
        <w:jc w:val="both"/>
        <w:rPr>
          <w:rFonts w:ascii="Arial" w:hAnsi="Arial" w:cs="Arial"/>
          <w:sz w:val="22"/>
          <w:szCs w:val="18"/>
        </w:rPr>
      </w:pPr>
    </w:p>
    <w:p w14:paraId="1990D9B3" w14:textId="48931B1C" w:rsidR="00DD24A4" w:rsidRPr="00DF16F7" w:rsidRDefault="00DD24A4" w:rsidP="0092237D">
      <w:pPr>
        <w:pStyle w:val="WPBodyText"/>
        <w:spacing w:line="360" w:lineRule="auto"/>
        <w:jc w:val="both"/>
        <w:rPr>
          <w:rFonts w:ascii="Arial" w:hAnsi="Arial" w:cs="Arial"/>
          <w:sz w:val="22"/>
          <w:szCs w:val="18"/>
        </w:rPr>
      </w:pPr>
      <w:r w:rsidRPr="00DF16F7">
        <w:rPr>
          <w:rFonts w:ascii="Arial" w:hAnsi="Arial" w:cs="Arial"/>
          <w:sz w:val="22"/>
          <w:szCs w:val="18"/>
        </w:rPr>
        <w:t>A further step in the nationwide introduction of the property tax was undertaken in 2014 with the establishment of the Bureau of Real Estate Registration</w:t>
      </w:r>
      <w:r w:rsidR="00494BB1">
        <w:rPr>
          <w:rFonts w:ascii="Arial" w:hAnsi="Arial" w:cs="Arial"/>
          <w:sz w:val="22"/>
          <w:szCs w:val="18"/>
        </w:rPr>
        <w:t xml:space="preserve"> -</w:t>
      </w:r>
      <w:r w:rsidRPr="00DF16F7">
        <w:rPr>
          <w:rFonts w:ascii="Arial" w:hAnsi="Arial" w:cs="Arial"/>
          <w:sz w:val="22"/>
          <w:szCs w:val="18"/>
        </w:rPr>
        <w:t xml:space="preserve"> a valuation-pushed approach with little attention paid to the taxpayer service, collection, and enforcement side. The focus initially </w:t>
      </w:r>
      <w:r w:rsidR="009205A0">
        <w:rPr>
          <w:rFonts w:ascii="Arial" w:hAnsi="Arial" w:cs="Arial"/>
          <w:sz w:val="22"/>
          <w:szCs w:val="18"/>
        </w:rPr>
        <w:t xml:space="preserve">focused on </w:t>
      </w:r>
      <w:r w:rsidRPr="00DF16F7">
        <w:rPr>
          <w:rFonts w:ascii="Arial" w:hAnsi="Arial" w:cs="Arial"/>
          <w:sz w:val="22"/>
          <w:szCs w:val="18"/>
        </w:rPr>
        <w:t>property registration</w:t>
      </w:r>
      <w:r w:rsidR="009205A0">
        <w:rPr>
          <w:rFonts w:ascii="Arial" w:hAnsi="Arial" w:cs="Arial"/>
          <w:sz w:val="22"/>
          <w:szCs w:val="18"/>
        </w:rPr>
        <w:t>,</w:t>
      </w:r>
      <w:r w:rsidR="00494BB1">
        <w:rPr>
          <w:rFonts w:ascii="Arial" w:hAnsi="Arial" w:cs="Arial"/>
          <w:sz w:val="22"/>
          <w:szCs w:val="18"/>
        </w:rPr>
        <w:t xml:space="preserve"> with </w:t>
      </w:r>
      <w:r w:rsidRPr="00DF16F7">
        <w:rPr>
          <w:rFonts w:ascii="Arial" w:hAnsi="Arial" w:cs="Arial"/>
          <w:sz w:val="22"/>
          <w:szCs w:val="18"/>
        </w:rPr>
        <w:t xml:space="preserve">the bureau </w:t>
      </w:r>
      <w:r w:rsidR="00494BB1">
        <w:rPr>
          <w:rFonts w:ascii="Arial" w:hAnsi="Arial" w:cs="Arial"/>
          <w:sz w:val="22"/>
          <w:szCs w:val="18"/>
        </w:rPr>
        <w:t xml:space="preserve">more latterly </w:t>
      </w:r>
      <w:r w:rsidRPr="00DF16F7">
        <w:rPr>
          <w:rFonts w:ascii="Arial" w:hAnsi="Arial" w:cs="Arial"/>
          <w:sz w:val="22"/>
          <w:szCs w:val="18"/>
        </w:rPr>
        <w:t xml:space="preserve">responsible for drafting and enforcing land management regulations and resolving land disputes. Currently, the Standing Committee of the National People’s Congress, China’s top legislature, is working on property tax legislation. The legislation will most likely include taxation on both housing and land: a housing tax on homeowners and a land tax on land developers. </w:t>
      </w:r>
    </w:p>
    <w:p w14:paraId="484F59E4" w14:textId="77777777" w:rsidR="00372DA4" w:rsidRPr="00DF16F7" w:rsidRDefault="00372DA4" w:rsidP="0092237D">
      <w:pPr>
        <w:pStyle w:val="WPBodyText"/>
        <w:spacing w:line="360" w:lineRule="auto"/>
        <w:jc w:val="both"/>
        <w:rPr>
          <w:rFonts w:ascii="Arial" w:hAnsi="Arial" w:cs="Arial"/>
          <w:sz w:val="22"/>
          <w:szCs w:val="18"/>
        </w:rPr>
      </w:pPr>
    </w:p>
    <w:p w14:paraId="64FC60E5" w14:textId="56EA88B6" w:rsidR="00DD24A4" w:rsidRPr="00DF16F7" w:rsidRDefault="00DD24A4" w:rsidP="0092237D">
      <w:pPr>
        <w:pStyle w:val="WPBodyText"/>
        <w:spacing w:line="360" w:lineRule="auto"/>
        <w:jc w:val="both"/>
        <w:rPr>
          <w:rFonts w:ascii="Arial" w:hAnsi="Arial" w:cs="Arial"/>
          <w:sz w:val="22"/>
          <w:szCs w:val="18"/>
        </w:rPr>
      </w:pPr>
      <w:r w:rsidRPr="00DF16F7">
        <w:rPr>
          <w:rFonts w:ascii="Arial" w:hAnsi="Arial" w:cs="Arial"/>
          <w:sz w:val="22"/>
          <w:szCs w:val="18"/>
        </w:rPr>
        <w:t>The 19th National Congress of the Communist Party of China, held in October, 2017, continue</w:t>
      </w:r>
      <w:r w:rsidR="00133E5B">
        <w:rPr>
          <w:rFonts w:ascii="Arial" w:hAnsi="Arial" w:cs="Arial"/>
          <w:sz w:val="22"/>
          <w:szCs w:val="18"/>
        </w:rPr>
        <w:t>d</w:t>
      </w:r>
      <w:r w:rsidRPr="00DF16F7">
        <w:rPr>
          <w:rFonts w:ascii="Arial" w:hAnsi="Arial" w:cs="Arial"/>
          <w:sz w:val="22"/>
          <w:szCs w:val="18"/>
        </w:rPr>
        <w:t xml:space="preserve"> to emphasize fiscal policy reform. Specifically, it call</w:t>
      </w:r>
      <w:r w:rsidR="00133E5B">
        <w:rPr>
          <w:rFonts w:ascii="Arial" w:hAnsi="Arial" w:cs="Arial"/>
          <w:sz w:val="22"/>
          <w:szCs w:val="18"/>
        </w:rPr>
        <w:t>ed</w:t>
      </w:r>
      <w:r w:rsidRPr="00DF16F7">
        <w:rPr>
          <w:rFonts w:ascii="Arial" w:hAnsi="Arial" w:cs="Arial"/>
          <w:sz w:val="22"/>
          <w:szCs w:val="18"/>
        </w:rPr>
        <w:t xml:space="preserve"> for the deepening of taxation system reform, and the improvement of local tax system (Lui, 2018)</w:t>
      </w:r>
      <w:r w:rsidR="00133E5B">
        <w:rPr>
          <w:rFonts w:ascii="Arial" w:hAnsi="Arial" w:cs="Arial"/>
          <w:sz w:val="22"/>
          <w:szCs w:val="18"/>
        </w:rPr>
        <w:t xml:space="preserve"> </w:t>
      </w:r>
      <w:r w:rsidRPr="00DF16F7">
        <w:rPr>
          <w:rFonts w:ascii="Arial" w:hAnsi="Arial" w:cs="Arial"/>
          <w:sz w:val="22"/>
          <w:szCs w:val="18"/>
        </w:rPr>
        <w:t xml:space="preserve">by increasing the share of direct taxes. For the first time, the government recently revealed three principles for the roll out of a property tax on the ownership of private residential properties. </w:t>
      </w:r>
    </w:p>
    <w:p w14:paraId="01F8F148" w14:textId="77777777" w:rsidR="00D9670F" w:rsidRDefault="00D9670F" w:rsidP="0092237D">
      <w:pPr>
        <w:pStyle w:val="WPBodyText"/>
        <w:spacing w:line="360" w:lineRule="auto"/>
        <w:rPr>
          <w:rFonts w:ascii="Arial" w:hAnsi="Arial" w:cs="Arial"/>
          <w:bCs/>
          <w:i/>
          <w:iCs/>
          <w:sz w:val="22"/>
          <w:szCs w:val="18"/>
        </w:rPr>
      </w:pPr>
    </w:p>
    <w:p w14:paraId="200E86C9" w14:textId="55BAFFEC" w:rsidR="00DD24A4" w:rsidRPr="00D9670F" w:rsidRDefault="00DD24A4" w:rsidP="0092237D">
      <w:pPr>
        <w:pStyle w:val="WPBodyText"/>
        <w:spacing w:line="360" w:lineRule="auto"/>
        <w:rPr>
          <w:rFonts w:ascii="Arial" w:hAnsi="Arial" w:cs="Arial"/>
          <w:bCs/>
          <w:i/>
          <w:iCs/>
          <w:sz w:val="22"/>
          <w:szCs w:val="18"/>
        </w:rPr>
      </w:pPr>
      <w:r w:rsidRPr="00DF16F7">
        <w:rPr>
          <w:rFonts w:ascii="Arial" w:hAnsi="Arial" w:cs="Arial"/>
          <w:bCs/>
          <w:i/>
          <w:iCs/>
          <w:sz w:val="22"/>
          <w:szCs w:val="18"/>
        </w:rPr>
        <w:t>Challenges for Property Tax Reform</w:t>
      </w:r>
    </w:p>
    <w:p w14:paraId="68559E64" w14:textId="17BABA01" w:rsidR="00DD24A4" w:rsidRPr="00DF16F7" w:rsidRDefault="00DD24A4" w:rsidP="0092237D">
      <w:pPr>
        <w:pStyle w:val="WPBodyText"/>
        <w:spacing w:line="360" w:lineRule="auto"/>
        <w:jc w:val="both"/>
        <w:rPr>
          <w:rFonts w:ascii="Arial" w:hAnsi="Arial" w:cs="Arial"/>
          <w:b/>
          <w:i/>
          <w:sz w:val="22"/>
          <w:szCs w:val="18"/>
        </w:rPr>
      </w:pPr>
      <w:r w:rsidRPr="00DF16F7">
        <w:rPr>
          <w:rFonts w:ascii="Arial" w:hAnsi="Arial" w:cs="Arial"/>
          <w:sz w:val="22"/>
          <w:szCs w:val="18"/>
        </w:rPr>
        <w:lastRenderedPageBreak/>
        <w:t>Although the evolving nature of fiscal reform is positive, tax based revenue generation remains limited and many sub-national governments in China continue to experience fiscal stress and incur large local debt due to the large fiscal gap between expenditure responsibilities and revenue capacity</w:t>
      </w:r>
      <w:r w:rsidR="00AB7868" w:rsidRPr="00DF16F7">
        <w:rPr>
          <w:rFonts w:ascii="Arial" w:hAnsi="Arial" w:cs="Arial"/>
          <w:sz w:val="22"/>
          <w:szCs w:val="18"/>
        </w:rPr>
        <w:t xml:space="preserve"> – unfunded mandates</w:t>
      </w:r>
      <w:r w:rsidRPr="00DF16F7">
        <w:rPr>
          <w:rFonts w:ascii="Arial" w:hAnsi="Arial" w:cs="Arial"/>
          <w:sz w:val="22"/>
          <w:szCs w:val="18"/>
        </w:rPr>
        <w:t xml:space="preserve"> (</w:t>
      </w:r>
      <w:proofErr w:type="spellStart"/>
      <w:r w:rsidRPr="00DF16F7">
        <w:rPr>
          <w:rFonts w:ascii="Arial" w:hAnsi="Arial" w:cs="Arial"/>
          <w:sz w:val="22"/>
          <w:szCs w:val="18"/>
        </w:rPr>
        <w:t>Duda</w:t>
      </w:r>
      <w:proofErr w:type="spellEnd"/>
      <w:r w:rsidRPr="00DF16F7">
        <w:rPr>
          <w:rFonts w:ascii="Arial" w:hAnsi="Arial" w:cs="Arial"/>
          <w:sz w:val="22"/>
          <w:szCs w:val="18"/>
        </w:rPr>
        <w:t xml:space="preserve"> </w:t>
      </w:r>
      <w:r w:rsidR="00D47BE6" w:rsidRPr="00D47BE6">
        <w:rPr>
          <w:rFonts w:ascii="Arial" w:hAnsi="Arial" w:cs="Arial"/>
          <w:i/>
          <w:iCs/>
          <w:sz w:val="22"/>
          <w:szCs w:val="18"/>
        </w:rPr>
        <w:t>et al.</w:t>
      </w:r>
      <w:r w:rsidRPr="00DF16F7">
        <w:rPr>
          <w:rFonts w:ascii="Arial" w:hAnsi="Arial" w:cs="Arial"/>
          <w:sz w:val="22"/>
          <w:szCs w:val="18"/>
        </w:rPr>
        <w:t>, 2005; Man 2011; Salm, 2016). Furthermore, although the literature has pointed to the market-value-based property taxation</w:t>
      </w:r>
      <w:r w:rsidR="002D133C" w:rsidRPr="00DF16F7">
        <w:rPr>
          <w:rFonts w:ascii="Arial" w:hAnsi="Arial" w:cs="Arial"/>
          <w:sz w:val="22"/>
          <w:szCs w:val="18"/>
        </w:rPr>
        <w:t xml:space="preserve"> pilot studies</w:t>
      </w:r>
      <w:r w:rsidRPr="00DF16F7">
        <w:rPr>
          <w:rFonts w:ascii="Arial" w:hAnsi="Arial" w:cs="Arial"/>
          <w:sz w:val="22"/>
          <w:szCs w:val="18"/>
        </w:rPr>
        <w:t>, there has been a paucity of attention paid to institution</w:t>
      </w:r>
      <w:r w:rsidR="002D133C" w:rsidRPr="00DF16F7">
        <w:rPr>
          <w:rFonts w:ascii="Arial" w:hAnsi="Arial" w:cs="Arial"/>
          <w:sz w:val="22"/>
          <w:szCs w:val="18"/>
        </w:rPr>
        <w:t>al</w:t>
      </w:r>
      <w:r w:rsidRPr="00DF16F7">
        <w:rPr>
          <w:rFonts w:ascii="Arial" w:hAnsi="Arial" w:cs="Arial"/>
          <w:sz w:val="22"/>
          <w:szCs w:val="18"/>
        </w:rPr>
        <w:t xml:space="preserve"> constraints and the need for wholesale technological and administrative restructuring, transformation and capacity building</w:t>
      </w:r>
      <w:r w:rsidR="00AD6088">
        <w:rPr>
          <w:rFonts w:ascii="Arial" w:hAnsi="Arial" w:cs="Arial"/>
          <w:sz w:val="22"/>
          <w:szCs w:val="18"/>
        </w:rPr>
        <w:t>. This is needed to</w:t>
      </w:r>
      <w:r w:rsidRPr="00DF16F7">
        <w:rPr>
          <w:rFonts w:ascii="Arial" w:hAnsi="Arial" w:cs="Arial"/>
          <w:sz w:val="22"/>
          <w:szCs w:val="18"/>
        </w:rPr>
        <w:t xml:space="preserve"> permit the collation of reliable and validated data</w:t>
      </w:r>
      <w:r w:rsidR="00A374AB" w:rsidRPr="00DF16F7">
        <w:rPr>
          <w:rFonts w:ascii="Arial" w:hAnsi="Arial" w:cs="Arial"/>
          <w:sz w:val="22"/>
          <w:szCs w:val="18"/>
        </w:rPr>
        <w:t xml:space="preserve"> and</w:t>
      </w:r>
      <w:r w:rsidRPr="00DF16F7">
        <w:rPr>
          <w:rFonts w:ascii="Arial" w:hAnsi="Arial" w:cs="Arial"/>
          <w:sz w:val="22"/>
          <w:szCs w:val="18"/>
        </w:rPr>
        <w:t xml:space="preserve"> transparent property appraisal practices supported by, </w:t>
      </w:r>
      <w:r w:rsidRPr="00DF16F7">
        <w:rPr>
          <w:rFonts w:ascii="Arial" w:hAnsi="Arial" w:cs="Arial"/>
          <w:i/>
          <w:sz w:val="22"/>
          <w:szCs w:val="18"/>
        </w:rPr>
        <w:t>inter alia</w:t>
      </w:r>
      <w:r w:rsidRPr="00DF16F7">
        <w:rPr>
          <w:rFonts w:ascii="Arial" w:hAnsi="Arial" w:cs="Arial"/>
          <w:sz w:val="22"/>
          <w:szCs w:val="18"/>
        </w:rPr>
        <w:t xml:space="preserve">, </w:t>
      </w:r>
      <w:r w:rsidR="00FA7DB7" w:rsidRPr="00DF16F7">
        <w:rPr>
          <w:rFonts w:ascii="Arial" w:hAnsi="Arial" w:cs="Arial"/>
          <w:sz w:val="22"/>
          <w:szCs w:val="18"/>
        </w:rPr>
        <w:t xml:space="preserve">effective </w:t>
      </w:r>
      <w:r w:rsidRPr="00DF16F7">
        <w:rPr>
          <w:rFonts w:ascii="Arial" w:hAnsi="Arial" w:cs="Arial"/>
          <w:sz w:val="22"/>
          <w:szCs w:val="18"/>
        </w:rPr>
        <w:t>computer-assisted mass appraisal technology, collection and enforcement mechanisms</w:t>
      </w:r>
      <w:r w:rsidR="00CF3B9C" w:rsidRPr="00DF16F7">
        <w:rPr>
          <w:rFonts w:ascii="Arial" w:hAnsi="Arial" w:cs="Arial"/>
          <w:sz w:val="22"/>
          <w:szCs w:val="18"/>
        </w:rPr>
        <w:t xml:space="preserve">, </w:t>
      </w:r>
      <w:r w:rsidRPr="00DF16F7">
        <w:rPr>
          <w:rFonts w:ascii="Arial" w:hAnsi="Arial" w:cs="Arial"/>
          <w:sz w:val="22"/>
          <w:szCs w:val="18"/>
        </w:rPr>
        <w:t>impartial, efficient and low-cost adjudication processes</w:t>
      </w:r>
      <w:r w:rsidR="00620503" w:rsidRPr="00DF16F7">
        <w:rPr>
          <w:rFonts w:ascii="Arial" w:hAnsi="Arial" w:cs="Arial"/>
          <w:sz w:val="22"/>
          <w:szCs w:val="18"/>
        </w:rPr>
        <w:t xml:space="preserve"> and the training support for the staff to operate the system effectively.</w:t>
      </w:r>
    </w:p>
    <w:p w14:paraId="37AA4635" w14:textId="77777777" w:rsidR="00DD24A4" w:rsidRPr="00DF16F7" w:rsidRDefault="00DD24A4" w:rsidP="0092237D">
      <w:pPr>
        <w:pStyle w:val="WPBodyText"/>
        <w:spacing w:line="360" w:lineRule="auto"/>
        <w:rPr>
          <w:rFonts w:ascii="Arial" w:hAnsi="Arial" w:cs="Arial"/>
          <w:b/>
          <w:i/>
          <w:sz w:val="22"/>
          <w:szCs w:val="18"/>
        </w:rPr>
      </w:pPr>
    </w:p>
    <w:p w14:paraId="1A543DF7" w14:textId="527C03DC" w:rsidR="00DD24A4" w:rsidRPr="00DF16F7" w:rsidRDefault="00DD24A4" w:rsidP="0092237D">
      <w:pPr>
        <w:pStyle w:val="WPBodyText"/>
        <w:spacing w:line="360" w:lineRule="auto"/>
        <w:jc w:val="both"/>
        <w:rPr>
          <w:rFonts w:ascii="Arial" w:hAnsi="Arial" w:cs="Arial"/>
          <w:sz w:val="22"/>
          <w:szCs w:val="18"/>
          <w:lang w:val="en-GB"/>
        </w:rPr>
      </w:pPr>
      <w:r w:rsidRPr="00DF16F7">
        <w:rPr>
          <w:rFonts w:ascii="Arial" w:hAnsi="Arial" w:cs="Arial"/>
          <w:sz w:val="22"/>
          <w:szCs w:val="18"/>
        </w:rPr>
        <w:t>Salm (2016) argues that the issues relating to property related taxes in China can be grouped into a number of core issues. First, since the 1994 tax reform that introduced the Tax Sharing System (TSS), under which specific tax revenues are assigned, there has been a m</w:t>
      </w:r>
      <w:r w:rsidRPr="00DF16F7">
        <w:rPr>
          <w:rFonts w:ascii="Arial" w:hAnsi="Arial" w:cs="Arial"/>
          <w:bCs/>
          <w:iCs/>
          <w:sz w:val="22"/>
          <w:szCs w:val="18"/>
        </w:rPr>
        <w:t xml:space="preserve">ismatch between local revenue and expenditure assignments. Such a mismatch continues and has been </w:t>
      </w:r>
      <w:r w:rsidR="00E62254">
        <w:rPr>
          <w:rFonts w:ascii="Arial" w:hAnsi="Arial" w:cs="Arial"/>
          <w:bCs/>
          <w:iCs/>
          <w:sz w:val="22"/>
          <w:szCs w:val="18"/>
        </w:rPr>
        <w:t xml:space="preserve">acutely </w:t>
      </w:r>
      <w:r w:rsidRPr="00DF16F7">
        <w:rPr>
          <w:rFonts w:ascii="Arial" w:hAnsi="Arial" w:cs="Arial"/>
          <w:bCs/>
          <w:iCs/>
          <w:sz w:val="22"/>
          <w:szCs w:val="18"/>
        </w:rPr>
        <w:t xml:space="preserve">observed in </w:t>
      </w:r>
      <w:r w:rsidR="00E62254">
        <w:rPr>
          <w:rFonts w:ascii="Arial" w:hAnsi="Arial" w:cs="Arial"/>
          <w:bCs/>
          <w:iCs/>
          <w:sz w:val="22"/>
          <w:szCs w:val="18"/>
        </w:rPr>
        <w:t xml:space="preserve">the </w:t>
      </w:r>
      <w:r w:rsidRPr="00DF16F7">
        <w:rPr>
          <w:rFonts w:ascii="Arial" w:hAnsi="Arial" w:cs="Arial"/>
          <w:bCs/>
          <w:iCs/>
          <w:sz w:val="22"/>
          <w:szCs w:val="18"/>
        </w:rPr>
        <w:t>megacities</w:t>
      </w:r>
      <w:r w:rsidR="00E62254">
        <w:rPr>
          <w:rFonts w:ascii="Arial" w:hAnsi="Arial" w:cs="Arial"/>
          <w:bCs/>
          <w:iCs/>
          <w:sz w:val="22"/>
          <w:szCs w:val="18"/>
        </w:rPr>
        <w:t>,</w:t>
      </w:r>
      <w:r w:rsidRPr="00DF16F7">
        <w:rPr>
          <w:rFonts w:ascii="Arial" w:hAnsi="Arial" w:cs="Arial"/>
          <w:bCs/>
          <w:iCs/>
          <w:sz w:val="22"/>
          <w:szCs w:val="18"/>
        </w:rPr>
        <w:t xml:space="preserve"> where </w:t>
      </w:r>
      <w:r w:rsidRPr="00DF16F7">
        <w:rPr>
          <w:rFonts w:ascii="Arial" w:hAnsi="Arial" w:cs="Arial"/>
          <w:sz w:val="22"/>
          <w:szCs w:val="18"/>
        </w:rPr>
        <w:t xml:space="preserve">budget expenditures exceed general budget revenues, with property </w:t>
      </w:r>
      <w:r w:rsidRPr="00DF16F7">
        <w:rPr>
          <w:rFonts w:ascii="Arial" w:hAnsi="Arial" w:cs="Arial"/>
          <w:sz w:val="22"/>
          <w:szCs w:val="18"/>
          <w:lang w:val="en-GB"/>
        </w:rPr>
        <w:t xml:space="preserve">taxes accounting for 5% of local tax revenue. In addition, local discretionary powers remain limited and local governments may only vary property tax rates within a centrally determined </w:t>
      </w:r>
      <w:r w:rsidR="00263409">
        <w:rPr>
          <w:rFonts w:ascii="Arial" w:hAnsi="Arial" w:cs="Arial"/>
          <w:sz w:val="22"/>
          <w:szCs w:val="18"/>
          <w:lang w:val="en-GB"/>
        </w:rPr>
        <w:t>range</w:t>
      </w:r>
      <w:r w:rsidRPr="00DF16F7">
        <w:rPr>
          <w:rFonts w:ascii="Arial" w:hAnsi="Arial" w:cs="Arial"/>
          <w:sz w:val="22"/>
          <w:szCs w:val="18"/>
          <w:lang w:val="en-GB"/>
        </w:rPr>
        <w:t>. Salm further argues the Chinese local tax system is largely premised on ‘windfall’ tax revenues collected at the transaction stage. The size of these non</w:t>
      </w:r>
      <w:r w:rsidR="00133E5B">
        <w:rPr>
          <w:rFonts w:ascii="Arial" w:hAnsi="Arial" w:cs="Arial"/>
          <w:sz w:val="22"/>
          <w:szCs w:val="18"/>
          <w:lang w:val="en-GB"/>
        </w:rPr>
        <w:t>-</w:t>
      </w:r>
      <w:r w:rsidRPr="00DF16F7">
        <w:rPr>
          <w:rFonts w:ascii="Arial" w:hAnsi="Arial" w:cs="Arial"/>
          <w:sz w:val="22"/>
          <w:szCs w:val="18"/>
          <w:lang w:val="en-GB"/>
        </w:rPr>
        <w:t xml:space="preserve">recurrent revenues relies primarily on external determinants and revenue can be volatile, due to quantum and availability of land sold. </w:t>
      </w:r>
    </w:p>
    <w:p w14:paraId="2CD9F6FC" w14:textId="77777777" w:rsidR="00DD24A4" w:rsidRPr="00DF16F7" w:rsidRDefault="00DD24A4" w:rsidP="0092237D">
      <w:pPr>
        <w:pStyle w:val="WPBodyText"/>
        <w:spacing w:line="360" w:lineRule="auto"/>
        <w:rPr>
          <w:rFonts w:ascii="Arial" w:hAnsi="Arial" w:cs="Arial"/>
          <w:sz w:val="22"/>
          <w:szCs w:val="18"/>
          <w:lang w:val="en-GB"/>
        </w:rPr>
      </w:pPr>
    </w:p>
    <w:p w14:paraId="40E4FB9C" w14:textId="32FF0032" w:rsidR="00DD24A4" w:rsidRPr="00DF16F7" w:rsidRDefault="00DD24A4" w:rsidP="0092237D">
      <w:pPr>
        <w:pStyle w:val="WPBodyText"/>
        <w:spacing w:line="360" w:lineRule="auto"/>
        <w:jc w:val="both"/>
        <w:rPr>
          <w:rFonts w:ascii="Arial" w:hAnsi="Arial" w:cs="Arial"/>
          <w:b/>
          <w:i/>
          <w:sz w:val="22"/>
          <w:szCs w:val="18"/>
        </w:rPr>
      </w:pPr>
      <w:r w:rsidRPr="00DF16F7">
        <w:rPr>
          <w:rFonts w:ascii="Arial" w:hAnsi="Arial" w:cs="Arial"/>
          <w:sz w:val="22"/>
          <w:szCs w:val="18"/>
          <w:lang w:val="en-GB"/>
        </w:rPr>
        <w:t>The constraint of state-owned land and increasing population densities are limiting sustainable revenue</w:t>
      </w:r>
      <w:r w:rsidR="00CD536E">
        <w:rPr>
          <w:rFonts w:ascii="Arial" w:hAnsi="Arial" w:cs="Arial"/>
          <w:sz w:val="22"/>
          <w:szCs w:val="18"/>
          <w:lang w:val="en-GB"/>
        </w:rPr>
        <w:t>,</w:t>
      </w:r>
      <w:r w:rsidRPr="00DF16F7">
        <w:rPr>
          <w:rFonts w:ascii="Arial" w:hAnsi="Arial" w:cs="Arial"/>
          <w:sz w:val="22"/>
          <w:szCs w:val="18"/>
          <w:lang w:val="en-GB"/>
        </w:rPr>
        <w:t xml:space="preserve"> meaning the windfall tax revenue model is time limited.</w:t>
      </w:r>
      <w:r w:rsidRPr="00DF16F7">
        <w:rPr>
          <w:rFonts w:ascii="Arial" w:hAnsi="Arial" w:cs="Arial"/>
          <w:sz w:val="22"/>
          <w:szCs w:val="18"/>
        </w:rPr>
        <w:t xml:space="preserve"> Moreover, </w:t>
      </w:r>
      <w:r w:rsidRPr="00DF16F7">
        <w:rPr>
          <w:rFonts w:ascii="Arial" w:hAnsi="Arial" w:cs="Arial"/>
          <w:bCs/>
          <w:iCs/>
          <w:sz w:val="22"/>
          <w:szCs w:val="18"/>
          <w:lang w:val="en-GB"/>
        </w:rPr>
        <w:t>it is well documented that a major source of concern is that r</w:t>
      </w:r>
      <w:r w:rsidRPr="00DF16F7">
        <w:rPr>
          <w:rFonts w:ascii="Arial" w:hAnsi="Arial" w:cs="Arial"/>
          <w:sz w:val="22"/>
          <w:szCs w:val="18"/>
          <w:lang w:val="en-GB"/>
        </w:rPr>
        <w:t>evenues from the urban property tax</w:t>
      </w:r>
      <w:r w:rsidRPr="00DF16F7">
        <w:rPr>
          <w:rFonts w:ascii="Arial" w:hAnsi="Arial" w:cs="Arial"/>
          <w:bCs/>
          <w:iCs/>
          <w:sz w:val="22"/>
          <w:szCs w:val="18"/>
          <w:lang w:val="en-GB"/>
        </w:rPr>
        <w:t xml:space="preserve"> </w:t>
      </w:r>
      <w:r w:rsidRPr="00DF16F7">
        <w:rPr>
          <w:rFonts w:ascii="Arial" w:hAnsi="Arial" w:cs="Arial"/>
          <w:sz w:val="22"/>
          <w:szCs w:val="18"/>
          <w:lang w:val="en-GB"/>
        </w:rPr>
        <w:t xml:space="preserve">are static due to the </w:t>
      </w:r>
      <w:r w:rsidR="007C003F">
        <w:rPr>
          <w:rFonts w:ascii="Arial" w:hAnsi="Arial" w:cs="Arial"/>
          <w:sz w:val="22"/>
          <w:szCs w:val="18"/>
          <w:lang w:val="en-GB"/>
        </w:rPr>
        <w:t xml:space="preserve">constrained </w:t>
      </w:r>
      <w:r w:rsidRPr="00DF16F7">
        <w:rPr>
          <w:rFonts w:ascii="Arial" w:hAnsi="Arial" w:cs="Arial"/>
          <w:sz w:val="22"/>
          <w:szCs w:val="18"/>
          <w:lang w:val="en-GB"/>
        </w:rPr>
        <w:t xml:space="preserve">tax bases and </w:t>
      </w:r>
      <w:r w:rsidR="007C003F">
        <w:rPr>
          <w:rFonts w:ascii="Arial" w:hAnsi="Arial" w:cs="Arial"/>
          <w:sz w:val="22"/>
          <w:szCs w:val="18"/>
          <w:lang w:val="en-GB"/>
        </w:rPr>
        <w:t xml:space="preserve">the fact </w:t>
      </w:r>
      <w:r w:rsidRPr="00DF16F7">
        <w:rPr>
          <w:rFonts w:ascii="Arial" w:hAnsi="Arial" w:cs="Arial"/>
          <w:sz w:val="22"/>
          <w:szCs w:val="18"/>
          <w:lang w:val="en-GB"/>
        </w:rPr>
        <w:t>that urban residential properties</w:t>
      </w:r>
      <w:r w:rsidR="007C003F">
        <w:rPr>
          <w:rFonts w:ascii="Arial" w:hAnsi="Arial" w:cs="Arial"/>
          <w:sz w:val="22"/>
          <w:szCs w:val="18"/>
          <w:lang w:val="en-GB"/>
        </w:rPr>
        <w:t xml:space="preserve"> (the bulk of the potential tax base)</w:t>
      </w:r>
      <w:r w:rsidRPr="00DF16F7">
        <w:rPr>
          <w:rFonts w:ascii="Arial" w:hAnsi="Arial" w:cs="Arial"/>
          <w:sz w:val="22"/>
          <w:szCs w:val="18"/>
          <w:lang w:val="en-GB"/>
        </w:rPr>
        <w:t xml:space="preserve"> are exempt. At the same time, property owners live under a “veil of uncertainty” (Man</w:t>
      </w:r>
      <w:r w:rsidR="00172E23">
        <w:rPr>
          <w:rFonts w:ascii="Arial" w:hAnsi="Arial" w:cs="Arial"/>
          <w:sz w:val="22"/>
          <w:szCs w:val="18"/>
          <w:lang w:val="en-GB"/>
        </w:rPr>
        <w:t>,</w:t>
      </w:r>
      <w:r w:rsidRPr="00DF16F7">
        <w:rPr>
          <w:rFonts w:ascii="Arial" w:hAnsi="Arial" w:cs="Arial"/>
          <w:sz w:val="22"/>
          <w:szCs w:val="18"/>
          <w:lang w:val="en-GB"/>
        </w:rPr>
        <w:t xml:space="preserve"> 2012)</w:t>
      </w:r>
      <w:r w:rsidR="00301390">
        <w:rPr>
          <w:rFonts w:ascii="Arial" w:hAnsi="Arial" w:cs="Arial"/>
          <w:sz w:val="22"/>
          <w:szCs w:val="18"/>
          <w:lang w:val="en-GB"/>
        </w:rPr>
        <w:t>,</w:t>
      </w:r>
      <w:r w:rsidRPr="00DF16F7">
        <w:rPr>
          <w:rFonts w:ascii="Arial" w:hAnsi="Arial" w:cs="Arial"/>
          <w:sz w:val="22"/>
          <w:szCs w:val="18"/>
          <w:lang w:val="en-GB"/>
        </w:rPr>
        <w:t xml:space="preserve"> as despite improvements in property rights law, private property might revert to state government in the absence of land use renewal. In a similar vein, pilot programmes were not supported with legislation</w:t>
      </w:r>
      <w:r w:rsidR="00301390">
        <w:rPr>
          <w:rFonts w:ascii="Arial" w:hAnsi="Arial" w:cs="Arial"/>
          <w:sz w:val="22"/>
          <w:szCs w:val="18"/>
          <w:lang w:val="en-GB"/>
        </w:rPr>
        <w:t>,</w:t>
      </w:r>
      <w:r w:rsidRPr="00DF16F7">
        <w:rPr>
          <w:rFonts w:ascii="Arial" w:hAnsi="Arial" w:cs="Arial"/>
          <w:sz w:val="22"/>
          <w:szCs w:val="18"/>
          <w:lang w:val="en-GB"/>
        </w:rPr>
        <w:t xml:space="preserve"> which ultimately renders enforcement of property tax arrears difficult, although recent</w:t>
      </w:r>
      <w:r w:rsidR="00121D7B">
        <w:rPr>
          <w:rFonts w:ascii="Arial" w:hAnsi="Arial" w:cs="Arial"/>
          <w:sz w:val="22"/>
          <w:szCs w:val="18"/>
          <w:lang w:val="en-GB"/>
        </w:rPr>
        <w:t>ly,</w:t>
      </w:r>
      <w:r w:rsidRPr="00DF16F7">
        <w:rPr>
          <w:rFonts w:ascii="Arial" w:hAnsi="Arial" w:cs="Arial"/>
          <w:sz w:val="22"/>
          <w:szCs w:val="18"/>
          <w:lang w:val="en-GB"/>
        </w:rPr>
        <w:t xml:space="preserve"> China’s legislative body have expanded of the purview of property law nationally.</w:t>
      </w:r>
    </w:p>
    <w:p w14:paraId="2B957640" w14:textId="77777777" w:rsidR="00DD24A4" w:rsidRPr="00DF16F7" w:rsidRDefault="00DD24A4" w:rsidP="0092237D">
      <w:pPr>
        <w:pStyle w:val="WPBodyText"/>
        <w:spacing w:line="360" w:lineRule="auto"/>
        <w:rPr>
          <w:rFonts w:ascii="Arial" w:hAnsi="Arial" w:cs="Arial"/>
          <w:b/>
          <w:i/>
          <w:sz w:val="22"/>
          <w:szCs w:val="18"/>
        </w:rPr>
      </w:pPr>
    </w:p>
    <w:p w14:paraId="1FE64247" w14:textId="10FA1109" w:rsidR="004C33D3" w:rsidRPr="00DF16F7" w:rsidRDefault="00DD24A4" w:rsidP="0092237D">
      <w:pPr>
        <w:pStyle w:val="WPBodyText"/>
        <w:spacing w:line="360" w:lineRule="auto"/>
        <w:jc w:val="both"/>
        <w:rPr>
          <w:rFonts w:ascii="Arial" w:hAnsi="Arial" w:cs="Arial"/>
          <w:sz w:val="22"/>
          <w:szCs w:val="18"/>
          <w:lang w:val="en-GB"/>
        </w:rPr>
      </w:pPr>
      <w:r w:rsidRPr="00DF16F7">
        <w:rPr>
          <w:rFonts w:ascii="Arial" w:hAnsi="Arial" w:cs="Arial"/>
          <w:sz w:val="22"/>
          <w:szCs w:val="18"/>
        </w:rPr>
        <w:lastRenderedPageBreak/>
        <w:t>Further significant hurdles remain</w:t>
      </w:r>
      <w:r w:rsidR="00CA1FD5">
        <w:rPr>
          <w:rFonts w:ascii="Arial" w:hAnsi="Arial" w:cs="Arial"/>
          <w:sz w:val="22"/>
          <w:szCs w:val="18"/>
        </w:rPr>
        <w:t>,</w:t>
      </w:r>
      <w:r w:rsidRPr="00DF16F7">
        <w:rPr>
          <w:rFonts w:ascii="Arial" w:hAnsi="Arial" w:cs="Arial"/>
          <w:sz w:val="22"/>
          <w:szCs w:val="18"/>
        </w:rPr>
        <w:t xml:space="preserve"> in the form of political will and public appetite. Lui (2018) highlights that </w:t>
      </w:r>
      <w:r w:rsidRPr="00DF16F7">
        <w:rPr>
          <w:rFonts w:ascii="Arial" w:hAnsi="Arial" w:cs="Arial"/>
          <w:sz w:val="22"/>
          <w:szCs w:val="18"/>
          <w:lang w:val="en-GB"/>
        </w:rPr>
        <w:t xml:space="preserve">the strongest opposition to the introduction of a property tax on the ownership of private residential properties emanates </w:t>
      </w:r>
      <w:r w:rsidR="007850EB">
        <w:rPr>
          <w:rFonts w:ascii="Arial" w:hAnsi="Arial" w:cs="Arial"/>
          <w:sz w:val="22"/>
          <w:szCs w:val="18"/>
          <w:lang w:val="en-GB"/>
        </w:rPr>
        <w:t>from the reality that</w:t>
      </w:r>
      <w:r w:rsidRPr="00DF16F7">
        <w:rPr>
          <w:rFonts w:ascii="Arial" w:hAnsi="Arial" w:cs="Arial"/>
          <w:sz w:val="22"/>
          <w:szCs w:val="18"/>
          <w:lang w:val="en-GB"/>
        </w:rPr>
        <w:t xml:space="preserve"> over 90 percent of the urban households own one or more housing units. He highlights that the central government studied the feasibility of property tax around 2000, which led to the seminal publications of </w:t>
      </w:r>
      <w:proofErr w:type="spellStart"/>
      <w:r w:rsidRPr="00DF16F7">
        <w:rPr>
          <w:rFonts w:ascii="Arial" w:hAnsi="Arial" w:cs="Arial"/>
          <w:sz w:val="22"/>
          <w:szCs w:val="18"/>
          <w:lang w:val="en-GB"/>
        </w:rPr>
        <w:t>Xie</w:t>
      </w:r>
      <w:proofErr w:type="spellEnd"/>
      <w:r w:rsidRPr="00DF16F7">
        <w:rPr>
          <w:rFonts w:ascii="Arial" w:hAnsi="Arial" w:cs="Arial"/>
          <w:sz w:val="22"/>
          <w:szCs w:val="18"/>
          <w:lang w:val="en-GB"/>
        </w:rPr>
        <w:t xml:space="preserve"> (2005) and </w:t>
      </w:r>
      <w:proofErr w:type="spellStart"/>
      <w:r w:rsidRPr="00DF16F7">
        <w:rPr>
          <w:rFonts w:ascii="Arial" w:hAnsi="Arial" w:cs="Arial"/>
          <w:sz w:val="22"/>
          <w:szCs w:val="18"/>
          <w:lang w:val="en-GB"/>
        </w:rPr>
        <w:t>Xie</w:t>
      </w:r>
      <w:proofErr w:type="spellEnd"/>
      <w:r w:rsidRPr="00DF16F7">
        <w:rPr>
          <w:rFonts w:ascii="Arial" w:hAnsi="Arial" w:cs="Arial"/>
          <w:sz w:val="22"/>
          <w:szCs w:val="18"/>
          <w:lang w:val="en-GB"/>
        </w:rPr>
        <w:t xml:space="preserve"> (2006), describing this as a huge missed opportunity </w:t>
      </w:r>
      <w:r w:rsidR="00806C5F">
        <w:rPr>
          <w:rFonts w:ascii="Arial" w:hAnsi="Arial" w:cs="Arial"/>
          <w:sz w:val="22"/>
          <w:szCs w:val="18"/>
          <w:lang w:val="en-GB"/>
        </w:rPr>
        <w:t>missed for</w:t>
      </w:r>
      <w:r w:rsidRPr="00DF16F7">
        <w:rPr>
          <w:rFonts w:ascii="Arial" w:hAnsi="Arial" w:cs="Arial"/>
          <w:sz w:val="22"/>
          <w:szCs w:val="18"/>
          <w:lang w:val="en-GB"/>
        </w:rPr>
        <w:t xml:space="preserve"> the introduction of the tax in 2003, a few years after the housing policy reform and before the start of the housing boom. In noting the underlying resistance to property tax from homeowners, he advances a number of possible solutions for policy makers in the design and implementation of the property tax. In this context, he contends the need to reform the deficient </w:t>
      </w:r>
      <w:r w:rsidRPr="00DF16F7">
        <w:rPr>
          <w:rFonts w:ascii="Arial" w:hAnsi="Arial" w:cs="Arial"/>
          <w:bCs/>
          <w:sz w:val="22"/>
          <w:szCs w:val="18"/>
          <w:lang w:val="en-GB"/>
        </w:rPr>
        <w:t xml:space="preserve">price structure of public land leasing </w:t>
      </w:r>
      <w:r w:rsidRPr="00DF16F7">
        <w:rPr>
          <w:rFonts w:ascii="Arial" w:hAnsi="Arial" w:cs="Arial"/>
          <w:sz w:val="22"/>
          <w:szCs w:val="18"/>
          <w:lang w:val="en-GB"/>
        </w:rPr>
        <w:t xml:space="preserve">by introducing the property tax and </w:t>
      </w:r>
      <w:r w:rsidR="00560263">
        <w:rPr>
          <w:rFonts w:ascii="Arial" w:hAnsi="Arial" w:cs="Arial"/>
          <w:sz w:val="22"/>
          <w:szCs w:val="18"/>
          <w:lang w:val="en-GB"/>
        </w:rPr>
        <w:t xml:space="preserve">a </w:t>
      </w:r>
      <w:r w:rsidRPr="00DF16F7">
        <w:rPr>
          <w:rFonts w:ascii="Arial" w:hAnsi="Arial" w:cs="Arial"/>
          <w:sz w:val="22"/>
          <w:szCs w:val="18"/>
          <w:lang w:val="en-GB"/>
        </w:rPr>
        <w:t>public land rental charge. This structure would also give municipalities some degree of flexibility to use public land rental charge</w:t>
      </w:r>
      <w:r w:rsidR="00560263">
        <w:rPr>
          <w:rFonts w:ascii="Arial" w:hAnsi="Arial" w:cs="Arial"/>
          <w:sz w:val="22"/>
          <w:szCs w:val="18"/>
          <w:lang w:val="en-GB"/>
        </w:rPr>
        <w:t>s</w:t>
      </w:r>
      <w:r w:rsidRPr="00DF16F7">
        <w:rPr>
          <w:rFonts w:ascii="Arial" w:hAnsi="Arial" w:cs="Arial"/>
          <w:sz w:val="22"/>
          <w:szCs w:val="18"/>
          <w:lang w:val="en-GB"/>
        </w:rPr>
        <w:t xml:space="preserve"> as a policy tool to stabilize land costs. </w:t>
      </w:r>
    </w:p>
    <w:p w14:paraId="5F896D24" w14:textId="77777777" w:rsidR="004C33D3" w:rsidRPr="00DF16F7" w:rsidRDefault="004C33D3" w:rsidP="0092237D">
      <w:pPr>
        <w:pStyle w:val="WPBodyText"/>
        <w:spacing w:line="360" w:lineRule="auto"/>
        <w:jc w:val="both"/>
        <w:rPr>
          <w:rFonts w:ascii="Arial" w:hAnsi="Arial" w:cs="Arial"/>
          <w:sz w:val="22"/>
          <w:szCs w:val="18"/>
          <w:lang w:val="en-GB"/>
        </w:rPr>
      </w:pPr>
    </w:p>
    <w:p w14:paraId="362CE5A1" w14:textId="0AD21515" w:rsidR="00DD24A4" w:rsidRPr="00DF16F7" w:rsidRDefault="00DD24A4" w:rsidP="0092237D">
      <w:pPr>
        <w:pStyle w:val="WPBodyText"/>
        <w:spacing w:line="360" w:lineRule="auto"/>
        <w:jc w:val="both"/>
        <w:rPr>
          <w:rFonts w:ascii="Arial" w:hAnsi="Arial" w:cs="Arial"/>
          <w:bCs/>
          <w:sz w:val="22"/>
          <w:szCs w:val="18"/>
          <w:lang w:val="en-GB"/>
        </w:rPr>
      </w:pPr>
      <w:r w:rsidRPr="00DF16F7">
        <w:rPr>
          <w:rFonts w:ascii="Arial" w:hAnsi="Arial" w:cs="Arial"/>
          <w:sz w:val="22"/>
          <w:szCs w:val="18"/>
          <w:lang w:val="en-GB"/>
        </w:rPr>
        <w:t xml:space="preserve">Lui </w:t>
      </w:r>
      <w:r w:rsidR="004C33D3" w:rsidRPr="00DF16F7">
        <w:rPr>
          <w:rFonts w:ascii="Arial" w:hAnsi="Arial" w:cs="Arial"/>
          <w:sz w:val="22"/>
          <w:szCs w:val="18"/>
          <w:lang w:val="en-GB"/>
        </w:rPr>
        <w:t xml:space="preserve">(2018) </w:t>
      </w:r>
      <w:r w:rsidRPr="00DF16F7">
        <w:rPr>
          <w:rFonts w:ascii="Arial" w:hAnsi="Arial" w:cs="Arial"/>
          <w:sz w:val="22"/>
          <w:szCs w:val="18"/>
          <w:lang w:val="en-GB"/>
        </w:rPr>
        <w:t>further contends that property tax could be introduced immediately</w:t>
      </w:r>
      <w:r w:rsidR="00560263">
        <w:rPr>
          <w:rFonts w:ascii="Arial" w:hAnsi="Arial" w:cs="Arial"/>
          <w:sz w:val="22"/>
          <w:szCs w:val="18"/>
          <w:lang w:val="en-GB"/>
        </w:rPr>
        <w:t>,</w:t>
      </w:r>
      <w:r w:rsidRPr="00DF16F7">
        <w:rPr>
          <w:rFonts w:ascii="Arial" w:hAnsi="Arial" w:cs="Arial"/>
          <w:sz w:val="22"/>
          <w:szCs w:val="18"/>
          <w:lang w:val="en-GB"/>
        </w:rPr>
        <w:t xml:space="preserve"> if it were orientated towards a wide tax base </w:t>
      </w:r>
      <w:r w:rsidR="000C1924">
        <w:rPr>
          <w:rFonts w:ascii="Arial" w:hAnsi="Arial" w:cs="Arial"/>
          <w:sz w:val="22"/>
          <w:szCs w:val="18"/>
          <w:lang w:val="en-GB"/>
        </w:rPr>
        <w:t>at</w:t>
      </w:r>
      <w:r w:rsidRPr="00DF16F7">
        <w:rPr>
          <w:rFonts w:ascii="Arial" w:hAnsi="Arial" w:cs="Arial"/>
          <w:sz w:val="22"/>
          <w:szCs w:val="18"/>
          <w:lang w:val="en-GB"/>
        </w:rPr>
        <w:t xml:space="preserve"> very low rate</w:t>
      </w:r>
      <w:r w:rsidR="000C1924">
        <w:rPr>
          <w:rFonts w:ascii="Arial" w:hAnsi="Arial" w:cs="Arial"/>
          <w:sz w:val="22"/>
          <w:szCs w:val="18"/>
          <w:lang w:val="en-GB"/>
        </w:rPr>
        <w:t>s</w:t>
      </w:r>
      <w:r w:rsidRPr="00DF16F7">
        <w:rPr>
          <w:rFonts w:ascii="Arial" w:hAnsi="Arial" w:cs="Arial"/>
          <w:sz w:val="22"/>
          <w:szCs w:val="18"/>
          <w:lang w:val="en-GB"/>
        </w:rPr>
        <w:t xml:space="preserve">. This may allow it to gain </w:t>
      </w:r>
      <w:r w:rsidR="00892840" w:rsidRPr="00DF16F7">
        <w:rPr>
          <w:rFonts w:ascii="Arial" w:hAnsi="Arial" w:cs="Arial"/>
          <w:sz w:val="22"/>
          <w:szCs w:val="18"/>
          <w:lang w:val="en-GB"/>
        </w:rPr>
        <w:t>acceptance</w:t>
      </w:r>
      <w:r w:rsidR="00892840">
        <w:rPr>
          <w:rFonts w:ascii="Arial" w:hAnsi="Arial" w:cs="Arial"/>
          <w:sz w:val="22"/>
          <w:szCs w:val="18"/>
          <w:lang w:val="en-GB"/>
        </w:rPr>
        <w:t xml:space="preserve"> yet</w:t>
      </w:r>
      <w:r w:rsidRPr="00DF16F7">
        <w:rPr>
          <w:rFonts w:ascii="Arial" w:hAnsi="Arial" w:cs="Arial"/>
          <w:sz w:val="22"/>
          <w:szCs w:val="18"/>
          <w:lang w:val="en-GB"/>
        </w:rPr>
        <w:t xml:space="preserve"> generate much needed revenue. In the alternative, he also suggests a </w:t>
      </w:r>
      <w:r w:rsidR="00892840">
        <w:rPr>
          <w:rFonts w:ascii="Arial" w:hAnsi="Arial" w:cs="Arial"/>
          <w:sz w:val="22"/>
          <w:szCs w:val="18"/>
          <w:lang w:val="en-GB"/>
        </w:rPr>
        <w:t>‘</w:t>
      </w:r>
      <w:r w:rsidRPr="00DF16F7">
        <w:rPr>
          <w:rFonts w:ascii="Arial" w:hAnsi="Arial" w:cs="Arial"/>
          <w:sz w:val="22"/>
          <w:szCs w:val="18"/>
          <w:lang w:val="en-GB"/>
        </w:rPr>
        <w:t>grandfathering</w:t>
      </w:r>
      <w:r w:rsidR="00892840">
        <w:rPr>
          <w:rFonts w:ascii="Arial" w:hAnsi="Arial" w:cs="Arial"/>
          <w:sz w:val="22"/>
          <w:szCs w:val="18"/>
          <w:lang w:val="en-GB"/>
        </w:rPr>
        <w:t>’</w:t>
      </w:r>
      <w:r w:rsidRPr="00DF16F7">
        <w:rPr>
          <w:rFonts w:ascii="Arial" w:hAnsi="Arial" w:cs="Arial"/>
          <w:sz w:val="22"/>
          <w:szCs w:val="18"/>
          <w:lang w:val="en-GB"/>
        </w:rPr>
        <w:t xml:space="preserve"> approach</w:t>
      </w:r>
      <w:r w:rsidR="00892840">
        <w:rPr>
          <w:rFonts w:ascii="Arial" w:hAnsi="Arial" w:cs="Arial"/>
          <w:sz w:val="22"/>
          <w:szCs w:val="18"/>
          <w:lang w:val="en-GB"/>
        </w:rPr>
        <w:t>,</w:t>
      </w:r>
      <w:r w:rsidRPr="00DF16F7">
        <w:rPr>
          <w:rFonts w:ascii="Arial" w:hAnsi="Arial" w:cs="Arial"/>
          <w:sz w:val="22"/>
          <w:szCs w:val="18"/>
          <w:lang w:val="en-GB"/>
        </w:rPr>
        <w:t xml:space="preserve"> which is transitional and gradually ensure</w:t>
      </w:r>
      <w:r w:rsidR="00892840">
        <w:rPr>
          <w:rFonts w:ascii="Arial" w:hAnsi="Arial" w:cs="Arial"/>
          <w:sz w:val="22"/>
          <w:szCs w:val="18"/>
          <w:lang w:val="en-GB"/>
        </w:rPr>
        <w:t>s</w:t>
      </w:r>
      <w:r w:rsidRPr="00DF16F7">
        <w:rPr>
          <w:rFonts w:ascii="Arial" w:hAnsi="Arial" w:cs="Arial"/>
          <w:sz w:val="22"/>
          <w:szCs w:val="18"/>
          <w:lang w:val="en-GB"/>
        </w:rPr>
        <w:t xml:space="preserve"> all residential properties are subject to taxation. A further approach is to allow for a period of transition</w:t>
      </w:r>
      <w:r w:rsidR="00BC58B9">
        <w:rPr>
          <w:rFonts w:ascii="Arial" w:hAnsi="Arial" w:cs="Arial"/>
          <w:sz w:val="22"/>
          <w:szCs w:val="18"/>
          <w:lang w:val="en-GB"/>
        </w:rPr>
        <w:t>,</w:t>
      </w:r>
      <w:r w:rsidRPr="00DF16F7">
        <w:rPr>
          <w:rFonts w:ascii="Arial" w:hAnsi="Arial" w:cs="Arial"/>
          <w:sz w:val="22"/>
          <w:szCs w:val="18"/>
          <w:lang w:val="en-GB"/>
        </w:rPr>
        <w:t xml:space="preserve"> by delaying the effective implementation of property tax law for a period of time for homeowner adjustment to housing portfolios. </w:t>
      </w:r>
      <w:r w:rsidRPr="00DF16F7">
        <w:rPr>
          <w:rFonts w:ascii="Arial" w:hAnsi="Arial" w:cs="Arial"/>
          <w:bCs/>
          <w:sz w:val="22"/>
          <w:szCs w:val="18"/>
          <w:lang w:val="en-GB"/>
        </w:rPr>
        <w:t xml:space="preserve">Finally, in recognising ongoing change, Lui (2018) argues that the whilst the majority of municipalities are not yet ready to implement property tax </w:t>
      </w:r>
      <w:r w:rsidR="00AA2487">
        <w:rPr>
          <w:rFonts w:ascii="Arial" w:hAnsi="Arial" w:cs="Arial"/>
          <w:bCs/>
          <w:sz w:val="22"/>
          <w:szCs w:val="18"/>
          <w:lang w:val="en-GB"/>
        </w:rPr>
        <w:t>(</w:t>
      </w:r>
      <w:r w:rsidRPr="00DF16F7">
        <w:rPr>
          <w:rFonts w:ascii="Arial" w:hAnsi="Arial" w:cs="Arial"/>
          <w:bCs/>
          <w:sz w:val="22"/>
          <w:szCs w:val="18"/>
          <w:lang w:val="en-GB"/>
        </w:rPr>
        <w:t>due to administrative and assessment exigencies</w:t>
      </w:r>
      <w:r w:rsidR="00AA2487">
        <w:rPr>
          <w:rFonts w:ascii="Arial" w:hAnsi="Arial" w:cs="Arial"/>
          <w:bCs/>
          <w:sz w:val="22"/>
          <w:szCs w:val="18"/>
          <w:lang w:val="en-GB"/>
        </w:rPr>
        <w:t>)</w:t>
      </w:r>
      <w:r w:rsidRPr="00DF16F7">
        <w:rPr>
          <w:rFonts w:ascii="Arial" w:hAnsi="Arial" w:cs="Arial"/>
          <w:bCs/>
          <w:sz w:val="22"/>
          <w:szCs w:val="18"/>
          <w:lang w:val="en-GB"/>
        </w:rPr>
        <w:t xml:space="preserve">, some of the large </w:t>
      </w:r>
      <w:r w:rsidR="00EB2084" w:rsidRPr="00DF16F7">
        <w:rPr>
          <w:rFonts w:ascii="Arial" w:hAnsi="Arial" w:cs="Arial"/>
          <w:bCs/>
          <w:sz w:val="22"/>
          <w:szCs w:val="18"/>
          <w:lang w:val="en-GB"/>
        </w:rPr>
        <w:t>municipalities</w:t>
      </w:r>
      <w:r w:rsidRPr="00DF16F7">
        <w:rPr>
          <w:rFonts w:ascii="Arial" w:hAnsi="Arial" w:cs="Arial"/>
          <w:bCs/>
          <w:sz w:val="22"/>
          <w:szCs w:val="18"/>
          <w:lang w:val="en-GB"/>
        </w:rPr>
        <w:t xml:space="preserve"> have made intelligence and system gains and therefore have the ability to proceed with progressing property tax law. Such provincial governments with readiness could be rewarded with incentives or discretional rates, whilst others could be targeted with development programmes.</w:t>
      </w:r>
    </w:p>
    <w:p w14:paraId="73722C60" w14:textId="77777777" w:rsidR="008779EF" w:rsidRPr="00DF16F7" w:rsidRDefault="008779EF" w:rsidP="0092237D">
      <w:pPr>
        <w:pStyle w:val="WPBodyText"/>
        <w:spacing w:line="360" w:lineRule="auto"/>
        <w:rPr>
          <w:rFonts w:ascii="Arial" w:hAnsi="Arial" w:cs="Arial"/>
          <w:bCs/>
          <w:sz w:val="22"/>
          <w:szCs w:val="18"/>
          <w:lang w:val="en-GB"/>
        </w:rPr>
      </w:pPr>
    </w:p>
    <w:p w14:paraId="43FB604C" w14:textId="464D03E3" w:rsidR="00DD24A4" w:rsidRPr="00D9670F" w:rsidRDefault="00DD24A4" w:rsidP="0092237D">
      <w:pPr>
        <w:pStyle w:val="WPBodyText"/>
        <w:spacing w:line="360" w:lineRule="auto"/>
        <w:rPr>
          <w:rFonts w:ascii="Arial" w:hAnsi="Arial" w:cs="Arial"/>
          <w:b/>
          <w:sz w:val="22"/>
          <w:szCs w:val="18"/>
        </w:rPr>
      </w:pPr>
      <w:r w:rsidRPr="00DF16F7">
        <w:rPr>
          <w:rFonts w:ascii="Arial" w:hAnsi="Arial" w:cs="Arial"/>
          <w:b/>
          <w:sz w:val="22"/>
          <w:szCs w:val="18"/>
        </w:rPr>
        <w:t xml:space="preserve">Mass appraisal and Modeling Approaches  </w:t>
      </w:r>
    </w:p>
    <w:p w14:paraId="131E7AF9" w14:textId="1F139C3F" w:rsidR="00CB09E3" w:rsidRPr="00DF16F7" w:rsidRDefault="00CB09E3" w:rsidP="0092237D">
      <w:pPr>
        <w:pStyle w:val="WPBodyText"/>
        <w:spacing w:line="360" w:lineRule="auto"/>
        <w:jc w:val="both"/>
        <w:rPr>
          <w:rFonts w:ascii="Arial" w:hAnsi="Arial" w:cs="Arial"/>
          <w:sz w:val="22"/>
          <w:szCs w:val="18"/>
        </w:rPr>
      </w:pPr>
      <w:r w:rsidRPr="00DF16F7">
        <w:rPr>
          <w:rFonts w:ascii="Arial" w:hAnsi="Arial" w:cs="Arial"/>
          <w:sz w:val="22"/>
          <w:szCs w:val="18"/>
        </w:rPr>
        <w:t>Mass appraisal in the Chinese context has been investigated by a number of authors (</w:t>
      </w:r>
      <w:proofErr w:type="spellStart"/>
      <w:r w:rsidRPr="00DF16F7">
        <w:rPr>
          <w:rFonts w:ascii="Arial" w:hAnsi="Arial" w:cs="Arial"/>
          <w:sz w:val="22"/>
          <w:szCs w:val="18"/>
        </w:rPr>
        <w:t>Yicheng</w:t>
      </w:r>
      <w:proofErr w:type="spellEnd"/>
      <w:r w:rsidRPr="00DF16F7">
        <w:rPr>
          <w:rFonts w:ascii="Arial" w:hAnsi="Arial" w:cs="Arial"/>
          <w:sz w:val="22"/>
          <w:szCs w:val="18"/>
        </w:rPr>
        <w:t xml:space="preserve"> and Fu 2005, </w:t>
      </w:r>
      <w:proofErr w:type="spellStart"/>
      <w:r w:rsidRPr="00DF16F7">
        <w:rPr>
          <w:rFonts w:ascii="Arial" w:hAnsi="Arial" w:cs="Arial"/>
          <w:sz w:val="22"/>
          <w:szCs w:val="18"/>
        </w:rPr>
        <w:t>Lv</w:t>
      </w:r>
      <w:proofErr w:type="spellEnd"/>
      <w:r w:rsidRPr="00DF16F7">
        <w:rPr>
          <w:rFonts w:ascii="Arial" w:hAnsi="Arial" w:cs="Arial"/>
          <w:sz w:val="22"/>
          <w:szCs w:val="18"/>
        </w:rPr>
        <w:t xml:space="preserve">, 2009, Song, 2009, Song and Lei, 2009, Ji, 2005, and Li and Sun, 2008. The findings generally supported the introduction of mass appraisal, whilst recognizing the peculiarities of local conditions, some of which may require the adoption of local area standardized values and other approaches to deal with thin markets and allow inexpensive and straightforward updating of values. This was also the basis of the work conducted </w:t>
      </w:r>
      <w:proofErr w:type="spellStart"/>
      <w:r w:rsidRPr="00DF16F7">
        <w:rPr>
          <w:rFonts w:ascii="Arial" w:hAnsi="Arial" w:cs="Arial"/>
          <w:sz w:val="22"/>
          <w:szCs w:val="18"/>
        </w:rPr>
        <w:t>Jijin</w:t>
      </w:r>
      <w:proofErr w:type="spellEnd"/>
      <w:r w:rsidRPr="00DF16F7">
        <w:rPr>
          <w:rFonts w:ascii="Arial" w:hAnsi="Arial" w:cs="Arial"/>
          <w:sz w:val="22"/>
          <w:szCs w:val="18"/>
        </w:rPr>
        <w:t xml:space="preserve"> and Yan (2012)</w:t>
      </w:r>
      <w:r w:rsidR="00221A8A">
        <w:rPr>
          <w:rFonts w:ascii="Arial" w:hAnsi="Arial" w:cs="Arial"/>
          <w:sz w:val="22"/>
          <w:szCs w:val="18"/>
        </w:rPr>
        <w:t>,</w:t>
      </w:r>
      <w:r w:rsidRPr="00DF16F7">
        <w:rPr>
          <w:rFonts w:ascii="Arial" w:hAnsi="Arial" w:cs="Arial"/>
          <w:sz w:val="22"/>
          <w:szCs w:val="18"/>
        </w:rPr>
        <w:t xml:space="preserve"> who’s paper presented the concept of "Municipal unity valuation". In order to achieve high precision, low cost and easy updating in the valuation of municipal real estate, they constructed a unity valuation model for Shenzhen city, with the analysis exhibiting the </w:t>
      </w:r>
      <w:r w:rsidRPr="00DF16F7">
        <w:rPr>
          <w:rFonts w:ascii="Arial" w:hAnsi="Arial" w:cs="Arial"/>
          <w:sz w:val="22"/>
          <w:szCs w:val="18"/>
        </w:rPr>
        <w:lastRenderedPageBreak/>
        <w:t>approach to be applicable and pragmatic. In a similar vein, Yiping (2007) suggested an approach based on benchmark property values. Pertinently, the literature illustrate</w:t>
      </w:r>
      <w:r w:rsidR="000C1924">
        <w:rPr>
          <w:rFonts w:ascii="Arial" w:hAnsi="Arial" w:cs="Arial"/>
          <w:sz w:val="22"/>
          <w:szCs w:val="18"/>
        </w:rPr>
        <w:t>d</w:t>
      </w:r>
      <w:r w:rsidRPr="00DF16F7">
        <w:rPr>
          <w:rFonts w:ascii="Arial" w:hAnsi="Arial" w:cs="Arial"/>
          <w:sz w:val="22"/>
          <w:szCs w:val="18"/>
        </w:rPr>
        <w:t xml:space="preserve"> </w:t>
      </w:r>
      <w:r w:rsidR="00EE5584">
        <w:rPr>
          <w:rFonts w:ascii="Arial" w:hAnsi="Arial" w:cs="Arial"/>
          <w:sz w:val="22"/>
          <w:szCs w:val="18"/>
        </w:rPr>
        <w:t xml:space="preserve">that </w:t>
      </w:r>
      <w:r w:rsidRPr="00DF16F7">
        <w:rPr>
          <w:rFonts w:ascii="Arial" w:hAnsi="Arial" w:cs="Arial"/>
          <w:sz w:val="22"/>
          <w:szCs w:val="18"/>
        </w:rPr>
        <w:t xml:space="preserve">a moving forward </w:t>
      </w:r>
      <w:r w:rsidR="00EE5584">
        <w:rPr>
          <w:rFonts w:ascii="Arial" w:hAnsi="Arial" w:cs="Arial"/>
          <w:sz w:val="22"/>
          <w:szCs w:val="18"/>
        </w:rPr>
        <w:t xml:space="preserve">a </w:t>
      </w:r>
      <w:r w:rsidR="00EE5584" w:rsidRPr="00DF16F7">
        <w:rPr>
          <w:rFonts w:ascii="Arial" w:hAnsi="Arial" w:cs="Arial"/>
          <w:sz w:val="22"/>
          <w:szCs w:val="18"/>
        </w:rPr>
        <w:t>value bas</w:t>
      </w:r>
      <w:r w:rsidR="00EE5584">
        <w:rPr>
          <w:rFonts w:ascii="Arial" w:hAnsi="Arial" w:cs="Arial"/>
          <w:sz w:val="22"/>
          <w:szCs w:val="18"/>
        </w:rPr>
        <w:t>e</w:t>
      </w:r>
      <w:r w:rsidR="00EE5584" w:rsidRPr="00DF16F7">
        <w:rPr>
          <w:rFonts w:ascii="Arial" w:hAnsi="Arial" w:cs="Arial"/>
          <w:sz w:val="22"/>
          <w:szCs w:val="18"/>
        </w:rPr>
        <w:t xml:space="preserve"> </w:t>
      </w:r>
      <w:r w:rsidRPr="00DF16F7">
        <w:rPr>
          <w:rFonts w:ascii="Arial" w:hAnsi="Arial" w:cs="Arial"/>
          <w:sz w:val="22"/>
          <w:szCs w:val="18"/>
        </w:rPr>
        <w:t xml:space="preserve">is achievable, albeit with caveats regarding the extent to which full discreet market valuation of every property is feasible.  </w:t>
      </w:r>
    </w:p>
    <w:p w14:paraId="13606A04" w14:textId="77777777" w:rsidR="00CB09E3" w:rsidRPr="00DF16F7" w:rsidRDefault="00CB09E3" w:rsidP="0092237D">
      <w:pPr>
        <w:pStyle w:val="WPBodyText"/>
        <w:spacing w:line="360" w:lineRule="auto"/>
        <w:rPr>
          <w:rFonts w:ascii="Arial" w:hAnsi="Arial" w:cs="Arial"/>
          <w:sz w:val="22"/>
          <w:szCs w:val="18"/>
        </w:rPr>
      </w:pPr>
    </w:p>
    <w:p w14:paraId="74CFE0D5" w14:textId="17DFE496" w:rsidR="00CB09E3" w:rsidRPr="00DF16F7" w:rsidRDefault="00CB09E3" w:rsidP="0092237D">
      <w:pPr>
        <w:pStyle w:val="WPBodyText"/>
        <w:spacing w:line="360" w:lineRule="auto"/>
        <w:jc w:val="both"/>
        <w:rPr>
          <w:rFonts w:ascii="Arial" w:hAnsi="Arial" w:cs="Arial"/>
          <w:sz w:val="22"/>
          <w:szCs w:val="18"/>
        </w:rPr>
      </w:pPr>
      <w:r w:rsidRPr="00DF16F7">
        <w:rPr>
          <w:rFonts w:ascii="Arial" w:hAnsi="Arial" w:cs="Arial"/>
          <w:sz w:val="22"/>
          <w:szCs w:val="18"/>
        </w:rPr>
        <w:t>There is also an emerging body of research which has begun</w:t>
      </w:r>
      <w:r w:rsidR="00E14500">
        <w:rPr>
          <w:rFonts w:ascii="Arial" w:hAnsi="Arial" w:cs="Arial"/>
          <w:sz w:val="22"/>
          <w:szCs w:val="18"/>
        </w:rPr>
        <w:t xml:space="preserve"> to</w:t>
      </w:r>
      <w:r w:rsidRPr="00DF16F7">
        <w:rPr>
          <w:rFonts w:ascii="Arial" w:hAnsi="Arial" w:cs="Arial"/>
          <w:sz w:val="22"/>
          <w:szCs w:val="18"/>
        </w:rPr>
        <w:t xml:space="preserve"> ‘push the boundaries’ of mass appraisal practice, investigating the incorporation of Geographic Information System (GIS) methodologies to enhance the transparency of Real Estate data. Indeed, </w:t>
      </w:r>
      <w:proofErr w:type="spellStart"/>
      <w:r w:rsidRPr="00DF16F7">
        <w:rPr>
          <w:rFonts w:ascii="Arial" w:hAnsi="Arial" w:cs="Arial"/>
          <w:sz w:val="22"/>
          <w:szCs w:val="18"/>
        </w:rPr>
        <w:t>Geng</w:t>
      </w:r>
      <w:proofErr w:type="spellEnd"/>
      <w:r w:rsidRPr="00DF16F7">
        <w:rPr>
          <w:rFonts w:ascii="Arial" w:hAnsi="Arial" w:cs="Arial"/>
          <w:sz w:val="22"/>
          <w:szCs w:val="18"/>
        </w:rPr>
        <w:t xml:space="preserve"> (2011) established mass assessment model combining with GIS to utilise long-term trend and cost methods. Similarly, Lui </w:t>
      </w:r>
      <w:r w:rsidR="00D47BE6" w:rsidRPr="00D47BE6">
        <w:rPr>
          <w:rFonts w:ascii="Arial" w:hAnsi="Arial" w:cs="Arial"/>
          <w:i/>
          <w:iCs/>
          <w:sz w:val="22"/>
          <w:szCs w:val="18"/>
        </w:rPr>
        <w:t>et al.</w:t>
      </w:r>
      <w:r w:rsidRPr="00DF16F7">
        <w:rPr>
          <w:rFonts w:ascii="Arial" w:hAnsi="Arial" w:cs="Arial"/>
          <w:sz w:val="22"/>
          <w:szCs w:val="18"/>
        </w:rPr>
        <w:t xml:space="preserve"> (2015) examined the requirement for using GIS spatial analysis methods coupled with a VIKOR methodology for enhancing real estate mass appraisal. Using their ‘system’, they calculated predicted real estate prices</w:t>
      </w:r>
      <w:r w:rsidR="00E14500">
        <w:rPr>
          <w:rFonts w:ascii="Arial" w:hAnsi="Arial" w:cs="Arial"/>
          <w:sz w:val="22"/>
          <w:szCs w:val="18"/>
        </w:rPr>
        <w:t>,</w:t>
      </w:r>
      <w:r w:rsidRPr="00DF16F7">
        <w:rPr>
          <w:rFonts w:ascii="Arial" w:hAnsi="Arial" w:cs="Arial"/>
          <w:sz w:val="22"/>
          <w:szCs w:val="18"/>
        </w:rPr>
        <w:t xml:space="preserve"> revealing high accuracy with actual prices – concluding that their approach can provide technical support for the levy of estate duty. </w:t>
      </w:r>
    </w:p>
    <w:p w14:paraId="3715B854" w14:textId="11BB21C9" w:rsidR="00DD24A4" w:rsidRPr="00DF16F7" w:rsidRDefault="00DD24A4" w:rsidP="0092237D">
      <w:pPr>
        <w:pStyle w:val="WPBodyText"/>
        <w:spacing w:line="360" w:lineRule="auto"/>
        <w:rPr>
          <w:rFonts w:ascii="Arial" w:hAnsi="Arial" w:cs="Arial"/>
          <w:sz w:val="22"/>
          <w:szCs w:val="18"/>
        </w:rPr>
      </w:pPr>
    </w:p>
    <w:p w14:paraId="574D4B80" w14:textId="71830EA0" w:rsidR="00DD24A4" w:rsidRPr="00DF16F7" w:rsidRDefault="000C1924" w:rsidP="0092237D">
      <w:pPr>
        <w:pStyle w:val="WPBodyText"/>
        <w:spacing w:line="360" w:lineRule="auto"/>
        <w:jc w:val="both"/>
        <w:rPr>
          <w:rFonts w:ascii="Arial" w:hAnsi="Arial" w:cs="Arial"/>
          <w:b/>
          <w:sz w:val="22"/>
          <w:szCs w:val="18"/>
        </w:rPr>
      </w:pPr>
      <w:r>
        <w:rPr>
          <w:rFonts w:ascii="Arial" w:hAnsi="Arial" w:cs="Arial"/>
          <w:sz w:val="22"/>
          <w:szCs w:val="18"/>
        </w:rPr>
        <w:t xml:space="preserve">Indeed, </w:t>
      </w:r>
      <w:r w:rsidR="00DD24A4" w:rsidRPr="00DF16F7">
        <w:rPr>
          <w:rFonts w:ascii="Arial" w:hAnsi="Arial" w:cs="Arial"/>
          <w:sz w:val="22"/>
          <w:szCs w:val="18"/>
        </w:rPr>
        <w:t xml:space="preserve">China has </w:t>
      </w:r>
      <w:r w:rsidR="00013847" w:rsidRPr="00DF16F7">
        <w:rPr>
          <w:rFonts w:ascii="Arial" w:hAnsi="Arial" w:cs="Arial"/>
          <w:sz w:val="22"/>
          <w:szCs w:val="18"/>
        </w:rPr>
        <w:t xml:space="preserve">somewhat </w:t>
      </w:r>
      <w:r w:rsidR="00DD24A4" w:rsidRPr="00DF16F7">
        <w:rPr>
          <w:rFonts w:ascii="Arial" w:hAnsi="Arial" w:cs="Arial"/>
          <w:sz w:val="22"/>
          <w:szCs w:val="18"/>
        </w:rPr>
        <w:t>paradoxically led the way with GIS based 3D mass appraisal modelling, and arguably has</w:t>
      </w:r>
      <w:r w:rsidR="00072CF3" w:rsidRPr="00DF16F7">
        <w:rPr>
          <w:rFonts w:ascii="Arial" w:hAnsi="Arial" w:cs="Arial"/>
          <w:sz w:val="22"/>
          <w:szCs w:val="18"/>
        </w:rPr>
        <w:t>,</w:t>
      </w:r>
      <w:r w:rsidR="00DD24A4" w:rsidRPr="00DF16F7">
        <w:rPr>
          <w:rFonts w:ascii="Arial" w:hAnsi="Arial" w:cs="Arial"/>
          <w:sz w:val="22"/>
          <w:szCs w:val="18"/>
        </w:rPr>
        <w:t xml:space="preserve"> for the Shenzhen region</w:t>
      </w:r>
      <w:r w:rsidR="00072CF3" w:rsidRPr="00DF16F7">
        <w:rPr>
          <w:rFonts w:ascii="Arial" w:hAnsi="Arial" w:cs="Arial"/>
          <w:sz w:val="22"/>
          <w:szCs w:val="18"/>
        </w:rPr>
        <w:t>,</w:t>
      </w:r>
      <w:r w:rsidR="00DD24A4" w:rsidRPr="00DF16F7">
        <w:rPr>
          <w:rFonts w:ascii="Arial" w:hAnsi="Arial" w:cs="Arial"/>
          <w:sz w:val="22"/>
          <w:szCs w:val="18"/>
        </w:rPr>
        <w:t xml:space="preserve"> </w:t>
      </w:r>
      <w:r w:rsidR="00072CF3" w:rsidRPr="00DF16F7">
        <w:rPr>
          <w:rFonts w:ascii="Arial" w:hAnsi="Arial" w:cs="Arial"/>
          <w:sz w:val="22"/>
          <w:szCs w:val="18"/>
        </w:rPr>
        <w:t xml:space="preserve">developed </w:t>
      </w:r>
      <w:r w:rsidR="00DD24A4" w:rsidRPr="00DF16F7">
        <w:rPr>
          <w:rFonts w:ascii="Arial" w:hAnsi="Arial" w:cs="Arial"/>
          <w:sz w:val="22"/>
          <w:szCs w:val="18"/>
        </w:rPr>
        <w:t>the most prominent 3D valuation based system globally</w:t>
      </w:r>
      <w:r w:rsidR="00072CF3" w:rsidRPr="00DF16F7">
        <w:rPr>
          <w:rFonts w:ascii="Arial" w:hAnsi="Arial" w:cs="Arial"/>
          <w:sz w:val="22"/>
          <w:szCs w:val="18"/>
        </w:rPr>
        <w:t>,</w:t>
      </w:r>
      <w:r w:rsidR="0032001C" w:rsidRPr="00DF16F7">
        <w:rPr>
          <w:rFonts w:ascii="Arial" w:hAnsi="Arial" w:cs="Arial"/>
          <w:sz w:val="22"/>
          <w:szCs w:val="18"/>
        </w:rPr>
        <w:t xml:space="preserve"> in joint collabo</w:t>
      </w:r>
      <w:r w:rsidR="00A61096" w:rsidRPr="00DF16F7">
        <w:rPr>
          <w:rFonts w:ascii="Arial" w:hAnsi="Arial" w:cs="Arial"/>
          <w:sz w:val="22"/>
          <w:szCs w:val="18"/>
        </w:rPr>
        <w:t>ra</w:t>
      </w:r>
      <w:r w:rsidR="0032001C" w:rsidRPr="00DF16F7">
        <w:rPr>
          <w:rFonts w:ascii="Arial" w:hAnsi="Arial" w:cs="Arial"/>
          <w:sz w:val="22"/>
          <w:szCs w:val="18"/>
        </w:rPr>
        <w:t>tions between the Shenzhen Centre and ESRI Canada</w:t>
      </w:r>
      <w:r w:rsidR="0032001C" w:rsidRPr="00DF16F7">
        <w:rPr>
          <w:rStyle w:val="FootnoteReference"/>
          <w:rFonts w:ascii="Arial" w:hAnsi="Arial" w:cs="Arial"/>
          <w:sz w:val="22"/>
          <w:szCs w:val="18"/>
        </w:rPr>
        <w:footnoteReference w:id="1"/>
      </w:r>
      <w:r w:rsidR="00DD24A4" w:rsidRPr="00DF16F7">
        <w:rPr>
          <w:rFonts w:ascii="Arial" w:hAnsi="Arial" w:cs="Arial"/>
          <w:sz w:val="22"/>
          <w:szCs w:val="18"/>
        </w:rPr>
        <w:t xml:space="preserve">. This is subject to a research study by Zhang </w:t>
      </w:r>
      <w:r w:rsidR="00D47BE6" w:rsidRPr="00D47BE6">
        <w:rPr>
          <w:rFonts w:ascii="Arial" w:hAnsi="Arial" w:cs="Arial"/>
          <w:i/>
          <w:iCs/>
          <w:sz w:val="22"/>
          <w:szCs w:val="18"/>
        </w:rPr>
        <w:t>et al.</w:t>
      </w:r>
      <w:r w:rsidR="00DD24A4" w:rsidRPr="00DF16F7">
        <w:rPr>
          <w:rFonts w:ascii="Arial" w:hAnsi="Arial" w:cs="Arial"/>
          <w:sz w:val="22"/>
          <w:szCs w:val="18"/>
        </w:rPr>
        <w:t xml:space="preserve"> (2014) which applied GIS 3D modelling and analysis technology. Integrating a procedural modeling approach and</w:t>
      </w:r>
      <w:r w:rsidR="00644329" w:rsidRPr="00DF16F7">
        <w:rPr>
          <w:rFonts w:ascii="Arial" w:hAnsi="Arial" w:cs="Arial"/>
          <w:sz w:val="22"/>
          <w:szCs w:val="18"/>
        </w:rPr>
        <w:t xml:space="preserve"> </w:t>
      </w:r>
      <w:r w:rsidR="00DD24A4" w:rsidRPr="00DF16F7">
        <w:rPr>
          <w:rFonts w:ascii="Arial" w:hAnsi="Arial" w:cs="Arial"/>
          <w:sz w:val="22"/>
          <w:szCs w:val="18"/>
        </w:rPr>
        <w:t>2D GIS data of Shenzhen, the research generated 3D external models of buildings and a 3D internal model</w:t>
      </w:r>
      <w:r w:rsidR="00644329" w:rsidRPr="00DF16F7">
        <w:rPr>
          <w:rFonts w:ascii="Arial" w:hAnsi="Arial" w:cs="Arial"/>
          <w:sz w:val="22"/>
          <w:szCs w:val="18"/>
        </w:rPr>
        <w:t>,</w:t>
      </w:r>
      <w:r w:rsidR="00DD24A4" w:rsidRPr="00DF16F7">
        <w:rPr>
          <w:rFonts w:ascii="Arial" w:hAnsi="Arial" w:cs="Arial"/>
          <w:sz w:val="22"/>
          <w:szCs w:val="18"/>
        </w:rPr>
        <w:t xml:space="preserve"> using vectorization of the property distribution within the target building. Using GIS visibility analysis accounting for the landscape and sunlight</w:t>
      </w:r>
      <w:r w:rsidR="00752626" w:rsidRPr="00DF16F7">
        <w:rPr>
          <w:rFonts w:ascii="Arial" w:hAnsi="Arial" w:cs="Arial"/>
          <w:sz w:val="22"/>
          <w:szCs w:val="18"/>
        </w:rPr>
        <w:t>,</w:t>
      </w:r>
      <w:r w:rsidR="00DD24A4" w:rsidRPr="00DF16F7">
        <w:rPr>
          <w:rFonts w:ascii="Arial" w:hAnsi="Arial" w:cs="Arial"/>
          <w:sz w:val="22"/>
          <w:szCs w:val="18"/>
        </w:rPr>
        <w:t xml:space="preserve"> the authors are able to establish concrete quantization indexes, such as landscape visual range and sunshine duration</w:t>
      </w:r>
      <w:r w:rsidR="00752626" w:rsidRPr="00DF16F7">
        <w:rPr>
          <w:rFonts w:ascii="Arial" w:hAnsi="Arial" w:cs="Arial"/>
          <w:sz w:val="22"/>
          <w:szCs w:val="18"/>
        </w:rPr>
        <w:t>,</w:t>
      </w:r>
      <w:r w:rsidR="00DD24A4" w:rsidRPr="00DF16F7">
        <w:rPr>
          <w:rFonts w:ascii="Arial" w:hAnsi="Arial" w:cs="Arial"/>
          <w:sz w:val="22"/>
          <w:szCs w:val="18"/>
        </w:rPr>
        <w:t xml:space="preserve"> which is weighted to synthesize a valuation. Zhang </w:t>
      </w:r>
      <w:r w:rsidR="00D47BE6" w:rsidRPr="00D47BE6">
        <w:rPr>
          <w:rFonts w:ascii="Arial" w:hAnsi="Arial" w:cs="Arial"/>
          <w:i/>
          <w:iCs/>
          <w:sz w:val="22"/>
          <w:szCs w:val="18"/>
        </w:rPr>
        <w:t>et al.</w:t>
      </w:r>
      <w:r w:rsidR="00DD24A4" w:rsidRPr="00DF16F7">
        <w:rPr>
          <w:rFonts w:ascii="Arial" w:hAnsi="Arial" w:cs="Arial"/>
          <w:sz w:val="22"/>
          <w:szCs w:val="18"/>
        </w:rPr>
        <w:t xml:space="preserve"> (2014) view this more precise 3D visualization effect to provide appraisers with more intuitive and efficient view for real estate </w:t>
      </w:r>
      <w:r w:rsidR="004D5B00">
        <w:rPr>
          <w:rFonts w:ascii="Arial" w:hAnsi="Arial" w:cs="Arial"/>
          <w:sz w:val="22"/>
          <w:szCs w:val="18"/>
        </w:rPr>
        <w:t>appraisal</w:t>
      </w:r>
      <w:r w:rsidR="00DD24A4" w:rsidRPr="00DF16F7">
        <w:rPr>
          <w:rFonts w:ascii="Arial" w:hAnsi="Arial" w:cs="Arial"/>
          <w:sz w:val="22"/>
          <w:szCs w:val="18"/>
        </w:rPr>
        <w:t xml:space="preserve"> and to greatly improve the efficiency and accuracy of real estate appraisal</w:t>
      </w:r>
      <w:r w:rsidR="009E575E" w:rsidRPr="00DF16F7">
        <w:rPr>
          <w:rFonts w:ascii="Arial" w:hAnsi="Arial" w:cs="Arial"/>
          <w:sz w:val="22"/>
          <w:szCs w:val="18"/>
        </w:rPr>
        <w:t xml:space="preserve"> </w:t>
      </w:r>
      <w:r w:rsidR="000946A7" w:rsidRPr="00DF16F7">
        <w:rPr>
          <w:rFonts w:ascii="Arial" w:hAnsi="Arial" w:cs="Arial"/>
          <w:sz w:val="22"/>
          <w:szCs w:val="18"/>
        </w:rPr>
        <w:t>–</w:t>
      </w:r>
      <w:r w:rsidR="009E575E" w:rsidRPr="00DF16F7">
        <w:rPr>
          <w:rFonts w:ascii="Arial" w:hAnsi="Arial" w:cs="Arial"/>
          <w:sz w:val="22"/>
          <w:szCs w:val="18"/>
        </w:rPr>
        <w:t xml:space="preserve"> </w:t>
      </w:r>
      <w:r w:rsidR="000946A7" w:rsidRPr="00DF16F7">
        <w:rPr>
          <w:rFonts w:ascii="Arial" w:hAnsi="Arial" w:cs="Arial"/>
          <w:sz w:val="22"/>
          <w:szCs w:val="18"/>
        </w:rPr>
        <w:t>a process described as</w:t>
      </w:r>
      <w:r w:rsidR="00DD24A4" w:rsidRPr="00DF16F7">
        <w:rPr>
          <w:rFonts w:ascii="Arial" w:hAnsi="Arial" w:cs="Arial"/>
          <w:sz w:val="22"/>
          <w:szCs w:val="18"/>
        </w:rPr>
        <w:t xml:space="preserve"> ‘GAMA’</w:t>
      </w:r>
      <w:r w:rsidR="000946A7" w:rsidRPr="00DF16F7">
        <w:rPr>
          <w:rFonts w:ascii="Arial" w:hAnsi="Arial" w:cs="Arial"/>
          <w:sz w:val="22"/>
          <w:szCs w:val="18"/>
        </w:rPr>
        <w:t xml:space="preserve"> </w:t>
      </w:r>
      <w:r w:rsidR="00800401">
        <w:rPr>
          <w:rFonts w:ascii="Arial" w:hAnsi="Arial" w:cs="Arial"/>
          <w:sz w:val="22"/>
          <w:szCs w:val="18"/>
        </w:rPr>
        <w:t xml:space="preserve">developed by ESRI Canada </w:t>
      </w:r>
      <w:r w:rsidR="000946A7" w:rsidRPr="00DF16F7">
        <w:rPr>
          <w:rFonts w:ascii="Arial" w:hAnsi="Arial" w:cs="Arial"/>
          <w:sz w:val="22"/>
          <w:szCs w:val="18"/>
        </w:rPr>
        <w:t>(</w:t>
      </w:r>
      <w:r w:rsidR="00800401">
        <w:rPr>
          <w:rFonts w:ascii="Arial" w:hAnsi="Arial" w:cs="Arial"/>
          <w:sz w:val="22"/>
          <w:szCs w:val="18"/>
        </w:rPr>
        <w:t xml:space="preserve">for a full discussion see </w:t>
      </w:r>
      <w:proofErr w:type="spellStart"/>
      <w:r w:rsidR="000946A7" w:rsidRPr="00DF16F7">
        <w:rPr>
          <w:rFonts w:ascii="Arial" w:hAnsi="Arial" w:cs="Arial"/>
          <w:sz w:val="22"/>
          <w:szCs w:val="18"/>
        </w:rPr>
        <w:t>Nunlist</w:t>
      </w:r>
      <w:proofErr w:type="spellEnd"/>
      <w:r w:rsidR="00800401">
        <w:rPr>
          <w:rFonts w:ascii="Arial" w:hAnsi="Arial" w:cs="Arial"/>
          <w:sz w:val="22"/>
          <w:szCs w:val="18"/>
        </w:rPr>
        <w:t>,</w:t>
      </w:r>
      <w:r w:rsidR="000946A7" w:rsidRPr="00DF16F7">
        <w:rPr>
          <w:rFonts w:ascii="Arial" w:hAnsi="Arial" w:cs="Arial"/>
          <w:sz w:val="22"/>
          <w:szCs w:val="18"/>
        </w:rPr>
        <w:t xml:space="preserve"> 2017)</w:t>
      </w:r>
      <w:r w:rsidR="00194914" w:rsidRPr="00DF16F7">
        <w:rPr>
          <w:rFonts w:ascii="Arial" w:hAnsi="Arial" w:cs="Arial"/>
          <w:sz w:val="22"/>
          <w:szCs w:val="18"/>
        </w:rPr>
        <w:t>.</w:t>
      </w:r>
      <w:r w:rsidR="00DD24A4" w:rsidRPr="00DF16F7">
        <w:rPr>
          <w:rFonts w:ascii="Arial" w:hAnsi="Arial" w:cs="Arial"/>
          <w:sz w:val="22"/>
          <w:szCs w:val="18"/>
        </w:rPr>
        <w:t xml:space="preserve"> Moreover, this system is being utilized to better execute property transaction taxes whereby only 27,106 challenges have been made</w:t>
      </w:r>
      <w:r w:rsidR="00DD24A4" w:rsidRPr="00DF16F7">
        <w:rPr>
          <w:rFonts w:ascii="Arial" w:hAnsi="Arial" w:cs="Arial"/>
          <w:sz w:val="22"/>
          <w:szCs w:val="18"/>
          <w:vertAlign w:val="superscript"/>
        </w:rPr>
        <w:footnoteReference w:id="2"/>
      </w:r>
      <w:r w:rsidR="00DD24A4" w:rsidRPr="00DF16F7">
        <w:rPr>
          <w:rFonts w:ascii="Arial" w:hAnsi="Arial" w:cs="Arial"/>
          <w:sz w:val="22"/>
          <w:szCs w:val="18"/>
        </w:rPr>
        <w:t xml:space="preserve"> with only 282 assessments needing readjustment based on millions of properties valued (</w:t>
      </w:r>
      <w:proofErr w:type="spellStart"/>
      <w:r w:rsidR="00DD24A4" w:rsidRPr="00DF16F7">
        <w:rPr>
          <w:rFonts w:ascii="Arial" w:hAnsi="Arial" w:cs="Arial"/>
          <w:sz w:val="22"/>
          <w:szCs w:val="18"/>
        </w:rPr>
        <w:t>Nunlist</w:t>
      </w:r>
      <w:proofErr w:type="spellEnd"/>
      <w:r w:rsidR="00DD24A4" w:rsidRPr="00DF16F7">
        <w:rPr>
          <w:rFonts w:ascii="Arial" w:hAnsi="Arial" w:cs="Arial"/>
          <w:sz w:val="22"/>
          <w:szCs w:val="18"/>
        </w:rPr>
        <w:t xml:space="preserve">, 2017). Despite these heralded successes, the Shenzhen assessment project </w:t>
      </w:r>
      <w:r w:rsidR="00834474" w:rsidRPr="00DF16F7">
        <w:rPr>
          <w:rFonts w:ascii="Arial" w:hAnsi="Arial" w:cs="Arial"/>
          <w:sz w:val="22"/>
          <w:szCs w:val="18"/>
        </w:rPr>
        <w:t>is</w:t>
      </w:r>
      <w:r w:rsidR="00DD24A4" w:rsidRPr="00DF16F7">
        <w:rPr>
          <w:rFonts w:ascii="Arial" w:hAnsi="Arial" w:cs="Arial"/>
          <w:sz w:val="22"/>
          <w:szCs w:val="18"/>
        </w:rPr>
        <w:t xml:space="preserve"> not without </w:t>
      </w:r>
      <w:r w:rsidR="005F6731" w:rsidRPr="00DF16F7">
        <w:rPr>
          <w:rFonts w:ascii="Arial" w:hAnsi="Arial" w:cs="Arial"/>
          <w:sz w:val="22"/>
          <w:szCs w:val="18"/>
        </w:rPr>
        <w:t xml:space="preserve">its </w:t>
      </w:r>
      <w:r w:rsidR="00DD24A4" w:rsidRPr="00DF16F7">
        <w:rPr>
          <w:rFonts w:ascii="Arial" w:hAnsi="Arial" w:cs="Arial"/>
          <w:sz w:val="22"/>
          <w:szCs w:val="18"/>
        </w:rPr>
        <w:t>challenges</w:t>
      </w:r>
      <w:r w:rsidR="005F6731" w:rsidRPr="00DF16F7">
        <w:rPr>
          <w:rFonts w:ascii="Arial" w:hAnsi="Arial" w:cs="Arial"/>
          <w:sz w:val="22"/>
          <w:szCs w:val="18"/>
        </w:rPr>
        <w:t>.</w:t>
      </w:r>
      <w:r w:rsidR="00DD24A4" w:rsidRPr="00DF16F7">
        <w:rPr>
          <w:rFonts w:ascii="Arial" w:hAnsi="Arial" w:cs="Arial"/>
          <w:sz w:val="22"/>
          <w:szCs w:val="18"/>
        </w:rPr>
        <w:t xml:space="preserve"> </w:t>
      </w:r>
      <w:r w:rsidR="005F6731" w:rsidRPr="00DF16F7">
        <w:rPr>
          <w:rFonts w:ascii="Arial" w:hAnsi="Arial" w:cs="Arial"/>
          <w:sz w:val="22"/>
          <w:szCs w:val="18"/>
        </w:rPr>
        <w:t>P</w:t>
      </w:r>
      <w:r w:rsidR="00DD24A4" w:rsidRPr="00DF16F7">
        <w:rPr>
          <w:rFonts w:ascii="Arial" w:hAnsi="Arial" w:cs="Arial"/>
          <w:sz w:val="22"/>
          <w:szCs w:val="18"/>
        </w:rPr>
        <w:t>rimarily due to market infancy</w:t>
      </w:r>
      <w:r w:rsidR="00DD3109">
        <w:rPr>
          <w:rFonts w:ascii="Arial" w:hAnsi="Arial" w:cs="Arial"/>
          <w:sz w:val="22"/>
          <w:szCs w:val="18"/>
        </w:rPr>
        <w:t>,</w:t>
      </w:r>
      <w:r w:rsidR="00DD24A4" w:rsidRPr="00DF16F7">
        <w:rPr>
          <w:rFonts w:ascii="Arial" w:hAnsi="Arial" w:cs="Arial"/>
          <w:sz w:val="22"/>
          <w:szCs w:val="18"/>
        </w:rPr>
        <w:t xml:space="preserve"> there is a relative dearth of transaction data</w:t>
      </w:r>
      <w:r w:rsidR="005F6731" w:rsidRPr="00DF16F7">
        <w:rPr>
          <w:rFonts w:ascii="Arial" w:hAnsi="Arial" w:cs="Arial"/>
          <w:sz w:val="22"/>
          <w:szCs w:val="18"/>
        </w:rPr>
        <w:t xml:space="preserve"> and </w:t>
      </w:r>
      <w:r w:rsidR="00800401" w:rsidRPr="00DF16F7">
        <w:rPr>
          <w:rFonts w:ascii="Arial" w:hAnsi="Arial" w:cs="Arial"/>
          <w:sz w:val="22"/>
          <w:szCs w:val="18"/>
        </w:rPr>
        <w:t>notable</w:t>
      </w:r>
      <w:r w:rsidR="0088579A" w:rsidRPr="00DF16F7">
        <w:rPr>
          <w:rFonts w:ascii="Arial" w:hAnsi="Arial" w:cs="Arial"/>
          <w:sz w:val="22"/>
          <w:szCs w:val="18"/>
        </w:rPr>
        <w:t xml:space="preserve"> instances of underreporting of price</w:t>
      </w:r>
      <w:r w:rsidR="00DD24A4" w:rsidRPr="00DF16F7">
        <w:rPr>
          <w:rFonts w:ascii="Arial" w:hAnsi="Arial" w:cs="Arial"/>
          <w:sz w:val="22"/>
          <w:szCs w:val="18"/>
        </w:rPr>
        <w:t xml:space="preserve"> </w:t>
      </w:r>
      <w:r w:rsidR="00C41C68" w:rsidRPr="00DF16F7">
        <w:rPr>
          <w:rFonts w:ascii="Arial" w:hAnsi="Arial" w:cs="Arial"/>
          <w:sz w:val="22"/>
          <w:szCs w:val="18"/>
        </w:rPr>
        <w:t xml:space="preserve">to mitigate </w:t>
      </w:r>
      <w:r w:rsidR="00DD24A4" w:rsidRPr="00DF16F7">
        <w:rPr>
          <w:rFonts w:ascii="Arial" w:hAnsi="Arial" w:cs="Arial"/>
          <w:sz w:val="22"/>
          <w:szCs w:val="18"/>
        </w:rPr>
        <w:t>transaction taxes (</w:t>
      </w:r>
      <w:proofErr w:type="spellStart"/>
      <w:r w:rsidR="00DD24A4" w:rsidRPr="00DF16F7">
        <w:rPr>
          <w:rFonts w:ascii="Arial" w:hAnsi="Arial" w:cs="Arial"/>
          <w:sz w:val="22"/>
          <w:szCs w:val="18"/>
        </w:rPr>
        <w:t>Nunlist</w:t>
      </w:r>
      <w:proofErr w:type="spellEnd"/>
      <w:r w:rsidR="00DD24A4" w:rsidRPr="00DF16F7">
        <w:rPr>
          <w:rFonts w:ascii="Arial" w:hAnsi="Arial" w:cs="Arial"/>
          <w:sz w:val="22"/>
          <w:szCs w:val="18"/>
        </w:rPr>
        <w:t xml:space="preserve">, 2017). </w:t>
      </w:r>
    </w:p>
    <w:p w14:paraId="4B56574C" w14:textId="77777777" w:rsidR="00DD24A4" w:rsidRPr="00DF16F7" w:rsidRDefault="00DD24A4" w:rsidP="0092237D">
      <w:pPr>
        <w:pStyle w:val="WPBodyText"/>
        <w:spacing w:line="360" w:lineRule="auto"/>
        <w:rPr>
          <w:rFonts w:ascii="Arial" w:hAnsi="Arial" w:cs="Arial"/>
          <w:i/>
          <w:sz w:val="22"/>
          <w:szCs w:val="18"/>
        </w:rPr>
      </w:pPr>
    </w:p>
    <w:p w14:paraId="4A5FEABB" w14:textId="2B77FD38" w:rsidR="00DD24A4" w:rsidRPr="00DF16F7" w:rsidRDefault="003026AB" w:rsidP="0092237D">
      <w:pPr>
        <w:pStyle w:val="WPBodyText"/>
        <w:spacing w:line="360" w:lineRule="auto"/>
        <w:jc w:val="both"/>
        <w:rPr>
          <w:rFonts w:ascii="Arial" w:hAnsi="Arial" w:cs="Arial"/>
          <w:sz w:val="22"/>
          <w:szCs w:val="18"/>
        </w:rPr>
      </w:pPr>
      <w:r>
        <w:rPr>
          <w:rFonts w:ascii="Arial" w:hAnsi="Arial" w:cs="Arial"/>
          <w:sz w:val="22"/>
          <w:szCs w:val="18"/>
        </w:rPr>
        <w:t>N</w:t>
      </w:r>
      <w:r w:rsidR="00DD24A4" w:rsidRPr="00DF16F7">
        <w:rPr>
          <w:rFonts w:ascii="Arial" w:hAnsi="Arial" w:cs="Arial"/>
          <w:sz w:val="22"/>
          <w:szCs w:val="18"/>
        </w:rPr>
        <w:t>umerous studies have developed the understanding of the theoretical underpinnings</w:t>
      </w:r>
      <w:r w:rsidR="009E7F38" w:rsidRPr="00DF16F7">
        <w:rPr>
          <w:rFonts w:ascii="Arial" w:hAnsi="Arial" w:cs="Arial"/>
          <w:sz w:val="22"/>
          <w:szCs w:val="18"/>
        </w:rPr>
        <w:t xml:space="preserve"> and </w:t>
      </w:r>
      <w:r w:rsidR="00DD24A4" w:rsidRPr="00DF16F7">
        <w:rPr>
          <w:rFonts w:ascii="Arial" w:hAnsi="Arial" w:cs="Arial"/>
          <w:sz w:val="22"/>
          <w:szCs w:val="18"/>
        </w:rPr>
        <w:t xml:space="preserve">the viability of </w:t>
      </w:r>
      <w:r w:rsidR="009E7F38" w:rsidRPr="00DF16F7">
        <w:rPr>
          <w:rFonts w:ascii="Arial" w:hAnsi="Arial" w:cs="Arial"/>
          <w:sz w:val="22"/>
          <w:szCs w:val="18"/>
        </w:rPr>
        <w:t>the</w:t>
      </w:r>
      <w:r w:rsidR="00DD24A4" w:rsidRPr="00DF16F7">
        <w:rPr>
          <w:rFonts w:ascii="Arial" w:hAnsi="Arial" w:cs="Arial"/>
          <w:sz w:val="22"/>
          <w:szCs w:val="18"/>
        </w:rPr>
        <w:t xml:space="preserve"> rollout</w:t>
      </w:r>
      <w:r w:rsidR="009E7F38" w:rsidRPr="00DF16F7">
        <w:rPr>
          <w:rFonts w:ascii="Arial" w:hAnsi="Arial" w:cs="Arial"/>
          <w:sz w:val="22"/>
          <w:szCs w:val="18"/>
        </w:rPr>
        <w:t xml:space="preserve"> of mass appraisal in China</w:t>
      </w:r>
      <w:r w:rsidR="00DD24A4" w:rsidRPr="00DF16F7">
        <w:rPr>
          <w:rFonts w:ascii="Arial" w:hAnsi="Arial" w:cs="Arial"/>
          <w:sz w:val="22"/>
          <w:szCs w:val="18"/>
        </w:rPr>
        <w:t>. The literature shows a wealth of research methodologies which can and have been adopted to assess the challenging nature of the Chinese urban form. The evolution of the drive towards implementing mass appraisal has shown promise with a number of research papers able to do this at the city / regional level, and importantly, a number which have specified the models using ‘real’ property transactions</w:t>
      </w:r>
      <w:r w:rsidR="00E1483B" w:rsidRPr="00DF16F7">
        <w:rPr>
          <w:rFonts w:ascii="Arial" w:hAnsi="Arial" w:cs="Arial"/>
          <w:sz w:val="22"/>
          <w:szCs w:val="18"/>
        </w:rPr>
        <w:t>,</w:t>
      </w:r>
      <w:r w:rsidR="00DD24A4" w:rsidRPr="00DF16F7">
        <w:rPr>
          <w:rFonts w:ascii="Arial" w:hAnsi="Arial" w:cs="Arial"/>
          <w:sz w:val="22"/>
          <w:szCs w:val="18"/>
        </w:rPr>
        <w:t xml:space="preserve"> which was traditionally a </w:t>
      </w:r>
      <w:r w:rsidR="00DD24A4" w:rsidRPr="00C22E18">
        <w:rPr>
          <w:rFonts w:ascii="Arial" w:hAnsi="Arial" w:cs="Arial"/>
          <w:sz w:val="22"/>
          <w:szCs w:val="22"/>
        </w:rPr>
        <w:t>limitation (</w:t>
      </w:r>
      <w:proofErr w:type="spellStart"/>
      <w:r w:rsidR="00C22E18" w:rsidRPr="00C22E18">
        <w:rPr>
          <w:rFonts w:ascii="Arial" w:hAnsi="Arial" w:cs="Arial"/>
          <w:color w:val="222222"/>
          <w:sz w:val="22"/>
          <w:szCs w:val="22"/>
          <w:shd w:val="clear" w:color="auto" w:fill="FFFFFF"/>
        </w:rPr>
        <w:t>Yicheng</w:t>
      </w:r>
      <w:proofErr w:type="spellEnd"/>
      <w:r w:rsidR="00C22E18" w:rsidRPr="00C22E18">
        <w:rPr>
          <w:rFonts w:ascii="Arial" w:hAnsi="Arial" w:cs="Arial"/>
          <w:color w:val="222222"/>
          <w:sz w:val="22"/>
          <w:szCs w:val="22"/>
          <w:shd w:val="clear" w:color="auto" w:fill="FFFFFF"/>
        </w:rPr>
        <w:t xml:space="preserve"> and </w:t>
      </w:r>
      <w:proofErr w:type="spellStart"/>
      <w:r w:rsidR="00C22E18" w:rsidRPr="00C22E18">
        <w:rPr>
          <w:rFonts w:ascii="Arial" w:hAnsi="Arial" w:cs="Arial"/>
          <w:color w:val="222222"/>
          <w:sz w:val="22"/>
          <w:szCs w:val="22"/>
          <w:shd w:val="clear" w:color="auto" w:fill="FFFFFF"/>
        </w:rPr>
        <w:t>Chuanrui</w:t>
      </w:r>
      <w:proofErr w:type="spellEnd"/>
      <w:r w:rsidR="00C22E18" w:rsidRPr="00C22E18">
        <w:rPr>
          <w:rFonts w:ascii="Arial" w:hAnsi="Arial" w:cs="Arial"/>
          <w:color w:val="222222"/>
          <w:sz w:val="22"/>
          <w:szCs w:val="22"/>
          <w:shd w:val="clear" w:color="auto" w:fill="FFFFFF"/>
        </w:rPr>
        <w:t>, 2005)</w:t>
      </w:r>
      <w:r w:rsidR="00DD24A4" w:rsidRPr="00C22E18">
        <w:rPr>
          <w:rFonts w:ascii="Arial" w:hAnsi="Arial" w:cs="Arial"/>
          <w:sz w:val="22"/>
          <w:szCs w:val="22"/>
        </w:rPr>
        <w:t>.</w:t>
      </w:r>
      <w:r w:rsidR="00DD24A4" w:rsidRPr="00DF16F7">
        <w:rPr>
          <w:rFonts w:ascii="Arial" w:hAnsi="Arial" w:cs="Arial"/>
          <w:sz w:val="22"/>
          <w:szCs w:val="18"/>
        </w:rPr>
        <w:t xml:space="preserve"> This has undoubtedly been </w:t>
      </w:r>
      <w:r w:rsidR="00FA4785" w:rsidRPr="00DF16F7">
        <w:rPr>
          <w:rFonts w:ascii="Arial" w:hAnsi="Arial" w:cs="Arial"/>
          <w:sz w:val="22"/>
          <w:szCs w:val="18"/>
        </w:rPr>
        <w:t>helped</w:t>
      </w:r>
      <w:r w:rsidR="00DD24A4" w:rsidRPr="00DF16F7">
        <w:rPr>
          <w:rFonts w:ascii="Arial" w:hAnsi="Arial" w:cs="Arial"/>
          <w:sz w:val="22"/>
          <w:szCs w:val="18"/>
        </w:rPr>
        <w:t xml:space="preserve"> by the increasing </w:t>
      </w:r>
      <w:r w:rsidR="00E1483B" w:rsidRPr="00DF16F7">
        <w:rPr>
          <w:rFonts w:ascii="Arial" w:hAnsi="Arial" w:cs="Arial"/>
          <w:sz w:val="22"/>
          <w:szCs w:val="18"/>
        </w:rPr>
        <w:t>availability</w:t>
      </w:r>
      <w:r w:rsidR="00DD24A4" w:rsidRPr="00DF16F7">
        <w:rPr>
          <w:rFonts w:ascii="Arial" w:hAnsi="Arial" w:cs="Arial"/>
          <w:sz w:val="22"/>
          <w:szCs w:val="18"/>
        </w:rPr>
        <w:t xml:space="preserve"> of reliable price data </w:t>
      </w:r>
      <w:r w:rsidR="00EA363B" w:rsidRPr="00DF16F7">
        <w:rPr>
          <w:rFonts w:ascii="Arial" w:hAnsi="Arial" w:cs="Arial"/>
          <w:sz w:val="22"/>
          <w:szCs w:val="18"/>
        </w:rPr>
        <w:t>from</w:t>
      </w:r>
      <w:r w:rsidR="00DD24A4" w:rsidRPr="00DF16F7">
        <w:rPr>
          <w:rFonts w:ascii="Arial" w:hAnsi="Arial" w:cs="Arial"/>
          <w:sz w:val="22"/>
          <w:szCs w:val="18"/>
        </w:rPr>
        <w:t xml:space="preserve"> more robust property companies </w:t>
      </w:r>
      <w:r w:rsidR="00EA363B" w:rsidRPr="00DF16F7">
        <w:rPr>
          <w:rFonts w:ascii="Arial" w:hAnsi="Arial" w:cs="Arial"/>
          <w:sz w:val="22"/>
          <w:szCs w:val="18"/>
        </w:rPr>
        <w:t>and online multiple listing sites.</w:t>
      </w:r>
    </w:p>
    <w:p w14:paraId="5CBCE5E4" w14:textId="77777777" w:rsidR="00DD24A4" w:rsidRPr="00DF16F7" w:rsidRDefault="00DD24A4" w:rsidP="0092237D">
      <w:pPr>
        <w:pStyle w:val="WPBodyText"/>
        <w:spacing w:line="360" w:lineRule="auto"/>
        <w:rPr>
          <w:rFonts w:ascii="Arial" w:hAnsi="Arial" w:cs="Arial"/>
          <w:sz w:val="22"/>
          <w:szCs w:val="18"/>
        </w:rPr>
      </w:pPr>
    </w:p>
    <w:p w14:paraId="55CC537D" w14:textId="7B99176A" w:rsidR="00DD24A4" w:rsidRPr="00DF16F7" w:rsidRDefault="00DD24A4" w:rsidP="0092237D">
      <w:pPr>
        <w:pStyle w:val="WPBodyText"/>
        <w:spacing w:line="360" w:lineRule="auto"/>
        <w:jc w:val="both"/>
        <w:rPr>
          <w:rFonts w:ascii="Arial" w:hAnsi="Arial" w:cs="Arial"/>
          <w:sz w:val="22"/>
          <w:szCs w:val="18"/>
        </w:rPr>
      </w:pPr>
      <w:r w:rsidRPr="00DF16F7">
        <w:rPr>
          <w:rFonts w:ascii="Arial" w:hAnsi="Arial" w:cs="Arial"/>
          <w:sz w:val="22"/>
          <w:szCs w:val="18"/>
        </w:rPr>
        <w:t xml:space="preserve">A core challenge also related to the implementation (and effects) of property tax reform. Whilst studies have emerged they </w:t>
      </w:r>
      <w:r w:rsidR="00214933" w:rsidRPr="00DF16F7">
        <w:rPr>
          <w:rFonts w:ascii="Arial" w:hAnsi="Arial" w:cs="Arial"/>
          <w:sz w:val="22"/>
          <w:szCs w:val="18"/>
        </w:rPr>
        <w:t>are limited to</w:t>
      </w:r>
      <w:r w:rsidRPr="00DF16F7">
        <w:rPr>
          <w:rFonts w:ascii="Arial" w:hAnsi="Arial" w:cs="Arial"/>
          <w:sz w:val="22"/>
          <w:szCs w:val="18"/>
        </w:rPr>
        <w:t xml:space="preserve"> specific regions or cities</w:t>
      </w:r>
      <w:r w:rsidR="00BA14CB" w:rsidRPr="00DF16F7">
        <w:rPr>
          <w:rFonts w:ascii="Arial" w:hAnsi="Arial" w:cs="Arial"/>
          <w:sz w:val="22"/>
          <w:szCs w:val="18"/>
        </w:rPr>
        <w:t>,</w:t>
      </w:r>
      <w:r w:rsidRPr="00DF16F7">
        <w:rPr>
          <w:rFonts w:ascii="Arial" w:hAnsi="Arial" w:cs="Arial"/>
          <w:sz w:val="22"/>
          <w:szCs w:val="18"/>
        </w:rPr>
        <w:t xml:space="preserve"> resulting in limited insights as to </w:t>
      </w:r>
      <w:r w:rsidR="00BA14CB" w:rsidRPr="00DF16F7">
        <w:rPr>
          <w:rFonts w:ascii="Arial" w:hAnsi="Arial" w:cs="Arial"/>
          <w:sz w:val="22"/>
          <w:szCs w:val="18"/>
        </w:rPr>
        <w:t xml:space="preserve">the incidence on the households and significantly to </w:t>
      </w:r>
      <w:r w:rsidRPr="00DF16F7">
        <w:rPr>
          <w:rFonts w:ascii="Arial" w:hAnsi="Arial" w:cs="Arial"/>
          <w:sz w:val="22"/>
          <w:szCs w:val="18"/>
        </w:rPr>
        <w:t>potential ‘winners and losers’ in light of any reform. The heterogeneity of the market also presents some unique policy challenges</w:t>
      </w:r>
      <w:r w:rsidR="00BA14CB" w:rsidRPr="00DF16F7">
        <w:rPr>
          <w:rFonts w:ascii="Arial" w:hAnsi="Arial" w:cs="Arial"/>
          <w:sz w:val="22"/>
          <w:szCs w:val="18"/>
        </w:rPr>
        <w:t xml:space="preserve"> to any ‘blanket’ approach</w:t>
      </w:r>
      <w:r w:rsidR="00BB36ED" w:rsidRPr="00DF16F7">
        <w:rPr>
          <w:rFonts w:ascii="Arial" w:hAnsi="Arial" w:cs="Arial"/>
          <w:sz w:val="22"/>
          <w:szCs w:val="18"/>
        </w:rPr>
        <w:t>.</w:t>
      </w:r>
      <w:r w:rsidRPr="00DF16F7">
        <w:rPr>
          <w:rFonts w:ascii="Arial" w:hAnsi="Arial" w:cs="Arial"/>
          <w:sz w:val="22"/>
          <w:szCs w:val="18"/>
        </w:rPr>
        <w:t xml:space="preserve"> </w:t>
      </w:r>
      <w:r w:rsidR="00BB36ED" w:rsidRPr="00DF16F7">
        <w:rPr>
          <w:rFonts w:ascii="Arial" w:hAnsi="Arial" w:cs="Arial"/>
          <w:sz w:val="22"/>
          <w:szCs w:val="18"/>
        </w:rPr>
        <w:t>T</w:t>
      </w:r>
      <w:r w:rsidRPr="00DF16F7">
        <w:rPr>
          <w:rFonts w:ascii="Arial" w:hAnsi="Arial" w:cs="Arial"/>
          <w:sz w:val="22"/>
          <w:szCs w:val="18"/>
        </w:rPr>
        <w:t>his can however be overcome by introducing more spatial approaches coupled with integrated technological solutions and data, which are also emerging in parallel</w:t>
      </w:r>
      <w:r w:rsidR="00EB0C11">
        <w:rPr>
          <w:rFonts w:ascii="Arial" w:hAnsi="Arial" w:cs="Arial"/>
          <w:sz w:val="22"/>
          <w:szCs w:val="18"/>
        </w:rPr>
        <w:t>,</w:t>
      </w:r>
      <w:r w:rsidRPr="00DF16F7">
        <w:rPr>
          <w:rFonts w:ascii="Arial" w:hAnsi="Arial" w:cs="Arial"/>
          <w:sz w:val="22"/>
          <w:szCs w:val="18"/>
        </w:rPr>
        <w:t xml:space="preserve"> offering </w:t>
      </w:r>
      <w:r w:rsidR="00BB36ED" w:rsidRPr="00DF16F7">
        <w:rPr>
          <w:rFonts w:ascii="Arial" w:hAnsi="Arial" w:cs="Arial"/>
          <w:sz w:val="22"/>
          <w:szCs w:val="18"/>
        </w:rPr>
        <w:t xml:space="preserve">the </w:t>
      </w:r>
      <w:r w:rsidRPr="00DF16F7">
        <w:rPr>
          <w:rFonts w:ascii="Arial" w:hAnsi="Arial" w:cs="Arial"/>
          <w:sz w:val="22"/>
          <w:szCs w:val="18"/>
        </w:rPr>
        <w:t>opportunity to blend efficiency and equity within modelling frameworks</w:t>
      </w:r>
      <w:r w:rsidR="0001125C">
        <w:rPr>
          <w:rFonts w:ascii="Arial" w:hAnsi="Arial" w:cs="Arial"/>
          <w:sz w:val="22"/>
          <w:szCs w:val="18"/>
        </w:rPr>
        <w:t>,</w:t>
      </w:r>
      <w:r w:rsidRPr="00DF16F7">
        <w:rPr>
          <w:rFonts w:ascii="Arial" w:hAnsi="Arial" w:cs="Arial"/>
          <w:sz w:val="22"/>
          <w:szCs w:val="18"/>
        </w:rPr>
        <w:t xml:space="preserve"> which can be tailored on a region by region basis.  </w:t>
      </w:r>
    </w:p>
    <w:p w14:paraId="1AABBF53" w14:textId="77777777" w:rsidR="00DD24A4" w:rsidRPr="00DF16F7" w:rsidRDefault="00DD24A4" w:rsidP="0092237D">
      <w:pPr>
        <w:pStyle w:val="WPBodyText"/>
        <w:spacing w:line="360" w:lineRule="auto"/>
        <w:rPr>
          <w:rFonts w:ascii="Arial" w:hAnsi="Arial" w:cs="Arial"/>
          <w:sz w:val="22"/>
          <w:szCs w:val="18"/>
        </w:rPr>
      </w:pPr>
      <w:r w:rsidRPr="00DF16F7">
        <w:rPr>
          <w:rFonts w:ascii="Arial" w:hAnsi="Arial" w:cs="Arial"/>
          <w:sz w:val="22"/>
          <w:szCs w:val="18"/>
        </w:rPr>
        <w:t xml:space="preserve"> </w:t>
      </w:r>
    </w:p>
    <w:p w14:paraId="49D78F9F" w14:textId="71ABC3E6" w:rsidR="009C7525" w:rsidRPr="00DF16F7" w:rsidRDefault="00DD24A4" w:rsidP="0092237D">
      <w:pPr>
        <w:pStyle w:val="WPBodyText"/>
        <w:spacing w:line="360" w:lineRule="auto"/>
        <w:jc w:val="both"/>
        <w:rPr>
          <w:rFonts w:ascii="Arial" w:hAnsi="Arial" w:cs="Arial"/>
          <w:sz w:val="22"/>
          <w:szCs w:val="18"/>
        </w:rPr>
      </w:pPr>
      <w:r w:rsidRPr="00DF16F7">
        <w:rPr>
          <w:rFonts w:ascii="Arial" w:hAnsi="Arial" w:cs="Arial"/>
          <w:sz w:val="22"/>
          <w:szCs w:val="18"/>
        </w:rPr>
        <w:t xml:space="preserve">Moreover, whilst a plethora of studies have investigated the potential of using the mass appraisal approach – and the usefulness of integrating GIS to enhance data provision for explainability, there is an outstanding requirement for assessing whether mass appraisal models developed for China would conform to international benchmarks. Data continues to be a challenge, namely its availability and robustness for wider application, given that existing studies are regional or city specific. While there has been extensive ‘refining’ of sophisticated methodologies for appraisal purposes, this remains limited to a few regions and is therefore somewhat idiosyncratic in nature. There remains a ‘gap’ in terms of a nationwide examination and feasibility analysis for CAMA scalability, given an assumption of a policy requirement for </w:t>
      </w:r>
      <w:r w:rsidRPr="00DF16F7">
        <w:rPr>
          <w:rFonts w:ascii="Arial" w:hAnsi="Arial" w:cs="Arial"/>
          <w:i/>
          <w:sz w:val="22"/>
          <w:szCs w:val="18"/>
        </w:rPr>
        <w:t>ad valorem</w:t>
      </w:r>
      <w:r w:rsidRPr="00DF16F7">
        <w:rPr>
          <w:rFonts w:ascii="Arial" w:hAnsi="Arial" w:cs="Arial"/>
          <w:sz w:val="22"/>
          <w:szCs w:val="18"/>
        </w:rPr>
        <w:t xml:space="preserve"> property tax reform.  </w:t>
      </w:r>
      <w:r w:rsidR="0014564B" w:rsidRPr="00DF16F7">
        <w:rPr>
          <w:rFonts w:ascii="Arial" w:hAnsi="Arial" w:cs="Arial"/>
          <w:sz w:val="22"/>
          <w:szCs w:val="18"/>
        </w:rPr>
        <w:t>It is this gap that this research seeks to bridge.</w:t>
      </w:r>
    </w:p>
    <w:p w14:paraId="6DAD90A3" w14:textId="77777777" w:rsidR="009C7525" w:rsidRPr="00DF16F7" w:rsidRDefault="009C7525" w:rsidP="0092237D">
      <w:pPr>
        <w:pStyle w:val="WPBodyText"/>
        <w:spacing w:line="360" w:lineRule="auto"/>
        <w:rPr>
          <w:rFonts w:ascii="Arial" w:hAnsi="Arial" w:cs="Arial"/>
          <w:sz w:val="22"/>
          <w:szCs w:val="18"/>
        </w:rPr>
      </w:pPr>
    </w:p>
    <w:p w14:paraId="3692C12A" w14:textId="77777777" w:rsidR="00DD24A4" w:rsidRPr="00DF16F7" w:rsidRDefault="00DD24A4" w:rsidP="0092237D">
      <w:pPr>
        <w:pStyle w:val="WPBodyText"/>
        <w:spacing w:line="360" w:lineRule="auto"/>
        <w:rPr>
          <w:rFonts w:ascii="Arial" w:hAnsi="Arial" w:cs="Arial"/>
          <w:sz w:val="22"/>
          <w:szCs w:val="18"/>
        </w:rPr>
      </w:pPr>
      <w:r w:rsidRPr="00DF16F7">
        <w:rPr>
          <w:rFonts w:ascii="Arial" w:hAnsi="Arial" w:cs="Arial"/>
          <w:b/>
          <w:sz w:val="22"/>
          <w:szCs w:val="18"/>
        </w:rPr>
        <w:t>Data</w:t>
      </w:r>
      <w:r w:rsidR="009C7525" w:rsidRPr="00DF16F7">
        <w:rPr>
          <w:rFonts w:ascii="Arial" w:hAnsi="Arial" w:cs="Arial"/>
          <w:b/>
          <w:sz w:val="22"/>
          <w:szCs w:val="18"/>
        </w:rPr>
        <w:t xml:space="preserve"> and methodology</w:t>
      </w:r>
    </w:p>
    <w:p w14:paraId="787BD349" w14:textId="67B18608" w:rsidR="00DD24A4" w:rsidRPr="00DF16F7" w:rsidRDefault="00DD24A4" w:rsidP="0092237D">
      <w:pPr>
        <w:pStyle w:val="WPHeading1"/>
        <w:spacing w:line="360" w:lineRule="auto"/>
        <w:jc w:val="both"/>
        <w:rPr>
          <w:rFonts w:ascii="Arial" w:hAnsi="Arial" w:cs="Arial"/>
          <w:b w:val="0"/>
          <w:sz w:val="22"/>
          <w:szCs w:val="18"/>
        </w:rPr>
      </w:pPr>
      <w:r w:rsidRPr="00DF16F7">
        <w:rPr>
          <w:rFonts w:ascii="Arial" w:hAnsi="Arial" w:cs="Arial"/>
          <w:b w:val="0"/>
          <w:sz w:val="22"/>
          <w:szCs w:val="18"/>
        </w:rPr>
        <w:t xml:space="preserve">Nationwide transaction data in China is relatively ‘thin’ and difficult to obtain from official sources - which is further compounded by the extreme variation in robust sources and reporting mechanisms. </w:t>
      </w:r>
      <w:r w:rsidR="0014564B" w:rsidRPr="00DF16F7">
        <w:rPr>
          <w:rFonts w:ascii="Arial" w:hAnsi="Arial" w:cs="Arial"/>
          <w:b w:val="0"/>
          <w:sz w:val="22"/>
          <w:szCs w:val="18"/>
        </w:rPr>
        <w:t>Similar</w:t>
      </w:r>
      <w:r w:rsidRPr="00DF16F7">
        <w:rPr>
          <w:rFonts w:ascii="Arial" w:hAnsi="Arial" w:cs="Arial"/>
          <w:b w:val="0"/>
          <w:sz w:val="22"/>
          <w:szCs w:val="18"/>
        </w:rPr>
        <w:t xml:space="preserve"> to </w:t>
      </w:r>
      <w:proofErr w:type="spellStart"/>
      <w:r w:rsidRPr="00DF16F7">
        <w:rPr>
          <w:rFonts w:ascii="Arial" w:hAnsi="Arial" w:cs="Arial"/>
          <w:b w:val="0"/>
          <w:sz w:val="22"/>
          <w:szCs w:val="18"/>
        </w:rPr>
        <w:t>Mou</w:t>
      </w:r>
      <w:proofErr w:type="spellEnd"/>
      <w:r w:rsidRPr="00DF16F7">
        <w:rPr>
          <w:rFonts w:ascii="Arial" w:hAnsi="Arial" w:cs="Arial"/>
          <w:b w:val="0"/>
          <w:sz w:val="22"/>
          <w:szCs w:val="18"/>
        </w:rPr>
        <w:t xml:space="preserve"> </w:t>
      </w:r>
      <w:r w:rsidR="00D47BE6" w:rsidRPr="00D47BE6">
        <w:rPr>
          <w:rFonts w:ascii="Arial" w:hAnsi="Arial" w:cs="Arial"/>
          <w:b w:val="0"/>
          <w:i/>
          <w:iCs/>
          <w:sz w:val="22"/>
          <w:szCs w:val="18"/>
        </w:rPr>
        <w:t>et al.</w:t>
      </w:r>
      <w:r w:rsidRPr="00DF16F7">
        <w:rPr>
          <w:rFonts w:ascii="Arial" w:hAnsi="Arial" w:cs="Arial"/>
          <w:b w:val="0"/>
          <w:sz w:val="22"/>
          <w:szCs w:val="18"/>
        </w:rPr>
        <w:t xml:space="preserve"> (2017), the national real estate transaction data </w:t>
      </w:r>
      <w:r w:rsidR="008C05CB">
        <w:rPr>
          <w:rFonts w:ascii="Arial" w:hAnsi="Arial" w:cs="Arial"/>
          <w:b w:val="0"/>
          <w:sz w:val="22"/>
          <w:szCs w:val="18"/>
        </w:rPr>
        <w:lastRenderedPageBreak/>
        <w:t xml:space="preserve">used in this paper </w:t>
      </w:r>
      <w:r w:rsidRPr="00DF16F7">
        <w:rPr>
          <w:rFonts w:ascii="Arial" w:hAnsi="Arial" w:cs="Arial"/>
          <w:b w:val="0"/>
          <w:sz w:val="22"/>
          <w:szCs w:val="18"/>
        </w:rPr>
        <w:t xml:space="preserve">is compiled from </w:t>
      </w:r>
      <w:r w:rsidR="0081173B">
        <w:rPr>
          <w:rFonts w:ascii="Arial" w:hAnsi="Arial" w:cs="Arial"/>
          <w:b w:val="0"/>
          <w:sz w:val="22"/>
          <w:szCs w:val="18"/>
        </w:rPr>
        <w:t>a number of</w:t>
      </w:r>
      <w:r w:rsidRPr="00DF16F7">
        <w:rPr>
          <w:rFonts w:ascii="Arial" w:hAnsi="Arial" w:cs="Arial"/>
          <w:b w:val="0"/>
          <w:sz w:val="22"/>
          <w:szCs w:val="18"/>
        </w:rPr>
        <w:t xml:space="preserve"> </w:t>
      </w:r>
      <w:r w:rsidR="0081173B">
        <w:rPr>
          <w:rFonts w:ascii="Arial" w:hAnsi="Arial" w:cs="Arial"/>
          <w:b w:val="0"/>
          <w:sz w:val="22"/>
          <w:szCs w:val="18"/>
        </w:rPr>
        <w:t>web</w:t>
      </w:r>
      <w:r w:rsidRPr="00DF16F7">
        <w:rPr>
          <w:rFonts w:ascii="Arial" w:hAnsi="Arial" w:cs="Arial"/>
          <w:b w:val="0"/>
          <w:sz w:val="22"/>
          <w:szCs w:val="18"/>
        </w:rPr>
        <w:t>sites</w:t>
      </w:r>
      <w:r w:rsidRPr="00DF16F7">
        <w:rPr>
          <w:rFonts w:ascii="Arial" w:hAnsi="Arial" w:cs="Arial"/>
          <w:b w:val="0"/>
          <w:sz w:val="22"/>
          <w:szCs w:val="18"/>
          <w:vertAlign w:val="superscript"/>
        </w:rPr>
        <w:footnoteReference w:id="3"/>
      </w:r>
      <w:r w:rsidRPr="00DF16F7">
        <w:rPr>
          <w:rFonts w:ascii="Arial" w:hAnsi="Arial" w:cs="Arial"/>
          <w:b w:val="0"/>
          <w:sz w:val="22"/>
          <w:szCs w:val="18"/>
        </w:rPr>
        <w:t xml:space="preserve">. These websites are operated by large property companies which provide data for thousands of branches in </w:t>
      </w:r>
      <w:r w:rsidRPr="00DF16F7">
        <w:rPr>
          <w:rFonts w:ascii="Arial" w:hAnsi="Arial" w:cs="Arial"/>
          <w:b w:val="0"/>
          <w:i/>
          <w:iCs/>
          <w:sz w:val="22"/>
          <w:szCs w:val="18"/>
        </w:rPr>
        <w:t>Tier 1</w:t>
      </w:r>
      <w:r w:rsidRPr="00DF16F7">
        <w:rPr>
          <w:rFonts w:ascii="Arial" w:hAnsi="Arial" w:cs="Arial"/>
          <w:b w:val="0"/>
          <w:sz w:val="22"/>
          <w:szCs w:val="18"/>
        </w:rPr>
        <w:t xml:space="preserve"> to </w:t>
      </w:r>
      <w:r w:rsidR="004C33D3" w:rsidRPr="00DF16F7">
        <w:rPr>
          <w:rFonts w:ascii="Arial" w:hAnsi="Arial" w:cs="Arial"/>
          <w:b w:val="0"/>
          <w:i/>
          <w:iCs/>
          <w:sz w:val="22"/>
          <w:szCs w:val="18"/>
        </w:rPr>
        <w:t>T</w:t>
      </w:r>
      <w:r w:rsidRPr="00DF16F7">
        <w:rPr>
          <w:rFonts w:ascii="Arial" w:hAnsi="Arial" w:cs="Arial"/>
          <w:b w:val="0"/>
          <w:i/>
          <w:iCs/>
          <w:sz w:val="22"/>
          <w:szCs w:val="18"/>
        </w:rPr>
        <w:t>ier 4</w:t>
      </w:r>
      <w:r w:rsidRPr="00DF16F7">
        <w:rPr>
          <w:rFonts w:ascii="Arial" w:hAnsi="Arial" w:cs="Arial"/>
          <w:b w:val="0"/>
          <w:sz w:val="22"/>
          <w:szCs w:val="18"/>
        </w:rPr>
        <w:t xml:space="preserve"> cities in mainland China. For example, initial inspection of one of the list sites provides coverage for 658 cities (Tier 1 to Tier 4) and 29 regions, each of which </w:t>
      </w:r>
      <w:r w:rsidR="0014564B" w:rsidRPr="00DF16F7">
        <w:rPr>
          <w:rFonts w:ascii="Arial" w:hAnsi="Arial" w:cs="Arial"/>
          <w:b w:val="0"/>
          <w:sz w:val="22"/>
          <w:szCs w:val="18"/>
        </w:rPr>
        <w:t>allow</w:t>
      </w:r>
      <w:r w:rsidRPr="00DF16F7">
        <w:rPr>
          <w:rFonts w:ascii="Arial" w:hAnsi="Arial" w:cs="Arial"/>
          <w:b w:val="0"/>
          <w:sz w:val="22"/>
          <w:szCs w:val="18"/>
        </w:rPr>
        <w:t xml:space="preserve"> dissection at both the sub-district and sub-city prefectures</w:t>
      </w:r>
      <w:r w:rsidRPr="00DF16F7">
        <w:rPr>
          <w:rFonts w:ascii="Arial" w:hAnsi="Arial" w:cs="Arial"/>
          <w:b w:val="0"/>
          <w:sz w:val="22"/>
          <w:szCs w:val="18"/>
          <w:vertAlign w:val="superscript"/>
        </w:rPr>
        <w:footnoteReference w:id="4"/>
      </w:r>
      <w:r w:rsidR="00EF78EA" w:rsidRPr="00DF16F7">
        <w:rPr>
          <w:rFonts w:ascii="Arial" w:hAnsi="Arial" w:cs="Arial"/>
          <w:b w:val="0"/>
          <w:sz w:val="22"/>
          <w:szCs w:val="18"/>
        </w:rPr>
        <w:t xml:space="preserve"> level</w:t>
      </w:r>
      <w:r w:rsidRPr="00DF16F7">
        <w:rPr>
          <w:rFonts w:ascii="Arial" w:hAnsi="Arial" w:cs="Arial"/>
          <w:b w:val="0"/>
          <w:sz w:val="22"/>
          <w:szCs w:val="18"/>
        </w:rPr>
        <w:t xml:space="preserve">. </w:t>
      </w:r>
      <w:r w:rsidRPr="00DF16F7">
        <w:rPr>
          <w:rFonts w:ascii="Arial" w:hAnsi="Arial" w:cs="Arial"/>
          <w:b w:val="0"/>
          <w:sz w:val="22"/>
          <w:szCs w:val="22"/>
        </w:rPr>
        <w:t xml:space="preserve">The research utilized a web-crawling exercise </w:t>
      </w:r>
      <w:r w:rsidRPr="00DF16F7">
        <w:rPr>
          <w:rFonts w:ascii="Arial" w:hAnsi="Arial" w:cs="Arial"/>
          <w:b w:val="0"/>
          <w:sz w:val="22"/>
          <w:szCs w:val="18"/>
        </w:rPr>
        <w:t xml:space="preserve">with the data acquired through various private listing companies by programmed web scraper and ‘crawling’ methods (only where legally and ethically permissible, and not in violation of any terms of service) </w:t>
      </w:r>
      <w:r w:rsidRPr="00DF16F7">
        <w:rPr>
          <w:rFonts w:ascii="Arial" w:hAnsi="Arial" w:cs="Arial"/>
          <w:b w:val="0"/>
          <w:sz w:val="22"/>
          <w:szCs w:val="22"/>
        </w:rPr>
        <w:t>across the various listings</w:t>
      </w:r>
      <w:r w:rsidR="00EF78EA" w:rsidRPr="00DF16F7">
        <w:rPr>
          <w:rFonts w:ascii="Arial" w:hAnsi="Arial" w:cs="Arial"/>
          <w:b w:val="0"/>
          <w:sz w:val="22"/>
          <w:szCs w:val="22"/>
        </w:rPr>
        <w:t>,</w:t>
      </w:r>
      <w:r w:rsidRPr="00DF16F7">
        <w:rPr>
          <w:rFonts w:ascii="Arial" w:hAnsi="Arial" w:cs="Arial"/>
          <w:b w:val="0"/>
          <w:sz w:val="22"/>
          <w:szCs w:val="22"/>
        </w:rPr>
        <w:t xml:space="preserve"> acquiring an initial extraction of 26,579 records and further supplemented with 46,857 records for the Beijing and surrounding hinterland market region, providing 73,436 observations in total </w:t>
      </w:r>
      <w:r w:rsidRPr="00DF16F7">
        <w:rPr>
          <w:rFonts w:ascii="Arial" w:hAnsi="Arial" w:cs="Arial"/>
          <w:b w:val="0"/>
          <w:sz w:val="22"/>
          <w:szCs w:val="18"/>
        </w:rPr>
        <w:t xml:space="preserve">(see Figure 1a and b). </w:t>
      </w:r>
    </w:p>
    <w:p w14:paraId="71ED60C7" w14:textId="77777777" w:rsidR="00DD24A4" w:rsidRPr="0092237D" w:rsidRDefault="00DD24A4" w:rsidP="00B80853">
      <w:pPr>
        <w:spacing w:after="161"/>
        <w:ind w:right="170"/>
        <w:rPr>
          <w:rFonts w:ascii="Arial" w:hAnsi="Arial" w:cs="Arial"/>
          <w:b/>
          <w:bCs/>
        </w:rPr>
      </w:pPr>
      <w:r w:rsidRPr="0092237D">
        <w:rPr>
          <w:rFonts w:ascii="Arial" w:hAnsi="Arial" w:cs="Arial"/>
          <w:b/>
          <w:bCs/>
        </w:rPr>
        <w:t xml:space="preserve">Figure 1: Spatial Representation of the data observations </w:t>
      </w:r>
    </w:p>
    <w:p w14:paraId="275FAC5E" w14:textId="77777777" w:rsidR="00DD24A4" w:rsidRPr="0092237D" w:rsidRDefault="00DD24A4" w:rsidP="00DD24A4">
      <w:pPr>
        <w:pStyle w:val="ListParagraph"/>
        <w:numPr>
          <w:ilvl w:val="0"/>
          <w:numId w:val="35"/>
        </w:numPr>
        <w:spacing w:after="161" w:line="259" w:lineRule="auto"/>
        <w:ind w:right="170"/>
        <w:jc w:val="center"/>
        <w:rPr>
          <w:rFonts w:ascii="Arial" w:hAnsi="Arial" w:cs="Arial"/>
          <w:i/>
          <w:iCs/>
          <w:noProof/>
          <w:lang w:val="en-GB" w:eastAsia="en-GB"/>
        </w:rPr>
      </w:pPr>
      <w:bookmarkStart w:id="1" w:name="_Hlk42701476"/>
      <w:r w:rsidRPr="0092237D">
        <w:rPr>
          <w:rFonts w:ascii="Arial" w:hAnsi="Arial" w:cs="Arial"/>
          <w:i/>
          <w:iCs/>
          <w:noProof/>
          <w:lang w:val="en-GB" w:eastAsia="en-GB"/>
        </w:rPr>
        <w:t>National Overview</w:t>
      </w:r>
    </w:p>
    <w:bookmarkEnd w:id="1"/>
    <w:p w14:paraId="1C645270" w14:textId="77777777" w:rsidR="00DD24A4" w:rsidRDefault="00DD24A4" w:rsidP="00DD24A4">
      <w:pPr>
        <w:spacing w:after="161"/>
        <w:ind w:right="170"/>
        <w:jc w:val="center"/>
      </w:pPr>
      <w:r>
        <w:rPr>
          <w:noProof/>
          <w:lang w:eastAsia="en-GB"/>
        </w:rPr>
        <w:drawing>
          <wp:inline distT="0" distB="0" distL="0" distR="0" wp14:anchorId="0D795CB2" wp14:editId="2B2C3F7D">
            <wp:extent cx="5803312" cy="3864334"/>
            <wp:effectExtent l="0" t="0" r="6985" b="3175"/>
            <wp:docPr id="1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t="5833"/>
                    <a:stretch>
                      <a:fillRect/>
                    </a:stretch>
                  </pic:blipFill>
                  <pic:spPr bwMode="auto">
                    <a:xfrm>
                      <a:off x="0" y="0"/>
                      <a:ext cx="5918188" cy="3940828"/>
                    </a:xfrm>
                    <a:prstGeom prst="rect">
                      <a:avLst/>
                    </a:prstGeom>
                    <a:noFill/>
                    <a:ln w="9525">
                      <a:noFill/>
                      <a:miter lim="800000"/>
                      <a:headEnd/>
                      <a:tailEnd/>
                    </a:ln>
                  </pic:spPr>
                </pic:pic>
              </a:graphicData>
            </a:graphic>
          </wp:inline>
        </w:drawing>
      </w:r>
    </w:p>
    <w:p w14:paraId="78B55DF5" w14:textId="5B8C69DD" w:rsidR="006F0A0A" w:rsidRDefault="006F0A0A" w:rsidP="0065576A">
      <w:pPr>
        <w:pStyle w:val="ListParagraph"/>
      </w:pPr>
    </w:p>
    <w:p w14:paraId="34C619C1" w14:textId="2ED6CC1E" w:rsidR="00D9670F" w:rsidRDefault="00D9670F" w:rsidP="0065576A">
      <w:pPr>
        <w:pStyle w:val="ListParagraph"/>
      </w:pPr>
    </w:p>
    <w:p w14:paraId="01616DEC" w14:textId="77777777" w:rsidR="00D9670F" w:rsidRDefault="00D9670F" w:rsidP="0065576A">
      <w:pPr>
        <w:pStyle w:val="ListParagraph"/>
      </w:pPr>
    </w:p>
    <w:p w14:paraId="15D7465F" w14:textId="7EB35D9C" w:rsidR="0065576A" w:rsidRDefault="0065576A" w:rsidP="0065576A">
      <w:pPr>
        <w:pStyle w:val="ListParagraph"/>
      </w:pPr>
    </w:p>
    <w:p w14:paraId="0E9CF883" w14:textId="0DD86B13" w:rsidR="006C27FD" w:rsidRPr="0092237D" w:rsidRDefault="00DD24A4" w:rsidP="006C27FD">
      <w:pPr>
        <w:pStyle w:val="ListParagraph"/>
        <w:numPr>
          <w:ilvl w:val="0"/>
          <w:numId w:val="35"/>
        </w:numPr>
        <w:jc w:val="center"/>
        <w:rPr>
          <w:rFonts w:ascii="Arial" w:hAnsi="Arial" w:cs="Arial"/>
          <w:i/>
          <w:iCs/>
        </w:rPr>
      </w:pPr>
      <w:r w:rsidRPr="0092237D">
        <w:rPr>
          <w:rFonts w:ascii="Arial" w:hAnsi="Arial" w:cs="Arial"/>
          <w:i/>
          <w:iCs/>
        </w:rPr>
        <w:lastRenderedPageBreak/>
        <w:t>Beijing</w:t>
      </w:r>
    </w:p>
    <w:p w14:paraId="635F12CD" w14:textId="710A345F" w:rsidR="00DD24A4" w:rsidRDefault="00DD24A4" w:rsidP="00DD24A4">
      <w:pPr>
        <w:pStyle w:val="WPTableTitle"/>
        <w:jc w:val="center"/>
        <w:rPr>
          <w:b w:val="0"/>
        </w:rPr>
      </w:pPr>
      <w:r>
        <w:rPr>
          <w:noProof/>
          <w:lang w:val="en-GB" w:eastAsia="en-GB"/>
        </w:rPr>
        <w:drawing>
          <wp:inline distT="0" distB="0" distL="0" distR="0" wp14:anchorId="2419F8A1" wp14:editId="704D6400">
            <wp:extent cx="5686753" cy="3503378"/>
            <wp:effectExtent l="19050" t="19050" r="28575" b="20955"/>
            <wp:docPr id="116" name="Picture 116" descr="Beijing Property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eijing Property prices"/>
                    <pic:cNvPicPr>
                      <a:picLocks noChangeAspect="1" noChangeArrowheads="1"/>
                    </pic:cNvPicPr>
                  </pic:nvPicPr>
                  <pic:blipFill>
                    <a:blip r:embed="rId12"/>
                    <a:srcRect t="12910"/>
                    <a:stretch>
                      <a:fillRect/>
                    </a:stretch>
                  </pic:blipFill>
                  <pic:spPr bwMode="auto">
                    <a:xfrm>
                      <a:off x="0" y="0"/>
                      <a:ext cx="5707945" cy="3516434"/>
                    </a:xfrm>
                    <a:prstGeom prst="rect">
                      <a:avLst/>
                    </a:prstGeom>
                    <a:noFill/>
                    <a:ln w="9525">
                      <a:solidFill>
                        <a:schemeClr val="tx1"/>
                      </a:solidFill>
                      <a:miter lim="800000"/>
                      <a:headEnd/>
                      <a:tailEnd/>
                    </a:ln>
                  </pic:spPr>
                </pic:pic>
              </a:graphicData>
            </a:graphic>
          </wp:inline>
        </w:drawing>
      </w:r>
    </w:p>
    <w:p w14:paraId="51612A66" w14:textId="77777777" w:rsidR="00DD24A4" w:rsidRPr="00556BCF" w:rsidRDefault="00DD24A4" w:rsidP="00DD24A4">
      <w:pPr>
        <w:pStyle w:val="WPBodyText"/>
      </w:pPr>
    </w:p>
    <w:p w14:paraId="17A4626D" w14:textId="2AB5173B" w:rsidR="00DD24A4" w:rsidRPr="0092237D" w:rsidRDefault="00DD24A4" w:rsidP="0092237D">
      <w:pPr>
        <w:pStyle w:val="WPTableTitle"/>
        <w:spacing w:line="360" w:lineRule="auto"/>
        <w:jc w:val="both"/>
        <w:rPr>
          <w:rFonts w:ascii="Arial" w:hAnsi="Arial" w:cs="Arial"/>
          <w:b w:val="0"/>
          <w:sz w:val="22"/>
          <w:szCs w:val="18"/>
        </w:rPr>
      </w:pPr>
      <w:r w:rsidRPr="0092237D">
        <w:rPr>
          <w:rFonts w:ascii="Arial" w:hAnsi="Arial" w:cs="Arial"/>
          <w:b w:val="0"/>
          <w:sz w:val="22"/>
          <w:szCs w:val="18"/>
        </w:rPr>
        <w:t xml:space="preserve">Examination of the information contained within the listing price data is rich and encompasses a wealth of structural and neighborhood characteristics </w:t>
      </w:r>
      <w:r w:rsidR="00EA6B17">
        <w:rPr>
          <w:rFonts w:ascii="Arial" w:hAnsi="Arial" w:cs="Arial"/>
          <w:b w:val="0"/>
          <w:sz w:val="22"/>
          <w:szCs w:val="18"/>
        </w:rPr>
        <w:t>typically used</w:t>
      </w:r>
      <w:r w:rsidRPr="0092237D">
        <w:rPr>
          <w:rFonts w:ascii="Arial" w:hAnsi="Arial" w:cs="Arial"/>
          <w:b w:val="0"/>
          <w:sz w:val="22"/>
          <w:szCs w:val="18"/>
        </w:rPr>
        <w:t xml:space="preserve"> for modelling purposes. An initial exploratory investigation of the variables can be observed in Table 1 below. </w:t>
      </w:r>
    </w:p>
    <w:p w14:paraId="18609B22" w14:textId="77777777" w:rsidR="00DD24A4" w:rsidRDefault="00DD24A4" w:rsidP="00DD24A4">
      <w:pPr>
        <w:pStyle w:val="WPTableTitle"/>
      </w:pPr>
    </w:p>
    <w:p w14:paraId="4D2C2F48" w14:textId="77777777" w:rsidR="00DD24A4" w:rsidRPr="0092237D" w:rsidRDefault="00DD24A4" w:rsidP="00DD24A4">
      <w:pPr>
        <w:pStyle w:val="WPTableTitle"/>
        <w:rPr>
          <w:rFonts w:ascii="Arial" w:hAnsi="Arial" w:cs="Arial"/>
          <w:sz w:val="22"/>
          <w:szCs w:val="18"/>
        </w:rPr>
      </w:pPr>
      <w:r w:rsidRPr="0092237D">
        <w:rPr>
          <w:rFonts w:ascii="Arial" w:hAnsi="Arial" w:cs="Arial"/>
          <w:sz w:val="22"/>
          <w:szCs w:val="18"/>
        </w:rPr>
        <w:t xml:space="preserve">Table 1: Exploratory Variables and Descriptions </w:t>
      </w:r>
    </w:p>
    <w:p w14:paraId="331EC562" w14:textId="77777777" w:rsidR="00DD24A4" w:rsidRPr="00B773F2" w:rsidRDefault="00DD24A4" w:rsidP="00DD24A4">
      <w:pPr>
        <w:pStyle w:val="WPBodyText"/>
      </w:pPr>
    </w:p>
    <w:tbl>
      <w:tblPr>
        <w:tblW w:w="8754"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12"/>
        <w:gridCol w:w="5542"/>
      </w:tblGrid>
      <w:tr w:rsidR="00DD24A4" w:rsidRPr="0092237D" w14:paraId="16272D84" w14:textId="77777777" w:rsidTr="00DD24A4">
        <w:trPr>
          <w:trHeight w:val="255"/>
          <w:jc w:val="center"/>
        </w:trPr>
        <w:tc>
          <w:tcPr>
            <w:tcW w:w="3212" w:type="dxa"/>
            <w:tcBorders>
              <w:top w:val="single" w:sz="4" w:space="0" w:color="auto"/>
              <w:bottom w:val="single" w:sz="4" w:space="0" w:color="auto"/>
            </w:tcBorders>
          </w:tcPr>
          <w:p w14:paraId="3E870D7A" w14:textId="77777777" w:rsidR="00DD24A4" w:rsidRPr="0092237D" w:rsidRDefault="00DD24A4" w:rsidP="00DD24A4">
            <w:pPr>
              <w:tabs>
                <w:tab w:val="left" w:pos="216"/>
              </w:tabs>
              <w:spacing w:after="0"/>
              <w:ind w:right="170"/>
              <w:rPr>
                <w:rFonts w:ascii="Arial" w:hAnsi="Arial" w:cs="Arial"/>
                <w:b/>
                <w:sz w:val="20"/>
                <w:szCs w:val="20"/>
              </w:rPr>
            </w:pPr>
            <w:r w:rsidRPr="0092237D">
              <w:rPr>
                <w:rFonts w:ascii="Arial" w:hAnsi="Arial" w:cs="Arial"/>
                <w:b/>
                <w:sz w:val="20"/>
                <w:szCs w:val="20"/>
              </w:rPr>
              <w:t xml:space="preserve">Variable  </w:t>
            </w:r>
          </w:p>
        </w:tc>
        <w:tc>
          <w:tcPr>
            <w:tcW w:w="5542" w:type="dxa"/>
            <w:tcBorders>
              <w:top w:val="single" w:sz="4" w:space="0" w:color="auto"/>
              <w:bottom w:val="single" w:sz="4" w:space="0" w:color="auto"/>
            </w:tcBorders>
          </w:tcPr>
          <w:p w14:paraId="5E1CE918" w14:textId="77777777" w:rsidR="00DD24A4" w:rsidRPr="0092237D" w:rsidRDefault="00DD24A4" w:rsidP="00DD24A4">
            <w:pPr>
              <w:tabs>
                <w:tab w:val="left" w:pos="216"/>
              </w:tabs>
              <w:spacing w:after="0"/>
              <w:ind w:right="170"/>
              <w:rPr>
                <w:rFonts w:ascii="Arial" w:hAnsi="Arial" w:cs="Arial"/>
                <w:b/>
                <w:sz w:val="20"/>
                <w:szCs w:val="20"/>
              </w:rPr>
            </w:pPr>
            <w:r w:rsidRPr="0092237D">
              <w:rPr>
                <w:rFonts w:ascii="Arial" w:hAnsi="Arial" w:cs="Arial"/>
                <w:b/>
                <w:sz w:val="20"/>
                <w:szCs w:val="20"/>
              </w:rPr>
              <w:t xml:space="preserve">Description </w:t>
            </w:r>
          </w:p>
        </w:tc>
      </w:tr>
      <w:tr w:rsidR="00DD24A4" w:rsidRPr="0092237D" w14:paraId="348D34F4" w14:textId="77777777" w:rsidTr="00DD24A4">
        <w:trPr>
          <w:trHeight w:val="272"/>
          <w:jc w:val="center"/>
        </w:trPr>
        <w:tc>
          <w:tcPr>
            <w:tcW w:w="3212" w:type="dxa"/>
            <w:tcBorders>
              <w:top w:val="single" w:sz="4" w:space="0" w:color="auto"/>
            </w:tcBorders>
          </w:tcPr>
          <w:p w14:paraId="7809D4BA"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Floor area  </w:t>
            </w:r>
          </w:p>
        </w:tc>
        <w:tc>
          <w:tcPr>
            <w:tcW w:w="5542" w:type="dxa"/>
            <w:tcBorders>
              <w:top w:val="single" w:sz="4" w:space="0" w:color="auto"/>
            </w:tcBorders>
          </w:tcPr>
          <w:p w14:paraId="2C32D11E"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Size of property m</w:t>
            </w:r>
            <w:r w:rsidRPr="0092237D">
              <w:rPr>
                <w:rFonts w:ascii="Arial" w:hAnsi="Arial" w:cs="Arial"/>
                <w:sz w:val="20"/>
                <w:szCs w:val="20"/>
                <w:vertAlign w:val="superscript"/>
              </w:rPr>
              <w:t>2</w:t>
            </w:r>
            <w:r w:rsidRPr="0092237D">
              <w:rPr>
                <w:rFonts w:ascii="Arial" w:hAnsi="Arial" w:cs="Arial"/>
                <w:sz w:val="20"/>
                <w:szCs w:val="20"/>
              </w:rPr>
              <w:t xml:space="preserve"> </w:t>
            </w:r>
          </w:p>
        </w:tc>
      </w:tr>
      <w:tr w:rsidR="00DD24A4" w:rsidRPr="0092237D" w14:paraId="2F6C12E0" w14:textId="77777777" w:rsidTr="00DD24A4">
        <w:trPr>
          <w:trHeight w:val="276"/>
          <w:jc w:val="center"/>
        </w:trPr>
        <w:tc>
          <w:tcPr>
            <w:tcW w:w="3212" w:type="dxa"/>
          </w:tcPr>
          <w:p w14:paraId="2835524E"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Average price per m2 </w:t>
            </w:r>
          </w:p>
        </w:tc>
        <w:tc>
          <w:tcPr>
            <w:tcW w:w="5542" w:type="dxa"/>
          </w:tcPr>
          <w:p w14:paraId="20A32FC3"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Price of the property per m</w:t>
            </w:r>
            <w:r w:rsidRPr="0092237D">
              <w:rPr>
                <w:rFonts w:ascii="Arial" w:hAnsi="Arial" w:cs="Arial"/>
                <w:sz w:val="20"/>
                <w:szCs w:val="20"/>
                <w:vertAlign w:val="superscript"/>
              </w:rPr>
              <w:t>2</w:t>
            </w:r>
            <w:r w:rsidRPr="0092237D">
              <w:rPr>
                <w:rFonts w:ascii="Arial" w:hAnsi="Arial" w:cs="Arial"/>
                <w:sz w:val="20"/>
                <w:szCs w:val="20"/>
              </w:rPr>
              <w:t xml:space="preserve"> </w:t>
            </w:r>
          </w:p>
        </w:tc>
      </w:tr>
      <w:tr w:rsidR="00DD24A4" w:rsidRPr="0092237D" w14:paraId="3B51451B" w14:textId="77777777" w:rsidTr="00DD24A4">
        <w:trPr>
          <w:trHeight w:val="271"/>
          <w:jc w:val="center"/>
        </w:trPr>
        <w:tc>
          <w:tcPr>
            <w:tcW w:w="3212" w:type="dxa"/>
          </w:tcPr>
          <w:p w14:paraId="601CD658"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General condition </w:t>
            </w:r>
          </w:p>
        </w:tc>
        <w:tc>
          <w:tcPr>
            <w:tcW w:w="5542" w:type="dxa"/>
          </w:tcPr>
          <w:p w14:paraId="4D57C5EF"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Categorical specification based on assessment </w:t>
            </w:r>
          </w:p>
        </w:tc>
      </w:tr>
      <w:tr w:rsidR="00DD24A4" w:rsidRPr="0092237D" w14:paraId="3A0DAF78" w14:textId="77777777" w:rsidTr="00DD24A4">
        <w:trPr>
          <w:trHeight w:val="272"/>
          <w:jc w:val="center"/>
        </w:trPr>
        <w:tc>
          <w:tcPr>
            <w:tcW w:w="3212" w:type="dxa"/>
          </w:tcPr>
          <w:p w14:paraId="37D4EA23"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View/aspect </w:t>
            </w:r>
          </w:p>
        </w:tc>
        <w:tc>
          <w:tcPr>
            <w:tcW w:w="5542" w:type="dxa"/>
          </w:tcPr>
          <w:p w14:paraId="7E270592"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View and orientation /direction (facing) of the property </w:t>
            </w:r>
          </w:p>
        </w:tc>
      </w:tr>
      <w:tr w:rsidR="00DD24A4" w:rsidRPr="0092237D" w14:paraId="5F516317" w14:textId="77777777" w:rsidTr="00DD24A4">
        <w:trPr>
          <w:trHeight w:val="272"/>
          <w:jc w:val="center"/>
        </w:trPr>
        <w:tc>
          <w:tcPr>
            <w:tcW w:w="3212" w:type="dxa"/>
          </w:tcPr>
          <w:p w14:paraId="3A116B22"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Floor Level </w:t>
            </w:r>
          </w:p>
        </w:tc>
        <w:tc>
          <w:tcPr>
            <w:tcW w:w="5542" w:type="dxa"/>
          </w:tcPr>
          <w:p w14:paraId="4947B757"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Categorical (high; middle; low) of level in building block </w:t>
            </w:r>
          </w:p>
        </w:tc>
      </w:tr>
      <w:tr w:rsidR="00DD24A4" w:rsidRPr="0092237D" w14:paraId="40FE9066" w14:textId="77777777" w:rsidTr="00DD24A4">
        <w:trPr>
          <w:trHeight w:val="271"/>
          <w:jc w:val="center"/>
        </w:trPr>
        <w:tc>
          <w:tcPr>
            <w:tcW w:w="3212" w:type="dxa"/>
          </w:tcPr>
          <w:p w14:paraId="50534511"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Location </w:t>
            </w:r>
          </w:p>
        </w:tc>
        <w:tc>
          <w:tcPr>
            <w:tcW w:w="5542" w:type="dxa"/>
          </w:tcPr>
          <w:p w14:paraId="258D839B"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Address, X,Y of property </w:t>
            </w:r>
          </w:p>
        </w:tc>
      </w:tr>
      <w:tr w:rsidR="00DD24A4" w:rsidRPr="0092237D" w14:paraId="4FC26AF5" w14:textId="77777777" w:rsidTr="00DD24A4">
        <w:trPr>
          <w:trHeight w:val="272"/>
          <w:jc w:val="center"/>
        </w:trPr>
        <w:tc>
          <w:tcPr>
            <w:tcW w:w="3212" w:type="dxa"/>
          </w:tcPr>
          <w:p w14:paraId="00F670A6"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Build year </w:t>
            </w:r>
          </w:p>
        </w:tc>
        <w:tc>
          <w:tcPr>
            <w:tcW w:w="5542" w:type="dxa"/>
          </w:tcPr>
          <w:p w14:paraId="094C50BF"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Year of build of property </w:t>
            </w:r>
          </w:p>
        </w:tc>
      </w:tr>
      <w:tr w:rsidR="00DD24A4" w:rsidRPr="0092237D" w14:paraId="1DC5B619" w14:textId="77777777" w:rsidTr="00DD24A4">
        <w:trPr>
          <w:trHeight w:val="272"/>
          <w:jc w:val="center"/>
        </w:trPr>
        <w:tc>
          <w:tcPr>
            <w:tcW w:w="3212" w:type="dxa"/>
          </w:tcPr>
          <w:p w14:paraId="708E077D"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Build type </w:t>
            </w:r>
          </w:p>
        </w:tc>
        <w:tc>
          <w:tcPr>
            <w:tcW w:w="5542" w:type="dxa"/>
          </w:tcPr>
          <w:p w14:paraId="13C23DB3"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Public or private market build  </w:t>
            </w:r>
          </w:p>
        </w:tc>
      </w:tr>
      <w:tr w:rsidR="00DD24A4" w:rsidRPr="0092237D" w14:paraId="31B502F7" w14:textId="77777777" w:rsidTr="00DD24A4">
        <w:trPr>
          <w:trHeight w:val="271"/>
          <w:jc w:val="center"/>
        </w:trPr>
        <w:tc>
          <w:tcPr>
            <w:tcW w:w="3212" w:type="dxa"/>
          </w:tcPr>
          <w:p w14:paraId="44E7AE28"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Elevator </w:t>
            </w:r>
          </w:p>
        </w:tc>
        <w:tc>
          <w:tcPr>
            <w:tcW w:w="5542" w:type="dxa"/>
          </w:tcPr>
          <w:p w14:paraId="0710FC8B"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If property (block) has an elevator </w:t>
            </w:r>
          </w:p>
        </w:tc>
      </w:tr>
      <w:tr w:rsidR="00DD24A4" w:rsidRPr="0092237D" w14:paraId="7BE1096F" w14:textId="77777777" w:rsidTr="00DD24A4">
        <w:trPr>
          <w:trHeight w:val="272"/>
          <w:jc w:val="center"/>
        </w:trPr>
        <w:tc>
          <w:tcPr>
            <w:tcW w:w="3212" w:type="dxa"/>
          </w:tcPr>
          <w:p w14:paraId="083F867D"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Transaction volume </w:t>
            </w:r>
          </w:p>
        </w:tc>
        <w:tc>
          <w:tcPr>
            <w:tcW w:w="5542" w:type="dxa"/>
          </w:tcPr>
          <w:p w14:paraId="08172B33"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Level of transactions (monthly) in a district (%Δ) </w:t>
            </w:r>
          </w:p>
        </w:tc>
      </w:tr>
      <w:tr w:rsidR="00DD24A4" w:rsidRPr="0092237D" w14:paraId="4FB2E880" w14:textId="77777777" w:rsidTr="00DD24A4">
        <w:trPr>
          <w:trHeight w:val="273"/>
          <w:jc w:val="center"/>
        </w:trPr>
        <w:tc>
          <w:tcPr>
            <w:tcW w:w="3212" w:type="dxa"/>
          </w:tcPr>
          <w:p w14:paraId="0333D33A"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District price  </w:t>
            </w:r>
          </w:p>
        </w:tc>
        <w:tc>
          <w:tcPr>
            <w:tcW w:w="5542" w:type="dxa"/>
          </w:tcPr>
          <w:p w14:paraId="763AFAC2"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Average price of property per district </w:t>
            </w:r>
          </w:p>
        </w:tc>
      </w:tr>
      <w:tr w:rsidR="00DD24A4" w:rsidRPr="0092237D" w14:paraId="1FA903AB" w14:textId="77777777" w:rsidTr="00DD24A4">
        <w:trPr>
          <w:trHeight w:val="266"/>
          <w:jc w:val="center"/>
        </w:trPr>
        <w:tc>
          <w:tcPr>
            <w:tcW w:w="3212" w:type="dxa"/>
          </w:tcPr>
          <w:p w14:paraId="1D8E695E"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Nearest subway </w:t>
            </w:r>
          </w:p>
        </w:tc>
        <w:tc>
          <w:tcPr>
            <w:tcW w:w="5542" w:type="dxa"/>
          </w:tcPr>
          <w:p w14:paraId="7B6D0014"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Distance to nearest subway (meters) </w:t>
            </w:r>
          </w:p>
        </w:tc>
      </w:tr>
      <w:tr w:rsidR="00DD24A4" w:rsidRPr="0092237D" w14:paraId="52EFEE30" w14:textId="77777777" w:rsidTr="00DD24A4">
        <w:trPr>
          <w:trHeight w:val="266"/>
          <w:jc w:val="center"/>
        </w:trPr>
        <w:tc>
          <w:tcPr>
            <w:tcW w:w="3212" w:type="dxa"/>
          </w:tcPr>
          <w:p w14:paraId="31FE6919"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Commodity housing estates </w:t>
            </w:r>
          </w:p>
        </w:tc>
        <w:tc>
          <w:tcPr>
            <w:tcW w:w="5542" w:type="dxa"/>
          </w:tcPr>
          <w:p w14:paraId="0812C3D8" w14:textId="77777777" w:rsidR="00DD24A4" w:rsidRPr="0092237D" w:rsidRDefault="00DD24A4" w:rsidP="00DD24A4">
            <w:pPr>
              <w:tabs>
                <w:tab w:val="left" w:pos="216"/>
              </w:tabs>
              <w:spacing w:after="0"/>
              <w:ind w:right="170"/>
              <w:rPr>
                <w:rFonts w:ascii="Arial" w:hAnsi="Arial" w:cs="Arial"/>
                <w:sz w:val="20"/>
                <w:szCs w:val="20"/>
              </w:rPr>
            </w:pPr>
            <w:r w:rsidRPr="0092237D">
              <w:rPr>
                <w:rFonts w:ascii="Arial" w:hAnsi="Arial" w:cs="Arial"/>
                <w:sz w:val="20"/>
                <w:szCs w:val="20"/>
              </w:rPr>
              <w:t xml:space="preserve">Defined neighborhood/submarket areas for developments </w:t>
            </w:r>
          </w:p>
        </w:tc>
      </w:tr>
    </w:tbl>
    <w:p w14:paraId="59919488" w14:textId="77777777" w:rsidR="00DD24A4" w:rsidRDefault="00DD24A4" w:rsidP="00DD24A4">
      <w:pPr>
        <w:pStyle w:val="WPBodyText"/>
        <w:rPr>
          <w:kern w:val="28"/>
        </w:rPr>
      </w:pPr>
    </w:p>
    <w:p w14:paraId="40FC113A" w14:textId="4BBED13C" w:rsidR="00DD24A4" w:rsidRPr="0092237D" w:rsidRDefault="00DD24A4" w:rsidP="0092237D">
      <w:pPr>
        <w:pStyle w:val="WPBodyText"/>
        <w:spacing w:line="360" w:lineRule="auto"/>
        <w:jc w:val="both"/>
        <w:rPr>
          <w:rFonts w:ascii="Arial" w:hAnsi="Arial" w:cs="Arial"/>
          <w:b/>
          <w:sz w:val="22"/>
          <w:szCs w:val="18"/>
        </w:rPr>
      </w:pPr>
      <w:r w:rsidRPr="0092237D">
        <w:rPr>
          <w:rFonts w:ascii="Arial" w:hAnsi="Arial" w:cs="Arial"/>
          <w:kern w:val="28"/>
          <w:sz w:val="22"/>
          <w:szCs w:val="18"/>
        </w:rPr>
        <w:t xml:space="preserve">The data was scrutinized for data entry error, missing observations and non-normal or non-standardised properties offering the potential to impact upon the model functionality and reliability. Initial frequency analysis shows a wide variation and range across a number of the property characteristics. Overall, this data cleansing exercise highlighted that a number of </w:t>
      </w:r>
      <w:r w:rsidRPr="0092237D">
        <w:rPr>
          <w:rFonts w:ascii="Arial" w:hAnsi="Arial" w:cs="Arial"/>
          <w:kern w:val="28"/>
          <w:sz w:val="22"/>
          <w:szCs w:val="18"/>
        </w:rPr>
        <w:lastRenderedPageBreak/>
        <w:t xml:space="preserve">these erroneous data entries and problematic observations were cross-correlated thus removing 180 observations in total. </w:t>
      </w:r>
      <w:r w:rsidRPr="0092237D">
        <w:rPr>
          <w:rFonts w:ascii="Arial" w:hAnsi="Arial" w:cs="Arial"/>
          <w:bCs/>
          <w:sz w:val="22"/>
          <w:szCs w:val="18"/>
        </w:rPr>
        <w:t xml:space="preserve">Having purged erroneous and missing entries from the data, initial diagnostic analysis </w:t>
      </w:r>
      <w:r w:rsidR="00AC2800">
        <w:rPr>
          <w:rFonts w:ascii="Arial" w:hAnsi="Arial" w:cs="Arial"/>
          <w:bCs/>
          <w:sz w:val="22"/>
          <w:szCs w:val="18"/>
        </w:rPr>
        <w:t>wa</w:t>
      </w:r>
      <w:r w:rsidRPr="0092237D">
        <w:rPr>
          <w:rFonts w:ascii="Arial" w:hAnsi="Arial" w:cs="Arial"/>
          <w:bCs/>
          <w:sz w:val="22"/>
          <w:szCs w:val="18"/>
        </w:rPr>
        <w:t>s undertaken to identify outliers within the sample data. There are a number of statistical based approaches for removing outliers. This research tested a combination of Cook’s Distance and Mahalanobis Distance</w:t>
      </w:r>
      <w:r w:rsidRPr="0092237D">
        <w:rPr>
          <w:rFonts w:ascii="Arial" w:hAnsi="Arial" w:cs="Arial"/>
          <w:bCs/>
          <w:sz w:val="22"/>
          <w:szCs w:val="18"/>
          <w:vertAlign w:val="superscript"/>
        </w:rPr>
        <w:footnoteReference w:id="5"/>
      </w:r>
      <w:r w:rsidRPr="0092237D">
        <w:rPr>
          <w:rFonts w:ascii="Arial" w:hAnsi="Arial" w:cs="Arial"/>
          <w:bCs/>
          <w:sz w:val="22"/>
          <w:szCs w:val="18"/>
        </w:rPr>
        <w:t xml:space="preserve"> to estimate the level of the </w:t>
      </w:r>
      <w:r w:rsidR="00AC2800">
        <w:rPr>
          <w:rFonts w:ascii="Arial" w:hAnsi="Arial" w:cs="Arial"/>
          <w:bCs/>
          <w:sz w:val="22"/>
          <w:szCs w:val="18"/>
        </w:rPr>
        <w:t xml:space="preserve">(undue) </w:t>
      </w:r>
      <w:r w:rsidRPr="0092237D">
        <w:rPr>
          <w:rFonts w:ascii="Arial" w:hAnsi="Arial" w:cs="Arial"/>
          <w:bCs/>
          <w:sz w:val="22"/>
          <w:szCs w:val="18"/>
        </w:rPr>
        <w:t>influence of a data points with large residuals (outliers) and/or high leverage which may distort the outcome and accuracy when undertaking regression based analysis. At the aggregate level, encompassing all data, this initial inspection illustrated extreme instances of outliers, however, when disaggregated by geographic location (city level), initial model diagnostics display relative normality in the residuals</w:t>
      </w:r>
      <w:r w:rsidRPr="0092237D">
        <w:rPr>
          <w:rStyle w:val="FootnoteReference"/>
          <w:rFonts w:ascii="Arial" w:hAnsi="Arial" w:cs="Arial"/>
          <w:bCs/>
          <w:sz w:val="22"/>
          <w:szCs w:val="18"/>
        </w:rPr>
        <w:footnoteReference w:id="6"/>
      </w:r>
      <w:r w:rsidRPr="0092237D">
        <w:rPr>
          <w:rFonts w:ascii="Arial" w:hAnsi="Arial" w:cs="Arial"/>
          <w:bCs/>
          <w:sz w:val="22"/>
          <w:szCs w:val="18"/>
        </w:rPr>
        <w:t xml:space="preserve">. The suite of property and locational characteristics were subsequently transformed into binary state (where applicable) to permit various modelling specifications and procedures to be tested (Table </w:t>
      </w:r>
      <w:r w:rsidR="0069096F">
        <w:rPr>
          <w:rFonts w:ascii="Arial" w:hAnsi="Arial" w:cs="Arial"/>
          <w:bCs/>
          <w:sz w:val="22"/>
          <w:szCs w:val="18"/>
        </w:rPr>
        <w:t>2</w:t>
      </w:r>
      <w:r w:rsidRPr="0092237D">
        <w:rPr>
          <w:rFonts w:ascii="Arial" w:hAnsi="Arial" w:cs="Arial"/>
          <w:bCs/>
          <w:sz w:val="22"/>
          <w:szCs w:val="18"/>
        </w:rPr>
        <w:t>).</w:t>
      </w:r>
      <w:r w:rsidRPr="0092237D">
        <w:rPr>
          <w:rFonts w:ascii="Arial" w:hAnsi="Arial" w:cs="Arial"/>
          <w:b/>
          <w:sz w:val="22"/>
          <w:szCs w:val="18"/>
        </w:rPr>
        <w:t xml:space="preserve">  </w:t>
      </w:r>
    </w:p>
    <w:p w14:paraId="212DC686" w14:textId="77777777" w:rsidR="00DD24A4" w:rsidRPr="00F77328" w:rsidRDefault="00DD24A4" w:rsidP="00DD24A4">
      <w:pPr>
        <w:pStyle w:val="WPBodyText"/>
      </w:pPr>
    </w:p>
    <w:p w14:paraId="7425BE18" w14:textId="61005986" w:rsidR="00DD24A4" w:rsidRPr="0092237D" w:rsidRDefault="00DD24A4" w:rsidP="00DD24A4">
      <w:pPr>
        <w:pStyle w:val="WPHeading1"/>
        <w:jc w:val="left"/>
        <w:rPr>
          <w:rFonts w:ascii="Arial" w:hAnsi="Arial" w:cs="Arial"/>
          <w:sz w:val="22"/>
          <w:szCs w:val="18"/>
        </w:rPr>
      </w:pPr>
      <w:r w:rsidRPr="0092237D">
        <w:rPr>
          <w:rFonts w:ascii="Arial" w:hAnsi="Arial" w:cs="Arial"/>
          <w:sz w:val="22"/>
          <w:szCs w:val="18"/>
        </w:rPr>
        <w:t xml:space="preserve">Table </w:t>
      </w:r>
      <w:r w:rsidR="0069096F">
        <w:rPr>
          <w:rFonts w:ascii="Arial" w:hAnsi="Arial" w:cs="Arial"/>
          <w:sz w:val="22"/>
          <w:szCs w:val="18"/>
        </w:rPr>
        <w:t>2</w:t>
      </w:r>
      <w:r w:rsidRPr="0092237D">
        <w:rPr>
          <w:rFonts w:ascii="Arial" w:hAnsi="Arial" w:cs="Arial"/>
          <w:sz w:val="22"/>
          <w:szCs w:val="18"/>
        </w:rPr>
        <w:t>: Included variables and transformations</w:t>
      </w:r>
    </w:p>
    <w:p w14:paraId="66FAA07E" w14:textId="77777777" w:rsidR="00DD24A4" w:rsidRPr="00F77328" w:rsidRDefault="00DD24A4" w:rsidP="00DD24A4">
      <w:pPr>
        <w:pStyle w:val="WPHeading1"/>
        <w:jc w:val="left"/>
      </w:pPr>
    </w:p>
    <w:tbl>
      <w:tblPr>
        <w:tblW w:w="9398" w:type="dxa"/>
        <w:tblBorders>
          <w:top w:val="single" w:sz="4" w:space="0" w:color="auto"/>
          <w:bottom w:val="single" w:sz="4" w:space="0" w:color="auto"/>
        </w:tblBorders>
        <w:tblLook w:val="04A0" w:firstRow="1" w:lastRow="0" w:firstColumn="1" w:lastColumn="0" w:noHBand="0" w:noVBand="1"/>
      </w:tblPr>
      <w:tblGrid>
        <w:gridCol w:w="1656"/>
        <w:gridCol w:w="3731"/>
        <w:gridCol w:w="4011"/>
      </w:tblGrid>
      <w:tr w:rsidR="00DD24A4" w:rsidRPr="0092237D" w14:paraId="0792AC33" w14:textId="77777777" w:rsidTr="00993AF3">
        <w:trPr>
          <w:trHeight w:val="460"/>
        </w:trPr>
        <w:tc>
          <w:tcPr>
            <w:tcW w:w="1656" w:type="dxa"/>
            <w:tcBorders>
              <w:top w:val="single" w:sz="4" w:space="0" w:color="auto"/>
              <w:bottom w:val="single" w:sz="4" w:space="0" w:color="auto"/>
            </w:tcBorders>
            <w:vAlign w:val="center"/>
          </w:tcPr>
          <w:p w14:paraId="37EBF2B1"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Attribute</w:t>
            </w:r>
          </w:p>
        </w:tc>
        <w:tc>
          <w:tcPr>
            <w:tcW w:w="3731" w:type="dxa"/>
            <w:tcBorders>
              <w:top w:val="single" w:sz="4" w:space="0" w:color="auto"/>
              <w:bottom w:val="single" w:sz="4" w:space="0" w:color="auto"/>
            </w:tcBorders>
            <w:vAlign w:val="center"/>
          </w:tcPr>
          <w:p w14:paraId="71CA3FDF"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Description</w:t>
            </w:r>
          </w:p>
        </w:tc>
        <w:tc>
          <w:tcPr>
            <w:tcW w:w="4011" w:type="dxa"/>
            <w:tcBorders>
              <w:top w:val="single" w:sz="4" w:space="0" w:color="auto"/>
              <w:bottom w:val="single" w:sz="4" w:space="0" w:color="auto"/>
            </w:tcBorders>
            <w:shd w:val="clear" w:color="auto" w:fill="auto"/>
            <w:noWrap/>
            <w:vAlign w:val="center"/>
          </w:tcPr>
          <w:p w14:paraId="77014A77"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Transformation</w:t>
            </w:r>
          </w:p>
        </w:tc>
      </w:tr>
      <w:tr w:rsidR="00DD24A4" w:rsidRPr="0092237D" w14:paraId="0557D82E" w14:textId="77777777" w:rsidTr="0092237D">
        <w:trPr>
          <w:trHeight w:val="257"/>
        </w:trPr>
        <w:tc>
          <w:tcPr>
            <w:tcW w:w="1656" w:type="dxa"/>
            <w:tcBorders>
              <w:top w:val="single" w:sz="4" w:space="0" w:color="auto"/>
            </w:tcBorders>
            <w:vAlign w:val="center"/>
          </w:tcPr>
          <w:p w14:paraId="20E4C279"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Property Age</w:t>
            </w:r>
          </w:p>
        </w:tc>
        <w:tc>
          <w:tcPr>
            <w:tcW w:w="3731" w:type="dxa"/>
            <w:tcBorders>
              <w:top w:val="single" w:sz="4" w:space="0" w:color="auto"/>
            </w:tcBorders>
            <w:vAlign w:val="center"/>
          </w:tcPr>
          <w:p w14:paraId="03055A4D"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Age of property in years</w:t>
            </w:r>
          </w:p>
        </w:tc>
        <w:tc>
          <w:tcPr>
            <w:tcW w:w="4011" w:type="dxa"/>
            <w:tcBorders>
              <w:top w:val="single" w:sz="4" w:space="0" w:color="auto"/>
            </w:tcBorders>
            <w:shd w:val="clear" w:color="auto" w:fill="auto"/>
            <w:noWrap/>
            <w:vAlign w:val="center"/>
            <w:hideMark/>
          </w:tcPr>
          <w:p w14:paraId="7F65F43E"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39 years old; 0 otherwise).</w:t>
            </w:r>
          </w:p>
        </w:tc>
      </w:tr>
      <w:tr w:rsidR="00DD24A4" w:rsidRPr="0092237D" w14:paraId="2F1E4EEF" w14:textId="77777777" w:rsidTr="0092237D">
        <w:trPr>
          <w:trHeight w:val="144"/>
        </w:trPr>
        <w:tc>
          <w:tcPr>
            <w:tcW w:w="1656" w:type="dxa"/>
            <w:vAlign w:val="center"/>
          </w:tcPr>
          <w:p w14:paraId="160D0540"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Orientation</w:t>
            </w:r>
          </w:p>
        </w:tc>
        <w:tc>
          <w:tcPr>
            <w:tcW w:w="3731" w:type="dxa"/>
            <w:vAlign w:val="center"/>
          </w:tcPr>
          <w:p w14:paraId="0C8F25FF"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Orientation of property</w:t>
            </w:r>
          </w:p>
        </w:tc>
        <w:tc>
          <w:tcPr>
            <w:tcW w:w="4011" w:type="dxa"/>
            <w:shd w:val="clear" w:color="auto" w:fill="auto"/>
            <w:noWrap/>
            <w:vAlign w:val="center"/>
            <w:hideMark/>
          </w:tcPr>
          <w:p w14:paraId="6AB14E86"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East; 0 otherwise)</w:t>
            </w:r>
          </w:p>
        </w:tc>
      </w:tr>
      <w:tr w:rsidR="00DD24A4" w:rsidRPr="0092237D" w14:paraId="2A10B292" w14:textId="77777777" w:rsidTr="0092237D">
        <w:trPr>
          <w:trHeight w:val="70"/>
        </w:trPr>
        <w:tc>
          <w:tcPr>
            <w:tcW w:w="1656" w:type="dxa"/>
            <w:vAlign w:val="center"/>
          </w:tcPr>
          <w:p w14:paraId="38C70203"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Specification</w:t>
            </w:r>
          </w:p>
        </w:tc>
        <w:tc>
          <w:tcPr>
            <w:tcW w:w="3731" w:type="dxa"/>
            <w:vAlign w:val="center"/>
          </w:tcPr>
          <w:p w14:paraId="45A5091A"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Condition &amp; finish of property</w:t>
            </w:r>
          </w:p>
        </w:tc>
        <w:tc>
          <w:tcPr>
            <w:tcW w:w="4011" w:type="dxa"/>
            <w:shd w:val="clear" w:color="auto" w:fill="auto"/>
            <w:noWrap/>
            <w:vAlign w:val="center"/>
            <w:hideMark/>
          </w:tcPr>
          <w:p w14:paraId="675B0661"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Luxury-end; 0 otherwise)</w:t>
            </w:r>
          </w:p>
        </w:tc>
      </w:tr>
      <w:tr w:rsidR="00DD24A4" w:rsidRPr="0092237D" w14:paraId="4191D9F8" w14:textId="77777777" w:rsidTr="0092237D">
        <w:trPr>
          <w:trHeight w:val="250"/>
        </w:trPr>
        <w:tc>
          <w:tcPr>
            <w:tcW w:w="1656" w:type="dxa"/>
            <w:vAlign w:val="center"/>
          </w:tcPr>
          <w:p w14:paraId="5D9F6421"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Floor Level</w:t>
            </w:r>
          </w:p>
        </w:tc>
        <w:tc>
          <w:tcPr>
            <w:tcW w:w="3731" w:type="dxa"/>
            <w:vAlign w:val="center"/>
          </w:tcPr>
          <w:p w14:paraId="46D11EB4"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The level the property is located</w:t>
            </w:r>
          </w:p>
        </w:tc>
        <w:tc>
          <w:tcPr>
            <w:tcW w:w="4011" w:type="dxa"/>
            <w:shd w:val="clear" w:color="auto" w:fill="auto"/>
            <w:noWrap/>
            <w:vAlign w:val="center"/>
            <w:hideMark/>
          </w:tcPr>
          <w:p w14:paraId="5F93BBA0"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high; 0 otherwise)</w:t>
            </w:r>
          </w:p>
        </w:tc>
      </w:tr>
      <w:tr w:rsidR="00DD24A4" w:rsidRPr="0092237D" w14:paraId="430821B5" w14:textId="77777777" w:rsidTr="0092237D">
        <w:trPr>
          <w:trHeight w:val="139"/>
        </w:trPr>
        <w:tc>
          <w:tcPr>
            <w:tcW w:w="1656" w:type="dxa"/>
            <w:vAlign w:val="center"/>
          </w:tcPr>
          <w:p w14:paraId="1363C7B4"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Total Floors</w:t>
            </w:r>
          </w:p>
        </w:tc>
        <w:tc>
          <w:tcPr>
            <w:tcW w:w="3731" w:type="dxa"/>
            <w:vAlign w:val="center"/>
          </w:tcPr>
          <w:p w14:paraId="75F0F83D"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Total number of floors in the building</w:t>
            </w:r>
          </w:p>
        </w:tc>
        <w:tc>
          <w:tcPr>
            <w:tcW w:w="4011" w:type="dxa"/>
            <w:shd w:val="clear" w:color="auto" w:fill="auto"/>
            <w:noWrap/>
            <w:vAlign w:val="center"/>
          </w:tcPr>
          <w:p w14:paraId="387030AD"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Scale</w:t>
            </w:r>
          </w:p>
        </w:tc>
      </w:tr>
      <w:tr w:rsidR="00DD24A4" w:rsidRPr="0092237D" w14:paraId="161E3512" w14:textId="77777777" w:rsidTr="00993AF3">
        <w:trPr>
          <w:trHeight w:val="290"/>
        </w:trPr>
        <w:tc>
          <w:tcPr>
            <w:tcW w:w="1656" w:type="dxa"/>
            <w:vAlign w:val="center"/>
          </w:tcPr>
          <w:p w14:paraId="2A01F3D2"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Bedrooms</w:t>
            </w:r>
          </w:p>
        </w:tc>
        <w:tc>
          <w:tcPr>
            <w:tcW w:w="3731" w:type="dxa"/>
            <w:vAlign w:val="center"/>
          </w:tcPr>
          <w:p w14:paraId="27F39BAD"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No. of bedrooms</w:t>
            </w:r>
          </w:p>
        </w:tc>
        <w:tc>
          <w:tcPr>
            <w:tcW w:w="4011" w:type="dxa"/>
            <w:shd w:val="clear" w:color="auto" w:fill="auto"/>
            <w:noWrap/>
            <w:vAlign w:val="center"/>
            <w:hideMark/>
          </w:tcPr>
          <w:p w14:paraId="47A81443"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Bedrooms (1 if bed1; 0 otherwise)</w:t>
            </w:r>
          </w:p>
        </w:tc>
      </w:tr>
      <w:tr w:rsidR="00DD24A4" w:rsidRPr="0092237D" w14:paraId="31EE51B9" w14:textId="77777777" w:rsidTr="00993AF3">
        <w:trPr>
          <w:trHeight w:val="290"/>
        </w:trPr>
        <w:tc>
          <w:tcPr>
            <w:tcW w:w="1656" w:type="dxa"/>
            <w:vAlign w:val="center"/>
          </w:tcPr>
          <w:p w14:paraId="1FE6A824"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Bathrooms</w:t>
            </w:r>
          </w:p>
        </w:tc>
        <w:tc>
          <w:tcPr>
            <w:tcW w:w="3731" w:type="dxa"/>
            <w:vAlign w:val="center"/>
          </w:tcPr>
          <w:p w14:paraId="6ECD342F"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No. of bathrooms</w:t>
            </w:r>
          </w:p>
        </w:tc>
        <w:tc>
          <w:tcPr>
            <w:tcW w:w="4011" w:type="dxa"/>
            <w:shd w:val="clear" w:color="auto" w:fill="auto"/>
            <w:noWrap/>
            <w:vAlign w:val="center"/>
            <w:hideMark/>
          </w:tcPr>
          <w:p w14:paraId="5157D760"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Bathrooms (1 if baths1; 0 otherwise)</w:t>
            </w:r>
          </w:p>
        </w:tc>
      </w:tr>
      <w:tr w:rsidR="00DD24A4" w:rsidRPr="0092237D" w14:paraId="31513E95" w14:textId="77777777" w:rsidTr="0092237D">
        <w:trPr>
          <w:trHeight w:val="179"/>
        </w:trPr>
        <w:tc>
          <w:tcPr>
            <w:tcW w:w="1656" w:type="dxa"/>
            <w:vAlign w:val="center"/>
          </w:tcPr>
          <w:p w14:paraId="1EC1E380"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Area</w:t>
            </w:r>
          </w:p>
        </w:tc>
        <w:tc>
          <w:tcPr>
            <w:tcW w:w="3731" w:type="dxa"/>
            <w:vAlign w:val="center"/>
          </w:tcPr>
          <w:p w14:paraId="0F416F4F"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Size of property (m</w:t>
            </w:r>
            <w:r w:rsidRPr="0092237D">
              <w:rPr>
                <w:rFonts w:ascii="Arial" w:hAnsi="Arial" w:cs="Arial"/>
                <w:b w:val="0"/>
                <w:sz w:val="20"/>
                <w:vertAlign w:val="superscript"/>
              </w:rPr>
              <w:t>2</w:t>
            </w:r>
            <w:r w:rsidRPr="0092237D">
              <w:rPr>
                <w:rFonts w:ascii="Arial" w:hAnsi="Arial" w:cs="Arial"/>
                <w:b w:val="0"/>
                <w:sz w:val="20"/>
              </w:rPr>
              <w:t>)</w:t>
            </w:r>
          </w:p>
        </w:tc>
        <w:tc>
          <w:tcPr>
            <w:tcW w:w="4011" w:type="dxa"/>
            <w:shd w:val="clear" w:color="auto" w:fill="auto"/>
            <w:noWrap/>
            <w:vAlign w:val="center"/>
            <w:hideMark/>
          </w:tcPr>
          <w:p w14:paraId="5C57D9F4"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Scale</w:t>
            </w:r>
          </w:p>
        </w:tc>
      </w:tr>
      <w:tr w:rsidR="00DD24A4" w:rsidRPr="0092237D" w14:paraId="798986AF" w14:textId="77777777" w:rsidTr="0092237D">
        <w:trPr>
          <w:trHeight w:val="225"/>
        </w:trPr>
        <w:tc>
          <w:tcPr>
            <w:tcW w:w="1656" w:type="dxa"/>
            <w:vAlign w:val="center"/>
          </w:tcPr>
          <w:p w14:paraId="14DAA4E9"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Property type</w:t>
            </w:r>
          </w:p>
        </w:tc>
        <w:tc>
          <w:tcPr>
            <w:tcW w:w="3731" w:type="dxa"/>
            <w:vAlign w:val="center"/>
          </w:tcPr>
          <w:p w14:paraId="22F53CC3"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 xml:space="preserve">Type of property </w:t>
            </w:r>
          </w:p>
        </w:tc>
        <w:tc>
          <w:tcPr>
            <w:tcW w:w="4011" w:type="dxa"/>
            <w:shd w:val="clear" w:color="auto" w:fill="auto"/>
            <w:noWrap/>
            <w:vAlign w:val="center"/>
            <w:hideMark/>
          </w:tcPr>
          <w:p w14:paraId="3528CE92"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High-end Apartment; 0 otherwise)</w:t>
            </w:r>
          </w:p>
        </w:tc>
      </w:tr>
      <w:tr w:rsidR="00DD24A4" w:rsidRPr="0092237D" w14:paraId="2EA886FD" w14:textId="77777777" w:rsidTr="0092237D">
        <w:trPr>
          <w:trHeight w:val="70"/>
        </w:trPr>
        <w:tc>
          <w:tcPr>
            <w:tcW w:w="1656" w:type="dxa"/>
            <w:vAlign w:val="center"/>
          </w:tcPr>
          <w:p w14:paraId="2C00EB00" w14:textId="77777777" w:rsidR="00DD24A4" w:rsidRPr="0092237D" w:rsidRDefault="00DD24A4" w:rsidP="00DD24A4">
            <w:pPr>
              <w:pStyle w:val="WPHeading1"/>
              <w:jc w:val="left"/>
              <w:rPr>
                <w:rFonts w:ascii="Arial" w:hAnsi="Arial" w:cs="Arial"/>
                <w:b w:val="0"/>
                <w:sz w:val="20"/>
              </w:rPr>
            </w:pPr>
            <w:proofErr w:type="spellStart"/>
            <w:r w:rsidRPr="0092237D">
              <w:rPr>
                <w:rFonts w:ascii="Arial" w:hAnsi="Arial" w:cs="Arial"/>
                <w:b w:val="0"/>
                <w:sz w:val="20"/>
              </w:rPr>
              <w:t>City</w:t>
            </w:r>
            <w:r w:rsidRPr="0092237D">
              <w:rPr>
                <w:rFonts w:ascii="Arial" w:hAnsi="Arial" w:cs="Arial"/>
                <w:b w:val="0"/>
                <w:sz w:val="20"/>
                <w:vertAlign w:val="superscript"/>
              </w:rPr>
              <w:t>ab</w:t>
            </w:r>
            <w:proofErr w:type="spellEnd"/>
          </w:p>
        </w:tc>
        <w:tc>
          <w:tcPr>
            <w:tcW w:w="3731" w:type="dxa"/>
            <w:vAlign w:val="center"/>
          </w:tcPr>
          <w:p w14:paraId="3A44298E"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Location City of property</w:t>
            </w:r>
          </w:p>
        </w:tc>
        <w:tc>
          <w:tcPr>
            <w:tcW w:w="4011" w:type="dxa"/>
            <w:shd w:val="clear" w:color="auto" w:fill="auto"/>
            <w:noWrap/>
            <w:vAlign w:val="center"/>
          </w:tcPr>
          <w:p w14:paraId="63FAFC28"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Baoding; 0 otherwise)</w:t>
            </w:r>
          </w:p>
        </w:tc>
      </w:tr>
      <w:tr w:rsidR="00DD24A4" w:rsidRPr="0092237D" w14:paraId="11D525BC" w14:textId="77777777" w:rsidTr="0092237D">
        <w:trPr>
          <w:trHeight w:val="249"/>
        </w:trPr>
        <w:tc>
          <w:tcPr>
            <w:tcW w:w="1656" w:type="dxa"/>
            <w:vAlign w:val="center"/>
          </w:tcPr>
          <w:p w14:paraId="124F6670"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 xml:space="preserve">Administrative </w:t>
            </w:r>
            <w:proofErr w:type="spellStart"/>
            <w:r w:rsidRPr="0092237D">
              <w:rPr>
                <w:rFonts w:ascii="Arial" w:hAnsi="Arial" w:cs="Arial"/>
                <w:b w:val="0"/>
                <w:sz w:val="20"/>
              </w:rPr>
              <w:t>District</w:t>
            </w:r>
            <w:r w:rsidRPr="0092237D">
              <w:rPr>
                <w:rFonts w:ascii="Arial" w:hAnsi="Arial" w:cs="Arial"/>
                <w:b w:val="0"/>
                <w:sz w:val="20"/>
                <w:vertAlign w:val="superscript"/>
              </w:rPr>
              <w:t>ab</w:t>
            </w:r>
            <w:proofErr w:type="spellEnd"/>
          </w:p>
        </w:tc>
        <w:tc>
          <w:tcPr>
            <w:tcW w:w="3731" w:type="dxa"/>
            <w:vAlign w:val="center"/>
          </w:tcPr>
          <w:p w14:paraId="0B1997F4"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Administrative district a property is located</w:t>
            </w:r>
          </w:p>
        </w:tc>
        <w:tc>
          <w:tcPr>
            <w:tcW w:w="4011" w:type="dxa"/>
            <w:shd w:val="clear" w:color="auto" w:fill="auto"/>
            <w:noWrap/>
            <w:vAlign w:val="center"/>
          </w:tcPr>
          <w:p w14:paraId="6FE72722"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Baoding; 0 otherwise)</w:t>
            </w:r>
          </w:p>
        </w:tc>
      </w:tr>
      <w:tr w:rsidR="00DD24A4" w:rsidRPr="0092237D" w14:paraId="3B9C12F8" w14:textId="77777777" w:rsidTr="0092237D">
        <w:trPr>
          <w:trHeight w:val="85"/>
        </w:trPr>
        <w:tc>
          <w:tcPr>
            <w:tcW w:w="1656" w:type="dxa"/>
            <w:vAlign w:val="center"/>
          </w:tcPr>
          <w:p w14:paraId="391563CE" w14:textId="77777777" w:rsidR="00DD24A4" w:rsidRPr="0092237D" w:rsidRDefault="00DD24A4" w:rsidP="00DD24A4">
            <w:pPr>
              <w:pStyle w:val="WPHeading1"/>
              <w:jc w:val="left"/>
              <w:rPr>
                <w:rFonts w:ascii="Arial" w:hAnsi="Arial" w:cs="Arial"/>
                <w:b w:val="0"/>
                <w:sz w:val="20"/>
              </w:rPr>
            </w:pPr>
            <w:proofErr w:type="spellStart"/>
            <w:r w:rsidRPr="0092237D">
              <w:rPr>
                <w:rFonts w:ascii="Arial" w:hAnsi="Arial" w:cs="Arial"/>
                <w:b w:val="0"/>
                <w:sz w:val="20"/>
              </w:rPr>
              <w:t>Submarket</w:t>
            </w:r>
            <w:r w:rsidRPr="0092237D">
              <w:rPr>
                <w:rFonts w:ascii="Arial" w:hAnsi="Arial" w:cs="Arial"/>
                <w:b w:val="0"/>
                <w:sz w:val="20"/>
                <w:vertAlign w:val="superscript"/>
              </w:rPr>
              <w:t>ab</w:t>
            </w:r>
            <w:proofErr w:type="spellEnd"/>
          </w:p>
        </w:tc>
        <w:tc>
          <w:tcPr>
            <w:tcW w:w="3731" w:type="dxa"/>
            <w:vAlign w:val="center"/>
          </w:tcPr>
          <w:p w14:paraId="04A2ACC2"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Submarket area a property is located</w:t>
            </w:r>
          </w:p>
        </w:tc>
        <w:tc>
          <w:tcPr>
            <w:tcW w:w="4011" w:type="dxa"/>
            <w:shd w:val="clear" w:color="auto" w:fill="auto"/>
            <w:noWrap/>
            <w:vAlign w:val="center"/>
          </w:tcPr>
          <w:p w14:paraId="6FCA3690" w14:textId="77777777" w:rsidR="00DD24A4" w:rsidRPr="0092237D" w:rsidRDefault="00DD24A4" w:rsidP="00DD24A4">
            <w:pPr>
              <w:pStyle w:val="WPHeading1"/>
              <w:jc w:val="left"/>
              <w:rPr>
                <w:rFonts w:ascii="Arial" w:hAnsi="Arial" w:cs="Arial"/>
                <w:b w:val="0"/>
                <w:sz w:val="20"/>
              </w:rPr>
            </w:pPr>
            <w:r w:rsidRPr="0092237D">
              <w:rPr>
                <w:rFonts w:ascii="Arial" w:hAnsi="Arial" w:cs="Arial"/>
                <w:b w:val="0"/>
                <w:sz w:val="20"/>
              </w:rPr>
              <w:t>Binary (1 if Baoding; 0 otherwise)</w:t>
            </w:r>
          </w:p>
        </w:tc>
      </w:tr>
    </w:tbl>
    <w:p w14:paraId="6D909A38" w14:textId="77777777" w:rsidR="00993AF3" w:rsidRPr="0092237D" w:rsidRDefault="00DD24A4" w:rsidP="00993AF3">
      <w:pPr>
        <w:pStyle w:val="WPHeading1"/>
        <w:jc w:val="left"/>
        <w:rPr>
          <w:rFonts w:ascii="Arial" w:hAnsi="Arial" w:cs="Arial"/>
          <w:b w:val="0"/>
          <w:sz w:val="20"/>
        </w:rPr>
      </w:pPr>
      <w:proofErr w:type="spellStart"/>
      <w:r w:rsidRPr="0092237D">
        <w:rPr>
          <w:rFonts w:ascii="Arial" w:hAnsi="Arial" w:cs="Arial"/>
          <w:b w:val="0"/>
          <w:sz w:val="18"/>
          <w:szCs w:val="18"/>
          <w:vertAlign w:val="superscript"/>
        </w:rPr>
        <w:t>a</w:t>
      </w:r>
      <w:r w:rsidRPr="0092237D">
        <w:rPr>
          <w:rFonts w:ascii="Arial" w:hAnsi="Arial" w:cs="Arial"/>
          <w:b w:val="0"/>
          <w:sz w:val="18"/>
          <w:szCs w:val="18"/>
        </w:rPr>
        <w:t>Binaries</w:t>
      </w:r>
      <w:proofErr w:type="spellEnd"/>
      <w:r w:rsidRPr="0092237D">
        <w:rPr>
          <w:rFonts w:ascii="Arial" w:hAnsi="Arial" w:cs="Arial"/>
          <w:b w:val="0"/>
          <w:sz w:val="18"/>
          <w:szCs w:val="18"/>
        </w:rPr>
        <w:t xml:space="preserve"> used For OLS models only. </w:t>
      </w:r>
      <w:r w:rsidRPr="0092237D">
        <w:rPr>
          <w:rFonts w:ascii="Arial" w:hAnsi="Arial" w:cs="Arial"/>
          <w:b w:val="0"/>
          <w:sz w:val="18"/>
          <w:szCs w:val="18"/>
          <w:vertAlign w:val="superscript"/>
        </w:rPr>
        <w:t>b</w:t>
      </w:r>
      <w:r w:rsidRPr="0092237D">
        <w:rPr>
          <w:rFonts w:ascii="Arial" w:hAnsi="Arial" w:cs="Arial"/>
          <w:b w:val="0"/>
          <w:sz w:val="18"/>
          <w:szCs w:val="18"/>
        </w:rPr>
        <w:t xml:space="preserve">. </w:t>
      </w:r>
      <w:r w:rsidRPr="0092237D">
        <w:rPr>
          <w:rFonts w:ascii="Arial" w:hAnsi="Arial" w:cs="Arial"/>
          <w:b w:val="0"/>
          <w:i/>
          <w:sz w:val="18"/>
          <w:szCs w:val="18"/>
        </w:rPr>
        <w:t>X, Y</w:t>
      </w:r>
      <w:r w:rsidRPr="0092237D">
        <w:rPr>
          <w:rFonts w:ascii="Arial" w:hAnsi="Arial" w:cs="Arial"/>
          <w:b w:val="0"/>
          <w:sz w:val="18"/>
          <w:szCs w:val="18"/>
        </w:rPr>
        <w:t xml:space="preserve"> employed for GWR models.</w:t>
      </w:r>
    </w:p>
    <w:p w14:paraId="5F794649" w14:textId="77777777" w:rsidR="00993AF3" w:rsidRDefault="00993AF3" w:rsidP="00993AF3">
      <w:pPr>
        <w:pStyle w:val="WPHeading1"/>
        <w:jc w:val="left"/>
        <w:rPr>
          <w:b w:val="0"/>
          <w:sz w:val="20"/>
        </w:rPr>
      </w:pPr>
    </w:p>
    <w:p w14:paraId="4A8A46BF" w14:textId="77777777" w:rsidR="004C33D3" w:rsidRDefault="004C33D3" w:rsidP="00993AF3">
      <w:pPr>
        <w:pStyle w:val="WPHeading1"/>
        <w:jc w:val="left"/>
      </w:pPr>
    </w:p>
    <w:p w14:paraId="756A241D" w14:textId="5F2246BA" w:rsidR="00DD24A4" w:rsidRPr="0092237D" w:rsidRDefault="00DD24A4" w:rsidP="0092237D">
      <w:pPr>
        <w:pStyle w:val="WPHeading1"/>
        <w:spacing w:line="360" w:lineRule="auto"/>
        <w:jc w:val="left"/>
        <w:rPr>
          <w:rFonts w:ascii="Arial" w:hAnsi="Arial" w:cs="Arial"/>
          <w:b w:val="0"/>
          <w:sz w:val="20"/>
          <w:szCs w:val="18"/>
        </w:rPr>
      </w:pPr>
      <w:r w:rsidRPr="0092237D">
        <w:rPr>
          <w:rFonts w:ascii="Arial" w:hAnsi="Arial" w:cs="Arial"/>
          <w:sz w:val="22"/>
          <w:szCs w:val="18"/>
        </w:rPr>
        <w:t>Methodology</w:t>
      </w:r>
    </w:p>
    <w:p w14:paraId="03F85C55" w14:textId="77777777" w:rsidR="00DD24A4" w:rsidRPr="0092237D" w:rsidRDefault="00DD24A4" w:rsidP="0092237D">
      <w:pPr>
        <w:pStyle w:val="WPBodyText"/>
        <w:spacing w:line="360" w:lineRule="auto"/>
        <w:jc w:val="both"/>
        <w:rPr>
          <w:rFonts w:ascii="Arial" w:hAnsi="Arial" w:cs="Arial"/>
          <w:sz w:val="22"/>
          <w:szCs w:val="18"/>
        </w:rPr>
      </w:pPr>
      <w:r w:rsidRPr="0092237D">
        <w:rPr>
          <w:rFonts w:ascii="Arial" w:hAnsi="Arial" w:cs="Arial"/>
          <w:sz w:val="22"/>
          <w:szCs w:val="18"/>
        </w:rPr>
        <w:t xml:space="preserve">For automated valuation models (AVMs) to produce accurate, uniform, and defensible values, the completeness and reliability of data is of fundamental concern. With regards to a policy discussion approach and the realistic consideration of an </w:t>
      </w:r>
      <w:r w:rsidRPr="0092237D">
        <w:rPr>
          <w:rFonts w:ascii="Arial" w:hAnsi="Arial" w:cs="Arial"/>
          <w:i/>
          <w:sz w:val="22"/>
          <w:szCs w:val="18"/>
        </w:rPr>
        <w:t>ad valorem</w:t>
      </w:r>
      <w:r w:rsidRPr="0092237D">
        <w:rPr>
          <w:rFonts w:ascii="Arial" w:hAnsi="Arial" w:cs="Arial"/>
          <w:sz w:val="22"/>
          <w:szCs w:val="18"/>
        </w:rPr>
        <w:t xml:space="preserve"> property tax enactment in China, analysis of whether (or not) data is adequate and capable of yielding valuations, in-</w:t>
      </w:r>
      <w:r w:rsidRPr="0092237D">
        <w:rPr>
          <w:rFonts w:ascii="Arial" w:hAnsi="Arial" w:cs="Arial"/>
          <w:sz w:val="22"/>
          <w:szCs w:val="18"/>
        </w:rPr>
        <w:lastRenderedPageBreak/>
        <w:t xml:space="preserve">line with internationally accepted property tax standards, is needed (Deng, 2005). Consequently, utilizing property transactions from varying residential markets, this research evaluates a nationwide assessment of mass appraisal valuation feasibility for the nation of China. A comparison of model performance will extend beyond typical regression diagnostics towards IAAO standard metrics which appraise valuation fairness, equity, and uniformity. This therefore determines the feasibility of creating AVMs in China capable of conforming to IAAO valuation standards, with implications for scalability across national markets. In addition to increasing the understanding of real estate markets and appropriate property tax AVM methodologies in China, this research can aid guide the adoption of valuation policy prescriptions for economies with similar markets and/or similar data to China.    </w:t>
      </w:r>
    </w:p>
    <w:p w14:paraId="69FADCA7" w14:textId="77777777" w:rsidR="00DD24A4" w:rsidRPr="0092237D" w:rsidRDefault="00DD24A4" w:rsidP="0092237D">
      <w:pPr>
        <w:pStyle w:val="WPBodyText"/>
        <w:spacing w:line="360" w:lineRule="auto"/>
        <w:rPr>
          <w:rFonts w:ascii="Arial" w:hAnsi="Arial" w:cs="Arial"/>
          <w:sz w:val="22"/>
          <w:szCs w:val="18"/>
        </w:rPr>
      </w:pPr>
      <w:r w:rsidRPr="0092237D">
        <w:rPr>
          <w:rFonts w:ascii="Arial" w:hAnsi="Arial" w:cs="Arial"/>
          <w:sz w:val="22"/>
          <w:szCs w:val="18"/>
        </w:rPr>
        <w:t xml:space="preserve"> </w:t>
      </w:r>
    </w:p>
    <w:p w14:paraId="287966E3" w14:textId="41003BF1" w:rsidR="00DD24A4" w:rsidRPr="0092237D" w:rsidRDefault="00DD24A4" w:rsidP="0092237D">
      <w:pPr>
        <w:pStyle w:val="WPBodyText"/>
        <w:spacing w:line="360" w:lineRule="auto"/>
        <w:rPr>
          <w:rFonts w:ascii="Arial" w:hAnsi="Arial" w:cs="Arial"/>
          <w:bCs/>
          <w:i/>
          <w:iCs/>
          <w:sz w:val="22"/>
          <w:szCs w:val="18"/>
        </w:rPr>
      </w:pPr>
      <w:r w:rsidRPr="0092237D">
        <w:rPr>
          <w:rFonts w:ascii="Arial" w:hAnsi="Arial" w:cs="Arial"/>
          <w:bCs/>
          <w:i/>
          <w:iCs/>
          <w:sz w:val="22"/>
          <w:szCs w:val="18"/>
        </w:rPr>
        <w:t xml:space="preserve">Measuring Non-uniformity and Inequity in Value-Based Property Taxation </w:t>
      </w:r>
    </w:p>
    <w:p w14:paraId="546CE230" w14:textId="77777777" w:rsidR="00DD24A4" w:rsidRPr="0092237D" w:rsidRDefault="00DD24A4" w:rsidP="0092237D">
      <w:pPr>
        <w:pStyle w:val="WPBodyText"/>
        <w:spacing w:line="360" w:lineRule="auto"/>
        <w:jc w:val="both"/>
        <w:rPr>
          <w:rFonts w:ascii="Arial" w:hAnsi="Arial" w:cs="Arial"/>
          <w:sz w:val="22"/>
          <w:szCs w:val="18"/>
        </w:rPr>
      </w:pPr>
      <w:r w:rsidRPr="0092237D">
        <w:rPr>
          <w:rFonts w:ascii="Arial" w:hAnsi="Arial" w:cs="Arial"/>
          <w:sz w:val="22"/>
          <w:szCs w:val="18"/>
        </w:rPr>
        <w:t>The International Association of Assessing Officers (IAAO) develops and maintains statistical standards by which governments measure, track, and compare valuations with respect to various performance measures, including assessment uniformity and equity (IAAO, 2003). Such statistical analyses are referred to in the property tax arena as “ratio studies”.  The coefficient of dispersion (COD) measures the uniformity of an assessment stratum and provides a measure of the variation of individual assessment-to-sale (ASR) ratio</w:t>
      </w:r>
      <w:r w:rsidRPr="0092237D">
        <w:rPr>
          <w:rFonts w:ascii="Arial" w:hAnsi="Arial" w:cs="Arial"/>
          <w:sz w:val="22"/>
          <w:szCs w:val="18"/>
          <w:vertAlign w:val="superscript"/>
        </w:rPr>
        <w:footnoteReference w:id="7"/>
      </w:r>
      <w:r w:rsidRPr="0092237D">
        <w:rPr>
          <w:rFonts w:ascii="Arial" w:hAnsi="Arial" w:cs="Arial"/>
          <w:sz w:val="22"/>
          <w:szCs w:val="18"/>
        </w:rPr>
        <w:t xml:space="preserve"> around the median ASR. If the individual ASRs are clustered closely around the median, the COD will be low, which suggests the assessments are relatively uniform. However, if the individual ASRs vary widely from the median, the COD will be high, which indicates that the property was not uniformly assessed. Statistically, the COD expresses the average absolute deviation of the individual ASRs from the median ASR as a percentage of that median. It is represented by the following formula: </w:t>
      </w:r>
    </w:p>
    <w:p w14:paraId="702E2F77" w14:textId="77777777" w:rsidR="00DD24A4" w:rsidRPr="0092237D" w:rsidRDefault="00DD24A4" w:rsidP="0092237D">
      <w:pPr>
        <w:pStyle w:val="WPBodyText"/>
        <w:spacing w:line="360" w:lineRule="auto"/>
        <w:rPr>
          <w:rFonts w:ascii="Arial" w:hAnsi="Arial" w:cs="Arial"/>
          <w:sz w:val="22"/>
          <w:szCs w:val="18"/>
        </w:rPr>
      </w:pPr>
    </w:p>
    <w:p w14:paraId="36DFD4E1" w14:textId="77777777" w:rsidR="00DD24A4" w:rsidRPr="00390587" w:rsidRDefault="00DD24A4" w:rsidP="00DD24A4">
      <w:pPr>
        <w:pStyle w:val="WPBodyText"/>
      </w:pPr>
      <m:oMathPara>
        <m:oMathParaPr>
          <m:jc m:val="center"/>
        </m:oMathParaPr>
        <m:oMath>
          <m:r>
            <w:rPr>
              <w:rFonts w:ascii="Cambria Math" w:hAnsi="Cambria Math"/>
              <w:color w:val="000000"/>
              <w:szCs w:val="24"/>
            </w:rPr>
            <m:t xml:space="preserve">COD= </m:t>
          </m:r>
          <m:f>
            <m:fPr>
              <m:ctrlPr>
                <w:rPr>
                  <w:rFonts w:ascii="Cambria Math" w:hAnsi="Cambria Math"/>
                  <w:i/>
                  <w:color w:val="000000"/>
                  <w:szCs w:val="24"/>
                </w:rPr>
              </m:ctrlPr>
            </m:fPr>
            <m:num>
              <m:r>
                <w:rPr>
                  <w:rFonts w:ascii="Cambria Math" w:hAnsi="Cambria Math"/>
                  <w:color w:val="000000"/>
                  <w:szCs w:val="24"/>
                </w:rPr>
                <m:t>100</m:t>
              </m:r>
            </m:num>
            <m:den>
              <m:sSub>
                <m:sSubPr>
                  <m:ctrlPr>
                    <w:rPr>
                      <w:rFonts w:ascii="Cambria Math" w:hAnsi="Cambria Math"/>
                      <w:i/>
                      <w:color w:val="000000"/>
                      <w:szCs w:val="24"/>
                    </w:rPr>
                  </m:ctrlPr>
                </m:sSubPr>
                <m:e>
                  <m:r>
                    <w:rPr>
                      <w:rFonts w:ascii="Cambria Math" w:hAnsi="Cambria Math"/>
                      <w:color w:val="000000"/>
                      <w:szCs w:val="24"/>
                    </w:rPr>
                    <m:t>R</m:t>
                  </m:r>
                </m:e>
                <m:sub>
                  <m:r>
                    <w:rPr>
                      <w:rFonts w:ascii="Cambria Math" w:hAnsi="Cambria Math"/>
                      <w:color w:val="000000"/>
                      <w:szCs w:val="24"/>
                    </w:rPr>
                    <m:t>m</m:t>
                  </m:r>
                </m:sub>
              </m:sSub>
            </m:den>
          </m:f>
          <m:r>
            <w:rPr>
              <w:rFonts w:ascii="Cambria Math" w:hAnsi="Cambria Math"/>
              <w:color w:val="000000"/>
              <w:szCs w:val="24"/>
            </w:rPr>
            <m:t xml:space="preserve"> </m:t>
          </m:r>
          <m:d>
            <m:dPr>
              <m:begChr m:val="["/>
              <m:endChr m:val="]"/>
              <m:ctrlPr>
                <w:rPr>
                  <w:rFonts w:ascii="Cambria Math" w:hAnsi="Cambria Math"/>
                  <w:i/>
                  <w:color w:val="000000"/>
                  <w:szCs w:val="24"/>
                </w:rPr>
              </m:ctrlPr>
            </m:dPr>
            <m:e>
              <m:nary>
                <m:naryPr>
                  <m:chr m:val="∑"/>
                  <m:limLoc m:val="undOvr"/>
                  <m:ctrlPr>
                    <w:rPr>
                      <w:rFonts w:ascii="Cambria Math" w:hAnsi="Cambria Math"/>
                      <w:i/>
                      <w:color w:val="000000"/>
                      <w:szCs w:val="24"/>
                    </w:rPr>
                  </m:ctrlPr>
                </m:naryPr>
                <m:sub>
                  <m:r>
                    <w:rPr>
                      <w:rFonts w:ascii="Cambria Math" w:hAnsi="Cambria Math"/>
                      <w:color w:val="000000"/>
                      <w:szCs w:val="24"/>
                    </w:rPr>
                    <m:t>1</m:t>
                  </m:r>
                </m:sub>
                <m:sup>
                  <m:r>
                    <w:rPr>
                      <w:rFonts w:ascii="Cambria Math" w:hAnsi="Cambria Math"/>
                      <w:color w:val="000000"/>
                      <w:szCs w:val="24"/>
                    </w:rPr>
                    <m:t>N</m:t>
                  </m:r>
                </m:sup>
                <m:e>
                  <m:r>
                    <w:rPr>
                      <w:rFonts w:ascii="Cambria Math" w:hAnsi="Cambria Math"/>
                      <w:color w:val="000000"/>
                      <w:szCs w:val="24"/>
                    </w:rPr>
                    <m:t xml:space="preserve"> </m:t>
                  </m:r>
                  <m:f>
                    <m:fPr>
                      <m:ctrlPr>
                        <w:rPr>
                          <w:rFonts w:ascii="Cambria Math" w:hAnsi="Cambria Math"/>
                          <w:i/>
                          <w:color w:val="000000"/>
                          <w:szCs w:val="24"/>
                        </w:rPr>
                      </m:ctrlPr>
                    </m:fPr>
                    <m:num>
                      <m:sSub>
                        <m:sSubPr>
                          <m:ctrlPr>
                            <w:rPr>
                              <w:rFonts w:ascii="Cambria Math" w:hAnsi="Cambria Math"/>
                              <w:i/>
                              <w:color w:val="000000"/>
                              <w:szCs w:val="24"/>
                            </w:rPr>
                          </m:ctrlPr>
                        </m:sSubPr>
                        <m:e>
                          <m:r>
                            <w:rPr>
                              <w:rFonts w:ascii="Cambria Math" w:hAnsi="Cambria Math"/>
                              <w:color w:val="000000"/>
                              <w:szCs w:val="24"/>
                            </w:rPr>
                            <m:t>|R</m:t>
                          </m:r>
                        </m:e>
                        <m:sub>
                          <m:r>
                            <w:rPr>
                              <w:rFonts w:ascii="Cambria Math" w:hAnsi="Cambria Math"/>
                              <w:color w:val="000000"/>
                              <w:szCs w:val="24"/>
                            </w:rPr>
                            <m:t>i</m:t>
                          </m:r>
                        </m:sub>
                      </m:sSub>
                      <m:r>
                        <w:rPr>
                          <w:rFonts w:ascii="Cambria Math" w:hAnsi="Cambria Math"/>
                          <w:color w:val="000000"/>
                          <w:szCs w:val="24"/>
                        </w:rPr>
                        <m:t xml:space="preserve">- </m:t>
                      </m:r>
                      <m:sSub>
                        <m:sSubPr>
                          <m:ctrlPr>
                            <w:rPr>
                              <w:rFonts w:ascii="Cambria Math" w:hAnsi="Cambria Math"/>
                              <w:i/>
                              <w:color w:val="000000"/>
                              <w:szCs w:val="24"/>
                            </w:rPr>
                          </m:ctrlPr>
                        </m:sSubPr>
                        <m:e>
                          <m:r>
                            <w:rPr>
                              <w:rFonts w:ascii="Cambria Math" w:hAnsi="Cambria Math"/>
                              <w:color w:val="000000"/>
                              <w:szCs w:val="24"/>
                            </w:rPr>
                            <m:t>R</m:t>
                          </m:r>
                        </m:e>
                        <m:sub>
                          <m:r>
                            <w:rPr>
                              <w:rFonts w:ascii="Cambria Math" w:hAnsi="Cambria Math"/>
                              <w:color w:val="000000"/>
                              <w:szCs w:val="24"/>
                            </w:rPr>
                            <m:t>m</m:t>
                          </m:r>
                        </m:sub>
                      </m:sSub>
                      <m:r>
                        <w:rPr>
                          <w:rFonts w:ascii="Cambria Math" w:hAnsi="Cambria Math"/>
                          <w:color w:val="000000"/>
                          <w:szCs w:val="24"/>
                        </w:rPr>
                        <m:t>|</m:t>
                      </m:r>
                    </m:num>
                    <m:den>
                      <m:r>
                        <w:rPr>
                          <w:rFonts w:ascii="Cambria Math" w:hAnsi="Cambria Math"/>
                          <w:color w:val="000000"/>
                          <w:szCs w:val="24"/>
                        </w:rPr>
                        <m:t>n</m:t>
                      </m:r>
                    </m:den>
                  </m:f>
                  <m:r>
                    <w:rPr>
                      <w:rFonts w:ascii="Cambria Math" w:hAnsi="Cambria Math"/>
                      <w:color w:val="000000"/>
                      <w:szCs w:val="24"/>
                    </w:rPr>
                    <m:t xml:space="preserve"> </m:t>
                  </m:r>
                </m:e>
              </m:nary>
            </m:e>
          </m:d>
        </m:oMath>
      </m:oMathPara>
    </w:p>
    <w:p w14:paraId="43F67DE6" w14:textId="77777777" w:rsidR="00DD24A4" w:rsidRPr="00151062" w:rsidRDefault="00DD24A4" w:rsidP="00DD24A4">
      <w:pPr>
        <w:pStyle w:val="WPBodyText"/>
        <w:jc w:val="right"/>
      </w:pPr>
      <w:r>
        <w:t>(1)</w:t>
      </w:r>
    </w:p>
    <w:p w14:paraId="6248C94D" w14:textId="77777777" w:rsidR="00DD24A4" w:rsidRPr="00247392" w:rsidRDefault="00DD24A4" w:rsidP="0092237D">
      <w:pPr>
        <w:pStyle w:val="WPBodyText"/>
        <w:jc w:val="both"/>
        <w:rPr>
          <w:rFonts w:ascii="Arial" w:hAnsi="Arial" w:cs="Arial"/>
          <w:sz w:val="22"/>
          <w:szCs w:val="18"/>
        </w:rPr>
      </w:pPr>
      <w:r w:rsidRPr="00247392">
        <w:rPr>
          <w:rFonts w:ascii="Arial" w:hAnsi="Arial" w:cs="Arial"/>
          <w:sz w:val="22"/>
          <w:szCs w:val="18"/>
        </w:rPr>
        <w:t xml:space="preserve">where: </w:t>
      </w:r>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m</m:t>
            </m:r>
          </m:sub>
        </m:sSub>
      </m:oMath>
      <w:r w:rsidRPr="00247392">
        <w:rPr>
          <w:rFonts w:ascii="Arial" w:hAnsi="Arial" w:cs="Arial"/>
          <w:sz w:val="22"/>
          <w:szCs w:val="18"/>
        </w:rPr>
        <w:t xml:space="preserve">= median ASR; </w:t>
      </w:r>
      <m:oMath>
        <m:sSub>
          <m:sSubPr>
            <m:ctrlPr>
              <w:rPr>
                <w:rFonts w:ascii="Cambria Math" w:hAnsi="Cambria Math" w:cs="Arial"/>
                <w:i/>
                <w:color w:val="000000"/>
                <w:sz w:val="22"/>
                <w:szCs w:val="22"/>
              </w:rPr>
            </m:ctrlPr>
          </m:sSubPr>
          <m:e>
            <m:r>
              <w:rPr>
                <w:rFonts w:ascii="Cambria Math" w:hAnsi="Cambria Math" w:cs="Arial"/>
                <w:color w:val="000000"/>
                <w:sz w:val="22"/>
                <w:szCs w:val="22"/>
              </w:rPr>
              <m:t>R</m:t>
            </m:r>
          </m:e>
          <m:sub>
            <m:r>
              <w:rPr>
                <w:rFonts w:ascii="Cambria Math" w:hAnsi="Cambria Math" w:cs="Arial"/>
                <w:color w:val="000000"/>
                <w:sz w:val="22"/>
                <w:szCs w:val="22"/>
              </w:rPr>
              <m:t>i</m:t>
            </m:r>
          </m:sub>
        </m:sSub>
      </m:oMath>
      <w:r w:rsidRPr="00247392">
        <w:rPr>
          <w:rFonts w:ascii="Arial" w:hAnsi="Arial" w:cs="Arial"/>
          <w:sz w:val="22"/>
          <w:szCs w:val="18"/>
        </w:rPr>
        <w:t xml:space="preserve"> = observed ASR of the </w:t>
      </w:r>
      <w:proofErr w:type="spellStart"/>
      <w:r w:rsidRPr="00247392">
        <w:rPr>
          <w:rFonts w:ascii="Arial" w:hAnsi="Arial" w:cs="Arial"/>
          <w:i/>
          <w:sz w:val="22"/>
          <w:szCs w:val="18"/>
        </w:rPr>
        <w:t>i</w:t>
      </w:r>
      <w:r w:rsidRPr="00247392">
        <w:rPr>
          <w:rFonts w:ascii="Arial" w:hAnsi="Arial" w:cs="Arial"/>
          <w:sz w:val="22"/>
          <w:szCs w:val="18"/>
          <w:vertAlign w:val="superscript"/>
        </w:rPr>
        <w:t>th</w:t>
      </w:r>
      <w:proofErr w:type="spellEnd"/>
      <w:r w:rsidRPr="00247392">
        <w:rPr>
          <w:rFonts w:ascii="Arial" w:hAnsi="Arial" w:cs="Arial"/>
          <w:sz w:val="22"/>
          <w:szCs w:val="18"/>
        </w:rPr>
        <w:t xml:space="preserve"> sale; </w:t>
      </w:r>
      <m:oMath>
        <m:r>
          <w:rPr>
            <w:rFonts w:ascii="Cambria Math" w:hAnsi="Cambria Math" w:cs="Arial"/>
            <w:color w:val="000000"/>
            <w:sz w:val="22"/>
            <w:szCs w:val="18"/>
          </w:rPr>
          <m:t>n</m:t>
        </m:r>
      </m:oMath>
      <w:r w:rsidRPr="00247392">
        <w:rPr>
          <w:rFonts w:ascii="Arial" w:hAnsi="Arial" w:cs="Arial"/>
          <w:sz w:val="22"/>
          <w:szCs w:val="18"/>
        </w:rPr>
        <w:t xml:space="preserve"> = number of properties sampled</w:t>
      </w:r>
    </w:p>
    <w:p w14:paraId="1D5F8CA1" w14:textId="77777777" w:rsidR="00DD24A4" w:rsidRPr="00151062" w:rsidRDefault="00DD24A4" w:rsidP="00DD24A4">
      <w:pPr>
        <w:pStyle w:val="WPBodyText"/>
      </w:pPr>
    </w:p>
    <w:p w14:paraId="75A2C76A" w14:textId="77777777" w:rsidR="00DD24A4" w:rsidRPr="0092237D" w:rsidRDefault="00DD24A4" w:rsidP="00247392">
      <w:pPr>
        <w:pStyle w:val="WPBodyText"/>
        <w:spacing w:line="360" w:lineRule="auto"/>
        <w:jc w:val="both"/>
        <w:rPr>
          <w:rFonts w:ascii="Arial" w:hAnsi="Arial" w:cs="Arial"/>
          <w:sz w:val="22"/>
          <w:szCs w:val="18"/>
        </w:rPr>
      </w:pPr>
      <w:r w:rsidRPr="0092237D">
        <w:rPr>
          <w:rFonts w:ascii="Arial" w:hAnsi="Arial" w:cs="Arial"/>
          <w:sz w:val="22"/>
          <w:szCs w:val="18"/>
        </w:rPr>
        <w:t xml:space="preserve">The price-related differential (PRD) is used to indicate assessment uniformity and to quantify the degree of </w:t>
      </w:r>
      <w:r w:rsidRPr="0092237D">
        <w:rPr>
          <w:rFonts w:ascii="Arial" w:hAnsi="Arial" w:cs="Arial"/>
          <w:i/>
          <w:sz w:val="22"/>
          <w:szCs w:val="18"/>
        </w:rPr>
        <w:t>regressivity</w:t>
      </w:r>
      <w:r w:rsidRPr="0092237D">
        <w:rPr>
          <w:rFonts w:ascii="Arial" w:hAnsi="Arial" w:cs="Arial"/>
          <w:sz w:val="22"/>
          <w:szCs w:val="18"/>
        </w:rPr>
        <w:t xml:space="preserve">, in which the low-value properties are over-assessed relative to the </w:t>
      </w:r>
      <w:r w:rsidRPr="0092237D">
        <w:rPr>
          <w:rFonts w:ascii="Arial" w:hAnsi="Arial" w:cs="Arial"/>
          <w:sz w:val="22"/>
          <w:szCs w:val="18"/>
        </w:rPr>
        <w:lastRenderedPageBreak/>
        <w:t xml:space="preserve">high-value properties, or </w:t>
      </w:r>
      <w:r w:rsidRPr="0092237D">
        <w:rPr>
          <w:rFonts w:ascii="Arial" w:hAnsi="Arial" w:cs="Arial"/>
          <w:i/>
          <w:sz w:val="22"/>
          <w:szCs w:val="18"/>
        </w:rPr>
        <w:t>progressivity</w:t>
      </w:r>
      <w:r w:rsidRPr="0092237D">
        <w:rPr>
          <w:rFonts w:ascii="Arial" w:hAnsi="Arial" w:cs="Arial"/>
          <w:sz w:val="22"/>
          <w:szCs w:val="18"/>
        </w:rPr>
        <w:t xml:space="preserve">, in which the low-value properties are under-assessed relative to the high-value properties. It is calculated as follows: </w:t>
      </w:r>
    </w:p>
    <w:p w14:paraId="00C91FED" w14:textId="77777777" w:rsidR="00DD24A4" w:rsidRPr="00151062" w:rsidRDefault="00DD24A4" w:rsidP="00DD24A4">
      <w:pPr>
        <w:pStyle w:val="WPBodyText"/>
        <w:rPr>
          <w:u w:val="single"/>
        </w:rPr>
      </w:pPr>
      <w:r w:rsidRPr="00151062">
        <w:t xml:space="preserve"> </w:t>
      </w:r>
      <w:r w:rsidRPr="00151062">
        <w:tab/>
      </w:r>
      <w:r w:rsidRPr="00151062">
        <w:tab/>
      </w:r>
      <w:r w:rsidRPr="00151062">
        <w:tab/>
      </w:r>
      <w:r w:rsidRPr="00151062">
        <w:tab/>
      </w:r>
    </w:p>
    <w:p w14:paraId="3EDA88A9" w14:textId="77777777" w:rsidR="00DD24A4" w:rsidRPr="00B053BD" w:rsidRDefault="00DD24A4" w:rsidP="00DD24A4">
      <w:pPr>
        <w:pStyle w:val="WPBodyText"/>
      </w:pPr>
      <m:oMathPara>
        <m:oMathParaPr>
          <m:jc m:val="center"/>
        </m:oMathParaPr>
        <m:oMath>
          <m:r>
            <w:rPr>
              <w:rFonts w:ascii="Cambria Math" w:hAnsi="Cambria Math"/>
              <w:color w:val="000000"/>
              <w:szCs w:val="24"/>
            </w:rPr>
            <m:t xml:space="preserve">PRD= </m:t>
          </m:r>
          <m:f>
            <m:fPr>
              <m:ctrlPr>
                <w:rPr>
                  <w:rFonts w:ascii="Cambria Math" w:hAnsi="Cambria Math"/>
                  <w:i/>
                  <w:color w:val="000000"/>
                  <w:szCs w:val="24"/>
                </w:rPr>
              </m:ctrlPr>
            </m:fPr>
            <m:num>
              <m:nary>
                <m:naryPr>
                  <m:chr m:val="∑"/>
                  <m:limLoc m:val="undOvr"/>
                  <m:supHide m:val="1"/>
                  <m:ctrlPr>
                    <w:rPr>
                      <w:rFonts w:ascii="Cambria Math" w:hAnsi="Cambria Math"/>
                      <w:i/>
                      <w:color w:val="000000"/>
                      <w:szCs w:val="24"/>
                    </w:rPr>
                  </m:ctrlPr>
                </m:naryPr>
                <m:sub>
                  <m:r>
                    <w:rPr>
                      <w:rFonts w:ascii="Cambria Math" w:hAnsi="Cambria Math"/>
                      <w:color w:val="000000"/>
                      <w:szCs w:val="24"/>
                    </w:rPr>
                    <m:t>i</m:t>
                  </m:r>
                </m:sub>
                <m:sup/>
                <m:e>
                  <m:f>
                    <m:fPr>
                      <m:ctrlPr>
                        <w:rPr>
                          <w:rFonts w:ascii="Cambria Math" w:hAnsi="Cambria Math"/>
                          <w:i/>
                          <w:color w:val="000000"/>
                          <w:szCs w:val="24"/>
                        </w:rPr>
                      </m:ctrlPr>
                    </m:fPr>
                    <m:num>
                      <m:d>
                        <m:dPr>
                          <m:begChr m:val="["/>
                          <m:endChr m:val="]"/>
                          <m:ctrlPr>
                            <w:rPr>
                              <w:rFonts w:ascii="Cambria Math" w:hAnsi="Cambria Math"/>
                              <w:i/>
                              <w:color w:val="000000"/>
                              <w:szCs w:val="24"/>
                            </w:rPr>
                          </m:ctrlPr>
                        </m:dPr>
                        <m:e>
                          <m:f>
                            <m:fPr>
                              <m:ctrlPr>
                                <w:rPr>
                                  <w:rFonts w:ascii="Cambria Math" w:hAnsi="Cambria Math"/>
                                  <w:i/>
                                  <w:color w:val="000000"/>
                                  <w:szCs w:val="24"/>
                                </w:rPr>
                              </m:ctrlPr>
                            </m:fPr>
                            <m:num>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num>
                            <m:den>
                              <m:sSub>
                                <m:sSubPr>
                                  <m:ctrlPr>
                                    <w:rPr>
                                      <w:rFonts w:ascii="Cambria Math" w:hAnsi="Cambria Math"/>
                                      <w:i/>
                                      <w:color w:val="000000"/>
                                      <w:szCs w:val="24"/>
                                    </w:rPr>
                                  </m:ctrlPr>
                                </m:sSubPr>
                                <m:e>
                                  <m:r>
                                    <w:rPr>
                                      <w:rFonts w:ascii="Cambria Math" w:hAnsi="Cambria Math"/>
                                      <w:color w:val="000000"/>
                                      <w:szCs w:val="24"/>
                                    </w:rPr>
                                    <m:t>Y</m:t>
                                  </m:r>
                                </m:e>
                                <m:sub>
                                  <m:r>
                                    <w:rPr>
                                      <w:rFonts w:ascii="Cambria Math" w:hAnsi="Cambria Math"/>
                                      <w:color w:val="000000"/>
                                      <w:szCs w:val="24"/>
                                    </w:rPr>
                                    <m:t>i</m:t>
                                  </m:r>
                                </m:sub>
                              </m:sSub>
                            </m:den>
                          </m:f>
                        </m:e>
                      </m:d>
                    </m:num>
                    <m:den>
                      <m:r>
                        <w:rPr>
                          <w:rFonts w:ascii="Cambria Math" w:hAnsi="Cambria Math"/>
                          <w:color w:val="000000"/>
                          <w:szCs w:val="24"/>
                        </w:rPr>
                        <m:t>n</m:t>
                      </m:r>
                    </m:den>
                  </m:f>
                </m:e>
              </m:nary>
            </m:num>
            <m:den>
              <m:nary>
                <m:naryPr>
                  <m:chr m:val="∑"/>
                  <m:limLoc m:val="undOvr"/>
                  <m:supHide m:val="1"/>
                  <m:ctrlPr>
                    <w:rPr>
                      <w:rFonts w:ascii="Cambria Math" w:hAnsi="Cambria Math"/>
                      <w:i/>
                      <w:color w:val="000000"/>
                      <w:szCs w:val="24"/>
                    </w:rPr>
                  </m:ctrlPr>
                </m:naryPr>
                <m:sub>
                  <m:r>
                    <w:rPr>
                      <w:rFonts w:ascii="Cambria Math" w:hAnsi="Cambria Math"/>
                      <w:color w:val="000000"/>
                      <w:szCs w:val="24"/>
                    </w:rPr>
                    <m:t>i</m:t>
                  </m:r>
                </m:sub>
                <m:sup/>
                <m:e>
                  <m:d>
                    <m:dPr>
                      <m:begChr m:val="["/>
                      <m:endChr m:val="]"/>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Y</m:t>
                          </m:r>
                        </m:e>
                        <m:sub>
                          <m:r>
                            <w:rPr>
                              <w:rFonts w:ascii="Cambria Math" w:hAnsi="Cambria Math"/>
                              <w:color w:val="000000"/>
                              <w:szCs w:val="24"/>
                            </w:rPr>
                            <m:t>i</m:t>
                          </m:r>
                        </m:sub>
                      </m:sSub>
                      <m:r>
                        <w:rPr>
                          <w:rFonts w:ascii="Cambria Math" w:hAnsi="Cambria Math"/>
                          <w:color w:val="000000"/>
                          <w:szCs w:val="24"/>
                        </w:rPr>
                        <m:t>*(</m:t>
                      </m:r>
                      <m:f>
                        <m:fPr>
                          <m:ctrlPr>
                            <w:rPr>
                              <w:rFonts w:ascii="Cambria Math" w:hAnsi="Cambria Math"/>
                              <w:i/>
                              <w:color w:val="000000"/>
                              <w:szCs w:val="24"/>
                            </w:rPr>
                          </m:ctrlPr>
                        </m:fPr>
                        <m:num>
                          <m:sSub>
                            <m:sSubPr>
                              <m:ctrlPr>
                                <w:rPr>
                                  <w:rFonts w:ascii="Cambria Math" w:hAnsi="Cambria Math"/>
                                  <w:i/>
                                  <w:color w:val="000000"/>
                                  <w:szCs w:val="24"/>
                                </w:rPr>
                              </m:ctrlPr>
                            </m:sSubPr>
                            <m:e>
                              <m:acc>
                                <m:accPr>
                                  <m:ctrlPr>
                                    <w:rPr>
                                      <w:rFonts w:ascii="Cambria Math" w:hAnsi="Cambria Math"/>
                                      <w:i/>
                                      <w:color w:val="000000"/>
                                      <w:szCs w:val="24"/>
                                    </w:rPr>
                                  </m:ctrlPr>
                                </m:accPr>
                                <m:e>
                                  <m:r>
                                    <w:rPr>
                                      <w:rFonts w:ascii="Cambria Math" w:hAnsi="Cambria Math"/>
                                      <w:color w:val="000000"/>
                                      <w:szCs w:val="24"/>
                                    </w:rPr>
                                    <m:t>Y</m:t>
                                  </m:r>
                                </m:e>
                              </m:acc>
                            </m:e>
                            <m:sub>
                              <m:r>
                                <w:rPr>
                                  <w:rFonts w:ascii="Cambria Math" w:hAnsi="Cambria Math"/>
                                  <w:color w:val="000000"/>
                                  <w:szCs w:val="24"/>
                                </w:rPr>
                                <m:t>i</m:t>
                              </m:r>
                            </m:sub>
                          </m:sSub>
                        </m:num>
                        <m:den>
                          <m:sSub>
                            <m:sSubPr>
                              <m:ctrlPr>
                                <w:rPr>
                                  <w:rFonts w:ascii="Cambria Math" w:hAnsi="Cambria Math"/>
                                  <w:i/>
                                  <w:color w:val="000000"/>
                                  <w:szCs w:val="24"/>
                                </w:rPr>
                              </m:ctrlPr>
                            </m:sSubPr>
                            <m:e>
                              <m:r>
                                <w:rPr>
                                  <w:rFonts w:ascii="Cambria Math" w:hAnsi="Cambria Math"/>
                                  <w:color w:val="000000"/>
                                  <w:szCs w:val="24"/>
                                </w:rPr>
                                <m:t>Y</m:t>
                              </m:r>
                            </m:e>
                            <m:sub>
                              <m:r>
                                <w:rPr>
                                  <w:rFonts w:ascii="Cambria Math" w:hAnsi="Cambria Math"/>
                                  <w:color w:val="000000"/>
                                  <w:szCs w:val="24"/>
                                </w:rPr>
                                <m:t>i</m:t>
                              </m:r>
                            </m:sub>
                          </m:sSub>
                        </m:den>
                      </m:f>
                      <m:r>
                        <w:rPr>
                          <w:rFonts w:ascii="Cambria Math" w:hAnsi="Cambria Math"/>
                          <w:color w:val="000000"/>
                          <w:szCs w:val="24"/>
                        </w:rPr>
                        <m:t>)</m:t>
                      </m:r>
                    </m:e>
                  </m:d>
                  <m:r>
                    <w:rPr>
                      <w:rFonts w:ascii="Cambria Math" w:hAnsi="Cambria Math"/>
                      <w:color w:val="000000"/>
                      <w:szCs w:val="24"/>
                    </w:rPr>
                    <m:t>/</m:t>
                  </m:r>
                  <m:nary>
                    <m:naryPr>
                      <m:chr m:val="∑"/>
                      <m:limLoc m:val="undOvr"/>
                      <m:supHide m:val="1"/>
                      <m:ctrlPr>
                        <w:rPr>
                          <w:rFonts w:ascii="Cambria Math" w:hAnsi="Cambria Math"/>
                          <w:i/>
                          <w:color w:val="000000"/>
                          <w:szCs w:val="24"/>
                        </w:rPr>
                      </m:ctrlPr>
                    </m:naryPr>
                    <m:sub>
                      <m:r>
                        <w:rPr>
                          <w:rFonts w:ascii="Cambria Math" w:hAnsi="Cambria Math"/>
                          <w:color w:val="000000"/>
                          <w:szCs w:val="24"/>
                        </w:rPr>
                        <m:t>i</m:t>
                      </m:r>
                    </m:sub>
                    <m:sup/>
                    <m:e>
                      <m:sSub>
                        <m:sSubPr>
                          <m:ctrlPr>
                            <w:rPr>
                              <w:rFonts w:ascii="Cambria Math" w:hAnsi="Cambria Math"/>
                              <w:i/>
                              <w:color w:val="000000"/>
                              <w:szCs w:val="24"/>
                            </w:rPr>
                          </m:ctrlPr>
                        </m:sSubPr>
                        <m:e>
                          <m:r>
                            <w:rPr>
                              <w:rFonts w:ascii="Cambria Math" w:hAnsi="Cambria Math"/>
                              <w:color w:val="000000"/>
                              <w:szCs w:val="24"/>
                            </w:rPr>
                            <m:t>Y</m:t>
                          </m:r>
                        </m:e>
                        <m:sub>
                          <m:r>
                            <w:rPr>
                              <w:rFonts w:ascii="Cambria Math" w:hAnsi="Cambria Math"/>
                              <w:color w:val="000000"/>
                              <w:szCs w:val="24"/>
                            </w:rPr>
                            <m:t>i</m:t>
                          </m:r>
                        </m:sub>
                      </m:sSub>
                    </m:e>
                  </m:nary>
                </m:e>
              </m:nary>
            </m:den>
          </m:f>
        </m:oMath>
      </m:oMathPara>
    </w:p>
    <w:p w14:paraId="60B992C3" w14:textId="77777777" w:rsidR="00DD24A4" w:rsidRPr="00151062" w:rsidRDefault="00DD24A4" w:rsidP="00DD24A4">
      <w:pPr>
        <w:pStyle w:val="WPBodyText"/>
        <w:jc w:val="right"/>
      </w:pPr>
      <w:r>
        <w:t>(2)</w:t>
      </w:r>
    </w:p>
    <w:p w14:paraId="1A417535" w14:textId="77777777" w:rsidR="00247392" w:rsidRDefault="00247392" w:rsidP="00DD24A4">
      <w:pPr>
        <w:pStyle w:val="WPBodyText"/>
        <w:rPr>
          <w:rFonts w:ascii="Arial" w:hAnsi="Arial" w:cs="Arial"/>
          <w:sz w:val="22"/>
          <w:szCs w:val="18"/>
        </w:rPr>
      </w:pPr>
    </w:p>
    <w:p w14:paraId="4A402033" w14:textId="731225CF" w:rsidR="00DD24A4" w:rsidRPr="00247392" w:rsidRDefault="00DD24A4" w:rsidP="00247392">
      <w:pPr>
        <w:pStyle w:val="WPBodyText"/>
        <w:jc w:val="both"/>
        <w:rPr>
          <w:rFonts w:ascii="Arial" w:hAnsi="Arial" w:cs="Arial"/>
          <w:sz w:val="22"/>
          <w:szCs w:val="18"/>
        </w:rPr>
      </w:pPr>
      <w:r w:rsidRPr="00247392">
        <w:rPr>
          <w:rFonts w:ascii="Arial" w:hAnsi="Arial" w:cs="Arial"/>
          <w:sz w:val="22"/>
          <w:szCs w:val="18"/>
        </w:rPr>
        <w:t xml:space="preserve">where: </w:t>
      </w:r>
      <m:oMath>
        <m:sSub>
          <m:sSubPr>
            <m:ctrlPr>
              <w:rPr>
                <w:rFonts w:ascii="Cambria Math" w:hAnsi="Cambria Math" w:cs="Arial"/>
                <w:i/>
                <w:color w:val="000000"/>
                <w:sz w:val="22"/>
                <w:szCs w:val="22"/>
              </w:rPr>
            </m:ctrlPr>
          </m:sSubPr>
          <m:e>
            <m:acc>
              <m:accPr>
                <m:ctrlPr>
                  <w:rPr>
                    <w:rFonts w:ascii="Cambria Math" w:hAnsi="Cambria Math" w:cs="Arial"/>
                    <w:i/>
                    <w:color w:val="000000"/>
                    <w:sz w:val="22"/>
                    <w:szCs w:val="22"/>
                  </w:rPr>
                </m:ctrlPr>
              </m:accPr>
              <m:e>
                <m:r>
                  <w:rPr>
                    <w:rFonts w:ascii="Cambria Math" w:hAnsi="Cambria Math" w:cs="Arial"/>
                    <w:color w:val="000000"/>
                    <w:sz w:val="22"/>
                    <w:szCs w:val="22"/>
                  </w:rPr>
                  <m:t>Y</m:t>
                </m:r>
              </m:e>
            </m:acc>
          </m:e>
          <m:sub>
            <m:r>
              <w:rPr>
                <w:rFonts w:ascii="Cambria Math" w:hAnsi="Cambria Math" w:cs="Arial"/>
                <w:color w:val="000000"/>
                <w:sz w:val="22"/>
                <w:szCs w:val="22"/>
              </w:rPr>
              <m:t>i</m:t>
            </m:r>
          </m:sub>
        </m:sSub>
        <m:r>
          <w:rPr>
            <w:rFonts w:ascii="Cambria Math" w:hAnsi="Cambria Math" w:cs="Arial"/>
            <w:color w:val="000000"/>
            <w:sz w:val="22"/>
            <w:szCs w:val="22"/>
          </w:rPr>
          <m:t xml:space="preserve"> </m:t>
        </m:r>
      </m:oMath>
      <w:r w:rsidRPr="00247392">
        <w:rPr>
          <w:rFonts w:ascii="Arial" w:hAnsi="Arial" w:cs="Arial"/>
          <w:sz w:val="22"/>
          <w:szCs w:val="18"/>
        </w:rPr>
        <w:t xml:space="preserve">= predicted sale price of the </w:t>
      </w:r>
      <w:proofErr w:type="spellStart"/>
      <w:r w:rsidRPr="00247392">
        <w:rPr>
          <w:rFonts w:ascii="Arial" w:hAnsi="Arial" w:cs="Arial"/>
          <w:sz w:val="22"/>
          <w:szCs w:val="18"/>
        </w:rPr>
        <w:t>ith</w:t>
      </w:r>
      <w:proofErr w:type="spellEnd"/>
      <w:r w:rsidRPr="00247392">
        <w:rPr>
          <w:rFonts w:ascii="Arial" w:hAnsi="Arial" w:cs="Arial"/>
          <w:sz w:val="22"/>
          <w:szCs w:val="18"/>
        </w:rPr>
        <w:t xml:space="preserve"> sale; </w:t>
      </w:r>
      <m:oMath>
        <m:sSub>
          <m:sSubPr>
            <m:ctrlPr>
              <w:rPr>
                <w:rFonts w:ascii="Cambria Math" w:hAnsi="Cambria Math" w:cs="Arial"/>
                <w:i/>
                <w:color w:val="000000"/>
                <w:sz w:val="22"/>
                <w:szCs w:val="22"/>
              </w:rPr>
            </m:ctrlPr>
          </m:sSubPr>
          <m:e>
            <m:r>
              <w:rPr>
                <w:rFonts w:ascii="Cambria Math" w:hAnsi="Cambria Math" w:cs="Arial"/>
                <w:color w:val="000000"/>
                <w:sz w:val="22"/>
                <w:szCs w:val="22"/>
              </w:rPr>
              <m:t>Y</m:t>
            </m:r>
          </m:e>
          <m:sub>
            <m:r>
              <w:rPr>
                <w:rFonts w:ascii="Cambria Math" w:hAnsi="Cambria Math" w:cs="Arial"/>
                <w:color w:val="000000"/>
                <w:sz w:val="22"/>
                <w:szCs w:val="22"/>
              </w:rPr>
              <m:t>i</m:t>
            </m:r>
          </m:sub>
        </m:sSub>
      </m:oMath>
      <w:r w:rsidRPr="00247392">
        <w:rPr>
          <w:rFonts w:ascii="Arial" w:hAnsi="Arial" w:cs="Arial"/>
          <w:sz w:val="22"/>
          <w:szCs w:val="18"/>
        </w:rPr>
        <w:t xml:space="preserve"> = observed sale price of the ith sale; </w:t>
      </w:r>
      <m:oMath>
        <m:r>
          <w:rPr>
            <w:rFonts w:ascii="Cambria Math" w:hAnsi="Cambria Math" w:cs="Arial"/>
            <w:color w:val="000000"/>
            <w:sz w:val="22"/>
            <w:szCs w:val="22"/>
          </w:rPr>
          <m:t>n</m:t>
        </m:r>
      </m:oMath>
      <w:r w:rsidRPr="00247392">
        <w:rPr>
          <w:rFonts w:ascii="Arial" w:hAnsi="Arial" w:cs="Arial"/>
          <w:sz w:val="22"/>
          <w:szCs w:val="18"/>
        </w:rPr>
        <w:t xml:space="preserve"> = number of properties sampled</w:t>
      </w:r>
    </w:p>
    <w:p w14:paraId="19202ACF" w14:textId="77777777" w:rsidR="00DD24A4" w:rsidRPr="00151062" w:rsidRDefault="00DD24A4" w:rsidP="00DD24A4">
      <w:pPr>
        <w:pStyle w:val="WPBodyText"/>
      </w:pPr>
    </w:p>
    <w:p w14:paraId="0216F85B" w14:textId="77777777" w:rsidR="00DD24A4" w:rsidRPr="0092237D" w:rsidRDefault="00DD24A4" w:rsidP="0092237D">
      <w:pPr>
        <w:pStyle w:val="WPBodyText"/>
        <w:spacing w:line="360" w:lineRule="auto"/>
        <w:jc w:val="both"/>
        <w:rPr>
          <w:rFonts w:ascii="Arial" w:hAnsi="Arial" w:cs="Arial"/>
          <w:sz w:val="22"/>
          <w:szCs w:val="18"/>
        </w:rPr>
      </w:pPr>
      <w:r w:rsidRPr="0092237D">
        <w:rPr>
          <w:rFonts w:ascii="Arial" w:hAnsi="Arial" w:cs="Arial"/>
          <w:sz w:val="22"/>
          <w:szCs w:val="18"/>
        </w:rPr>
        <w:t xml:space="preserve">The benchmark range for the PRD is 0.98 to 1.03 (IAAO, 2013). If there is a tendency for the ASRs of high value properties to be lower than those of low-value properties, the PRD will be greater than 1.03. If, on the other hand, high-value properties have higher ASRs than low-valued properties, the PRD will be less than 0.98. In this regard, the PRD measures the pattern of inequity in assessments that has a correlation with the value of the property. This has important policy implications as appropriate vertical equity measurements can indicate whether relative tax valuations are fair and equitable, or if an undue burden is falling on poorer households that have a lower ability to pay the property taxes.  </w:t>
      </w:r>
    </w:p>
    <w:p w14:paraId="46427487" w14:textId="77777777" w:rsidR="00DD24A4" w:rsidRPr="0092237D" w:rsidRDefault="00DD24A4" w:rsidP="0092237D">
      <w:pPr>
        <w:pStyle w:val="WPBodyText"/>
        <w:spacing w:line="360" w:lineRule="auto"/>
        <w:rPr>
          <w:rFonts w:ascii="Arial" w:hAnsi="Arial" w:cs="Arial"/>
          <w:sz w:val="22"/>
          <w:szCs w:val="18"/>
        </w:rPr>
      </w:pPr>
    </w:p>
    <w:p w14:paraId="26D0A9B3" w14:textId="6C99B0D8" w:rsidR="00DD24A4" w:rsidRPr="0092237D" w:rsidRDefault="00DD24A4" w:rsidP="0092237D">
      <w:pPr>
        <w:pStyle w:val="WPBodyText"/>
        <w:spacing w:line="360" w:lineRule="auto"/>
        <w:jc w:val="both"/>
        <w:rPr>
          <w:rFonts w:ascii="Arial" w:hAnsi="Arial" w:cs="Arial"/>
          <w:b/>
        </w:rPr>
      </w:pPr>
      <w:r w:rsidRPr="0092237D">
        <w:rPr>
          <w:rFonts w:ascii="Arial" w:hAnsi="Arial" w:cs="Arial"/>
          <w:b/>
        </w:rPr>
        <w:t xml:space="preserve">Valuation Methodology </w:t>
      </w:r>
    </w:p>
    <w:p w14:paraId="2E0AF4CC" w14:textId="38F11FBC" w:rsidR="00DD24A4" w:rsidRPr="00B47E65" w:rsidRDefault="00DD24A4" w:rsidP="0092237D">
      <w:pPr>
        <w:pStyle w:val="WPBodyText"/>
        <w:spacing w:line="360" w:lineRule="auto"/>
        <w:jc w:val="both"/>
        <w:rPr>
          <w:rFonts w:ascii="Arial" w:hAnsi="Arial" w:cs="Arial"/>
          <w:sz w:val="22"/>
          <w:szCs w:val="18"/>
        </w:rPr>
      </w:pPr>
      <w:r w:rsidRPr="00B47E65">
        <w:rPr>
          <w:rFonts w:ascii="Arial" w:hAnsi="Arial" w:cs="Arial"/>
          <w:sz w:val="22"/>
          <w:szCs w:val="18"/>
        </w:rPr>
        <w:t xml:space="preserve">There are a variety of spatial based modelling frameworks in existence for examining house prices and undertaking valuation practices – principally AVMs. </w:t>
      </w:r>
      <w:r w:rsidR="0092237D" w:rsidRPr="00B47E65">
        <w:rPr>
          <w:rFonts w:ascii="Arial" w:hAnsi="Arial" w:cs="Arial"/>
          <w:sz w:val="22"/>
          <w:szCs w:val="18"/>
        </w:rPr>
        <w:t>T</w:t>
      </w:r>
      <w:r w:rsidRPr="00B47E65">
        <w:rPr>
          <w:rFonts w:ascii="Arial" w:hAnsi="Arial" w:cs="Arial"/>
          <w:sz w:val="22"/>
          <w:szCs w:val="18"/>
        </w:rPr>
        <w:t>his study employs both a traditional OLS and a more spatially local weighted regression methodological approach</w:t>
      </w:r>
      <w:r w:rsidR="0092237D" w:rsidRPr="00B47E65">
        <w:rPr>
          <w:rFonts w:ascii="Arial" w:hAnsi="Arial" w:cs="Arial"/>
          <w:sz w:val="22"/>
          <w:szCs w:val="18"/>
        </w:rPr>
        <w:t xml:space="preserve"> namely Geographically Weighted Regression (GWR)</w:t>
      </w:r>
      <w:r w:rsidRPr="00B47E65">
        <w:rPr>
          <w:rFonts w:ascii="Arial" w:hAnsi="Arial" w:cs="Arial"/>
          <w:sz w:val="22"/>
          <w:szCs w:val="18"/>
        </w:rPr>
        <w:t xml:space="preserve">. </w:t>
      </w:r>
    </w:p>
    <w:p w14:paraId="755DF57F" w14:textId="77777777" w:rsidR="00DD24A4" w:rsidRPr="0092237D" w:rsidRDefault="00DD24A4" w:rsidP="0092237D">
      <w:pPr>
        <w:pStyle w:val="WPBodyText"/>
        <w:spacing w:line="360" w:lineRule="auto"/>
        <w:jc w:val="both"/>
        <w:rPr>
          <w:rFonts w:ascii="Arial" w:hAnsi="Arial" w:cs="Arial"/>
        </w:rPr>
      </w:pPr>
    </w:p>
    <w:p w14:paraId="04AA7657" w14:textId="29A651B7" w:rsidR="00DD24A4" w:rsidRPr="00B47E65" w:rsidRDefault="00DD24A4" w:rsidP="0092237D">
      <w:pPr>
        <w:pStyle w:val="WPBodyText"/>
        <w:spacing w:line="360" w:lineRule="auto"/>
        <w:jc w:val="both"/>
        <w:rPr>
          <w:rFonts w:ascii="Arial" w:hAnsi="Arial" w:cs="Arial"/>
          <w:i/>
          <w:iCs/>
          <w:sz w:val="22"/>
          <w:szCs w:val="18"/>
        </w:rPr>
      </w:pPr>
      <w:r w:rsidRPr="00B47E65">
        <w:rPr>
          <w:rFonts w:ascii="Arial" w:hAnsi="Arial" w:cs="Arial"/>
          <w:i/>
          <w:iCs/>
          <w:sz w:val="22"/>
          <w:szCs w:val="18"/>
        </w:rPr>
        <w:t>OLS (Spatial Regime) Model</w:t>
      </w:r>
    </w:p>
    <w:p w14:paraId="1A8AABA5" w14:textId="77777777" w:rsidR="00DD24A4" w:rsidRPr="00B47E65" w:rsidRDefault="00DD24A4" w:rsidP="0092237D">
      <w:pPr>
        <w:pStyle w:val="WPBodyText"/>
        <w:spacing w:line="360" w:lineRule="auto"/>
        <w:jc w:val="both"/>
        <w:rPr>
          <w:rFonts w:ascii="Arial" w:hAnsi="Arial" w:cs="Arial"/>
          <w:sz w:val="22"/>
          <w:szCs w:val="18"/>
        </w:rPr>
      </w:pPr>
      <w:r w:rsidRPr="00B47E65">
        <w:rPr>
          <w:rFonts w:ascii="Arial" w:hAnsi="Arial" w:cs="Arial"/>
          <w:sz w:val="22"/>
          <w:szCs w:val="18"/>
        </w:rPr>
        <w:t xml:space="preserve">The basic objective of multiple regression analysis is to develop a strong predictive relationship between property characteristics and value, so that the latter can be estimated through knowledge of the former. The semi-log linear fit is applied within the modelling frameworks due to computational efficiency and interpretability which provides useful interpretations of the independent variable coefficients in terms of their elasticity in respect to the dependent variable. The semi-log specification is as follows: </w:t>
      </w:r>
    </w:p>
    <w:p w14:paraId="54E789B8" w14:textId="77777777" w:rsidR="00DD24A4" w:rsidRDefault="00DD24A4" w:rsidP="00DD24A4">
      <w:pPr>
        <w:pStyle w:val="WPBodyText"/>
      </w:pPr>
    </w:p>
    <w:p w14:paraId="519B3B33" w14:textId="77777777" w:rsidR="00DD24A4" w:rsidRPr="00556BCF" w:rsidRDefault="00DD24A4" w:rsidP="00DD24A4">
      <w:pPr>
        <w:pStyle w:val="WPBodyText"/>
        <w:jc w:val="center"/>
      </w:pPr>
      <w:r w:rsidRPr="00556BCF">
        <w:object w:dxaOrig="3860" w:dyaOrig="360" w14:anchorId="7D09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4.5pt" o:ole="">
            <v:imagedata r:id="rId13" o:title=""/>
          </v:shape>
          <o:OLEObject Type="Embed" ProgID="Equation.3" ShapeID="_x0000_i1025" DrawAspect="Content" ObjectID="_1661918322" r:id="rId14"/>
        </w:object>
      </w:r>
    </w:p>
    <w:p w14:paraId="4B3AE7D2" w14:textId="77777777" w:rsidR="00DD24A4" w:rsidRDefault="00DD24A4" w:rsidP="00DD24A4">
      <w:pPr>
        <w:pStyle w:val="WPBodyText"/>
        <w:jc w:val="right"/>
      </w:pPr>
      <w:r>
        <w:t>(3)</w:t>
      </w:r>
    </w:p>
    <w:p w14:paraId="2DDC4A64" w14:textId="77777777" w:rsidR="004C33D3" w:rsidRDefault="004C33D3" w:rsidP="004C33D3">
      <w:pPr>
        <w:pStyle w:val="WPBodyText"/>
        <w:jc w:val="both"/>
      </w:pPr>
    </w:p>
    <w:p w14:paraId="771EB5C4" w14:textId="77777777" w:rsidR="00DD24A4" w:rsidRPr="0092237D" w:rsidRDefault="00DD24A4" w:rsidP="004C33D3">
      <w:pPr>
        <w:pStyle w:val="WPBodyText"/>
        <w:jc w:val="both"/>
        <w:rPr>
          <w:rFonts w:ascii="Arial" w:hAnsi="Arial" w:cs="Arial"/>
          <w:b/>
          <w:sz w:val="22"/>
          <w:szCs w:val="18"/>
        </w:rPr>
      </w:pPr>
      <w:r w:rsidRPr="0092237D">
        <w:rPr>
          <w:rFonts w:ascii="Arial" w:hAnsi="Arial" w:cs="Arial"/>
          <w:sz w:val="22"/>
          <w:szCs w:val="18"/>
        </w:rPr>
        <w:t xml:space="preserve">Where; </w:t>
      </w:r>
      <w:proofErr w:type="spellStart"/>
      <w:r w:rsidRPr="0092237D">
        <w:rPr>
          <w:rFonts w:ascii="Arial" w:hAnsi="Arial" w:cs="Arial"/>
          <w:i/>
          <w:sz w:val="22"/>
          <w:szCs w:val="18"/>
        </w:rPr>
        <w:t>LnY</w:t>
      </w:r>
      <w:proofErr w:type="spellEnd"/>
      <w:r w:rsidRPr="0092237D">
        <w:rPr>
          <w:rFonts w:ascii="Arial" w:hAnsi="Arial" w:cs="Arial"/>
          <w:sz w:val="22"/>
          <w:szCs w:val="18"/>
        </w:rPr>
        <w:t xml:space="preserve"> is the dependent variable (log of sale price), X</w:t>
      </w:r>
      <w:r w:rsidRPr="0092237D">
        <w:rPr>
          <w:rFonts w:ascii="Arial" w:hAnsi="Arial" w:cs="Arial"/>
          <w:sz w:val="22"/>
          <w:szCs w:val="18"/>
          <w:vertAlign w:val="subscript"/>
        </w:rPr>
        <w:t>1</w:t>
      </w:r>
      <w:r w:rsidRPr="0092237D">
        <w:rPr>
          <w:rFonts w:ascii="Arial" w:hAnsi="Arial" w:cs="Arial"/>
          <w:sz w:val="22"/>
          <w:szCs w:val="18"/>
        </w:rPr>
        <w:t>......</w:t>
      </w:r>
      <w:proofErr w:type="spellStart"/>
      <w:r w:rsidRPr="0092237D">
        <w:rPr>
          <w:rFonts w:ascii="Arial" w:hAnsi="Arial" w:cs="Arial"/>
          <w:sz w:val="22"/>
          <w:szCs w:val="18"/>
        </w:rPr>
        <w:t>X</w:t>
      </w:r>
      <w:r w:rsidRPr="0092237D">
        <w:rPr>
          <w:rFonts w:ascii="Arial" w:hAnsi="Arial" w:cs="Arial"/>
          <w:sz w:val="22"/>
          <w:szCs w:val="18"/>
          <w:vertAlign w:val="subscript"/>
        </w:rPr>
        <w:t>n</w:t>
      </w:r>
      <w:proofErr w:type="spellEnd"/>
      <w:r w:rsidRPr="0092237D">
        <w:rPr>
          <w:rFonts w:ascii="Arial" w:hAnsi="Arial" w:cs="Arial"/>
          <w:sz w:val="22"/>
          <w:szCs w:val="18"/>
        </w:rPr>
        <w:t xml:space="preserve"> are the independent variables; Β</w:t>
      </w:r>
      <w:r w:rsidRPr="0092237D">
        <w:rPr>
          <w:rFonts w:ascii="Arial" w:hAnsi="Arial" w:cs="Arial"/>
          <w:sz w:val="22"/>
          <w:szCs w:val="18"/>
          <w:vertAlign w:val="subscript"/>
        </w:rPr>
        <w:t>0</w:t>
      </w:r>
      <w:r w:rsidRPr="0092237D">
        <w:rPr>
          <w:rFonts w:ascii="Arial" w:hAnsi="Arial" w:cs="Arial"/>
          <w:sz w:val="22"/>
          <w:szCs w:val="18"/>
        </w:rPr>
        <w:t xml:space="preserve"> ....β</w:t>
      </w:r>
      <w:r w:rsidRPr="0092237D">
        <w:rPr>
          <w:rFonts w:ascii="Arial" w:hAnsi="Arial" w:cs="Arial"/>
          <w:sz w:val="22"/>
          <w:szCs w:val="18"/>
          <w:vertAlign w:val="subscript"/>
        </w:rPr>
        <w:t>n</w:t>
      </w:r>
      <w:r w:rsidRPr="0092237D">
        <w:rPr>
          <w:rFonts w:ascii="Arial" w:hAnsi="Arial" w:cs="Arial"/>
          <w:sz w:val="22"/>
          <w:szCs w:val="18"/>
        </w:rPr>
        <w:t xml:space="preserve"> are parameters to be estimated; with ε the error term.</w:t>
      </w:r>
    </w:p>
    <w:p w14:paraId="70301F6E" w14:textId="77777777" w:rsidR="00DD24A4" w:rsidRPr="00556BCF" w:rsidRDefault="00DD24A4" w:rsidP="00DD24A4">
      <w:pPr>
        <w:pStyle w:val="WPBodyText"/>
      </w:pPr>
    </w:p>
    <w:p w14:paraId="3DE3A7F8" w14:textId="6A9EDA59" w:rsidR="0092237D" w:rsidRDefault="0092237D" w:rsidP="0092237D">
      <w:pPr>
        <w:pStyle w:val="WPBodyText"/>
        <w:spacing w:line="360" w:lineRule="auto"/>
        <w:rPr>
          <w:rFonts w:ascii="Arial" w:hAnsi="Arial" w:cs="Arial"/>
          <w:i/>
          <w:iCs/>
          <w:sz w:val="22"/>
          <w:szCs w:val="18"/>
        </w:rPr>
      </w:pPr>
    </w:p>
    <w:p w14:paraId="6B2B72CE" w14:textId="77777777" w:rsidR="00B47E65" w:rsidRDefault="00B47E65" w:rsidP="0092237D">
      <w:pPr>
        <w:pStyle w:val="WPBodyText"/>
        <w:spacing w:line="360" w:lineRule="auto"/>
        <w:rPr>
          <w:rFonts w:ascii="Arial" w:hAnsi="Arial" w:cs="Arial"/>
          <w:i/>
          <w:iCs/>
          <w:sz w:val="22"/>
          <w:szCs w:val="18"/>
        </w:rPr>
      </w:pPr>
    </w:p>
    <w:p w14:paraId="0F9525C5" w14:textId="61AFA052" w:rsidR="00DD24A4" w:rsidRPr="0092237D" w:rsidRDefault="00DD24A4" w:rsidP="0092237D">
      <w:pPr>
        <w:pStyle w:val="WPBodyText"/>
        <w:spacing w:line="360" w:lineRule="auto"/>
        <w:rPr>
          <w:rFonts w:ascii="Arial" w:hAnsi="Arial" w:cs="Arial"/>
          <w:i/>
          <w:iCs/>
          <w:sz w:val="22"/>
          <w:szCs w:val="18"/>
        </w:rPr>
      </w:pPr>
      <w:r w:rsidRPr="0092237D">
        <w:rPr>
          <w:rFonts w:ascii="Arial" w:hAnsi="Arial" w:cs="Arial"/>
          <w:i/>
          <w:iCs/>
          <w:sz w:val="22"/>
          <w:szCs w:val="18"/>
        </w:rPr>
        <w:t>Geographically Weighted Regression Model</w:t>
      </w:r>
    </w:p>
    <w:p w14:paraId="67D6BEA6" w14:textId="08B823C3" w:rsidR="00DD24A4" w:rsidRPr="0092237D" w:rsidRDefault="00DD24A4" w:rsidP="0092237D">
      <w:pPr>
        <w:pStyle w:val="WPBodyText"/>
        <w:spacing w:line="360" w:lineRule="auto"/>
        <w:jc w:val="both"/>
        <w:rPr>
          <w:rFonts w:ascii="Arial" w:hAnsi="Arial" w:cs="Arial"/>
          <w:sz w:val="22"/>
          <w:szCs w:val="18"/>
        </w:rPr>
      </w:pPr>
      <w:r w:rsidRPr="0092237D">
        <w:rPr>
          <w:rFonts w:ascii="Arial" w:hAnsi="Arial" w:cs="Arial"/>
          <w:sz w:val="22"/>
          <w:szCs w:val="18"/>
        </w:rPr>
        <w:t xml:space="preserve">Locally weighted regression (LWR) is an extension of traditional ordinary least squares (OLS) that has demonstrated, in certain cases, superior performance with respect to explanatory power (Brunson </w:t>
      </w:r>
      <w:r w:rsidR="00D47BE6" w:rsidRPr="00D47BE6">
        <w:rPr>
          <w:rFonts w:ascii="Arial" w:hAnsi="Arial" w:cs="Arial"/>
          <w:i/>
          <w:iCs/>
          <w:sz w:val="22"/>
          <w:szCs w:val="18"/>
        </w:rPr>
        <w:t>et al.</w:t>
      </w:r>
      <w:r w:rsidRPr="0092237D">
        <w:rPr>
          <w:rFonts w:ascii="Arial" w:hAnsi="Arial" w:cs="Arial"/>
          <w:sz w:val="22"/>
          <w:szCs w:val="18"/>
        </w:rPr>
        <w:t xml:space="preserve">, 1996; McMillen 1996; Brunson 1998). Geographically weighted regression (GWR) is an LWR technique allows observations in closer geographic proximity a subject property to receive more consideration than those further away (Fotheringham </w:t>
      </w:r>
      <w:r w:rsidR="00D47BE6" w:rsidRPr="00D47BE6">
        <w:rPr>
          <w:rFonts w:ascii="Arial" w:hAnsi="Arial" w:cs="Arial"/>
          <w:i/>
          <w:iCs/>
          <w:sz w:val="22"/>
          <w:szCs w:val="18"/>
        </w:rPr>
        <w:t>et al.</w:t>
      </w:r>
      <w:r w:rsidRPr="0092237D">
        <w:rPr>
          <w:rFonts w:ascii="Arial" w:hAnsi="Arial" w:cs="Arial"/>
          <w:sz w:val="22"/>
          <w:szCs w:val="18"/>
        </w:rPr>
        <w:t xml:space="preserve">, 2002). Real estate markets characteristically behave differently over geographic space, and price determinants may vary greatly by location. Conventional OLS models are often unable to accurately account for spatial variation, resulting in a spatial correlation of error terms (spatial autocorrelation) with dummy variables used to capture and isolate locational variations not fully correcting for spatial autocorrelation (Fotheringham </w:t>
      </w:r>
      <w:r w:rsidR="00D47BE6" w:rsidRPr="00D47BE6">
        <w:rPr>
          <w:rFonts w:ascii="Arial" w:hAnsi="Arial" w:cs="Arial"/>
          <w:i/>
          <w:iCs/>
          <w:sz w:val="22"/>
          <w:szCs w:val="18"/>
        </w:rPr>
        <w:t>et al.</w:t>
      </w:r>
      <w:r w:rsidRPr="0092237D">
        <w:rPr>
          <w:rFonts w:ascii="Arial" w:hAnsi="Arial" w:cs="Arial"/>
          <w:sz w:val="22"/>
          <w:szCs w:val="18"/>
        </w:rPr>
        <w:t xml:space="preserve">, 2002; McMillen 2010). With regard to IAAO ratio study standards, evaluation estimates produced by GWR mass appraisal models have been shown to achieve superior results in comparison to OLS models (Borst and McCluskey, 2008; Moore, 2009; Moore and Myers, 2010; Lockwood and Rossini, 2011; McCluskey </w:t>
      </w:r>
      <w:r w:rsidR="00D47BE6" w:rsidRPr="00D47BE6">
        <w:rPr>
          <w:rFonts w:ascii="Arial" w:hAnsi="Arial" w:cs="Arial"/>
          <w:i/>
          <w:iCs/>
          <w:sz w:val="22"/>
          <w:szCs w:val="18"/>
        </w:rPr>
        <w:t>et al.</w:t>
      </w:r>
      <w:r w:rsidRPr="0092237D">
        <w:rPr>
          <w:rFonts w:ascii="Arial" w:hAnsi="Arial" w:cs="Arial"/>
          <w:sz w:val="22"/>
          <w:szCs w:val="18"/>
        </w:rPr>
        <w:t xml:space="preserve">, 2013; Bidanset and Lombard, 2014). GWR is represented by the following formula: </w:t>
      </w:r>
    </w:p>
    <w:p w14:paraId="345CC19B" w14:textId="77777777" w:rsidR="00DD24A4" w:rsidRPr="00556BCF" w:rsidRDefault="00DD24A4" w:rsidP="00DD24A4">
      <w:pPr>
        <w:pStyle w:val="WPBodyText"/>
      </w:pPr>
    </w:p>
    <w:p w14:paraId="657C2AA0" w14:textId="77777777" w:rsidR="00DD24A4" w:rsidRPr="00556BCF" w:rsidRDefault="00DD24A4" w:rsidP="00DD24A4">
      <w:pPr>
        <w:pStyle w:val="WPBodyText"/>
        <w:jc w:val="center"/>
      </w:pPr>
      <w:proofErr w:type="spellStart"/>
      <w:r w:rsidRPr="00556BCF">
        <w:rPr>
          <w:i/>
        </w:rPr>
        <w:t>yi</w:t>
      </w:r>
      <w:proofErr w:type="spellEnd"/>
      <w:r w:rsidRPr="00556BCF">
        <w:rPr>
          <w:i/>
        </w:rPr>
        <w:t xml:space="preserve"> = </w:t>
      </w:r>
      <w:r w:rsidRPr="00556BCF">
        <w:t>β0(</w:t>
      </w:r>
      <w:proofErr w:type="spellStart"/>
      <w:r w:rsidRPr="00556BCF">
        <w:rPr>
          <w:i/>
        </w:rPr>
        <w:t>xi,yi</w:t>
      </w:r>
      <w:proofErr w:type="spellEnd"/>
      <w:r w:rsidRPr="00556BCF">
        <w:t>)</w:t>
      </w:r>
      <w:r w:rsidRPr="00556BCF">
        <w:rPr>
          <w:i/>
        </w:rPr>
        <w:t xml:space="preserve"> + ∑ </w:t>
      </w:r>
      <w:r w:rsidRPr="00556BCF">
        <w:t>β</w:t>
      </w:r>
      <w:r w:rsidRPr="00556BCF">
        <w:rPr>
          <w:i/>
        </w:rPr>
        <w:t xml:space="preserve">k </w:t>
      </w:r>
      <w:r w:rsidRPr="00556BCF">
        <w:t>(</w:t>
      </w:r>
      <w:proofErr w:type="spellStart"/>
      <w:r w:rsidRPr="00556BCF">
        <w:rPr>
          <w:i/>
        </w:rPr>
        <w:t>xi,yi</w:t>
      </w:r>
      <w:proofErr w:type="spellEnd"/>
      <w:r w:rsidRPr="00556BCF">
        <w:t>)</w:t>
      </w:r>
      <w:proofErr w:type="spellStart"/>
      <w:r w:rsidRPr="00556BCF">
        <w:rPr>
          <w:i/>
        </w:rPr>
        <w:t>xik</w:t>
      </w:r>
      <w:proofErr w:type="spellEnd"/>
      <w:r w:rsidRPr="00556BCF">
        <w:rPr>
          <w:i/>
        </w:rPr>
        <w:t xml:space="preserve"> + </w:t>
      </w:r>
      <w:proofErr w:type="spellStart"/>
      <w:r w:rsidRPr="00556BCF">
        <w:rPr>
          <w:i/>
        </w:rPr>
        <w:t>εi</w:t>
      </w:r>
      <w:proofErr w:type="spellEnd"/>
    </w:p>
    <w:p w14:paraId="677C3BBA" w14:textId="77777777" w:rsidR="00DD24A4" w:rsidRDefault="00DD24A4" w:rsidP="00DD24A4">
      <w:pPr>
        <w:pStyle w:val="WPBodyText"/>
        <w:jc w:val="right"/>
      </w:pPr>
      <w:r>
        <w:t>(</w:t>
      </w:r>
      <w:r w:rsidR="00993AF3">
        <w:t>4</w:t>
      </w:r>
      <w:r>
        <w:t>)</w:t>
      </w:r>
    </w:p>
    <w:p w14:paraId="240C3539" w14:textId="77777777" w:rsidR="00DD24A4" w:rsidRPr="0092237D" w:rsidRDefault="00DD24A4" w:rsidP="00DD24A4">
      <w:pPr>
        <w:pStyle w:val="WPBodyText"/>
        <w:rPr>
          <w:rFonts w:ascii="Arial" w:hAnsi="Arial" w:cs="Arial"/>
          <w:sz w:val="22"/>
          <w:szCs w:val="18"/>
        </w:rPr>
      </w:pPr>
      <w:r w:rsidRPr="0092237D">
        <w:rPr>
          <w:rFonts w:ascii="Arial" w:hAnsi="Arial" w:cs="Arial"/>
          <w:sz w:val="22"/>
          <w:szCs w:val="18"/>
        </w:rPr>
        <w:t xml:space="preserve">where: </w:t>
      </w:r>
      <w:proofErr w:type="spellStart"/>
      <w:r w:rsidRPr="0092237D">
        <w:rPr>
          <w:rFonts w:ascii="Arial" w:hAnsi="Arial" w:cs="Arial"/>
          <w:i/>
          <w:sz w:val="22"/>
          <w:szCs w:val="18"/>
        </w:rPr>
        <w:t>y</w:t>
      </w:r>
      <w:r w:rsidRPr="0092237D">
        <w:rPr>
          <w:rFonts w:ascii="Arial" w:hAnsi="Arial" w:cs="Arial"/>
          <w:i/>
          <w:sz w:val="22"/>
          <w:szCs w:val="18"/>
          <w:vertAlign w:val="subscript"/>
        </w:rPr>
        <w:t>i</w:t>
      </w:r>
      <w:proofErr w:type="spellEnd"/>
      <w:r w:rsidRPr="0092237D">
        <w:rPr>
          <w:rFonts w:ascii="Arial" w:hAnsi="Arial" w:cs="Arial"/>
          <w:sz w:val="22"/>
          <w:szCs w:val="18"/>
        </w:rPr>
        <w:t xml:space="preserve"> = </w:t>
      </w:r>
      <w:proofErr w:type="spellStart"/>
      <w:r w:rsidRPr="0092237D">
        <w:rPr>
          <w:rFonts w:ascii="Arial" w:hAnsi="Arial" w:cs="Arial"/>
          <w:i/>
          <w:sz w:val="22"/>
          <w:szCs w:val="18"/>
        </w:rPr>
        <w:t>i</w:t>
      </w:r>
      <w:r w:rsidRPr="0092237D">
        <w:rPr>
          <w:rFonts w:ascii="Arial" w:hAnsi="Arial" w:cs="Arial"/>
          <w:sz w:val="22"/>
          <w:szCs w:val="18"/>
          <w:vertAlign w:val="superscript"/>
        </w:rPr>
        <w:t>th</w:t>
      </w:r>
      <w:proofErr w:type="spellEnd"/>
      <w:r w:rsidRPr="0092237D">
        <w:rPr>
          <w:rFonts w:ascii="Arial" w:hAnsi="Arial" w:cs="Arial"/>
          <w:sz w:val="22"/>
          <w:szCs w:val="18"/>
        </w:rPr>
        <w:t xml:space="preserve"> sale; β</w:t>
      </w:r>
      <w:r w:rsidRPr="0092237D">
        <w:rPr>
          <w:rFonts w:ascii="Arial" w:hAnsi="Arial" w:cs="Arial"/>
          <w:sz w:val="22"/>
          <w:szCs w:val="18"/>
          <w:vertAlign w:val="subscript"/>
        </w:rPr>
        <w:t xml:space="preserve">0 </w:t>
      </w:r>
      <w:r w:rsidRPr="0092237D">
        <w:rPr>
          <w:rFonts w:ascii="Arial" w:hAnsi="Arial" w:cs="Arial"/>
          <w:sz w:val="22"/>
          <w:szCs w:val="18"/>
        </w:rPr>
        <w:t>= model intercept; β</w:t>
      </w:r>
      <w:r w:rsidRPr="0092237D">
        <w:rPr>
          <w:rFonts w:ascii="Arial" w:hAnsi="Arial" w:cs="Arial"/>
          <w:i/>
          <w:sz w:val="22"/>
          <w:szCs w:val="18"/>
          <w:vertAlign w:val="subscript"/>
        </w:rPr>
        <w:t>k</w:t>
      </w:r>
      <w:r w:rsidRPr="0092237D">
        <w:rPr>
          <w:rFonts w:ascii="Arial" w:hAnsi="Arial" w:cs="Arial"/>
          <w:sz w:val="22"/>
          <w:szCs w:val="18"/>
        </w:rPr>
        <w:t xml:space="preserve"> = </w:t>
      </w:r>
      <w:r w:rsidRPr="0092237D">
        <w:rPr>
          <w:rFonts w:ascii="Arial" w:hAnsi="Arial" w:cs="Arial"/>
          <w:i/>
          <w:sz w:val="22"/>
          <w:szCs w:val="18"/>
        </w:rPr>
        <w:t>k</w:t>
      </w:r>
      <w:r w:rsidRPr="0092237D">
        <w:rPr>
          <w:rFonts w:ascii="Arial" w:hAnsi="Arial" w:cs="Arial"/>
          <w:sz w:val="22"/>
          <w:szCs w:val="18"/>
          <w:vertAlign w:val="superscript"/>
        </w:rPr>
        <w:t xml:space="preserve">th </w:t>
      </w:r>
      <w:r w:rsidRPr="0092237D">
        <w:rPr>
          <w:rFonts w:ascii="Arial" w:hAnsi="Arial" w:cs="Arial"/>
          <w:sz w:val="22"/>
          <w:szCs w:val="18"/>
        </w:rPr>
        <w:t xml:space="preserve">coefficient; </w:t>
      </w:r>
      <w:proofErr w:type="spellStart"/>
      <w:r w:rsidRPr="0092237D">
        <w:rPr>
          <w:rFonts w:ascii="Arial" w:hAnsi="Arial" w:cs="Arial"/>
          <w:i/>
          <w:sz w:val="22"/>
          <w:szCs w:val="18"/>
        </w:rPr>
        <w:t>x</w:t>
      </w:r>
      <w:r w:rsidRPr="0092237D">
        <w:rPr>
          <w:rFonts w:ascii="Arial" w:hAnsi="Arial" w:cs="Arial"/>
          <w:i/>
          <w:sz w:val="22"/>
          <w:szCs w:val="18"/>
          <w:vertAlign w:val="subscript"/>
        </w:rPr>
        <w:t>ik</w:t>
      </w:r>
      <w:proofErr w:type="spellEnd"/>
      <w:r w:rsidRPr="0092237D">
        <w:rPr>
          <w:rFonts w:ascii="Arial" w:hAnsi="Arial" w:cs="Arial"/>
          <w:sz w:val="22"/>
          <w:szCs w:val="18"/>
        </w:rPr>
        <w:t xml:space="preserve"> = </w:t>
      </w:r>
      <w:r w:rsidRPr="0092237D">
        <w:rPr>
          <w:rFonts w:ascii="Arial" w:hAnsi="Arial" w:cs="Arial"/>
          <w:i/>
          <w:sz w:val="22"/>
          <w:szCs w:val="18"/>
        </w:rPr>
        <w:t>k</w:t>
      </w:r>
      <w:r w:rsidRPr="0092237D">
        <w:rPr>
          <w:rFonts w:ascii="Arial" w:hAnsi="Arial" w:cs="Arial"/>
          <w:sz w:val="22"/>
          <w:szCs w:val="18"/>
          <w:vertAlign w:val="superscript"/>
        </w:rPr>
        <w:t>th</w:t>
      </w:r>
      <w:r w:rsidRPr="0092237D">
        <w:rPr>
          <w:rFonts w:ascii="Arial" w:hAnsi="Arial" w:cs="Arial"/>
          <w:sz w:val="22"/>
          <w:szCs w:val="18"/>
        </w:rPr>
        <w:t xml:space="preserve"> variable for the </w:t>
      </w:r>
      <w:proofErr w:type="spellStart"/>
      <w:r w:rsidRPr="0092237D">
        <w:rPr>
          <w:rFonts w:ascii="Arial" w:hAnsi="Arial" w:cs="Arial"/>
          <w:i/>
          <w:sz w:val="22"/>
          <w:szCs w:val="18"/>
        </w:rPr>
        <w:t>i</w:t>
      </w:r>
      <w:r w:rsidRPr="0092237D">
        <w:rPr>
          <w:rFonts w:ascii="Arial" w:hAnsi="Arial" w:cs="Arial"/>
          <w:sz w:val="22"/>
          <w:szCs w:val="18"/>
          <w:vertAlign w:val="superscript"/>
        </w:rPr>
        <w:t>th</w:t>
      </w:r>
      <w:proofErr w:type="spellEnd"/>
      <w:r w:rsidRPr="0092237D">
        <w:rPr>
          <w:rFonts w:ascii="Arial" w:hAnsi="Arial" w:cs="Arial"/>
          <w:sz w:val="22"/>
          <w:szCs w:val="18"/>
        </w:rPr>
        <w:t xml:space="preserve"> sale; </w:t>
      </w:r>
      <w:proofErr w:type="spellStart"/>
      <w:r w:rsidRPr="0092237D">
        <w:rPr>
          <w:rFonts w:ascii="Arial" w:hAnsi="Arial" w:cs="Arial"/>
          <w:i/>
          <w:sz w:val="22"/>
          <w:szCs w:val="18"/>
        </w:rPr>
        <w:t>ε</w:t>
      </w:r>
      <w:r w:rsidRPr="0092237D">
        <w:rPr>
          <w:rFonts w:ascii="Arial" w:hAnsi="Arial" w:cs="Arial"/>
          <w:i/>
          <w:sz w:val="22"/>
          <w:szCs w:val="18"/>
          <w:vertAlign w:val="subscript"/>
        </w:rPr>
        <w:t>i</w:t>
      </w:r>
      <w:proofErr w:type="spellEnd"/>
      <w:r w:rsidRPr="0092237D">
        <w:rPr>
          <w:rFonts w:ascii="Arial" w:hAnsi="Arial" w:cs="Arial"/>
          <w:i/>
          <w:sz w:val="22"/>
          <w:szCs w:val="18"/>
          <w:vertAlign w:val="subscript"/>
        </w:rPr>
        <w:t xml:space="preserve"> </w:t>
      </w:r>
      <w:r w:rsidRPr="0092237D">
        <w:rPr>
          <w:rFonts w:ascii="Arial" w:hAnsi="Arial" w:cs="Arial"/>
          <w:sz w:val="22"/>
          <w:szCs w:val="18"/>
        </w:rPr>
        <w:t xml:space="preserve">= error term of the </w:t>
      </w:r>
      <w:proofErr w:type="spellStart"/>
      <w:r w:rsidRPr="0092237D">
        <w:rPr>
          <w:rFonts w:ascii="Arial" w:hAnsi="Arial" w:cs="Arial"/>
          <w:i/>
          <w:sz w:val="22"/>
          <w:szCs w:val="18"/>
        </w:rPr>
        <w:t>i</w:t>
      </w:r>
      <w:r w:rsidRPr="0092237D">
        <w:rPr>
          <w:rFonts w:ascii="Arial" w:hAnsi="Arial" w:cs="Arial"/>
          <w:sz w:val="22"/>
          <w:szCs w:val="18"/>
          <w:vertAlign w:val="superscript"/>
        </w:rPr>
        <w:t>th</w:t>
      </w:r>
      <w:proofErr w:type="spellEnd"/>
      <w:r w:rsidRPr="0092237D">
        <w:rPr>
          <w:rFonts w:ascii="Arial" w:hAnsi="Arial" w:cs="Arial"/>
          <w:sz w:val="22"/>
          <w:szCs w:val="18"/>
        </w:rPr>
        <w:t xml:space="preserve"> sale; (</w:t>
      </w:r>
      <w:r w:rsidRPr="0092237D">
        <w:rPr>
          <w:rFonts w:ascii="Arial" w:hAnsi="Arial" w:cs="Arial"/>
          <w:i/>
          <w:sz w:val="22"/>
          <w:szCs w:val="18"/>
        </w:rPr>
        <w:t>x</w:t>
      </w:r>
      <w:r w:rsidRPr="0092237D">
        <w:rPr>
          <w:rFonts w:ascii="Arial" w:hAnsi="Arial" w:cs="Arial"/>
          <w:i/>
          <w:sz w:val="22"/>
          <w:szCs w:val="18"/>
          <w:vertAlign w:val="subscript"/>
        </w:rPr>
        <w:t>i,</w:t>
      </w:r>
      <w:r w:rsidRPr="0092237D">
        <w:rPr>
          <w:rFonts w:ascii="Arial" w:hAnsi="Arial" w:cs="Arial"/>
          <w:i/>
          <w:sz w:val="22"/>
          <w:szCs w:val="18"/>
        </w:rPr>
        <w:t xml:space="preserve"> </w:t>
      </w:r>
      <w:proofErr w:type="spellStart"/>
      <w:r w:rsidRPr="0092237D">
        <w:rPr>
          <w:rFonts w:ascii="Arial" w:hAnsi="Arial" w:cs="Arial"/>
          <w:i/>
          <w:sz w:val="22"/>
          <w:szCs w:val="18"/>
        </w:rPr>
        <w:t>y</w:t>
      </w:r>
      <w:r w:rsidRPr="0092237D">
        <w:rPr>
          <w:rFonts w:ascii="Arial" w:hAnsi="Arial" w:cs="Arial"/>
          <w:i/>
          <w:sz w:val="22"/>
          <w:szCs w:val="18"/>
          <w:vertAlign w:val="subscript"/>
        </w:rPr>
        <w:t>i</w:t>
      </w:r>
      <w:proofErr w:type="spellEnd"/>
      <w:r w:rsidRPr="0092237D">
        <w:rPr>
          <w:rFonts w:ascii="Arial" w:hAnsi="Arial" w:cs="Arial"/>
          <w:sz w:val="22"/>
          <w:szCs w:val="18"/>
        </w:rPr>
        <w:t xml:space="preserve">) = </w:t>
      </w:r>
      <w:proofErr w:type="spellStart"/>
      <w:r w:rsidRPr="0092237D">
        <w:rPr>
          <w:rFonts w:ascii="Arial" w:hAnsi="Arial" w:cs="Arial"/>
          <w:sz w:val="22"/>
          <w:szCs w:val="18"/>
        </w:rPr>
        <w:t>xy</w:t>
      </w:r>
      <w:proofErr w:type="spellEnd"/>
      <w:r w:rsidRPr="0092237D">
        <w:rPr>
          <w:rFonts w:ascii="Arial" w:hAnsi="Arial" w:cs="Arial"/>
          <w:i/>
          <w:sz w:val="22"/>
          <w:szCs w:val="18"/>
        </w:rPr>
        <w:t xml:space="preserve"> </w:t>
      </w:r>
      <w:r w:rsidRPr="0092237D">
        <w:rPr>
          <w:rFonts w:ascii="Arial" w:hAnsi="Arial" w:cs="Arial"/>
          <w:sz w:val="22"/>
          <w:szCs w:val="18"/>
        </w:rPr>
        <w:t xml:space="preserve">coordinates of the </w:t>
      </w:r>
      <w:proofErr w:type="spellStart"/>
      <w:r w:rsidRPr="0092237D">
        <w:rPr>
          <w:rFonts w:ascii="Arial" w:hAnsi="Arial" w:cs="Arial"/>
          <w:i/>
          <w:sz w:val="22"/>
          <w:szCs w:val="18"/>
        </w:rPr>
        <w:t>i</w:t>
      </w:r>
      <w:r w:rsidRPr="0092237D">
        <w:rPr>
          <w:rFonts w:ascii="Arial" w:hAnsi="Arial" w:cs="Arial"/>
          <w:sz w:val="22"/>
          <w:szCs w:val="18"/>
          <w:vertAlign w:val="superscript"/>
        </w:rPr>
        <w:t>th</w:t>
      </w:r>
      <w:proofErr w:type="spellEnd"/>
      <w:r w:rsidRPr="0092237D">
        <w:rPr>
          <w:rFonts w:ascii="Arial" w:hAnsi="Arial" w:cs="Arial"/>
          <w:sz w:val="22"/>
          <w:szCs w:val="18"/>
        </w:rPr>
        <w:t xml:space="preserve"> regression point.</w:t>
      </w:r>
    </w:p>
    <w:p w14:paraId="03629FB5" w14:textId="77777777" w:rsidR="00DD24A4" w:rsidRDefault="00DD24A4" w:rsidP="00DD24A4">
      <w:pPr>
        <w:pStyle w:val="WPBodyText"/>
      </w:pPr>
    </w:p>
    <w:p w14:paraId="7995879E" w14:textId="186D3B9F" w:rsidR="00DD24A4" w:rsidRPr="0092237D" w:rsidRDefault="00DD24A4" w:rsidP="0092237D">
      <w:pPr>
        <w:pStyle w:val="WPBodyText"/>
        <w:spacing w:line="360" w:lineRule="auto"/>
        <w:jc w:val="both"/>
        <w:rPr>
          <w:rFonts w:ascii="Arial" w:hAnsi="Arial" w:cs="Arial"/>
          <w:sz w:val="22"/>
          <w:szCs w:val="18"/>
        </w:rPr>
      </w:pPr>
      <w:r w:rsidRPr="0092237D">
        <w:rPr>
          <w:rFonts w:ascii="Arial" w:hAnsi="Arial" w:cs="Arial"/>
          <w:sz w:val="22"/>
          <w:szCs w:val="18"/>
        </w:rPr>
        <w:t xml:space="preserve">The approach allows coefficients to vary continuously over the study area, and a set of coefficients can be estimated at any location – typically on a grid so that a coefficient surface can be visualised and interrogated for relationship heterogeneity. GWR makes a point-wise calibration concerning a ‘bump of influence’: around each regression point where nearer observations have more influence in estimating the local set of coefficients than observations farther away (Fotheringham </w:t>
      </w:r>
      <w:r w:rsidR="00D47BE6" w:rsidRPr="00D47BE6">
        <w:rPr>
          <w:rFonts w:ascii="Arial" w:hAnsi="Arial" w:cs="Arial"/>
          <w:i/>
          <w:iCs/>
          <w:sz w:val="22"/>
          <w:szCs w:val="18"/>
        </w:rPr>
        <w:t>et al.</w:t>
      </w:r>
      <w:r w:rsidRPr="0092237D">
        <w:rPr>
          <w:rFonts w:ascii="Arial" w:hAnsi="Arial" w:cs="Arial"/>
          <w:sz w:val="22"/>
          <w:szCs w:val="18"/>
        </w:rPr>
        <w:t xml:space="preserve"> 1998). In essence, GWR measures the inherent relationships around each regression point </w:t>
      </w:r>
      <w:proofErr w:type="spellStart"/>
      <w:r w:rsidRPr="0092237D">
        <w:rPr>
          <w:rFonts w:ascii="Arial" w:hAnsi="Arial" w:cs="Arial"/>
          <w:sz w:val="22"/>
          <w:szCs w:val="18"/>
        </w:rPr>
        <w:t>i</w:t>
      </w:r>
      <w:proofErr w:type="spellEnd"/>
      <w:r w:rsidRPr="0092237D">
        <w:rPr>
          <w:rFonts w:ascii="Arial" w:hAnsi="Arial" w:cs="Arial"/>
          <w:sz w:val="22"/>
          <w:szCs w:val="18"/>
        </w:rPr>
        <w:t xml:space="preserve">, where each set of regression coefficients is estimated by weighted least squares. Within this study, the weighting scheme </w:t>
      </w:r>
      <w:r w:rsidRPr="0092237D">
        <w:rPr>
          <w:rFonts w:ascii="Arial" w:hAnsi="Arial" w:cs="Arial"/>
          <w:i/>
          <w:sz w:val="22"/>
          <w:szCs w:val="18"/>
        </w:rPr>
        <w:t>W</w:t>
      </w:r>
      <w:r w:rsidRPr="0092237D">
        <w:rPr>
          <w:rFonts w:ascii="Arial" w:hAnsi="Arial" w:cs="Arial"/>
          <w:sz w:val="22"/>
          <w:szCs w:val="18"/>
        </w:rPr>
        <w:t xml:space="preserve">i is calculated with a kernel function based on the proximities between regression point </w:t>
      </w:r>
      <w:proofErr w:type="spellStart"/>
      <w:r w:rsidRPr="0092237D">
        <w:rPr>
          <w:rFonts w:ascii="Arial" w:hAnsi="Arial" w:cs="Arial"/>
          <w:sz w:val="22"/>
          <w:szCs w:val="18"/>
        </w:rPr>
        <w:t>i</w:t>
      </w:r>
      <w:proofErr w:type="spellEnd"/>
      <w:r w:rsidRPr="0092237D">
        <w:rPr>
          <w:rFonts w:ascii="Arial" w:hAnsi="Arial" w:cs="Arial"/>
          <w:sz w:val="22"/>
          <w:szCs w:val="18"/>
        </w:rPr>
        <w:t xml:space="preserve"> and the </w:t>
      </w:r>
      <w:r w:rsidRPr="0092237D">
        <w:rPr>
          <w:rFonts w:ascii="Arial" w:hAnsi="Arial" w:cs="Arial"/>
          <w:i/>
          <w:sz w:val="22"/>
          <w:szCs w:val="18"/>
        </w:rPr>
        <w:t>N</w:t>
      </w:r>
      <w:r w:rsidRPr="0092237D">
        <w:rPr>
          <w:rFonts w:ascii="Arial" w:hAnsi="Arial" w:cs="Arial"/>
          <w:sz w:val="22"/>
          <w:szCs w:val="18"/>
        </w:rPr>
        <w:t xml:space="preserve"> data points nearby. A number of kernel functions can be used for the weighting scheme, a plethora of kernel densities which can be implemented which can have varying impact upon ratio study </w:t>
      </w:r>
      <w:r w:rsidRPr="0092237D">
        <w:rPr>
          <w:rFonts w:ascii="Arial" w:hAnsi="Arial" w:cs="Arial"/>
          <w:sz w:val="22"/>
          <w:szCs w:val="18"/>
        </w:rPr>
        <w:lastRenderedPageBreak/>
        <w:t>performance</w:t>
      </w:r>
      <w:r w:rsidRPr="0092237D">
        <w:rPr>
          <w:rFonts w:ascii="Arial" w:hAnsi="Arial" w:cs="Arial"/>
          <w:sz w:val="22"/>
          <w:szCs w:val="18"/>
          <w:vertAlign w:val="superscript"/>
        </w:rPr>
        <w:footnoteReference w:id="8"/>
      </w:r>
      <w:r w:rsidRPr="0092237D">
        <w:rPr>
          <w:rFonts w:ascii="Arial" w:hAnsi="Arial" w:cs="Arial"/>
          <w:sz w:val="22"/>
          <w:szCs w:val="18"/>
        </w:rPr>
        <w:t xml:space="preserve">. In GWR, an </w:t>
      </w:r>
      <w:proofErr w:type="spellStart"/>
      <w:r w:rsidRPr="0092237D">
        <w:rPr>
          <w:rFonts w:ascii="Arial" w:hAnsi="Arial" w:cs="Arial"/>
          <w:i/>
          <w:sz w:val="22"/>
          <w:szCs w:val="18"/>
        </w:rPr>
        <w:t>n</w:t>
      </w:r>
      <w:r w:rsidRPr="0092237D">
        <w:rPr>
          <w:rFonts w:ascii="Arial" w:hAnsi="Arial" w:cs="Arial"/>
          <w:sz w:val="22"/>
          <w:szCs w:val="18"/>
        </w:rPr>
        <w:t>X</w:t>
      </w:r>
      <w:r w:rsidRPr="0092237D">
        <w:rPr>
          <w:rFonts w:ascii="Arial" w:hAnsi="Arial" w:cs="Arial"/>
          <w:i/>
          <w:sz w:val="22"/>
          <w:szCs w:val="18"/>
        </w:rPr>
        <w:t>n</w:t>
      </w:r>
      <w:proofErr w:type="spellEnd"/>
      <w:r w:rsidRPr="0092237D">
        <w:rPr>
          <w:rFonts w:ascii="Arial" w:hAnsi="Arial" w:cs="Arial"/>
          <w:sz w:val="22"/>
          <w:szCs w:val="18"/>
        </w:rPr>
        <w:t xml:space="preserve"> spatial weights matrix is constructed to indicate the weight applied to each observation, assigned relative to the subject based on geographic distance:</w:t>
      </w:r>
    </w:p>
    <w:p w14:paraId="7880A052" w14:textId="77777777" w:rsidR="00DD24A4" w:rsidRPr="00556BCF" w:rsidRDefault="00DD24A4" w:rsidP="00DD24A4">
      <w:pPr>
        <w:pStyle w:val="WPBodyText"/>
      </w:pPr>
    </w:p>
    <w:p w14:paraId="79936797" w14:textId="77777777" w:rsidR="00DD24A4" w:rsidRDefault="00DD24A4" w:rsidP="00DD24A4">
      <w:pPr>
        <w:pStyle w:val="WPBodyText"/>
        <w:jc w:val="center"/>
      </w:pPr>
      <w:proofErr w:type="spellStart"/>
      <w:r w:rsidRPr="00556BCF">
        <w:rPr>
          <w:i/>
        </w:rPr>
        <w:t>w</w:t>
      </w:r>
      <w:r w:rsidRPr="00556BCF">
        <w:rPr>
          <w:i/>
          <w:vertAlign w:val="subscript"/>
        </w:rPr>
        <w:t>ij</w:t>
      </w:r>
      <w:proofErr w:type="spellEnd"/>
      <w:r w:rsidRPr="00556BCF">
        <w:rPr>
          <w:i/>
          <w:vertAlign w:val="subscript"/>
        </w:rPr>
        <w:t xml:space="preserve"> </w:t>
      </w:r>
      <w:r w:rsidRPr="00556BCF">
        <w:rPr>
          <w:i/>
        </w:rPr>
        <w:t>= exp</w:t>
      </w:r>
      <w:r w:rsidRPr="00556BCF">
        <w:t>[</w:t>
      </w:r>
      <w:r w:rsidRPr="00556BCF">
        <w:rPr>
          <w:i/>
        </w:rPr>
        <w:t>-</w:t>
      </w:r>
      <w:proofErr w:type="spellStart"/>
      <w:r w:rsidRPr="00556BCF">
        <w:rPr>
          <w:i/>
        </w:rPr>
        <w:t>d</w:t>
      </w:r>
      <w:r w:rsidRPr="00556BCF">
        <w:rPr>
          <w:i/>
          <w:vertAlign w:val="subscript"/>
        </w:rPr>
        <w:t>ij</w:t>
      </w:r>
      <w:proofErr w:type="spellEnd"/>
      <w:r w:rsidRPr="00556BCF">
        <w:rPr>
          <w:i/>
        </w:rPr>
        <w:t>/b</w:t>
      </w:r>
      <w:r w:rsidRPr="00556BCF">
        <w:rPr>
          <w:i/>
          <w:vertAlign w:val="superscript"/>
        </w:rPr>
        <w:t>2</w:t>
      </w:r>
      <w:r w:rsidRPr="00556BCF">
        <w:t>]</w:t>
      </w:r>
    </w:p>
    <w:p w14:paraId="26FA0B29" w14:textId="77777777" w:rsidR="00DD24A4" w:rsidRPr="00940D60" w:rsidRDefault="00DD24A4" w:rsidP="00DD24A4">
      <w:pPr>
        <w:tabs>
          <w:tab w:val="left" w:pos="8517"/>
        </w:tabs>
        <w:jc w:val="right"/>
      </w:pPr>
      <w:r>
        <w:t>(</w:t>
      </w:r>
      <w:r w:rsidR="00993AF3">
        <w:t>5</w:t>
      </w:r>
      <w:r>
        <w:t>)</w:t>
      </w:r>
    </w:p>
    <w:p w14:paraId="618AEEBF" w14:textId="77777777" w:rsidR="00DD24A4" w:rsidRPr="0092237D" w:rsidRDefault="00DD24A4" w:rsidP="004C33D3">
      <w:pPr>
        <w:pStyle w:val="WPBodyText"/>
        <w:jc w:val="both"/>
        <w:rPr>
          <w:rFonts w:ascii="Arial" w:hAnsi="Arial" w:cs="Arial"/>
          <w:sz w:val="22"/>
          <w:szCs w:val="18"/>
        </w:rPr>
      </w:pPr>
      <w:r w:rsidRPr="0092237D">
        <w:rPr>
          <w:rFonts w:ascii="Arial" w:hAnsi="Arial" w:cs="Arial"/>
          <w:sz w:val="22"/>
          <w:szCs w:val="18"/>
        </w:rPr>
        <w:t xml:space="preserve">where:  </w:t>
      </w:r>
      <w:proofErr w:type="spellStart"/>
      <w:r w:rsidRPr="0092237D">
        <w:rPr>
          <w:rFonts w:ascii="Arial" w:hAnsi="Arial" w:cs="Arial"/>
          <w:i/>
          <w:iCs/>
          <w:sz w:val="22"/>
          <w:szCs w:val="18"/>
        </w:rPr>
        <w:t>w</w:t>
      </w:r>
      <w:r w:rsidRPr="0092237D">
        <w:rPr>
          <w:rFonts w:ascii="Arial" w:hAnsi="Arial" w:cs="Arial"/>
          <w:i/>
          <w:iCs/>
          <w:sz w:val="22"/>
          <w:szCs w:val="18"/>
          <w:vertAlign w:val="subscript"/>
        </w:rPr>
        <w:t>ij</w:t>
      </w:r>
      <w:proofErr w:type="spellEnd"/>
      <w:r w:rsidRPr="0092237D">
        <w:rPr>
          <w:rFonts w:ascii="Arial" w:hAnsi="Arial" w:cs="Arial"/>
          <w:i/>
          <w:iCs/>
          <w:sz w:val="22"/>
          <w:szCs w:val="18"/>
        </w:rPr>
        <w:t xml:space="preserve"> </w:t>
      </w:r>
      <w:r w:rsidRPr="0092237D">
        <w:rPr>
          <w:rFonts w:ascii="Arial" w:hAnsi="Arial" w:cs="Arial"/>
          <w:sz w:val="22"/>
          <w:szCs w:val="18"/>
        </w:rPr>
        <w:t>= weight applied to the</w:t>
      </w:r>
      <w:r w:rsidRPr="0092237D">
        <w:rPr>
          <w:rFonts w:ascii="Arial" w:hAnsi="Arial" w:cs="Arial"/>
          <w:i/>
          <w:iCs/>
          <w:sz w:val="22"/>
          <w:szCs w:val="18"/>
        </w:rPr>
        <w:t xml:space="preserve"> </w:t>
      </w:r>
      <w:proofErr w:type="spellStart"/>
      <w:r w:rsidRPr="0092237D">
        <w:rPr>
          <w:rFonts w:ascii="Arial" w:hAnsi="Arial" w:cs="Arial"/>
          <w:i/>
          <w:iCs/>
          <w:sz w:val="22"/>
          <w:szCs w:val="18"/>
        </w:rPr>
        <w:t>j</w:t>
      </w:r>
      <w:r w:rsidRPr="0092237D">
        <w:rPr>
          <w:rFonts w:ascii="Arial" w:hAnsi="Arial" w:cs="Arial"/>
          <w:i/>
          <w:iCs/>
          <w:sz w:val="22"/>
          <w:szCs w:val="18"/>
          <w:vertAlign w:val="superscript"/>
        </w:rPr>
        <w:t>th</w:t>
      </w:r>
      <w:proofErr w:type="spellEnd"/>
      <w:r w:rsidRPr="0092237D">
        <w:rPr>
          <w:rFonts w:ascii="Arial" w:hAnsi="Arial" w:cs="Arial"/>
          <w:i/>
          <w:iCs/>
          <w:sz w:val="22"/>
          <w:szCs w:val="18"/>
        </w:rPr>
        <w:t xml:space="preserve"> </w:t>
      </w:r>
      <w:r w:rsidRPr="0092237D">
        <w:rPr>
          <w:rFonts w:ascii="Arial" w:hAnsi="Arial" w:cs="Arial"/>
          <w:sz w:val="22"/>
          <w:szCs w:val="18"/>
        </w:rPr>
        <w:t>property at regression point</w:t>
      </w:r>
      <w:r w:rsidRPr="0092237D">
        <w:rPr>
          <w:rFonts w:ascii="Arial" w:hAnsi="Arial" w:cs="Arial"/>
          <w:i/>
          <w:iCs/>
          <w:sz w:val="22"/>
          <w:szCs w:val="18"/>
        </w:rPr>
        <w:t xml:space="preserve"> </w:t>
      </w:r>
      <w:proofErr w:type="spellStart"/>
      <w:r w:rsidRPr="0092237D">
        <w:rPr>
          <w:rFonts w:ascii="Arial" w:hAnsi="Arial" w:cs="Arial"/>
          <w:i/>
          <w:iCs/>
          <w:sz w:val="22"/>
          <w:szCs w:val="18"/>
        </w:rPr>
        <w:t>i</w:t>
      </w:r>
      <w:proofErr w:type="spellEnd"/>
      <w:r w:rsidRPr="0092237D">
        <w:rPr>
          <w:rFonts w:ascii="Arial" w:hAnsi="Arial" w:cs="Arial"/>
          <w:i/>
          <w:iCs/>
          <w:sz w:val="22"/>
          <w:szCs w:val="18"/>
        </w:rPr>
        <w:t>;</w:t>
      </w:r>
      <w:r w:rsidRPr="0092237D">
        <w:rPr>
          <w:rFonts w:ascii="Arial" w:hAnsi="Arial" w:cs="Arial"/>
          <w:sz w:val="22"/>
          <w:szCs w:val="18"/>
        </w:rPr>
        <w:t xml:space="preserve"> </w:t>
      </w:r>
      <w:proofErr w:type="spellStart"/>
      <w:r w:rsidRPr="0092237D">
        <w:rPr>
          <w:rFonts w:ascii="Arial" w:hAnsi="Arial" w:cs="Arial"/>
          <w:i/>
          <w:iCs/>
          <w:sz w:val="22"/>
          <w:szCs w:val="18"/>
        </w:rPr>
        <w:t>d</w:t>
      </w:r>
      <w:r w:rsidRPr="0092237D">
        <w:rPr>
          <w:rFonts w:ascii="Arial" w:hAnsi="Arial" w:cs="Arial"/>
          <w:i/>
          <w:iCs/>
          <w:sz w:val="22"/>
          <w:szCs w:val="18"/>
          <w:vertAlign w:val="subscript"/>
        </w:rPr>
        <w:t>ij</w:t>
      </w:r>
      <w:proofErr w:type="spellEnd"/>
      <w:r w:rsidRPr="0092237D">
        <w:rPr>
          <w:rFonts w:ascii="Arial" w:hAnsi="Arial" w:cs="Arial"/>
          <w:i/>
          <w:iCs/>
          <w:sz w:val="22"/>
          <w:szCs w:val="18"/>
        </w:rPr>
        <w:t xml:space="preserve"> = </w:t>
      </w:r>
      <w:r w:rsidRPr="0092237D">
        <w:rPr>
          <w:rFonts w:ascii="Arial" w:hAnsi="Arial" w:cs="Arial"/>
          <w:sz w:val="22"/>
          <w:szCs w:val="18"/>
        </w:rPr>
        <w:t xml:space="preserve">geographical distance in </w:t>
      </w:r>
      <w:proofErr w:type="spellStart"/>
      <w:r w:rsidRPr="0092237D">
        <w:rPr>
          <w:rFonts w:ascii="Arial" w:hAnsi="Arial" w:cs="Arial"/>
          <w:sz w:val="22"/>
          <w:szCs w:val="18"/>
        </w:rPr>
        <w:t>kilometres</w:t>
      </w:r>
      <w:proofErr w:type="spellEnd"/>
      <w:r w:rsidRPr="0092237D">
        <w:rPr>
          <w:rFonts w:ascii="Arial" w:hAnsi="Arial" w:cs="Arial"/>
          <w:sz w:val="22"/>
          <w:szCs w:val="18"/>
        </w:rPr>
        <w:t xml:space="preserve"> between regression point </w:t>
      </w:r>
      <w:proofErr w:type="spellStart"/>
      <w:r w:rsidRPr="0092237D">
        <w:rPr>
          <w:rFonts w:ascii="Arial" w:hAnsi="Arial" w:cs="Arial"/>
          <w:i/>
          <w:iCs/>
          <w:sz w:val="22"/>
          <w:szCs w:val="18"/>
        </w:rPr>
        <w:t>i</w:t>
      </w:r>
      <w:proofErr w:type="spellEnd"/>
      <w:r w:rsidRPr="0092237D">
        <w:rPr>
          <w:rFonts w:ascii="Arial" w:hAnsi="Arial" w:cs="Arial"/>
          <w:sz w:val="22"/>
          <w:szCs w:val="18"/>
        </w:rPr>
        <w:t xml:space="preserve"> and property </w:t>
      </w:r>
      <w:r w:rsidRPr="0092237D">
        <w:rPr>
          <w:rFonts w:ascii="Arial" w:hAnsi="Arial" w:cs="Arial"/>
          <w:i/>
          <w:iCs/>
          <w:sz w:val="22"/>
          <w:szCs w:val="18"/>
        </w:rPr>
        <w:t xml:space="preserve">j ; b </w:t>
      </w:r>
      <w:r w:rsidRPr="0092237D">
        <w:rPr>
          <w:rFonts w:ascii="Arial" w:hAnsi="Arial" w:cs="Arial"/>
          <w:sz w:val="22"/>
          <w:szCs w:val="18"/>
        </w:rPr>
        <w:t>= geographical bandwidth.</w:t>
      </w:r>
    </w:p>
    <w:p w14:paraId="29F600D6" w14:textId="77777777" w:rsidR="00DD24A4" w:rsidRPr="00556BCF" w:rsidRDefault="00DD24A4" w:rsidP="00DD24A4">
      <w:pPr>
        <w:pStyle w:val="WPBodyText"/>
      </w:pPr>
    </w:p>
    <w:p w14:paraId="5D8AD759" w14:textId="32414639" w:rsidR="00DD24A4" w:rsidRPr="0092237D" w:rsidRDefault="00DD24A4" w:rsidP="0092237D">
      <w:pPr>
        <w:pStyle w:val="WPBodyText"/>
        <w:spacing w:line="360" w:lineRule="auto"/>
        <w:jc w:val="both"/>
        <w:rPr>
          <w:rFonts w:ascii="Arial" w:hAnsi="Arial" w:cs="Arial"/>
          <w:sz w:val="22"/>
          <w:szCs w:val="22"/>
        </w:rPr>
      </w:pPr>
      <w:r w:rsidRPr="0092237D">
        <w:rPr>
          <w:rFonts w:ascii="Arial" w:hAnsi="Arial" w:cs="Arial"/>
          <w:sz w:val="22"/>
          <w:szCs w:val="22"/>
        </w:rPr>
        <w:t>The bandwidth in GWR specifies the radius of the weighting function. It is either fixed, based on absolute distance, or adaptive - fluctuating, based on a predetermined number of nearest neighbors. An optimized bandwidth may be identified based on various conditions, but is most commonly that which corresponds to a minimized cross-validation (CV) or Akaike information criterion-corrected (</w:t>
      </w:r>
      <w:proofErr w:type="spellStart"/>
      <w:r w:rsidRPr="0092237D">
        <w:rPr>
          <w:rFonts w:ascii="Arial" w:hAnsi="Arial" w:cs="Arial"/>
          <w:sz w:val="22"/>
          <w:szCs w:val="22"/>
        </w:rPr>
        <w:t>AICc</w:t>
      </w:r>
      <w:proofErr w:type="spellEnd"/>
      <w:r w:rsidRPr="0092237D">
        <w:rPr>
          <w:rFonts w:ascii="Arial" w:hAnsi="Arial" w:cs="Arial"/>
          <w:sz w:val="22"/>
          <w:szCs w:val="22"/>
        </w:rPr>
        <w:t xml:space="preserve">) scores (Fotheringham </w:t>
      </w:r>
      <w:r w:rsidR="00D47BE6" w:rsidRPr="00D47BE6">
        <w:rPr>
          <w:rFonts w:ascii="Arial" w:hAnsi="Arial" w:cs="Arial"/>
          <w:i/>
          <w:iCs/>
          <w:sz w:val="22"/>
          <w:szCs w:val="22"/>
        </w:rPr>
        <w:t>et al.</w:t>
      </w:r>
      <w:r w:rsidRPr="0092237D">
        <w:rPr>
          <w:rFonts w:ascii="Arial" w:hAnsi="Arial" w:cs="Arial"/>
          <w:sz w:val="22"/>
          <w:szCs w:val="22"/>
        </w:rPr>
        <w:t xml:space="preserve">, 2002). This kernel specifies how weights are calculated and assigned to the observations with the kernel implemented shown to impact ratio study performance (Bidanset and Lombard 2014b, Bidanset and Lombard 2016, Bidanset </w:t>
      </w:r>
      <w:r w:rsidR="00D47BE6" w:rsidRPr="00D47BE6">
        <w:rPr>
          <w:rFonts w:ascii="Arial" w:hAnsi="Arial" w:cs="Arial"/>
          <w:i/>
          <w:iCs/>
          <w:sz w:val="22"/>
          <w:szCs w:val="22"/>
        </w:rPr>
        <w:t>et al.</w:t>
      </w:r>
      <w:r w:rsidRPr="0092237D">
        <w:rPr>
          <w:rFonts w:ascii="Arial" w:hAnsi="Arial" w:cs="Arial"/>
          <w:sz w:val="22"/>
          <w:szCs w:val="22"/>
        </w:rPr>
        <w:t xml:space="preserve">, 2017). This study </w:t>
      </w:r>
      <w:proofErr w:type="spellStart"/>
      <w:r w:rsidRPr="0092237D">
        <w:rPr>
          <w:rFonts w:ascii="Arial" w:hAnsi="Arial" w:cs="Arial"/>
          <w:sz w:val="22"/>
          <w:szCs w:val="22"/>
        </w:rPr>
        <w:t>utilises</w:t>
      </w:r>
      <w:proofErr w:type="spellEnd"/>
      <w:r w:rsidRPr="0092237D">
        <w:rPr>
          <w:rFonts w:ascii="Arial" w:hAnsi="Arial" w:cs="Arial"/>
          <w:sz w:val="22"/>
          <w:szCs w:val="22"/>
        </w:rPr>
        <w:t xml:space="preserve"> the Akaike Information Criterion (AIC) (Akaike, 1973), which accounts for model parsimony (i.e. a trade-off between prediction accuracy and complexity). This research subsequently compares ratio study performance of each of the kernel approaches across provinces in China, identifying mass appraisal modeling approaches that optimize property tax fairness and equity. The S</w:t>
      </w:r>
      <w:r w:rsidRPr="0092237D">
        <w:rPr>
          <w:rFonts w:ascii="Arial" w:hAnsi="Arial" w:cs="Arial"/>
          <w:color w:val="222222"/>
          <w:sz w:val="22"/>
          <w:szCs w:val="22"/>
        </w:rPr>
        <w:t>patial function Bi-Squared, Adaptive Kernel using 10%-15% neighbors is employed utilizing an Optimization using the</w:t>
      </w:r>
      <w:r w:rsidRPr="0092237D">
        <w:rPr>
          <w:rFonts w:ascii="Arial" w:hAnsi="Arial" w:cs="Arial"/>
          <w:color w:val="000000"/>
          <w:sz w:val="22"/>
          <w:szCs w:val="22"/>
          <w:lang w:eastAsia="en-GB"/>
        </w:rPr>
        <w:t xml:space="preserve"> Golden Section Search and </w:t>
      </w:r>
      <w:r w:rsidRPr="0092237D">
        <w:rPr>
          <w:rFonts w:ascii="Arial" w:hAnsi="Arial" w:cs="Arial"/>
          <w:color w:val="222222"/>
          <w:sz w:val="22"/>
          <w:szCs w:val="22"/>
        </w:rPr>
        <w:t xml:space="preserve">the </w:t>
      </w:r>
      <w:r w:rsidRPr="0092237D">
        <w:rPr>
          <w:rFonts w:ascii="Arial" w:hAnsi="Arial" w:cs="Arial"/>
          <w:color w:val="000000"/>
          <w:sz w:val="22"/>
          <w:szCs w:val="22"/>
          <w:lang w:eastAsia="en-GB"/>
        </w:rPr>
        <w:t>Akaike Information Criterion (</w:t>
      </w:r>
      <w:proofErr w:type="spellStart"/>
      <w:r w:rsidRPr="0092237D">
        <w:rPr>
          <w:rFonts w:ascii="Arial" w:hAnsi="Arial" w:cs="Arial"/>
          <w:color w:val="000000"/>
          <w:sz w:val="22"/>
          <w:szCs w:val="22"/>
          <w:lang w:eastAsia="en-GB"/>
        </w:rPr>
        <w:t>AICc</w:t>
      </w:r>
      <w:proofErr w:type="spellEnd"/>
      <w:r w:rsidRPr="0092237D">
        <w:rPr>
          <w:rFonts w:ascii="Arial" w:hAnsi="Arial" w:cs="Arial"/>
          <w:color w:val="000000"/>
          <w:sz w:val="22"/>
          <w:szCs w:val="22"/>
          <w:lang w:eastAsia="en-GB"/>
        </w:rPr>
        <w:t xml:space="preserve">). </w:t>
      </w:r>
    </w:p>
    <w:p w14:paraId="327467B8" w14:textId="77777777" w:rsidR="004C33D3" w:rsidRDefault="004C33D3" w:rsidP="00DD24A4">
      <w:pPr>
        <w:pStyle w:val="WPHeading1"/>
        <w:jc w:val="left"/>
      </w:pPr>
    </w:p>
    <w:p w14:paraId="36BBD762" w14:textId="77777777" w:rsidR="00DD24A4" w:rsidRPr="0092237D" w:rsidRDefault="00DD24A4" w:rsidP="00DD24A4">
      <w:pPr>
        <w:pStyle w:val="WPHeading1"/>
        <w:jc w:val="left"/>
        <w:rPr>
          <w:rFonts w:ascii="Arial" w:hAnsi="Arial" w:cs="Arial"/>
          <w:b w:val="0"/>
          <w:bCs/>
          <w:i/>
          <w:iCs/>
          <w:sz w:val="22"/>
          <w:szCs w:val="18"/>
        </w:rPr>
      </w:pPr>
      <w:r w:rsidRPr="0092237D">
        <w:rPr>
          <w:rFonts w:ascii="Arial" w:hAnsi="Arial" w:cs="Arial"/>
          <w:b w:val="0"/>
          <w:bCs/>
          <w:i/>
          <w:iCs/>
          <w:sz w:val="22"/>
          <w:szCs w:val="18"/>
        </w:rPr>
        <w:t>Model selection and multi-model inference</w:t>
      </w:r>
    </w:p>
    <w:p w14:paraId="5F42A6C3" w14:textId="77777777" w:rsidR="00DD24A4" w:rsidRPr="00877298" w:rsidRDefault="00DD24A4" w:rsidP="00DD24A4">
      <w:pPr>
        <w:pStyle w:val="WPHeading1"/>
        <w:jc w:val="left"/>
      </w:pPr>
    </w:p>
    <w:p w14:paraId="1B0470B7" w14:textId="77777777" w:rsidR="00DD24A4" w:rsidRPr="0092237D" w:rsidRDefault="00DD24A4" w:rsidP="0092237D">
      <w:pPr>
        <w:pStyle w:val="WPHeading1"/>
        <w:spacing w:line="360" w:lineRule="auto"/>
        <w:jc w:val="both"/>
        <w:rPr>
          <w:rFonts w:ascii="Arial" w:hAnsi="Arial" w:cs="Arial"/>
          <w:b w:val="0"/>
          <w:sz w:val="22"/>
          <w:szCs w:val="18"/>
          <w:lang w:val="en-GB"/>
        </w:rPr>
      </w:pPr>
      <w:r w:rsidRPr="0092237D">
        <w:rPr>
          <w:rFonts w:ascii="Arial" w:hAnsi="Arial" w:cs="Arial"/>
          <w:b w:val="0"/>
          <w:sz w:val="22"/>
          <w:szCs w:val="18"/>
          <w:lang w:val="en-GB"/>
        </w:rPr>
        <w:t xml:space="preserve">To ensure model parsimony and appropriate model selection, initial testing of parameter selection was undertaken to reduce model complexity without reducing model predictability. This model selection procedure, based on minimising the Akaike Information Criteria(c), ensures retention of the highest level of explanation as depicted by the Adjusted </w:t>
      </w:r>
      <w:r w:rsidRPr="0092237D">
        <w:rPr>
          <w:rFonts w:ascii="Arial" w:hAnsi="Arial" w:cs="Arial"/>
          <w:b w:val="0"/>
          <w:i/>
          <w:sz w:val="22"/>
          <w:szCs w:val="18"/>
          <w:lang w:val="en-GB"/>
        </w:rPr>
        <w:t>R</w:t>
      </w:r>
      <w:r w:rsidRPr="0092237D">
        <w:rPr>
          <w:rFonts w:ascii="Arial" w:hAnsi="Arial" w:cs="Arial"/>
          <w:b w:val="0"/>
          <w:sz w:val="22"/>
          <w:szCs w:val="18"/>
          <w:vertAlign w:val="superscript"/>
          <w:lang w:val="en-GB"/>
        </w:rPr>
        <w:t>2</w:t>
      </w:r>
      <w:r w:rsidRPr="0092237D">
        <w:rPr>
          <w:rFonts w:ascii="Arial" w:hAnsi="Arial" w:cs="Arial"/>
          <w:b w:val="0"/>
          <w:sz w:val="22"/>
          <w:szCs w:val="18"/>
          <w:lang w:val="en-GB"/>
        </w:rPr>
        <w:t>, is undertaken to reduce the model form and examine the most parsimonious spatial model and remove unwanted influential variables and multicollinearity</w:t>
      </w:r>
      <w:r w:rsidRPr="0092237D">
        <w:rPr>
          <w:rFonts w:ascii="Arial" w:hAnsi="Arial" w:cs="Arial"/>
          <w:b w:val="0"/>
          <w:sz w:val="22"/>
          <w:szCs w:val="18"/>
          <w:vertAlign w:val="superscript"/>
          <w:lang w:val="en-GB"/>
        </w:rPr>
        <w:footnoteReference w:id="9"/>
      </w:r>
      <w:r w:rsidRPr="0092237D">
        <w:rPr>
          <w:rFonts w:ascii="Arial" w:hAnsi="Arial" w:cs="Arial"/>
          <w:b w:val="0"/>
          <w:sz w:val="22"/>
          <w:szCs w:val="18"/>
          <w:lang w:val="en-GB"/>
        </w:rPr>
        <w:t>. Within this research, this process is based on 12 variables selected culminating in 2,047 models tested. The results of the selection procedure filtered by the AIC(c) revealed that the most parsimonious model form excluded the restricted (embargoed) sale variable and higher community parameter estimates for the best OLS model, indicating that they do not add value in terms of importance and significance</w:t>
      </w:r>
      <w:r w:rsidR="00B80853" w:rsidRPr="0092237D">
        <w:rPr>
          <w:rFonts w:ascii="Arial" w:hAnsi="Arial" w:cs="Arial"/>
          <w:b w:val="0"/>
          <w:sz w:val="22"/>
          <w:szCs w:val="18"/>
          <w:lang w:val="en-GB"/>
        </w:rPr>
        <w:t>.</w:t>
      </w:r>
    </w:p>
    <w:p w14:paraId="7E537017" w14:textId="77777777" w:rsidR="0032001C" w:rsidRPr="0092237D" w:rsidRDefault="0032001C" w:rsidP="0032001C">
      <w:pPr>
        <w:pStyle w:val="WPHeading1"/>
        <w:jc w:val="left"/>
        <w:rPr>
          <w:rFonts w:ascii="Arial" w:hAnsi="Arial" w:cs="Arial"/>
          <w:b w:val="0"/>
          <w:sz w:val="18"/>
          <w:szCs w:val="18"/>
        </w:rPr>
      </w:pPr>
    </w:p>
    <w:p w14:paraId="62001A64" w14:textId="27506ED5" w:rsidR="00DD24A4" w:rsidRDefault="00DD24A4" w:rsidP="0032001C">
      <w:pPr>
        <w:pStyle w:val="WPHeading1"/>
        <w:jc w:val="left"/>
        <w:rPr>
          <w:rFonts w:ascii="Arial" w:hAnsi="Arial" w:cs="Arial"/>
          <w:sz w:val="22"/>
          <w:szCs w:val="18"/>
        </w:rPr>
      </w:pPr>
      <w:r w:rsidRPr="0092237D">
        <w:rPr>
          <w:rFonts w:ascii="Arial" w:hAnsi="Arial" w:cs="Arial"/>
          <w:sz w:val="22"/>
          <w:szCs w:val="18"/>
        </w:rPr>
        <w:lastRenderedPageBreak/>
        <w:t>Empirical Results</w:t>
      </w:r>
    </w:p>
    <w:p w14:paraId="53B89F0B" w14:textId="77777777" w:rsidR="00877B14" w:rsidRPr="00877B14" w:rsidRDefault="00877B14" w:rsidP="00877B14">
      <w:pPr>
        <w:pStyle w:val="WPBodyText"/>
      </w:pPr>
    </w:p>
    <w:p w14:paraId="012EEBD0" w14:textId="579EED67" w:rsidR="00DD24A4" w:rsidRPr="0092237D" w:rsidRDefault="00DD24A4" w:rsidP="0092237D">
      <w:pPr>
        <w:pStyle w:val="WPHeading1"/>
        <w:spacing w:line="360" w:lineRule="auto"/>
        <w:jc w:val="both"/>
        <w:rPr>
          <w:rFonts w:ascii="Arial" w:hAnsi="Arial" w:cs="Arial"/>
          <w:b w:val="0"/>
          <w:sz w:val="22"/>
          <w:szCs w:val="18"/>
        </w:rPr>
      </w:pPr>
      <w:r w:rsidRPr="0092237D">
        <w:rPr>
          <w:rFonts w:ascii="Arial" w:hAnsi="Arial" w:cs="Arial"/>
          <w:b w:val="0"/>
          <w:sz w:val="22"/>
          <w:szCs w:val="18"/>
        </w:rPr>
        <w:t>A series of log-linear models are developed to investigate the nature of the deterministic effect of the structural and locational characteristics on property price. The models are developed systematically in order to establish the various levels of significance attributable to the property characteristics and varying levels of spatial geography. A noticeable and interesting finding illustrates that there appears to be a challenge in terms of the property size (area) and price relationship which commands a relatively low level of explanation, in comparison with other traditional real estate markets – challenging the basis of market value. The base OLS models (excluding any spatial representation) comprising property structural characteristics show 37.7% of explanation, again a finding which is generally lower than expected</w:t>
      </w:r>
      <w:r w:rsidR="0069096F">
        <w:rPr>
          <w:rFonts w:ascii="Arial" w:hAnsi="Arial" w:cs="Arial"/>
          <w:b w:val="0"/>
          <w:sz w:val="22"/>
          <w:szCs w:val="18"/>
        </w:rPr>
        <w:t xml:space="preserve"> (Table 3)</w:t>
      </w:r>
      <w:r w:rsidRPr="0092237D">
        <w:rPr>
          <w:rFonts w:ascii="Arial" w:hAnsi="Arial" w:cs="Arial"/>
          <w:b w:val="0"/>
          <w:sz w:val="22"/>
          <w:szCs w:val="18"/>
        </w:rPr>
        <w:t xml:space="preserve">. When factoring in each respective city into the model architecture this shows significant improvement in terms of explanation (77.6%). Introducing further spatial dummy variables based on ‘Administrative’ areas and at the more granular level, ‘submarkets’ the explanation increases to 87.6%, providing an excellent basis for undertaking mass appraisal exercises.  </w:t>
      </w:r>
    </w:p>
    <w:p w14:paraId="00194E14" w14:textId="77777777" w:rsidR="00DD24A4" w:rsidRPr="00877298" w:rsidRDefault="00DD24A4" w:rsidP="00DD24A4">
      <w:pPr>
        <w:pStyle w:val="WPBodyText"/>
      </w:pPr>
    </w:p>
    <w:p w14:paraId="65D4FBA1" w14:textId="1CBD5B17" w:rsidR="00DD24A4" w:rsidRPr="0092237D" w:rsidRDefault="00DD24A4" w:rsidP="00DD24A4">
      <w:pPr>
        <w:pStyle w:val="WPHeading1"/>
        <w:jc w:val="left"/>
        <w:rPr>
          <w:rFonts w:ascii="Arial" w:hAnsi="Arial" w:cs="Arial"/>
          <w:sz w:val="22"/>
          <w:szCs w:val="18"/>
        </w:rPr>
      </w:pPr>
      <w:r w:rsidRPr="0092237D">
        <w:rPr>
          <w:rFonts w:ascii="Arial" w:hAnsi="Arial" w:cs="Arial"/>
          <w:sz w:val="22"/>
          <w:szCs w:val="18"/>
        </w:rPr>
        <w:t xml:space="preserve">Table </w:t>
      </w:r>
      <w:r w:rsidR="0069096F">
        <w:rPr>
          <w:rFonts w:ascii="Arial" w:hAnsi="Arial" w:cs="Arial"/>
          <w:sz w:val="22"/>
          <w:szCs w:val="18"/>
        </w:rPr>
        <w:t>3</w:t>
      </w:r>
      <w:r w:rsidRPr="0092237D">
        <w:rPr>
          <w:rFonts w:ascii="Arial" w:hAnsi="Arial" w:cs="Arial"/>
          <w:sz w:val="22"/>
          <w:szCs w:val="18"/>
        </w:rPr>
        <w:t>: OLS and GWR Logarithmic Model Summary</w:t>
      </w:r>
    </w:p>
    <w:p w14:paraId="36C634D4" w14:textId="77777777" w:rsidR="00DD24A4" w:rsidRPr="00877298" w:rsidRDefault="00DD24A4" w:rsidP="00DD24A4">
      <w:pPr>
        <w:pStyle w:val="WPHeading1"/>
        <w:jc w:val="left"/>
      </w:pPr>
    </w:p>
    <w:tbl>
      <w:tblPr>
        <w:tblW w:w="7088" w:type="dxa"/>
        <w:jc w:val="center"/>
        <w:tblBorders>
          <w:top w:val="single" w:sz="4" w:space="0" w:color="auto"/>
          <w:bottom w:val="single" w:sz="4" w:space="0" w:color="auto"/>
        </w:tblBorders>
        <w:tblLook w:val="04A0" w:firstRow="1" w:lastRow="0" w:firstColumn="1" w:lastColumn="0" w:noHBand="0" w:noVBand="1"/>
      </w:tblPr>
      <w:tblGrid>
        <w:gridCol w:w="2959"/>
        <w:gridCol w:w="1753"/>
        <w:gridCol w:w="1384"/>
        <w:gridCol w:w="992"/>
      </w:tblGrid>
      <w:tr w:rsidR="00DD24A4" w:rsidRPr="0092237D" w14:paraId="14258D94" w14:textId="77777777" w:rsidTr="00DD24A4">
        <w:trPr>
          <w:trHeight w:val="214"/>
          <w:jc w:val="center"/>
        </w:trPr>
        <w:tc>
          <w:tcPr>
            <w:tcW w:w="2959" w:type="dxa"/>
            <w:tcBorders>
              <w:top w:val="single" w:sz="4" w:space="0" w:color="auto"/>
              <w:bottom w:val="single" w:sz="4" w:space="0" w:color="auto"/>
            </w:tcBorders>
            <w:shd w:val="clear" w:color="auto" w:fill="auto"/>
            <w:noWrap/>
            <w:hideMark/>
          </w:tcPr>
          <w:p w14:paraId="6CE57477" w14:textId="77777777" w:rsidR="00DD24A4" w:rsidRPr="0092237D" w:rsidRDefault="00DD24A4" w:rsidP="00DD24A4">
            <w:pPr>
              <w:pStyle w:val="WPHeading1"/>
              <w:jc w:val="left"/>
              <w:rPr>
                <w:rFonts w:ascii="Arial" w:hAnsi="Arial" w:cs="Arial"/>
                <w:b w:val="0"/>
                <w:sz w:val="22"/>
                <w:szCs w:val="18"/>
                <w:lang w:val="en-GB"/>
              </w:rPr>
            </w:pPr>
            <w:r w:rsidRPr="0092237D">
              <w:rPr>
                <w:rFonts w:ascii="Arial" w:hAnsi="Arial" w:cs="Arial"/>
                <w:b w:val="0"/>
                <w:sz w:val="22"/>
                <w:szCs w:val="18"/>
                <w:lang w:val="en-GB"/>
              </w:rPr>
              <w:t>Model</w:t>
            </w:r>
          </w:p>
        </w:tc>
        <w:tc>
          <w:tcPr>
            <w:tcW w:w="1753" w:type="dxa"/>
            <w:tcBorders>
              <w:top w:val="single" w:sz="4" w:space="0" w:color="auto"/>
              <w:bottom w:val="single" w:sz="4" w:space="0" w:color="auto"/>
            </w:tcBorders>
            <w:shd w:val="clear" w:color="auto" w:fill="auto"/>
            <w:noWrap/>
          </w:tcPr>
          <w:p w14:paraId="39B1F610" w14:textId="77777777" w:rsidR="00DD24A4" w:rsidRPr="0092237D" w:rsidRDefault="00DD24A4" w:rsidP="00DD24A4">
            <w:pPr>
              <w:pStyle w:val="WPHeading1"/>
              <w:rPr>
                <w:rFonts w:ascii="Arial" w:hAnsi="Arial" w:cs="Arial"/>
                <w:b w:val="0"/>
                <w:i/>
                <w:sz w:val="22"/>
                <w:szCs w:val="18"/>
                <w:lang w:val="en-GB"/>
              </w:rPr>
            </w:pPr>
            <w:r w:rsidRPr="0092237D">
              <w:rPr>
                <w:rFonts w:ascii="Arial" w:hAnsi="Arial" w:cs="Arial"/>
                <w:b w:val="0"/>
                <w:i/>
                <w:sz w:val="22"/>
                <w:szCs w:val="18"/>
                <w:lang w:val="en-GB"/>
              </w:rPr>
              <w:t>F-stat</w:t>
            </w:r>
          </w:p>
        </w:tc>
        <w:tc>
          <w:tcPr>
            <w:tcW w:w="1384" w:type="dxa"/>
            <w:tcBorders>
              <w:top w:val="single" w:sz="4" w:space="0" w:color="auto"/>
              <w:bottom w:val="single" w:sz="4" w:space="0" w:color="auto"/>
            </w:tcBorders>
            <w:shd w:val="clear" w:color="auto" w:fill="auto"/>
            <w:noWrap/>
            <w:hideMark/>
          </w:tcPr>
          <w:p w14:paraId="7B398EF6"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i/>
                <w:sz w:val="22"/>
                <w:szCs w:val="18"/>
                <w:lang w:val="en-GB"/>
              </w:rPr>
              <w:t>R</w:t>
            </w:r>
            <w:r w:rsidRPr="0092237D">
              <w:rPr>
                <w:rFonts w:ascii="Arial" w:hAnsi="Arial" w:cs="Arial"/>
                <w:b w:val="0"/>
                <w:sz w:val="22"/>
                <w:szCs w:val="18"/>
                <w:vertAlign w:val="superscript"/>
                <w:lang w:val="en-GB"/>
              </w:rPr>
              <w:t>2</w:t>
            </w:r>
          </w:p>
        </w:tc>
        <w:tc>
          <w:tcPr>
            <w:tcW w:w="992" w:type="dxa"/>
            <w:tcBorders>
              <w:top w:val="single" w:sz="4" w:space="0" w:color="auto"/>
              <w:bottom w:val="single" w:sz="4" w:space="0" w:color="auto"/>
            </w:tcBorders>
            <w:shd w:val="clear" w:color="auto" w:fill="auto"/>
            <w:noWrap/>
            <w:hideMark/>
          </w:tcPr>
          <w:p w14:paraId="6A2E7AAF" w14:textId="77777777" w:rsidR="00DD24A4" w:rsidRPr="0092237D" w:rsidRDefault="00DD24A4" w:rsidP="00DD24A4">
            <w:pPr>
              <w:pStyle w:val="WPHeading1"/>
              <w:rPr>
                <w:rFonts w:ascii="Arial" w:hAnsi="Arial" w:cs="Arial"/>
                <w:b w:val="0"/>
                <w:i/>
                <w:sz w:val="22"/>
                <w:szCs w:val="18"/>
                <w:lang w:val="en-GB"/>
              </w:rPr>
            </w:pPr>
            <w:r w:rsidRPr="0092237D">
              <w:rPr>
                <w:rFonts w:ascii="Arial" w:hAnsi="Arial" w:cs="Arial"/>
                <w:b w:val="0"/>
                <w:i/>
                <w:sz w:val="22"/>
                <w:szCs w:val="18"/>
                <w:lang w:val="en-GB"/>
              </w:rPr>
              <w:t>Adj. R</w:t>
            </w:r>
            <w:r w:rsidRPr="0092237D">
              <w:rPr>
                <w:rFonts w:ascii="Arial" w:hAnsi="Arial" w:cs="Arial"/>
                <w:b w:val="0"/>
                <w:i/>
                <w:sz w:val="22"/>
                <w:szCs w:val="18"/>
                <w:vertAlign w:val="superscript"/>
                <w:lang w:val="en-GB"/>
              </w:rPr>
              <w:t>2</w:t>
            </w:r>
          </w:p>
        </w:tc>
      </w:tr>
      <w:tr w:rsidR="00DD24A4" w:rsidRPr="0092237D" w14:paraId="56E32FE1" w14:textId="77777777" w:rsidTr="00DD24A4">
        <w:trPr>
          <w:trHeight w:val="214"/>
          <w:jc w:val="center"/>
        </w:trPr>
        <w:tc>
          <w:tcPr>
            <w:tcW w:w="2959" w:type="dxa"/>
            <w:tcBorders>
              <w:top w:val="single" w:sz="4" w:space="0" w:color="auto"/>
              <w:bottom w:val="nil"/>
            </w:tcBorders>
            <w:shd w:val="clear" w:color="auto" w:fill="auto"/>
            <w:noWrap/>
          </w:tcPr>
          <w:p w14:paraId="7FB51FDC" w14:textId="77777777" w:rsidR="00DD24A4" w:rsidRPr="0092237D" w:rsidRDefault="00DD24A4" w:rsidP="00DD24A4">
            <w:pPr>
              <w:pStyle w:val="WPHeading1"/>
              <w:jc w:val="left"/>
              <w:rPr>
                <w:rFonts w:ascii="Arial" w:hAnsi="Arial" w:cs="Arial"/>
                <w:b w:val="0"/>
                <w:sz w:val="22"/>
                <w:szCs w:val="18"/>
                <w:lang w:val="en-GB"/>
              </w:rPr>
            </w:pPr>
            <w:r w:rsidRPr="0092237D">
              <w:rPr>
                <w:rFonts w:ascii="Arial" w:hAnsi="Arial" w:cs="Arial"/>
                <w:b w:val="0"/>
                <w:sz w:val="22"/>
                <w:szCs w:val="18"/>
                <w:lang w:val="en-GB"/>
              </w:rPr>
              <w:t>OLS (City + Admin + Sub)</w:t>
            </w:r>
          </w:p>
        </w:tc>
        <w:tc>
          <w:tcPr>
            <w:tcW w:w="1753" w:type="dxa"/>
            <w:tcBorders>
              <w:top w:val="single" w:sz="4" w:space="0" w:color="auto"/>
              <w:bottom w:val="nil"/>
            </w:tcBorders>
            <w:shd w:val="clear" w:color="auto" w:fill="auto"/>
            <w:noWrap/>
          </w:tcPr>
          <w:p w14:paraId="6294247E"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176.271***</w:t>
            </w:r>
          </w:p>
        </w:tc>
        <w:tc>
          <w:tcPr>
            <w:tcW w:w="1384" w:type="dxa"/>
            <w:tcBorders>
              <w:top w:val="single" w:sz="4" w:space="0" w:color="auto"/>
              <w:bottom w:val="nil"/>
            </w:tcBorders>
            <w:shd w:val="clear" w:color="auto" w:fill="auto"/>
            <w:noWrap/>
          </w:tcPr>
          <w:p w14:paraId="6848F36D"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0.881</w:t>
            </w:r>
          </w:p>
        </w:tc>
        <w:tc>
          <w:tcPr>
            <w:tcW w:w="992" w:type="dxa"/>
            <w:tcBorders>
              <w:top w:val="single" w:sz="4" w:space="0" w:color="auto"/>
              <w:bottom w:val="nil"/>
            </w:tcBorders>
            <w:shd w:val="clear" w:color="auto" w:fill="auto"/>
            <w:noWrap/>
          </w:tcPr>
          <w:p w14:paraId="51AF8DE3"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0.876</w:t>
            </w:r>
          </w:p>
        </w:tc>
      </w:tr>
      <w:tr w:rsidR="00DD24A4" w:rsidRPr="0092237D" w14:paraId="7ABF8986" w14:textId="77777777" w:rsidTr="00DD24A4">
        <w:trPr>
          <w:trHeight w:val="214"/>
          <w:jc w:val="center"/>
        </w:trPr>
        <w:tc>
          <w:tcPr>
            <w:tcW w:w="2959" w:type="dxa"/>
            <w:tcBorders>
              <w:top w:val="nil"/>
              <w:bottom w:val="nil"/>
            </w:tcBorders>
            <w:shd w:val="clear" w:color="auto" w:fill="auto"/>
            <w:noWrap/>
            <w:hideMark/>
          </w:tcPr>
          <w:p w14:paraId="64B0B296" w14:textId="77777777" w:rsidR="00DD24A4" w:rsidRPr="0092237D" w:rsidRDefault="00DD24A4" w:rsidP="00DD24A4">
            <w:pPr>
              <w:pStyle w:val="WPHeading1"/>
              <w:jc w:val="left"/>
              <w:rPr>
                <w:rFonts w:ascii="Arial" w:hAnsi="Arial" w:cs="Arial"/>
                <w:b w:val="0"/>
                <w:sz w:val="22"/>
                <w:szCs w:val="18"/>
                <w:lang w:val="en-GB"/>
              </w:rPr>
            </w:pPr>
            <w:r w:rsidRPr="0092237D">
              <w:rPr>
                <w:rFonts w:ascii="Arial" w:hAnsi="Arial" w:cs="Arial"/>
                <w:b w:val="0"/>
                <w:sz w:val="22"/>
                <w:szCs w:val="18"/>
                <w:lang w:val="en-GB"/>
              </w:rPr>
              <w:t>OLS (City +Admin)</w:t>
            </w:r>
          </w:p>
        </w:tc>
        <w:tc>
          <w:tcPr>
            <w:tcW w:w="1753" w:type="dxa"/>
            <w:tcBorders>
              <w:top w:val="nil"/>
              <w:bottom w:val="nil"/>
            </w:tcBorders>
            <w:shd w:val="clear" w:color="auto" w:fill="auto"/>
            <w:noWrap/>
          </w:tcPr>
          <w:p w14:paraId="69C01B40"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475.243***</w:t>
            </w:r>
          </w:p>
        </w:tc>
        <w:tc>
          <w:tcPr>
            <w:tcW w:w="1384" w:type="dxa"/>
            <w:tcBorders>
              <w:top w:val="nil"/>
              <w:bottom w:val="nil"/>
            </w:tcBorders>
            <w:shd w:val="clear" w:color="auto" w:fill="auto"/>
            <w:noWrap/>
          </w:tcPr>
          <w:p w14:paraId="09E262A2"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0.828</w:t>
            </w:r>
          </w:p>
        </w:tc>
        <w:tc>
          <w:tcPr>
            <w:tcW w:w="992" w:type="dxa"/>
            <w:tcBorders>
              <w:top w:val="nil"/>
              <w:bottom w:val="nil"/>
            </w:tcBorders>
            <w:shd w:val="clear" w:color="auto" w:fill="auto"/>
            <w:noWrap/>
          </w:tcPr>
          <w:p w14:paraId="4CEEA868"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0.826</w:t>
            </w:r>
          </w:p>
        </w:tc>
      </w:tr>
      <w:tr w:rsidR="00DD24A4" w:rsidRPr="0092237D" w14:paraId="644D3E1E" w14:textId="77777777" w:rsidTr="00DD24A4">
        <w:trPr>
          <w:trHeight w:val="214"/>
          <w:jc w:val="center"/>
        </w:trPr>
        <w:tc>
          <w:tcPr>
            <w:tcW w:w="2959" w:type="dxa"/>
            <w:tcBorders>
              <w:top w:val="nil"/>
              <w:bottom w:val="nil"/>
            </w:tcBorders>
            <w:shd w:val="clear" w:color="auto" w:fill="auto"/>
            <w:noWrap/>
          </w:tcPr>
          <w:p w14:paraId="210BE187" w14:textId="77777777" w:rsidR="00DD24A4" w:rsidRPr="0092237D" w:rsidRDefault="00DD24A4" w:rsidP="00DD24A4">
            <w:pPr>
              <w:pStyle w:val="WPHeading1"/>
              <w:jc w:val="left"/>
              <w:rPr>
                <w:rFonts w:ascii="Arial" w:hAnsi="Arial" w:cs="Arial"/>
                <w:b w:val="0"/>
                <w:sz w:val="22"/>
                <w:szCs w:val="18"/>
                <w:lang w:val="en-GB"/>
              </w:rPr>
            </w:pPr>
            <w:r w:rsidRPr="0092237D">
              <w:rPr>
                <w:rFonts w:ascii="Arial" w:hAnsi="Arial" w:cs="Arial"/>
                <w:b w:val="0"/>
                <w:sz w:val="22"/>
                <w:szCs w:val="18"/>
                <w:lang w:val="en-GB"/>
              </w:rPr>
              <w:t>OLS (City)</w:t>
            </w:r>
          </w:p>
        </w:tc>
        <w:tc>
          <w:tcPr>
            <w:tcW w:w="1753" w:type="dxa"/>
            <w:tcBorders>
              <w:top w:val="nil"/>
              <w:bottom w:val="nil"/>
            </w:tcBorders>
            <w:shd w:val="clear" w:color="auto" w:fill="auto"/>
            <w:noWrap/>
          </w:tcPr>
          <w:p w14:paraId="5FD7B7A8"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913.559***</w:t>
            </w:r>
          </w:p>
        </w:tc>
        <w:tc>
          <w:tcPr>
            <w:tcW w:w="1384" w:type="dxa"/>
            <w:tcBorders>
              <w:top w:val="nil"/>
              <w:bottom w:val="nil"/>
            </w:tcBorders>
            <w:shd w:val="clear" w:color="auto" w:fill="auto"/>
            <w:noWrap/>
          </w:tcPr>
          <w:p w14:paraId="71AD8A09"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0.776</w:t>
            </w:r>
          </w:p>
        </w:tc>
        <w:tc>
          <w:tcPr>
            <w:tcW w:w="992" w:type="dxa"/>
            <w:tcBorders>
              <w:top w:val="nil"/>
              <w:bottom w:val="nil"/>
            </w:tcBorders>
            <w:shd w:val="clear" w:color="auto" w:fill="auto"/>
            <w:noWrap/>
          </w:tcPr>
          <w:p w14:paraId="29956B97"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0.776</w:t>
            </w:r>
          </w:p>
        </w:tc>
      </w:tr>
      <w:tr w:rsidR="00DD24A4" w:rsidRPr="0092237D" w14:paraId="20450186" w14:textId="77777777" w:rsidTr="00DD24A4">
        <w:trPr>
          <w:trHeight w:val="214"/>
          <w:jc w:val="center"/>
        </w:trPr>
        <w:tc>
          <w:tcPr>
            <w:tcW w:w="2959" w:type="dxa"/>
            <w:tcBorders>
              <w:top w:val="nil"/>
              <w:bottom w:val="nil"/>
            </w:tcBorders>
            <w:shd w:val="clear" w:color="auto" w:fill="auto"/>
            <w:noWrap/>
          </w:tcPr>
          <w:p w14:paraId="025502EF" w14:textId="77777777" w:rsidR="00DD24A4" w:rsidRPr="0092237D" w:rsidRDefault="00DD24A4" w:rsidP="00DD24A4">
            <w:pPr>
              <w:pStyle w:val="WPHeading1"/>
              <w:jc w:val="left"/>
              <w:rPr>
                <w:rFonts w:ascii="Arial" w:hAnsi="Arial" w:cs="Arial"/>
                <w:b w:val="0"/>
                <w:sz w:val="22"/>
                <w:szCs w:val="18"/>
                <w:lang w:val="en-GB"/>
              </w:rPr>
            </w:pPr>
            <w:r w:rsidRPr="0092237D">
              <w:rPr>
                <w:rFonts w:ascii="Arial" w:hAnsi="Arial" w:cs="Arial"/>
                <w:b w:val="0"/>
                <w:sz w:val="22"/>
                <w:szCs w:val="18"/>
                <w:lang w:val="en-GB"/>
              </w:rPr>
              <w:t>OLS (Base)</w:t>
            </w:r>
          </w:p>
        </w:tc>
        <w:tc>
          <w:tcPr>
            <w:tcW w:w="1753" w:type="dxa"/>
            <w:tcBorders>
              <w:top w:val="nil"/>
              <w:bottom w:val="nil"/>
            </w:tcBorders>
            <w:shd w:val="clear" w:color="auto" w:fill="auto"/>
            <w:noWrap/>
          </w:tcPr>
          <w:p w14:paraId="125E2BDF"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262.755***</w:t>
            </w:r>
          </w:p>
        </w:tc>
        <w:tc>
          <w:tcPr>
            <w:tcW w:w="1384" w:type="dxa"/>
            <w:tcBorders>
              <w:top w:val="nil"/>
              <w:bottom w:val="nil"/>
            </w:tcBorders>
            <w:shd w:val="clear" w:color="auto" w:fill="auto"/>
            <w:noWrap/>
          </w:tcPr>
          <w:p w14:paraId="41C5C176"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0.378</w:t>
            </w:r>
          </w:p>
        </w:tc>
        <w:tc>
          <w:tcPr>
            <w:tcW w:w="992" w:type="dxa"/>
            <w:tcBorders>
              <w:top w:val="nil"/>
              <w:bottom w:val="nil"/>
            </w:tcBorders>
            <w:shd w:val="clear" w:color="auto" w:fill="auto"/>
            <w:noWrap/>
          </w:tcPr>
          <w:p w14:paraId="5A9BA63B"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0.377</w:t>
            </w:r>
          </w:p>
        </w:tc>
      </w:tr>
      <w:tr w:rsidR="00DD24A4" w:rsidRPr="0092237D" w14:paraId="2C438814" w14:textId="77777777" w:rsidTr="00DD24A4">
        <w:trPr>
          <w:trHeight w:val="214"/>
          <w:jc w:val="center"/>
        </w:trPr>
        <w:tc>
          <w:tcPr>
            <w:tcW w:w="2959" w:type="dxa"/>
            <w:tcBorders>
              <w:top w:val="nil"/>
              <w:bottom w:val="single" w:sz="4" w:space="0" w:color="auto"/>
            </w:tcBorders>
            <w:shd w:val="clear" w:color="auto" w:fill="auto"/>
            <w:noWrap/>
          </w:tcPr>
          <w:p w14:paraId="12582E3A" w14:textId="77777777" w:rsidR="00DD24A4" w:rsidRPr="0092237D" w:rsidRDefault="00DD24A4" w:rsidP="00DD24A4">
            <w:pPr>
              <w:pStyle w:val="WPHeading1"/>
              <w:jc w:val="left"/>
              <w:rPr>
                <w:rFonts w:ascii="Arial" w:hAnsi="Arial" w:cs="Arial"/>
                <w:b w:val="0"/>
                <w:sz w:val="22"/>
                <w:szCs w:val="18"/>
                <w:lang w:val="en-GB"/>
              </w:rPr>
            </w:pPr>
            <w:r w:rsidRPr="0092237D">
              <w:rPr>
                <w:rFonts w:ascii="Arial" w:hAnsi="Arial" w:cs="Arial"/>
                <w:b w:val="0"/>
                <w:sz w:val="22"/>
                <w:szCs w:val="18"/>
                <w:lang w:val="en-GB"/>
              </w:rPr>
              <w:t xml:space="preserve">GWR </w:t>
            </w:r>
          </w:p>
        </w:tc>
        <w:tc>
          <w:tcPr>
            <w:tcW w:w="1753" w:type="dxa"/>
            <w:tcBorders>
              <w:top w:val="nil"/>
              <w:bottom w:val="single" w:sz="4" w:space="0" w:color="auto"/>
            </w:tcBorders>
            <w:shd w:val="clear" w:color="auto" w:fill="auto"/>
            <w:noWrap/>
          </w:tcPr>
          <w:p w14:paraId="5BF2118E"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w:t>
            </w:r>
          </w:p>
        </w:tc>
        <w:tc>
          <w:tcPr>
            <w:tcW w:w="1384" w:type="dxa"/>
            <w:tcBorders>
              <w:top w:val="nil"/>
              <w:bottom w:val="single" w:sz="4" w:space="0" w:color="auto"/>
            </w:tcBorders>
            <w:shd w:val="clear" w:color="auto" w:fill="auto"/>
            <w:noWrap/>
          </w:tcPr>
          <w:p w14:paraId="70984E0C"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0.823</w:t>
            </w:r>
          </w:p>
        </w:tc>
        <w:tc>
          <w:tcPr>
            <w:tcW w:w="992" w:type="dxa"/>
            <w:tcBorders>
              <w:top w:val="nil"/>
              <w:bottom w:val="single" w:sz="4" w:space="0" w:color="auto"/>
            </w:tcBorders>
            <w:shd w:val="clear" w:color="auto" w:fill="auto"/>
            <w:noWrap/>
          </w:tcPr>
          <w:p w14:paraId="1DF71DEB" w14:textId="77777777" w:rsidR="00DD24A4" w:rsidRPr="0092237D" w:rsidRDefault="00DD24A4" w:rsidP="00DD24A4">
            <w:pPr>
              <w:pStyle w:val="WPHeading1"/>
              <w:rPr>
                <w:rFonts w:ascii="Arial" w:hAnsi="Arial" w:cs="Arial"/>
                <w:b w:val="0"/>
                <w:sz w:val="22"/>
                <w:szCs w:val="18"/>
                <w:lang w:val="en-GB"/>
              </w:rPr>
            </w:pPr>
            <w:r w:rsidRPr="0092237D">
              <w:rPr>
                <w:rFonts w:ascii="Arial" w:hAnsi="Arial" w:cs="Arial"/>
                <w:b w:val="0"/>
                <w:sz w:val="22"/>
                <w:szCs w:val="18"/>
                <w:lang w:val="en-GB"/>
              </w:rPr>
              <w:t>0.811</w:t>
            </w:r>
          </w:p>
        </w:tc>
      </w:tr>
    </w:tbl>
    <w:p w14:paraId="5A7924C3" w14:textId="77777777" w:rsidR="0092237D" w:rsidRDefault="00DD24A4" w:rsidP="00DD24A4">
      <w:pPr>
        <w:pStyle w:val="WPHeading1"/>
        <w:jc w:val="left"/>
        <w:rPr>
          <w:rFonts w:ascii="Arial" w:hAnsi="Arial" w:cs="Arial"/>
          <w:b w:val="0"/>
          <w:sz w:val="20"/>
        </w:rPr>
      </w:pPr>
      <w:r>
        <w:rPr>
          <w:b w:val="0"/>
          <w:sz w:val="20"/>
        </w:rPr>
        <w:tab/>
      </w:r>
      <w:r>
        <w:rPr>
          <w:b w:val="0"/>
          <w:sz w:val="20"/>
        </w:rPr>
        <w:tab/>
      </w:r>
      <w:r w:rsidRPr="0092237D">
        <w:rPr>
          <w:rFonts w:ascii="Arial" w:hAnsi="Arial" w:cs="Arial"/>
          <w:b w:val="0"/>
          <w:sz w:val="20"/>
        </w:rPr>
        <w:t>b.</w:t>
      </w:r>
      <w:r w:rsidRPr="00877298">
        <w:rPr>
          <w:b w:val="0"/>
          <w:sz w:val="20"/>
        </w:rPr>
        <w:t xml:space="preserve"> </w:t>
      </w:r>
      <w:r w:rsidRPr="0092237D">
        <w:rPr>
          <w:rFonts w:ascii="Arial" w:hAnsi="Arial" w:cs="Arial"/>
          <w:b w:val="0"/>
          <w:sz w:val="20"/>
        </w:rPr>
        <w:t xml:space="preserve">Dependent Variable: </w:t>
      </w:r>
      <w:proofErr w:type="spellStart"/>
      <w:r w:rsidRPr="0092237D">
        <w:rPr>
          <w:rFonts w:ascii="Arial" w:hAnsi="Arial" w:cs="Arial"/>
          <w:b w:val="0"/>
          <w:sz w:val="20"/>
        </w:rPr>
        <w:t>LnPrice</w:t>
      </w:r>
      <w:proofErr w:type="spellEnd"/>
      <w:r w:rsidRPr="0092237D">
        <w:rPr>
          <w:rFonts w:ascii="Arial" w:hAnsi="Arial" w:cs="Arial"/>
          <w:b w:val="0"/>
          <w:sz w:val="20"/>
        </w:rPr>
        <w:t xml:space="preserve">. </w:t>
      </w:r>
    </w:p>
    <w:p w14:paraId="35C83A96" w14:textId="2567CB29" w:rsidR="00DD24A4" w:rsidRPr="0092237D" w:rsidRDefault="0092237D" w:rsidP="00DD24A4">
      <w:pPr>
        <w:pStyle w:val="WPHeading1"/>
        <w:jc w:val="left"/>
        <w:rPr>
          <w:rFonts w:ascii="Arial" w:hAnsi="Arial" w:cs="Arial"/>
          <w:b w:val="0"/>
          <w:sz w:val="20"/>
        </w:rPr>
      </w:pPr>
      <w:r>
        <w:rPr>
          <w:rFonts w:ascii="Arial" w:hAnsi="Arial" w:cs="Arial"/>
          <w:b w:val="0"/>
          <w:sz w:val="20"/>
        </w:rPr>
        <w:tab/>
      </w:r>
      <w:r>
        <w:rPr>
          <w:rFonts w:ascii="Arial" w:hAnsi="Arial" w:cs="Arial"/>
          <w:b w:val="0"/>
          <w:sz w:val="20"/>
        </w:rPr>
        <w:tab/>
      </w:r>
      <w:r w:rsidR="00DD24A4" w:rsidRPr="0092237D">
        <w:rPr>
          <w:rFonts w:ascii="Arial" w:hAnsi="Arial" w:cs="Arial"/>
          <w:b w:val="0"/>
          <w:sz w:val="20"/>
        </w:rPr>
        <w:t>***denotes 99% significance. Full model coefficients available upon request.</w:t>
      </w:r>
    </w:p>
    <w:p w14:paraId="5D7C65BB" w14:textId="77777777" w:rsidR="00DD24A4" w:rsidRDefault="00DD24A4" w:rsidP="00DD24A4">
      <w:pPr>
        <w:pStyle w:val="WPHeading1"/>
        <w:jc w:val="left"/>
      </w:pPr>
    </w:p>
    <w:p w14:paraId="08579D97" w14:textId="77777777" w:rsidR="00DD24A4" w:rsidRPr="00877298" w:rsidRDefault="00DD24A4" w:rsidP="00DD24A4">
      <w:pPr>
        <w:pStyle w:val="WPHeading1"/>
        <w:jc w:val="left"/>
      </w:pPr>
    </w:p>
    <w:p w14:paraId="2445577D" w14:textId="77777777" w:rsidR="00DD24A4" w:rsidRPr="0092237D" w:rsidRDefault="00DD24A4" w:rsidP="00DD24A4">
      <w:pPr>
        <w:ind w:right="170"/>
        <w:rPr>
          <w:rFonts w:ascii="Arial" w:hAnsi="Arial" w:cs="Arial"/>
          <w:b/>
        </w:rPr>
      </w:pPr>
      <w:r w:rsidRPr="0092237D">
        <w:rPr>
          <w:rFonts w:ascii="Arial" w:hAnsi="Arial" w:cs="Arial"/>
          <w:b/>
        </w:rPr>
        <w:t>Prediction accuracy</w:t>
      </w:r>
      <w:r w:rsidRPr="0092237D">
        <w:rPr>
          <w:rFonts w:ascii="Arial" w:hAnsi="Arial" w:cs="Arial"/>
        </w:rPr>
        <w:t xml:space="preserve">: </w:t>
      </w:r>
      <w:r w:rsidRPr="0092237D">
        <w:rPr>
          <w:rFonts w:ascii="Arial" w:hAnsi="Arial" w:cs="Arial"/>
          <w:b/>
        </w:rPr>
        <w:t>PRD and COD Ratio performance measures</w:t>
      </w:r>
    </w:p>
    <w:p w14:paraId="133A21A4" w14:textId="16DC8722" w:rsidR="00DD24A4" w:rsidRDefault="00DD24A4" w:rsidP="0092237D">
      <w:pPr>
        <w:spacing w:line="360" w:lineRule="auto"/>
        <w:ind w:right="170"/>
        <w:jc w:val="both"/>
        <w:rPr>
          <w:rFonts w:ascii="Arial" w:hAnsi="Arial" w:cs="Arial"/>
        </w:rPr>
      </w:pPr>
      <w:r w:rsidRPr="0092237D">
        <w:rPr>
          <w:rFonts w:ascii="Arial" w:hAnsi="Arial" w:cs="Arial"/>
        </w:rPr>
        <w:t xml:space="preserve">Initial investigation examining IAAO benchmarks, namely the PRD and COD, for the overall models can be evidenced in Table </w:t>
      </w:r>
      <w:r w:rsidR="0069096F">
        <w:rPr>
          <w:rFonts w:ascii="Arial" w:hAnsi="Arial" w:cs="Arial"/>
        </w:rPr>
        <w:t>4</w:t>
      </w:r>
      <w:r w:rsidRPr="0092237D">
        <w:rPr>
          <w:rFonts w:ascii="Arial" w:hAnsi="Arial" w:cs="Arial"/>
        </w:rPr>
        <w:t xml:space="preserve">. As expected, the base models neglecting spatial information perform relatively poorly for both ratio measures and signify poor uniformity of appraised values and depict regressivity whereby high valued properties are under-assessed relative to low value properties. This is also evident for the COD statistic which display relatively high dispersion of assessed value from the median. When factoring in the locational characteristics, the log </w:t>
      </w:r>
      <w:r w:rsidRPr="0092237D">
        <w:rPr>
          <w:rFonts w:ascii="Arial" w:hAnsi="Arial" w:cs="Arial"/>
          <w:lang w:eastAsia="en-GB"/>
        </w:rPr>
        <w:t>(City + Admin)</w:t>
      </w:r>
      <w:r w:rsidRPr="0092237D">
        <w:rPr>
          <w:rFonts w:ascii="Arial" w:hAnsi="Arial" w:cs="Arial"/>
        </w:rPr>
        <w:t xml:space="preserve"> model fa</w:t>
      </w:r>
      <w:r w:rsidR="00F26CDA" w:rsidRPr="0092237D">
        <w:rPr>
          <w:rFonts w:ascii="Arial" w:hAnsi="Arial" w:cs="Arial"/>
        </w:rPr>
        <w:t>l</w:t>
      </w:r>
      <w:r w:rsidRPr="0092237D">
        <w:rPr>
          <w:rFonts w:ascii="Arial" w:hAnsi="Arial" w:cs="Arial"/>
        </w:rPr>
        <w:t xml:space="preserve">ls nominally outside both ratio standards thresholds. Both fully specified spatial models </w:t>
      </w:r>
      <w:r w:rsidRPr="0092237D">
        <w:rPr>
          <w:rFonts w:ascii="Arial" w:hAnsi="Arial" w:cs="Arial"/>
          <w:lang w:eastAsia="en-GB"/>
        </w:rPr>
        <w:t xml:space="preserve">(City + Admin +Sub) </w:t>
      </w:r>
      <w:r w:rsidRPr="0092237D">
        <w:rPr>
          <w:rFonts w:ascii="Arial" w:hAnsi="Arial" w:cs="Arial"/>
        </w:rPr>
        <w:t>meet the IAAO accepted thresholds for the PRD, with the log model inside the range widely accepted for the COD</w:t>
      </w:r>
      <w:r w:rsidR="004C33D3" w:rsidRPr="0092237D">
        <w:rPr>
          <w:rFonts w:ascii="Arial" w:hAnsi="Arial" w:cs="Arial"/>
        </w:rPr>
        <w:t xml:space="preserve">. </w:t>
      </w:r>
    </w:p>
    <w:p w14:paraId="38295224" w14:textId="10CCF23C" w:rsidR="00DD24A4" w:rsidRPr="0092237D" w:rsidRDefault="00DD24A4" w:rsidP="00DD24A4">
      <w:pPr>
        <w:pStyle w:val="NoSpacing"/>
        <w:ind w:right="170"/>
        <w:jc w:val="left"/>
        <w:rPr>
          <w:rFonts w:ascii="Arial" w:hAnsi="Arial" w:cs="Arial"/>
          <w:b/>
          <w:sz w:val="22"/>
        </w:rPr>
      </w:pPr>
      <w:r w:rsidRPr="0092237D">
        <w:rPr>
          <w:rFonts w:ascii="Arial" w:hAnsi="Arial" w:cs="Arial"/>
          <w:b/>
          <w:sz w:val="22"/>
          <w:szCs w:val="20"/>
        </w:rPr>
        <w:t xml:space="preserve">Table </w:t>
      </w:r>
      <w:r w:rsidR="0069096F">
        <w:rPr>
          <w:rFonts w:ascii="Arial" w:hAnsi="Arial" w:cs="Arial"/>
          <w:b/>
          <w:sz w:val="22"/>
          <w:szCs w:val="20"/>
        </w:rPr>
        <w:t>4</w:t>
      </w:r>
      <w:r w:rsidRPr="0092237D">
        <w:rPr>
          <w:rFonts w:ascii="Arial" w:hAnsi="Arial" w:cs="Arial"/>
          <w:b/>
          <w:sz w:val="22"/>
          <w:szCs w:val="20"/>
        </w:rPr>
        <w:t xml:space="preserve"> </w:t>
      </w:r>
      <w:r w:rsidRPr="0092237D">
        <w:rPr>
          <w:rFonts w:ascii="Arial" w:hAnsi="Arial" w:cs="Arial"/>
          <w:b/>
          <w:sz w:val="22"/>
        </w:rPr>
        <w:t xml:space="preserve">PRD and COD Ratios </w:t>
      </w:r>
    </w:p>
    <w:p w14:paraId="24410672" w14:textId="77777777" w:rsidR="00DD24A4" w:rsidRPr="00144E19" w:rsidRDefault="00DD24A4" w:rsidP="00DD24A4">
      <w:pPr>
        <w:pStyle w:val="NoSpacing"/>
        <w:ind w:right="170"/>
        <w:jc w:val="left"/>
      </w:pPr>
    </w:p>
    <w:tbl>
      <w:tblPr>
        <w:tblW w:w="9073" w:type="dxa"/>
        <w:jc w:val="center"/>
        <w:tblLook w:val="04A0" w:firstRow="1" w:lastRow="0" w:firstColumn="1" w:lastColumn="0" w:noHBand="0" w:noVBand="1"/>
      </w:tblPr>
      <w:tblGrid>
        <w:gridCol w:w="3657"/>
        <w:gridCol w:w="1872"/>
        <w:gridCol w:w="993"/>
        <w:gridCol w:w="2551"/>
      </w:tblGrid>
      <w:tr w:rsidR="00DD24A4" w:rsidRPr="0092237D" w14:paraId="15A92AA7" w14:textId="77777777" w:rsidTr="00DD24A4">
        <w:trPr>
          <w:trHeight w:val="169"/>
          <w:jc w:val="center"/>
        </w:trPr>
        <w:tc>
          <w:tcPr>
            <w:tcW w:w="3657" w:type="dxa"/>
            <w:tcBorders>
              <w:top w:val="single" w:sz="4" w:space="0" w:color="auto"/>
              <w:bottom w:val="single" w:sz="4" w:space="0" w:color="auto"/>
            </w:tcBorders>
          </w:tcPr>
          <w:p w14:paraId="6DA1154F" w14:textId="77777777" w:rsidR="00DD24A4" w:rsidRPr="0092237D" w:rsidRDefault="00DD24A4" w:rsidP="00DD24A4">
            <w:pPr>
              <w:spacing w:after="0"/>
              <w:ind w:right="170"/>
              <w:rPr>
                <w:rFonts w:ascii="Arial" w:hAnsi="Arial" w:cs="Arial"/>
                <w:lang w:eastAsia="en-GB"/>
              </w:rPr>
            </w:pPr>
          </w:p>
        </w:tc>
        <w:tc>
          <w:tcPr>
            <w:tcW w:w="1872" w:type="dxa"/>
            <w:tcBorders>
              <w:top w:val="single" w:sz="4" w:space="0" w:color="auto"/>
              <w:bottom w:val="single" w:sz="4" w:space="0" w:color="auto"/>
            </w:tcBorders>
            <w:shd w:val="clear" w:color="auto" w:fill="auto"/>
            <w:noWrap/>
            <w:vAlign w:val="bottom"/>
            <w:hideMark/>
          </w:tcPr>
          <w:p w14:paraId="57BB65FE"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PRD</w:t>
            </w:r>
          </w:p>
        </w:tc>
        <w:tc>
          <w:tcPr>
            <w:tcW w:w="993" w:type="dxa"/>
            <w:tcBorders>
              <w:top w:val="single" w:sz="4" w:space="0" w:color="auto"/>
              <w:bottom w:val="single" w:sz="4" w:space="0" w:color="auto"/>
            </w:tcBorders>
            <w:shd w:val="clear" w:color="auto" w:fill="auto"/>
            <w:noWrap/>
            <w:vAlign w:val="bottom"/>
            <w:hideMark/>
          </w:tcPr>
          <w:p w14:paraId="4B44A980"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COD</w:t>
            </w:r>
          </w:p>
        </w:tc>
        <w:tc>
          <w:tcPr>
            <w:tcW w:w="2551" w:type="dxa"/>
            <w:tcBorders>
              <w:top w:val="single" w:sz="4" w:space="0" w:color="auto"/>
              <w:bottom w:val="single" w:sz="4" w:space="0" w:color="auto"/>
            </w:tcBorders>
            <w:shd w:val="clear" w:color="auto" w:fill="auto"/>
            <w:noWrap/>
            <w:vAlign w:val="bottom"/>
            <w:hideMark/>
          </w:tcPr>
          <w:p w14:paraId="24276061"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COV (Median)</w:t>
            </w:r>
          </w:p>
        </w:tc>
      </w:tr>
      <w:tr w:rsidR="00DD24A4" w:rsidRPr="0092237D" w14:paraId="31B08B06" w14:textId="77777777" w:rsidTr="00DD24A4">
        <w:trPr>
          <w:trHeight w:val="169"/>
          <w:jc w:val="center"/>
        </w:trPr>
        <w:tc>
          <w:tcPr>
            <w:tcW w:w="3657" w:type="dxa"/>
            <w:tcBorders>
              <w:top w:val="single" w:sz="4" w:space="0" w:color="auto"/>
            </w:tcBorders>
          </w:tcPr>
          <w:p w14:paraId="15D6121A" w14:textId="77777777" w:rsidR="00DD24A4" w:rsidRPr="0092237D" w:rsidRDefault="00DD24A4" w:rsidP="00DD24A4">
            <w:pPr>
              <w:spacing w:after="0"/>
              <w:ind w:right="170"/>
              <w:rPr>
                <w:rFonts w:ascii="Arial" w:hAnsi="Arial" w:cs="Arial"/>
                <w:lang w:eastAsia="en-GB"/>
              </w:rPr>
            </w:pPr>
            <w:r w:rsidRPr="0092237D">
              <w:rPr>
                <w:rFonts w:ascii="Arial" w:hAnsi="Arial" w:cs="Arial"/>
                <w:lang w:eastAsia="en-GB"/>
              </w:rPr>
              <w:t>Log (Base)</w:t>
            </w:r>
          </w:p>
        </w:tc>
        <w:tc>
          <w:tcPr>
            <w:tcW w:w="1872" w:type="dxa"/>
            <w:tcBorders>
              <w:top w:val="single" w:sz="4" w:space="0" w:color="auto"/>
            </w:tcBorders>
            <w:shd w:val="clear" w:color="auto" w:fill="auto"/>
            <w:noWrap/>
            <w:hideMark/>
          </w:tcPr>
          <w:p w14:paraId="50812338"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1.166</w:t>
            </w:r>
          </w:p>
        </w:tc>
        <w:tc>
          <w:tcPr>
            <w:tcW w:w="993" w:type="dxa"/>
            <w:tcBorders>
              <w:top w:val="single" w:sz="4" w:space="0" w:color="auto"/>
            </w:tcBorders>
            <w:shd w:val="clear" w:color="auto" w:fill="auto"/>
            <w:noWrap/>
            <w:hideMark/>
          </w:tcPr>
          <w:p w14:paraId="053108E5"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0.315</w:t>
            </w:r>
          </w:p>
        </w:tc>
        <w:tc>
          <w:tcPr>
            <w:tcW w:w="2551" w:type="dxa"/>
            <w:tcBorders>
              <w:top w:val="single" w:sz="4" w:space="0" w:color="auto"/>
            </w:tcBorders>
            <w:shd w:val="clear" w:color="auto" w:fill="auto"/>
            <w:noWrap/>
            <w:hideMark/>
          </w:tcPr>
          <w:p w14:paraId="452EDBBC"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44.4%</w:t>
            </w:r>
          </w:p>
        </w:tc>
      </w:tr>
      <w:tr w:rsidR="00DD24A4" w:rsidRPr="0092237D" w14:paraId="1E38720A" w14:textId="77777777" w:rsidTr="00DD24A4">
        <w:trPr>
          <w:trHeight w:val="169"/>
          <w:jc w:val="center"/>
        </w:trPr>
        <w:tc>
          <w:tcPr>
            <w:tcW w:w="3657" w:type="dxa"/>
          </w:tcPr>
          <w:p w14:paraId="5CD222D8" w14:textId="77777777" w:rsidR="00DD24A4" w:rsidRPr="0092237D" w:rsidRDefault="00DD24A4" w:rsidP="00DD24A4">
            <w:pPr>
              <w:spacing w:after="0"/>
              <w:ind w:right="170"/>
              <w:rPr>
                <w:rFonts w:ascii="Arial" w:hAnsi="Arial" w:cs="Arial"/>
                <w:lang w:eastAsia="en-GB"/>
              </w:rPr>
            </w:pPr>
            <w:r w:rsidRPr="0092237D">
              <w:rPr>
                <w:rFonts w:ascii="Arial" w:hAnsi="Arial" w:cs="Arial"/>
                <w:lang w:eastAsia="en-GB"/>
              </w:rPr>
              <w:t>Log (City)</w:t>
            </w:r>
          </w:p>
        </w:tc>
        <w:tc>
          <w:tcPr>
            <w:tcW w:w="1872" w:type="dxa"/>
            <w:shd w:val="clear" w:color="auto" w:fill="auto"/>
            <w:noWrap/>
          </w:tcPr>
          <w:p w14:paraId="048FA51E"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1.050</w:t>
            </w:r>
          </w:p>
        </w:tc>
        <w:tc>
          <w:tcPr>
            <w:tcW w:w="993" w:type="dxa"/>
            <w:shd w:val="clear" w:color="auto" w:fill="auto"/>
            <w:noWrap/>
          </w:tcPr>
          <w:p w14:paraId="15BE31EA"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0.178</w:t>
            </w:r>
          </w:p>
        </w:tc>
        <w:tc>
          <w:tcPr>
            <w:tcW w:w="2551" w:type="dxa"/>
            <w:shd w:val="clear" w:color="auto" w:fill="auto"/>
            <w:noWrap/>
          </w:tcPr>
          <w:p w14:paraId="3C8D9275"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25.9%</w:t>
            </w:r>
          </w:p>
        </w:tc>
      </w:tr>
      <w:tr w:rsidR="00DD24A4" w:rsidRPr="0092237D" w14:paraId="2F9B4042" w14:textId="77777777" w:rsidTr="00DD24A4">
        <w:trPr>
          <w:trHeight w:val="169"/>
          <w:jc w:val="center"/>
        </w:trPr>
        <w:tc>
          <w:tcPr>
            <w:tcW w:w="3657" w:type="dxa"/>
          </w:tcPr>
          <w:p w14:paraId="767BB3CF" w14:textId="77777777" w:rsidR="00DD24A4" w:rsidRPr="0092237D" w:rsidRDefault="00DD24A4" w:rsidP="00DD24A4">
            <w:pPr>
              <w:spacing w:after="0"/>
              <w:ind w:right="170"/>
              <w:rPr>
                <w:rFonts w:ascii="Arial" w:hAnsi="Arial" w:cs="Arial"/>
                <w:lang w:eastAsia="en-GB"/>
              </w:rPr>
            </w:pPr>
            <w:r w:rsidRPr="0092237D">
              <w:rPr>
                <w:rFonts w:ascii="Arial" w:hAnsi="Arial" w:cs="Arial"/>
                <w:lang w:eastAsia="en-GB"/>
              </w:rPr>
              <w:t>Log (City + Admin)</w:t>
            </w:r>
          </w:p>
        </w:tc>
        <w:tc>
          <w:tcPr>
            <w:tcW w:w="1872" w:type="dxa"/>
            <w:shd w:val="clear" w:color="auto" w:fill="auto"/>
            <w:noWrap/>
          </w:tcPr>
          <w:p w14:paraId="02AE05A9"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1.035</w:t>
            </w:r>
          </w:p>
        </w:tc>
        <w:tc>
          <w:tcPr>
            <w:tcW w:w="993" w:type="dxa"/>
            <w:shd w:val="clear" w:color="auto" w:fill="auto"/>
            <w:noWrap/>
          </w:tcPr>
          <w:p w14:paraId="691BE8CD"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0.155</w:t>
            </w:r>
          </w:p>
        </w:tc>
        <w:tc>
          <w:tcPr>
            <w:tcW w:w="2551" w:type="dxa"/>
            <w:shd w:val="clear" w:color="auto" w:fill="auto"/>
            <w:noWrap/>
          </w:tcPr>
          <w:p w14:paraId="6EBEFA75"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22.9%</w:t>
            </w:r>
          </w:p>
        </w:tc>
      </w:tr>
      <w:tr w:rsidR="00DD24A4" w:rsidRPr="0092237D" w14:paraId="379E1B1E" w14:textId="77777777" w:rsidTr="00DD24A4">
        <w:trPr>
          <w:trHeight w:val="169"/>
          <w:jc w:val="center"/>
        </w:trPr>
        <w:tc>
          <w:tcPr>
            <w:tcW w:w="3657" w:type="dxa"/>
          </w:tcPr>
          <w:p w14:paraId="71FCF13A" w14:textId="77777777" w:rsidR="00DD24A4" w:rsidRPr="0092237D" w:rsidRDefault="00DD24A4" w:rsidP="00DD24A4">
            <w:pPr>
              <w:spacing w:after="0"/>
              <w:ind w:right="170"/>
              <w:rPr>
                <w:rFonts w:ascii="Arial" w:hAnsi="Arial" w:cs="Arial"/>
                <w:lang w:eastAsia="en-GB"/>
              </w:rPr>
            </w:pPr>
            <w:r w:rsidRPr="0092237D">
              <w:rPr>
                <w:rFonts w:ascii="Arial" w:hAnsi="Arial" w:cs="Arial"/>
                <w:lang w:eastAsia="en-GB"/>
              </w:rPr>
              <w:t>Log (City + Admin +Sub)</w:t>
            </w:r>
          </w:p>
        </w:tc>
        <w:tc>
          <w:tcPr>
            <w:tcW w:w="1872" w:type="dxa"/>
            <w:shd w:val="clear" w:color="auto" w:fill="auto"/>
            <w:noWrap/>
          </w:tcPr>
          <w:p w14:paraId="0FBF2254"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1.024</w:t>
            </w:r>
          </w:p>
        </w:tc>
        <w:tc>
          <w:tcPr>
            <w:tcW w:w="993" w:type="dxa"/>
            <w:shd w:val="clear" w:color="auto" w:fill="auto"/>
            <w:noWrap/>
          </w:tcPr>
          <w:p w14:paraId="3294A57E"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0.125</w:t>
            </w:r>
          </w:p>
        </w:tc>
        <w:tc>
          <w:tcPr>
            <w:tcW w:w="2551" w:type="dxa"/>
            <w:shd w:val="clear" w:color="auto" w:fill="auto"/>
            <w:noWrap/>
          </w:tcPr>
          <w:p w14:paraId="0B9D965D" w14:textId="77777777" w:rsidR="00DD24A4" w:rsidRPr="0092237D" w:rsidRDefault="00DD24A4" w:rsidP="00DD24A4">
            <w:pPr>
              <w:spacing w:after="0"/>
              <w:ind w:right="170"/>
              <w:jc w:val="center"/>
              <w:rPr>
                <w:rFonts w:ascii="Arial" w:hAnsi="Arial" w:cs="Arial"/>
                <w:lang w:eastAsia="en-GB"/>
              </w:rPr>
            </w:pPr>
            <w:r w:rsidRPr="0092237D">
              <w:rPr>
                <w:rFonts w:ascii="Arial" w:hAnsi="Arial" w:cs="Arial"/>
                <w:lang w:eastAsia="en-GB"/>
              </w:rPr>
              <w:t>18.4%</w:t>
            </w:r>
          </w:p>
        </w:tc>
      </w:tr>
      <w:tr w:rsidR="00DD24A4" w:rsidRPr="0092237D" w14:paraId="68F685C7" w14:textId="77777777" w:rsidTr="00DD24A4">
        <w:trPr>
          <w:trHeight w:val="169"/>
          <w:jc w:val="center"/>
        </w:trPr>
        <w:tc>
          <w:tcPr>
            <w:tcW w:w="3657" w:type="dxa"/>
            <w:tcBorders>
              <w:bottom w:val="single" w:sz="4" w:space="0" w:color="auto"/>
            </w:tcBorders>
          </w:tcPr>
          <w:p w14:paraId="4783239E" w14:textId="77777777" w:rsidR="00DD24A4" w:rsidRPr="0092237D" w:rsidRDefault="00DD24A4" w:rsidP="00DD24A4">
            <w:pPr>
              <w:spacing w:after="0"/>
              <w:ind w:right="170"/>
              <w:rPr>
                <w:rFonts w:ascii="Arial" w:hAnsi="Arial" w:cs="Arial"/>
                <w:lang w:eastAsia="en-GB"/>
              </w:rPr>
            </w:pPr>
            <w:r w:rsidRPr="0092237D">
              <w:rPr>
                <w:rFonts w:ascii="Arial" w:hAnsi="Arial" w:cs="Arial"/>
                <w:lang w:eastAsia="en-GB"/>
              </w:rPr>
              <w:t>GWR</w:t>
            </w:r>
          </w:p>
        </w:tc>
        <w:tc>
          <w:tcPr>
            <w:tcW w:w="1872" w:type="dxa"/>
            <w:tcBorders>
              <w:bottom w:val="single" w:sz="4" w:space="0" w:color="auto"/>
            </w:tcBorders>
            <w:shd w:val="clear" w:color="auto" w:fill="auto"/>
            <w:noWrap/>
          </w:tcPr>
          <w:p w14:paraId="0CFA3673" w14:textId="71666C59" w:rsidR="00DD24A4" w:rsidRPr="0092237D" w:rsidRDefault="007E4CBB" w:rsidP="00DD24A4">
            <w:pPr>
              <w:spacing w:after="0"/>
              <w:ind w:right="170"/>
              <w:jc w:val="center"/>
              <w:rPr>
                <w:rFonts w:ascii="Arial" w:hAnsi="Arial" w:cs="Arial"/>
                <w:lang w:eastAsia="en-GB"/>
              </w:rPr>
            </w:pPr>
            <w:r>
              <w:rPr>
                <w:rFonts w:ascii="Arial" w:hAnsi="Arial" w:cs="Arial"/>
                <w:lang w:eastAsia="en-GB"/>
              </w:rPr>
              <w:t>0.971</w:t>
            </w:r>
          </w:p>
        </w:tc>
        <w:tc>
          <w:tcPr>
            <w:tcW w:w="993" w:type="dxa"/>
            <w:tcBorders>
              <w:bottom w:val="single" w:sz="4" w:space="0" w:color="auto"/>
            </w:tcBorders>
            <w:shd w:val="clear" w:color="auto" w:fill="auto"/>
            <w:noWrap/>
          </w:tcPr>
          <w:p w14:paraId="76078947" w14:textId="29453A39" w:rsidR="00DD24A4" w:rsidRPr="0092237D" w:rsidRDefault="007E4CBB" w:rsidP="00DD24A4">
            <w:pPr>
              <w:spacing w:after="0"/>
              <w:ind w:right="170"/>
              <w:jc w:val="center"/>
              <w:rPr>
                <w:rFonts w:ascii="Arial" w:hAnsi="Arial" w:cs="Arial"/>
                <w:lang w:eastAsia="en-GB"/>
              </w:rPr>
            </w:pPr>
            <w:r>
              <w:rPr>
                <w:rFonts w:ascii="Arial" w:hAnsi="Arial" w:cs="Arial"/>
                <w:lang w:eastAsia="en-GB"/>
              </w:rPr>
              <w:t>0.152</w:t>
            </w:r>
          </w:p>
        </w:tc>
        <w:tc>
          <w:tcPr>
            <w:tcW w:w="2551" w:type="dxa"/>
            <w:tcBorders>
              <w:bottom w:val="single" w:sz="4" w:space="0" w:color="auto"/>
            </w:tcBorders>
            <w:shd w:val="clear" w:color="auto" w:fill="auto"/>
            <w:noWrap/>
          </w:tcPr>
          <w:p w14:paraId="1A2A6F24" w14:textId="58D021B6" w:rsidR="00DD24A4" w:rsidRPr="0092237D" w:rsidRDefault="007E4CBB" w:rsidP="00DD24A4">
            <w:pPr>
              <w:spacing w:after="0"/>
              <w:ind w:right="170"/>
              <w:jc w:val="center"/>
              <w:rPr>
                <w:rFonts w:ascii="Arial" w:hAnsi="Arial" w:cs="Arial"/>
                <w:lang w:eastAsia="en-GB"/>
              </w:rPr>
            </w:pPr>
            <w:r>
              <w:rPr>
                <w:rFonts w:ascii="Arial" w:hAnsi="Arial" w:cs="Arial"/>
                <w:lang w:eastAsia="en-GB"/>
              </w:rPr>
              <w:t>24.2%</w:t>
            </w:r>
          </w:p>
        </w:tc>
      </w:tr>
    </w:tbl>
    <w:p w14:paraId="54770AFE" w14:textId="77777777" w:rsidR="00DD24A4" w:rsidRPr="0092237D" w:rsidRDefault="00DD24A4" w:rsidP="00DD24A4">
      <w:pPr>
        <w:autoSpaceDE w:val="0"/>
        <w:autoSpaceDN w:val="0"/>
        <w:adjustRightInd w:val="0"/>
        <w:spacing w:after="0"/>
        <w:ind w:right="170"/>
        <w:rPr>
          <w:rFonts w:ascii="Arial" w:hAnsi="Arial" w:cs="Arial"/>
        </w:rPr>
      </w:pPr>
      <w:r w:rsidRPr="0092237D">
        <w:rPr>
          <w:rFonts w:ascii="Arial" w:hAnsi="Arial" w:cs="Arial"/>
        </w:rPr>
        <w:t xml:space="preserve">   </w:t>
      </w:r>
      <w:r w:rsidRPr="0092237D">
        <w:rPr>
          <w:rFonts w:ascii="Arial" w:hAnsi="Arial" w:cs="Arial"/>
          <w:sz w:val="20"/>
          <w:szCs w:val="20"/>
        </w:rPr>
        <w:t>Note: the COV is the Coefficient of Variation.</w:t>
      </w:r>
    </w:p>
    <w:p w14:paraId="75ED9B18" w14:textId="77777777" w:rsidR="00DD24A4" w:rsidRPr="000B7493" w:rsidRDefault="00DD24A4" w:rsidP="00DD24A4">
      <w:pPr>
        <w:autoSpaceDE w:val="0"/>
        <w:autoSpaceDN w:val="0"/>
        <w:adjustRightInd w:val="0"/>
        <w:spacing w:after="0"/>
        <w:ind w:right="170"/>
        <w:rPr>
          <w:b/>
          <w:szCs w:val="24"/>
        </w:rPr>
      </w:pPr>
    </w:p>
    <w:p w14:paraId="3763EC58" w14:textId="77777777" w:rsidR="00DD24A4" w:rsidRPr="0092237D" w:rsidRDefault="00DD24A4" w:rsidP="00DD24A4">
      <w:pPr>
        <w:pStyle w:val="WPHeading1"/>
        <w:jc w:val="left"/>
        <w:rPr>
          <w:rFonts w:ascii="Arial" w:hAnsi="Arial" w:cs="Arial"/>
          <w:sz w:val="22"/>
          <w:szCs w:val="18"/>
        </w:rPr>
      </w:pPr>
      <w:r w:rsidRPr="0092237D">
        <w:rPr>
          <w:rFonts w:ascii="Arial" w:hAnsi="Arial" w:cs="Arial"/>
          <w:sz w:val="22"/>
          <w:szCs w:val="18"/>
        </w:rPr>
        <w:t xml:space="preserve">City level OLS models </w:t>
      </w:r>
    </w:p>
    <w:p w14:paraId="0F6EB2EE" w14:textId="77777777" w:rsidR="00DD24A4" w:rsidRPr="00592D96" w:rsidRDefault="00DD24A4" w:rsidP="00DD24A4">
      <w:pPr>
        <w:pStyle w:val="WPHeading1"/>
        <w:jc w:val="left"/>
      </w:pPr>
    </w:p>
    <w:p w14:paraId="24D30877" w14:textId="37850198" w:rsidR="0032001C" w:rsidRPr="0092237D" w:rsidRDefault="005D2E4C" w:rsidP="0092237D">
      <w:pPr>
        <w:pStyle w:val="WPBodyText"/>
        <w:spacing w:line="360" w:lineRule="auto"/>
        <w:jc w:val="both"/>
        <w:rPr>
          <w:rFonts w:ascii="Arial" w:hAnsi="Arial" w:cs="Arial"/>
          <w:sz w:val="22"/>
          <w:szCs w:val="18"/>
        </w:rPr>
      </w:pPr>
      <w:r w:rsidRPr="0092237D">
        <w:rPr>
          <w:rFonts w:ascii="Arial" w:hAnsi="Arial" w:cs="Arial"/>
          <w:sz w:val="22"/>
          <w:szCs w:val="18"/>
        </w:rPr>
        <w:t>The data is further dissected</w:t>
      </w:r>
      <w:r w:rsidR="00DD24A4" w:rsidRPr="0092237D">
        <w:rPr>
          <w:rFonts w:ascii="Arial" w:hAnsi="Arial" w:cs="Arial"/>
          <w:sz w:val="22"/>
          <w:szCs w:val="18"/>
        </w:rPr>
        <w:t xml:space="preserve"> by each city region to examine the feasibility of specification of an </w:t>
      </w:r>
      <w:r w:rsidR="00DD24A4" w:rsidRPr="0092237D">
        <w:rPr>
          <w:rFonts w:ascii="Arial" w:hAnsi="Arial" w:cs="Arial"/>
          <w:i/>
          <w:iCs/>
          <w:sz w:val="22"/>
          <w:szCs w:val="18"/>
        </w:rPr>
        <w:t>ad valorem</w:t>
      </w:r>
      <w:r w:rsidR="00DD24A4" w:rsidRPr="0092237D">
        <w:rPr>
          <w:rFonts w:ascii="Arial" w:hAnsi="Arial" w:cs="Arial"/>
          <w:sz w:val="22"/>
          <w:szCs w:val="18"/>
        </w:rPr>
        <w:t xml:space="preserve"> model at this level</w:t>
      </w:r>
      <w:r w:rsidR="00106E14" w:rsidRPr="0092237D">
        <w:rPr>
          <w:rFonts w:ascii="Arial" w:hAnsi="Arial" w:cs="Arial"/>
          <w:sz w:val="22"/>
          <w:szCs w:val="18"/>
        </w:rPr>
        <w:t>,</w:t>
      </w:r>
      <w:r w:rsidR="00DD24A4" w:rsidRPr="0092237D">
        <w:rPr>
          <w:rFonts w:ascii="Arial" w:hAnsi="Arial" w:cs="Arial"/>
          <w:sz w:val="22"/>
          <w:szCs w:val="18"/>
        </w:rPr>
        <w:t xml:space="preserve"> under a uniform model archetype. Table </w:t>
      </w:r>
      <w:r w:rsidR="0069096F">
        <w:rPr>
          <w:rFonts w:ascii="Arial" w:hAnsi="Arial" w:cs="Arial"/>
          <w:sz w:val="22"/>
          <w:szCs w:val="18"/>
        </w:rPr>
        <w:t>5</w:t>
      </w:r>
      <w:r w:rsidR="00DD24A4" w:rsidRPr="0092237D">
        <w:rPr>
          <w:rFonts w:ascii="Arial" w:hAnsi="Arial" w:cs="Arial"/>
          <w:sz w:val="22"/>
          <w:szCs w:val="18"/>
        </w:rPr>
        <w:t xml:space="preserve"> displays the overall level of explanation per each represented city in the data sample. The results show a variation in the OLS model performance, exhibiting good model fits with high levels of explanation evident (Changsha, 88%; Chengde, 90%). Nonetheless, there are instances of poor model explanation (such as </w:t>
      </w:r>
      <w:proofErr w:type="spellStart"/>
      <w:r w:rsidR="00DD24A4" w:rsidRPr="0092237D">
        <w:rPr>
          <w:rFonts w:ascii="Arial" w:hAnsi="Arial" w:cs="Arial"/>
          <w:sz w:val="22"/>
          <w:szCs w:val="18"/>
        </w:rPr>
        <w:t>Shangqiu</w:t>
      </w:r>
      <w:proofErr w:type="spellEnd"/>
      <w:r w:rsidR="00DD24A4" w:rsidRPr="0092237D">
        <w:rPr>
          <w:rFonts w:ascii="Arial" w:hAnsi="Arial" w:cs="Arial"/>
          <w:sz w:val="22"/>
          <w:szCs w:val="18"/>
        </w:rPr>
        <w:t xml:space="preserve">, 26%; Benxi, 24%) which require further investigation for value determining parameters and omitted variable bias. Accordingly, examination of the ratio benchmarks for uniformity and horizontal and vertical equity reveal a large number of the City models to conform to the accepted thresholds for both the OLS and in-sample (training) data performance ratio measurement. These results indicate that there is, on first viewing, a valid basis for developing mass appraisal systems across China’s urban housing markets evidenced by the high levels of model explanation and conformance with the ratio standards across both the global GWR (training) and OLS modelling frameworks. </w:t>
      </w:r>
    </w:p>
    <w:p w14:paraId="4EF872F4" w14:textId="77777777" w:rsidR="00406AA7" w:rsidRPr="0092237D" w:rsidRDefault="00406AA7" w:rsidP="0092237D">
      <w:pPr>
        <w:pStyle w:val="WPBodyText"/>
        <w:spacing w:line="360" w:lineRule="auto"/>
        <w:jc w:val="both"/>
        <w:rPr>
          <w:rFonts w:ascii="Arial" w:hAnsi="Arial" w:cs="Arial"/>
          <w:sz w:val="22"/>
          <w:szCs w:val="18"/>
        </w:rPr>
      </w:pPr>
    </w:p>
    <w:p w14:paraId="2C5EDD8C" w14:textId="036C37BC" w:rsidR="00DD24A4" w:rsidRPr="0092237D" w:rsidRDefault="00DD24A4" w:rsidP="0092237D">
      <w:pPr>
        <w:pStyle w:val="WPBodyText"/>
        <w:spacing w:line="360" w:lineRule="auto"/>
        <w:jc w:val="both"/>
        <w:rPr>
          <w:rFonts w:ascii="Arial" w:hAnsi="Arial" w:cs="Arial"/>
          <w:sz w:val="22"/>
          <w:szCs w:val="18"/>
        </w:rPr>
      </w:pPr>
      <w:r w:rsidRPr="0092237D">
        <w:rPr>
          <w:rFonts w:ascii="Arial" w:hAnsi="Arial" w:cs="Arial"/>
          <w:sz w:val="22"/>
          <w:szCs w:val="18"/>
        </w:rPr>
        <w:t xml:space="preserve">When specifying the GWR testing (out-of-sample) model predictability, there appears to be some considerable movement in terms of the ratio benchmark performance, some of which become very poor and change from being marginally regressive to acutely progressive (and vice versa). This behaviour is arguably reflective of the underpinning spatial structure of some of the markets in these cities. Indeed, two issues which might appear to impact upon this are the floor area-price basis which culminates in some areas </w:t>
      </w:r>
      <w:r w:rsidR="00B0724A" w:rsidRPr="0092237D">
        <w:rPr>
          <w:rFonts w:ascii="Arial" w:hAnsi="Arial" w:cs="Arial"/>
          <w:sz w:val="22"/>
          <w:szCs w:val="18"/>
        </w:rPr>
        <w:t xml:space="preserve">with </w:t>
      </w:r>
      <w:r w:rsidRPr="0092237D">
        <w:rPr>
          <w:rFonts w:ascii="Arial" w:hAnsi="Arial" w:cs="Arial"/>
          <w:sz w:val="22"/>
          <w:szCs w:val="18"/>
        </w:rPr>
        <w:t>low explanation</w:t>
      </w:r>
      <w:r w:rsidR="00406AA7" w:rsidRPr="0092237D">
        <w:rPr>
          <w:rFonts w:ascii="Arial" w:hAnsi="Arial" w:cs="Arial"/>
          <w:sz w:val="22"/>
          <w:szCs w:val="18"/>
        </w:rPr>
        <w:t>. Within</w:t>
      </w:r>
      <w:r w:rsidRPr="0092237D">
        <w:rPr>
          <w:rFonts w:ascii="Arial" w:hAnsi="Arial" w:cs="Arial"/>
          <w:sz w:val="22"/>
          <w:szCs w:val="18"/>
        </w:rPr>
        <w:t xml:space="preserve"> some cities, basic market assumptions for in-sample versus out-of-sample testing do not conform</w:t>
      </w:r>
      <w:r w:rsidR="00B0724A" w:rsidRPr="0092237D">
        <w:rPr>
          <w:rFonts w:ascii="Arial" w:hAnsi="Arial" w:cs="Arial"/>
          <w:sz w:val="22"/>
          <w:szCs w:val="18"/>
        </w:rPr>
        <w:t>,</w:t>
      </w:r>
      <w:r w:rsidRPr="0092237D">
        <w:rPr>
          <w:rFonts w:ascii="Arial" w:hAnsi="Arial" w:cs="Arial"/>
          <w:sz w:val="22"/>
          <w:szCs w:val="18"/>
        </w:rPr>
        <w:t xml:space="preserve"> in light of </w:t>
      </w:r>
      <w:r w:rsidR="00406AA7" w:rsidRPr="0092237D">
        <w:rPr>
          <w:rFonts w:ascii="Arial" w:hAnsi="Arial" w:cs="Arial"/>
          <w:sz w:val="22"/>
          <w:szCs w:val="18"/>
        </w:rPr>
        <w:t>d</w:t>
      </w:r>
      <w:r w:rsidRPr="0092237D">
        <w:rPr>
          <w:rFonts w:ascii="Arial" w:hAnsi="Arial" w:cs="Arial"/>
          <w:sz w:val="22"/>
          <w:szCs w:val="18"/>
        </w:rPr>
        <w:t xml:space="preserve">iscontinuities in the urban form as a consequence of structural characteristics </w:t>
      </w:r>
      <w:r w:rsidR="00B0724A" w:rsidRPr="0092237D">
        <w:rPr>
          <w:rFonts w:ascii="Arial" w:hAnsi="Arial" w:cs="Arial"/>
          <w:sz w:val="22"/>
          <w:szCs w:val="18"/>
        </w:rPr>
        <w:t xml:space="preserve">- </w:t>
      </w:r>
      <w:r w:rsidRPr="0092237D">
        <w:rPr>
          <w:rFonts w:ascii="Arial" w:hAnsi="Arial" w:cs="Arial"/>
          <w:sz w:val="22"/>
          <w:szCs w:val="18"/>
        </w:rPr>
        <w:t>such as community estates which act to demarcate and regulate spatial continuity and thus price differentials based on implicit and explicit pricing based on non-continuous spatial patterns. In essence, the complex mosaic of spatial concentration as a by</w:t>
      </w:r>
      <w:r w:rsidR="00406AA7" w:rsidRPr="0092237D">
        <w:rPr>
          <w:rFonts w:ascii="Arial" w:hAnsi="Arial" w:cs="Arial"/>
          <w:sz w:val="22"/>
          <w:szCs w:val="18"/>
        </w:rPr>
        <w:t>-</w:t>
      </w:r>
      <w:r w:rsidRPr="0092237D">
        <w:rPr>
          <w:rFonts w:ascii="Arial" w:hAnsi="Arial" w:cs="Arial"/>
          <w:sz w:val="22"/>
          <w:szCs w:val="18"/>
        </w:rPr>
        <w:t xml:space="preserve">product of market characteristics cannot be explained adequately by a hold-out sample. As a result, more on-the-ground market contextualization is required for some cities upon initial inspection of the data to compliment the introduction of a mass appraisal approach. </w:t>
      </w:r>
    </w:p>
    <w:p w14:paraId="4E6614B5" w14:textId="77777777" w:rsidR="00DD24A4" w:rsidRDefault="00DD24A4" w:rsidP="00DD24A4">
      <w:pPr>
        <w:pStyle w:val="WPHeading1"/>
        <w:jc w:val="left"/>
      </w:pPr>
    </w:p>
    <w:p w14:paraId="3D353D38" w14:textId="486D7E7E" w:rsidR="00DD24A4" w:rsidRPr="0092237D" w:rsidRDefault="00DD24A4" w:rsidP="00DD24A4">
      <w:pPr>
        <w:pStyle w:val="WPHeading1"/>
        <w:jc w:val="left"/>
        <w:rPr>
          <w:rFonts w:ascii="Arial" w:hAnsi="Arial" w:cs="Arial"/>
          <w:sz w:val="22"/>
          <w:szCs w:val="18"/>
        </w:rPr>
      </w:pPr>
      <w:r w:rsidRPr="0092237D">
        <w:rPr>
          <w:rFonts w:ascii="Arial" w:hAnsi="Arial" w:cs="Arial"/>
          <w:sz w:val="22"/>
          <w:szCs w:val="18"/>
        </w:rPr>
        <w:t xml:space="preserve">Table </w:t>
      </w:r>
      <w:r w:rsidR="0069096F">
        <w:rPr>
          <w:rFonts w:ascii="Arial" w:hAnsi="Arial" w:cs="Arial"/>
          <w:sz w:val="22"/>
          <w:szCs w:val="18"/>
        </w:rPr>
        <w:t>5</w:t>
      </w:r>
      <w:r w:rsidRPr="0092237D">
        <w:rPr>
          <w:rFonts w:ascii="Arial" w:hAnsi="Arial" w:cs="Arial"/>
          <w:sz w:val="22"/>
          <w:szCs w:val="18"/>
        </w:rPr>
        <w:t>: City level Prediction Accuracy</w:t>
      </w:r>
    </w:p>
    <w:p w14:paraId="3E7A628A" w14:textId="77777777" w:rsidR="00DD24A4" w:rsidRDefault="00DD24A4" w:rsidP="00DD24A4">
      <w:pPr>
        <w:pStyle w:val="WPBodyText"/>
      </w:pPr>
    </w:p>
    <w:tbl>
      <w:tblPr>
        <w:tblW w:w="8921" w:type="dxa"/>
        <w:jc w:val="center"/>
        <w:tblBorders>
          <w:top w:val="single" w:sz="4" w:space="0" w:color="auto"/>
          <w:bottom w:val="single" w:sz="4" w:space="0" w:color="auto"/>
        </w:tblBorders>
        <w:tblLook w:val="04A0" w:firstRow="1" w:lastRow="0" w:firstColumn="1" w:lastColumn="0" w:noHBand="0" w:noVBand="1"/>
      </w:tblPr>
      <w:tblGrid>
        <w:gridCol w:w="1560"/>
        <w:gridCol w:w="992"/>
        <w:gridCol w:w="709"/>
        <w:gridCol w:w="888"/>
        <w:gridCol w:w="866"/>
        <w:gridCol w:w="1141"/>
        <w:gridCol w:w="994"/>
        <w:gridCol w:w="834"/>
        <w:gridCol w:w="937"/>
      </w:tblGrid>
      <w:tr w:rsidR="00DD24A4" w:rsidRPr="0092237D" w14:paraId="3A736B9A" w14:textId="77777777" w:rsidTr="00B80853">
        <w:trPr>
          <w:trHeight w:val="300"/>
          <w:jc w:val="center"/>
        </w:trPr>
        <w:tc>
          <w:tcPr>
            <w:tcW w:w="1560" w:type="dxa"/>
            <w:tcBorders>
              <w:top w:val="single" w:sz="4" w:space="0" w:color="auto"/>
              <w:bottom w:val="single" w:sz="4" w:space="0" w:color="auto"/>
            </w:tcBorders>
            <w:shd w:val="clear" w:color="auto" w:fill="auto"/>
            <w:noWrap/>
            <w:hideMark/>
          </w:tcPr>
          <w:p w14:paraId="78230FC3" w14:textId="77777777" w:rsidR="00DD24A4" w:rsidRPr="0092237D" w:rsidRDefault="00DD24A4" w:rsidP="00DD24A4">
            <w:pPr>
              <w:pStyle w:val="WPBodyText"/>
              <w:rPr>
                <w:rFonts w:ascii="Arial" w:hAnsi="Arial" w:cs="Arial"/>
                <w:sz w:val="22"/>
                <w:szCs w:val="22"/>
                <w:lang w:val="en-GB"/>
              </w:rPr>
            </w:pPr>
            <w:r w:rsidRPr="0092237D">
              <w:rPr>
                <w:rFonts w:ascii="Arial" w:hAnsi="Arial" w:cs="Arial"/>
                <w:sz w:val="22"/>
                <w:szCs w:val="22"/>
              </w:rPr>
              <w:t> </w:t>
            </w:r>
          </w:p>
        </w:tc>
        <w:tc>
          <w:tcPr>
            <w:tcW w:w="992" w:type="dxa"/>
            <w:tcBorders>
              <w:top w:val="single" w:sz="4" w:space="0" w:color="auto"/>
              <w:bottom w:val="single" w:sz="4" w:space="0" w:color="auto"/>
            </w:tcBorders>
            <w:shd w:val="clear" w:color="auto" w:fill="auto"/>
          </w:tcPr>
          <w:p w14:paraId="74209E8D" w14:textId="77777777" w:rsidR="00DD24A4" w:rsidRPr="0092237D" w:rsidRDefault="00DD24A4" w:rsidP="00DD24A4">
            <w:pPr>
              <w:pStyle w:val="WPBodyText"/>
              <w:jc w:val="center"/>
              <w:rPr>
                <w:rFonts w:ascii="Arial" w:hAnsi="Arial" w:cs="Arial"/>
                <w:sz w:val="22"/>
                <w:szCs w:val="22"/>
              </w:rPr>
            </w:pPr>
          </w:p>
        </w:tc>
        <w:tc>
          <w:tcPr>
            <w:tcW w:w="709" w:type="dxa"/>
            <w:tcBorders>
              <w:top w:val="single" w:sz="4" w:space="0" w:color="auto"/>
              <w:bottom w:val="single" w:sz="4" w:space="0" w:color="auto"/>
            </w:tcBorders>
            <w:shd w:val="clear" w:color="auto" w:fill="auto"/>
          </w:tcPr>
          <w:p w14:paraId="226F8B06" w14:textId="77777777" w:rsidR="00DD24A4" w:rsidRPr="0092237D" w:rsidRDefault="00DD24A4" w:rsidP="00DD24A4">
            <w:pPr>
              <w:pStyle w:val="WPBodyText"/>
              <w:jc w:val="center"/>
              <w:rPr>
                <w:rFonts w:ascii="Arial" w:hAnsi="Arial" w:cs="Arial"/>
                <w:sz w:val="22"/>
                <w:szCs w:val="22"/>
              </w:rPr>
            </w:pPr>
          </w:p>
        </w:tc>
        <w:tc>
          <w:tcPr>
            <w:tcW w:w="1754" w:type="dxa"/>
            <w:gridSpan w:val="2"/>
            <w:tcBorders>
              <w:top w:val="single" w:sz="4" w:space="0" w:color="auto"/>
              <w:bottom w:val="single" w:sz="4" w:space="0" w:color="auto"/>
            </w:tcBorders>
            <w:shd w:val="clear" w:color="auto" w:fill="auto"/>
            <w:noWrap/>
            <w:hideMark/>
          </w:tcPr>
          <w:p w14:paraId="2C352C2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OLS</w:t>
            </w:r>
          </w:p>
        </w:tc>
        <w:tc>
          <w:tcPr>
            <w:tcW w:w="2135" w:type="dxa"/>
            <w:gridSpan w:val="2"/>
            <w:tcBorders>
              <w:top w:val="single" w:sz="4" w:space="0" w:color="auto"/>
              <w:bottom w:val="single" w:sz="4" w:space="0" w:color="auto"/>
            </w:tcBorders>
            <w:shd w:val="clear" w:color="auto" w:fill="auto"/>
            <w:noWrap/>
            <w:hideMark/>
          </w:tcPr>
          <w:p w14:paraId="0EEB151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GWR training</w:t>
            </w:r>
          </w:p>
        </w:tc>
        <w:tc>
          <w:tcPr>
            <w:tcW w:w="1771" w:type="dxa"/>
            <w:gridSpan w:val="2"/>
            <w:tcBorders>
              <w:top w:val="single" w:sz="4" w:space="0" w:color="auto"/>
              <w:bottom w:val="single" w:sz="4" w:space="0" w:color="auto"/>
            </w:tcBorders>
            <w:shd w:val="clear" w:color="auto" w:fill="auto"/>
            <w:hideMark/>
          </w:tcPr>
          <w:p w14:paraId="6B947C5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GWR testing</w:t>
            </w:r>
          </w:p>
        </w:tc>
      </w:tr>
      <w:tr w:rsidR="00DD24A4" w:rsidRPr="0092237D" w14:paraId="6A40EB6E" w14:textId="77777777" w:rsidTr="00B80853">
        <w:trPr>
          <w:trHeight w:val="300"/>
          <w:jc w:val="center"/>
        </w:trPr>
        <w:tc>
          <w:tcPr>
            <w:tcW w:w="1560" w:type="dxa"/>
            <w:tcBorders>
              <w:top w:val="single" w:sz="4" w:space="0" w:color="auto"/>
              <w:bottom w:val="single" w:sz="4" w:space="0" w:color="auto"/>
            </w:tcBorders>
            <w:shd w:val="clear" w:color="auto" w:fill="auto"/>
            <w:noWrap/>
            <w:hideMark/>
          </w:tcPr>
          <w:p w14:paraId="78F3C3C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City</w:t>
            </w:r>
          </w:p>
        </w:tc>
        <w:tc>
          <w:tcPr>
            <w:tcW w:w="992" w:type="dxa"/>
            <w:tcBorders>
              <w:top w:val="single" w:sz="4" w:space="0" w:color="auto"/>
              <w:bottom w:val="single" w:sz="4" w:space="0" w:color="auto"/>
            </w:tcBorders>
            <w:shd w:val="clear" w:color="auto" w:fill="auto"/>
            <w:vAlign w:val="bottom"/>
          </w:tcPr>
          <w:p w14:paraId="3AAB1C36"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Adj. R</w:t>
            </w:r>
            <w:r w:rsidRPr="0092237D">
              <w:rPr>
                <w:rFonts w:ascii="Arial" w:hAnsi="Arial" w:cs="Arial"/>
                <w:b w:val="0"/>
                <w:sz w:val="22"/>
                <w:szCs w:val="22"/>
                <w:vertAlign w:val="superscript"/>
              </w:rPr>
              <w:t>2</w:t>
            </w:r>
          </w:p>
        </w:tc>
        <w:tc>
          <w:tcPr>
            <w:tcW w:w="709" w:type="dxa"/>
            <w:tcBorders>
              <w:top w:val="single" w:sz="4" w:space="0" w:color="auto"/>
              <w:bottom w:val="single" w:sz="4" w:space="0" w:color="auto"/>
            </w:tcBorders>
            <w:shd w:val="clear" w:color="auto" w:fill="auto"/>
          </w:tcPr>
          <w:p w14:paraId="516618F6"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Obs.</w:t>
            </w:r>
          </w:p>
        </w:tc>
        <w:tc>
          <w:tcPr>
            <w:tcW w:w="888" w:type="dxa"/>
            <w:tcBorders>
              <w:top w:val="single" w:sz="4" w:space="0" w:color="auto"/>
              <w:bottom w:val="single" w:sz="4" w:space="0" w:color="auto"/>
            </w:tcBorders>
            <w:shd w:val="clear" w:color="auto" w:fill="auto"/>
            <w:noWrap/>
            <w:hideMark/>
          </w:tcPr>
          <w:p w14:paraId="54D86AE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PRD</w:t>
            </w:r>
          </w:p>
        </w:tc>
        <w:tc>
          <w:tcPr>
            <w:tcW w:w="866" w:type="dxa"/>
            <w:tcBorders>
              <w:top w:val="single" w:sz="4" w:space="0" w:color="auto"/>
              <w:bottom w:val="single" w:sz="4" w:space="0" w:color="auto"/>
            </w:tcBorders>
            <w:shd w:val="clear" w:color="auto" w:fill="auto"/>
            <w:noWrap/>
            <w:hideMark/>
          </w:tcPr>
          <w:p w14:paraId="0D8B3D4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COD</w:t>
            </w:r>
          </w:p>
        </w:tc>
        <w:tc>
          <w:tcPr>
            <w:tcW w:w="1141" w:type="dxa"/>
            <w:tcBorders>
              <w:top w:val="single" w:sz="4" w:space="0" w:color="auto"/>
              <w:bottom w:val="single" w:sz="4" w:space="0" w:color="auto"/>
            </w:tcBorders>
            <w:shd w:val="clear" w:color="auto" w:fill="auto"/>
            <w:noWrap/>
            <w:hideMark/>
          </w:tcPr>
          <w:p w14:paraId="31BB6AB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PRD</w:t>
            </w:r>
          </w:p>
        </w:tc>
        <w:tc>
          <w:tcPr>
            <w:tcW w:w="994" w:type="dxa"/>
            <w:tcBorders>
              <w:top w:val="single" w:sz="4" w:space="0" w:color="auto"/>
              <w:bottom w:val="single" w:sz="4" w:space="0" w:color="auto"/>
            </w:tcBorders>
            <w:shd w:val="clear" w:color="auto" w:fill="auto"/>
            <w:noWrap/>
            <w:hideMark/>
          </w:tcPr>
          <w:p w14:paraId="7DF9F41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COD</w:t>
            </w:r>
          </w:p>
        </w:tc>
        <w:tc>
          <w:tcPr>
            <w:tcW w:w="834" w:type="dxa"/>
            <w:tcBorders>
              <w:top w:val="single" w:sz="4" w:space="0" w:color="auto"/>
              <w:bottom w:val="single" w:sz="4" w:space="0" w:color="auto"/>
            </w:tcBorders>
            <w:shd w:val="clear" w:color="auto" w:fill="auto"/>
            <w:hideMark/>
          </w:tcPr>
          <w:p w14:paraId="791577E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PRD</w:t>
            </w:r>
          </w:p>
        </w:tc>
        <w:tc>
          <w:tcPr>
            <w:tcW w:w="937" w:type="dxa"/>
            <w:tcBorders>
              <w:top w:val="single" w:sz="4" w:space="0" w:color="auto"/>
              <w:bottom w:val="single" w:sz="4" w:space="0" w:color="auto"/>
            </w:tcBorders>
            <w:shd w:val="clear" w:color="auto" w:fill="auto"/>
            <w:hideMark/>
          </w:tcPr>
          <w:p w14:paraId="47A6EF8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COD</w:t>
            </w:r>
          </w:p>
        </w:tc>
      </w:tr>
      <w:tr w:rsidR="00DD24A4" w:rsidRPr="0092237D" w14:paraId="44F149CE" w14:textId="77777777" w:rsidTr="00B80853">
        <w:trPr>
          <w:trHeight w:val="290"/>
          <w:jc w:val="center"/>
        </w:trPr>
        <w:tc>
          <w:tcPr>
            <w:tcW w:w="1560" w:type="dxa"/>
            <w:tcBorders>
              <w:top w:val="single" w:sz="4" w:space="0" w:color="auto"/>
            </w:tcBorders>
            <w:shd w:val="clear" w:color="auto" w:fill="auto"/>
            <w:noWrap/>
            <w:hideMark/>
          </w:tcPr>
          <w:p w14:paraId="5794DACA"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Baishan</w:t>
            </w:r>
            <w:proofErr w:type="spellEnd"/>
          </w:p>
        </w:tc>
        <w:tc>
          <w:tcPr>
            <w:tcW w:w="992" w:type="dxa"/>
            <w:tcBorders>
              <w:top w:val="single" w:sz="4" w:space="0" w:color="auto"/>
            </w:tcBorders>
            <w:shd w:val="clear" w:color="auto" w:fill="auto"/>
          </w:tcPr>
          <w:p w14:paraId="049A4C95"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0.774</w:t>
            </w:r>
          </w:p>
        </w:tc>
        <w:tc>
          <w:tcPr>
            <w:tcW w:w="709" w:type="dxa"/>
            <w:tcBorders>
              <w:top w:val="single" w:sz="4" w:space="0" w:color="auto"/>
            </w:tcBorders>
            <w:shd w:val="clear" w:color="auto" w:fill="auto"/>
          </w:tcPr>
          <w:p w14:paraId="2E789166"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580</w:t>
            </w:r>
          </w:p>
        </w:tc>
        <w:tc>
          <w:tcPr>
            <w:tcW w:w="888" w:type="dxa"/>
            <w:tcBorders>
              <w:top w:val="single" w:sz="4" w:space="0" w:color="auto"/>
            </w:tcBorders>
            <w:shd w:val="clear" w:color="auto" w:fill="auto"/>
            <w:noWrap/>
            <w:hideMark/>
          </w:tcPr>
          <w:p w14:paraId="626EC26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1.029</w:t>
            </w:r>
          </w:p>
        </w:tc>
        <w:tc>
          <w:tcPr>
            <w:tcW w:w="866" w:type="dxa"/>
            <w:tcBorders>
              <w:top w:val="single" w:sz="4" w:space="0" w:color="auto"/>
            </w:tcBorders>
            <w:shd w:val="clear" w:color="auto" w:fill="auto"/>
            <w:noWrap/>
            <w:hideMark/>
          </w:tcPr>
          <w:p w14:paraId="4E24ED2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13.9</w:t>
            </w:r>
          </w:p>
        </w:tc>
        <w:tc>
          <w:tcPr>
            <w:tcW w:w="1141" w:type="dxa"/>
            <w:tcBorders>
              <w:top w:val="single" w:sz="4" w:space="0" w:color="auto"/>
            </w:tcBorders>
            <w:shd w:val="clear" w:color="auto" w:fill="auto"/>
            <w:noWrap/>
            <w:hideMark/>
          </w:tcPr>
          <w:p w14:paraId="79AA645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0.9672</w:t>
            </w:r>
          </w:p>
        </w:tc>
        <w:tc>
          <w:tcPr>
            <w:tcW w:w="994" w:type="dxa"/>
            <w:tcBorders>
              <w:top w:val="single" w:sz="4" w:space="0" w:color="auto"/>
            </w:tcBorders>
            <w:shd w:val="clear" w:color="auto" w:fill="auto"/>
            <w:noWrap/>
            <w:hideMark/>
          </w:tcPr>
          <w:p w14:paraId="18D8CE9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7.41</w:t>
            </w:r>
          </w:p>
        </w:tc>
        <w:tc>
          <w:tcPr>
            <w:tcW w:w="834" w:type="dxa"/>
            <w:tcBorders>
              <w:top w:val="single" w:sz="4" w:space="0" w:color="auto"/>
            </w:tcBorders>
            <w:shd w:val="clear" w:color="auto" w:fill="auto"/>
            <w:hideMark/>
          </w:tcPr>
          <w:p w14:paraId="5079BD3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0.436</w:t>
            </w:r>
          </w:p>
        </w:tc>
        <w:tc>
          <w:tcPr>
            <w:tcW w:w="937" w:type="dxa"/>
            <w:tcBorders>
              <w:top w:val="single" w:sz="4" w:space="0" w:color="auto"/>
            </w:tcBorders>
            <w:shd w:val="clear" w:color="auto" w:fill="auto"/>
            <w:hideMark/>
          </w:tcPr>
          <w:p w14:paraId="695D8CD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19.65</w:t>
            </w:r>
          </w:p>
        </w:tc>
      </w:tr>
      <w:tr w:rsidR="00DD24A4" w:rsidRPr="0092237D" w14:paraId="2BE6AF32" w14:textId="77777777" w:rsidTr="00B80853">
        <w:trPr>
          <w:trHeight w:val="290"/>
          <w:jc w:val="center"/>
        </w:trPr>
        <w:tc>
          <w:tcPr>
            <w:tcW w:w="1560" w:type="dxa"/>
            <w:shd w:val="clear" w:color="auto" w:fill="auto"/>
            <w:noWrap/>
            <w:hideMark/>
          </w:tcPr>
          <w:p w14:paraId="77A9500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Baoding</w:t>
            </w:r>
          </w:p>
        </w:tc>
        <w:tc>
          <w:tcPr>
            <w:tcW w:w="992" w:type="dxa"/>
            <w:shd w:val="clear" w:color="auto" w:fill="auto"/>
          </w:tcPr>
          <w:p w14:paraId="357027D6"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0.356</w:t>
            </w:r>
          </w:p>
        </w:tc>
        <w:tc>
          <w:tcPr>
            <w:tcW w:w="709" w:type="dxa"/>
            <w:shd w:val="clear" w:color="auto" w:fill="auto"/>
          </w:tcPr>
          <w:p w14:paraId="2AB509FF"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1239</w:t>
            </w:r>
          </w:p>
        </w:tc>
        <w:tc>
          <w:tcPr>
            <w:tcW w:w="888" w:type="dxa"/>
            <w:shd w:val="clear" w:color="auto" w:fill="auto"/>
            <w:noWrap/>
            <w:hideMark/>
          </w:tcPr>
          <w:p w14:paraId="7E4D398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1.041</w:t>
            </w:r>
          </w:p>
        </w:tc>
        <w:tc>
          <w:tcPr>
            <w:tcW w:w="866" w:type="dxa"/>
            <w:shd w:val="clear" w:color="auto" w:fill="auto"/>
            <w:noWrap/>
            <w:hideMark/>
          </w:tcPr>
          <w:p w14:paraId="73A4CB3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14.6</w:t>
            </w:r>
          </w:p>
        </w:tc>
        <w:tc>
          <w:tcPr>
            <w:tcW w:w="1141" w:type="dxa"/>
            <w:shd w:val="clear" w:color="auto" w:fill="auto"/>
            <w:noWrap/>
            <w:hideMark/>
          </w:tcPr>
          <w:p w14:paraId="1415728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1.034</w:t>
            </w:r>
          </w:p>
        </w:tc>
        <w:tc>
          <w:tcPr>
            <w:tcW w:w="994" w:type="dxa"/>
            <w:shd w:val="clear" w:color="auto" w:fill="auto"/>
            <w:noWrap/>
            <w:hideMark/>
          </w:tcPr>
          <w:p w14:paraId="15D73B4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11.15</w:t>
            </w:r>
          </w:p>
        </w:tc>
        <w:tc>
          <w:tcPr>
            <w:tcW w:w="834" w:type="dxa"/>
            <w:shd w:val="clear" w:color="auto" w:fill="auto"/>
            <w:hideMark/>
          </w:tcPr>
          <w:p w14:paraId="7D0AAA6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1.177</w:t>
            </w:r>
          </w:p>
        </w:tc>
        <w:tc>
          <w:tcPr>
            <w:tcW w:w="937" w:type="dxa"/>
            <w:shd w:val="clear" w:color="auto" w:fill="auto"/>
            <w:hideMark/>
          </w:tcPr>
          <w:p w14:paraId="1D38ECF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15.16</w:t>
            </w:r>
          </w:p>
        </w:tc>
      </w:tr>
      <w:tr w:rsidR="00DD24A4" w:rsidRPr="0092237D" w14:paraId="46B23261" w14:textId="77777777" w:rsidTr="00B80853">
        <w:trPr>
          <w:trHeight w:val="290"/>
          <w:jc w:val="center"/>
        </w:trPr>
        <w:tc>
          <w:tcPr>
            <w:tcW w:w="1560" w:type="dxa"/>
            <w:shd w:val="clear" w:color="auto" w:fill="auto"/>
            <w:noWrap/>
            <w:hideMark/>
          </w:tcPr>
          <w:p w14:paraId="4BDBDC3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Bayinnaoer</w:t>
            </w:r>
          </w:p>
        </w:tc>
        <w:tc>
          <w:tcPr>
            <w:tcW w:w="992" w:type="dxa"/>
            <w:shd w:val="clear" w:color="auto" w:fill="auto"/>
          </w:tcPr>
          <w:p w14:paraId="4C9D1083"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0.809</w:t>
            </w:r>
          </w:p>
        </w:tc>
        <w:tc>
          <w:tcPr>
            <w:tcW w:w="709" w:type="dxa"/>
            <w:shd w:val="clear" w:color="auto" w:fill="auto"/>
          </w:tcPr>
          <w:p w14:paraId="408F5133"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299</w:t>
            </w:r>
          </w:p>
        </w:tc>
        <w:tc>
          <w:tcPr>
            <w:tcW w:w="888" w:type="dxa"/>
            <w:shd w:val="clear" w:color="auto" w:fill="auto"/>
            <w:noWrap/>
            <w:hideMark/>
          </w:tcPr>
          <w:p w14:paraId="552AE2A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1.011</w:t>
            </w:r>
          </w:p>
        </w:tc>
        <w:tc>
          <w:tcPr>
            <w:tcW w:w="866" w:type="dxa"/>
            <w:shd w:val="clear" w:color="auto" w:fill="auto"/>
            <w:noWrap/>
            <w:hideMark/>
          </w:tcPr>
          <w:p w14:paraId="6946D5D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7.8</w:t>
            </w:r>
          </w:p>
        </w:tc>
        <w:tc>
          <w:tcPr>
            <w:tcW w:w="1141" w:type="dxa"/>
            <w:shd w:val="clear" w:color="auto" w:fill="auto"/>
            <w:noWrap/>
            <w:hideMark/>
          </w:tcPr>
          <w:p w14:paraId="5D85C45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0.9995</w:t>
            </w:r>
          </w:p>
        </w:tc>
        <w:tc>
          <w:tcPr>
            <w:tcW w:w="994" w:type="dxa"/>
            <w:shd w:val="clear" w:color="auto" w:fill="auto"/>
            <w:noWrap/>
            <w:hideMark/>
          </w:tcPr>
          <w:p w14:paraId="6FCAECE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2.6</w:t>
            </w:r>
          </w:p>
        </w:tc>
        <w:tc>
          <w:tcPr>
            <w:tcW w:w="834" w:type="dxa"/>
            <w:shd w:val="clear" w:color="auto" w:fill="auto"/>
            <w:hideMark/>
          </w:tcPr>
          <w:p w14:paraId="56EFB1A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0.657</w:t>
            </w:r>
          </w:p>
        </w:tc>
        <w:tc>
          <w:tcPr>
            <w:tcW w:w="937" w:type="dxa"/>
            <w:shd w:val="clear" w:color="auto" w:fill="auto"/>
            <w:hideMark/>
          </w:tcPr>
          <w:p w14:paraId="447E91F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12.77</w:t>
            </w:r>
          </w:p>
        </w:tc>
      </w:tr>
      <w:tr w:rsidR="00DD24A4" w:rsidRPr="0092237D" w14:paraId="45A355DC" w14:textId="77777777" w:rsidTr="00B80853">
        <w:trPr>
          <w:trHeight w:val="290"/>
          <w:jc w:val="center"/>
        </w:trPr>
        <w:tc>
          <w:tcPr>
            <w:tcW w:w="1560" w:type="dxa"/>
            <w:shd w:val="clear" w:color="auto" w:fill="auto"/>
            <w:noWrap/>
            <w:hideMark/>
          </w:tcPr>
          <w:p w14:paraId="3D438CE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Bengbu</w:t>
            </w:r>
          </w:p>
        </w:tc>
        <w:tc>
          <w:tcPr>
            <w:tcW w:w="992" w:type="dxa"/>
            <w:shd w:val="clear" w:color="auto" w:fill="auto"/>
          </w:tcPr>
          <w:p w14:paraId="63824A32"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0.877</w:t>
            </w:r>
          </w:p>
        </w:tc>
        <w:tc>
          <w:tcPr>
            <w:tcW w:w="709" w:type="dxa"/>
            <w:shd w:val="clear" w:color="auto" w:fill="auto"/>
          </w:tcPr>
          <w:p w14:paraId="186541CC"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97</w:t>
            </w:r>
          </w:p>
        </w:tc>
        <w:tc>
          <w:tcPr>
            <w:tcW w:w="888" w:type="dxa"/>
            <w:shd w:val="clear" w:color="auto" w:fill="auto"/>
            <w:noWrap/>
            <w:hideMark/>
          </w:tcPr>
          <w:p w14:paraId="7F99FC9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1.004</w:t>
            </w:r>
          </w:p>
        </w:tc>
        <w:tc>
          <w:tcPr>
            <w:tcW w:w="866" w:type="dxa"/>
            <w:shd w:val="clear" w:color="auto" w:fill="auto"/>
            <w:noWrap/>
            <w:hideMark/>
          </w:tcPr>
          <w:p w14:paraId="517BD94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3.8</w:t>
            </w:r>
          </w:p>
        </w:tc>
        <w:tc>
          <w:tcPr>
            <w:tcW w:w="1141" w:type="dxa"/>
            <w:shd w:val="clear" w:color="auto" w:fill="auto"/>
            <w:noWrap/>
            <w:hideMark/>
          </w:tcPr>
          <w:p w14:paraId="174BBAC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0.9689</w:t>
            </w:r>
          </w:p>
        </w:tc>
        <w:tc>
          <w:tcPr>
            <w:tcW w:w="994" w:type="dxa"/>
            <w:shd w:val="clear" w:color="auto" w:fill="auto"/>
            <w:noWrap/>
            <w:hideMark/>
          </w:tcPr>
          <w:p w14:paraId="4F496EC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3.87</w:t>
            </w:r>
          </w:p>
        </w:tc>
        <w:tc>
          <w:tcPr>
            <w:tcW w:w="834" w:type="dxa"/>
            <w:shd w:val="clear" w:color="auto" w:fill="auto"/>
            <w:hideMark/>
          </w:tcPr>
          <w:p w14:paraId="4F2AFC17"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1.063</w:t>
            </w:r>
          </w:p>
        </w:tc>
        <w:tc>
          <w:tcPr>
            <w:tcW w:w="937" w:type="dxa"/>
            <w:shd w:val="clear" w:color="auto" w:fill="auto"/>
            <w:hideMark/>
          </w:tcPr>
          <w:p w14:paraId="3F15E29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18.19</w:t>
            </w:r>
          </w:p>
        </w:tc>
      </w:tr>
      <w:tr w:rsidR="00DD24A4" w:rsidRPr="0092237D" w14:paraId="00671B7E" w14:textId="77777777" w:rsidTr="00B80853">
        <w:trPr>
          <w:trHeight w:val="290"/>
          <w:jc w:val="center"/>
        </w:trPr>
        <w:tc>
          <w:tcPr>
            <w:tcW w:w="1560" w:type="dxa"/>
            <w:shd w:val="clear" w:color="auto" w:fill="auto"/>
            <w:noWrap/>
            <w:hideMark/>
          </w:tcPr>
          <w:p w14:paraId="2621B4F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Benxi</w:t>
            </w:r>
          </w:p>
        </w:tc>
        <w:tc>
          <w:tcPr>
            <w:tcW w:w="992" w:type="dxa"/>
            <w:shd w:val="clear" w:color="auto" w:fill="auto"/>
          </w:tcPr>
          <w:p w14:paraId="762710C2"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0.241</w:t>
            </w:r>
          </w:p>
        </w:tc>
        <w:tc>
          <w:tcPr>
            <w:tcW w:w="709" w:type="dxa"/>
            <w:shd w:val="clear" w:color="auto" w:fill="auto"/>
          </w:tcPr>
          <w:p w14:paraId="53BADDCF"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109</w:t>
            </w:r>
          </w:p>
        </w:tc>
        <w:tc>
          <w:tcPr>
            <w:tcW w:w="888" w:type="dxa"/>
            <w:shd w:val="clear" w:color="auto" w:fill="auto"/>
            <w:noWrap/>
            <w:hideMark/>
          </w:tcPr>
          <w:p w14:paraId="42DC277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1.014</w:t>
            </w:r>
          </w:p>
        </w:tc>
        <w:tc>
          <w:tcPr>
            <w:tcW w:w="866" w:type="dxa"/>
            <w:shd w:val="clear" w:color="auto" w:fill="auto"/>
            <w:noWrap/>
            <w:hideMark/>
          </w:tcPr>
          <w:p w14:paraId="12E1DA5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8.7</w:t>
            </w:r>
          </w:p>
        </w:tc>
        <w:tc>
          <w:tcPr>
            <w:tcW w:w="1141" w:type="dxa"/>
            <w:shd w:val="clear" w:color="auto" w:fill="auto"/>
            <w:noWrap/>
            <w:hideMark/>
          </w:tcPr>
          <w:p w14:paraId="7D820F9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0.9045</w:t>
            </w:r>
          </w:p>
        </w:tc>
        <w:tc>
          <w:tcPr>
            <w:tcW w:w="994" w:type="dxa"/>
            <w:shd w:val="clear" w:color="auto" w:fill="auto"/>
            <w:noWrap/>
            <w:hideMark/>
          </w:tcPr>
          <w:p w14:paraId="019D522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2.65</w:t>
            </w:r>
          </w:p>
        </w:tc>
        <w:tc>
          <w:tcPr>
            <w:tcW w:w="834" w:type="dxa"/>
            <w:shd w:val="clear" w:color="auto" w:fill="auto"/>
            <w:hideMark/>
          </w:tcPr>
          <w:p w14:paraId="0B6649E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0.94</w:t>
            </w:r>
          </w:p>
        </w:tc>
        <w:tc>
          <w:tcPr>
            <w:tcW w:w="937" w:type="dxa"/>
            <w:shd w:val="clear" w:color="auto" w:fill="auto"/>
            <w:hideMark/>
          </w:tcPr>
          <w:p w14:paraId="6E2E470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9.934</w:t>
            </w:r>
          </w:p>
        </w:tc>
      </w:tr>
      <w:tr w:rsidR="00DD24A4" w:rsidRPr="0092237D" w14:paraId="6D86B200" w14:textId="77777777" w:rsidTr="00B80853">
        <w:trPr>
          <w:trHeight w:val="290"/>
          <w:jc w:val="center"/>
        </w:trPr>
        <w:tc>
          <w:tcPr>
            <w:tcW w:w="1560" w:type="dxa"/>
            <w:shd w:val="clear" w:color="auto" w:fill="auto"/>
            <w:noWrap/>
            <w:hideMark/>
          </w:tcPr>
          <w:p w14:paraId="0E96611B"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Binzhou</w:t>
            </w:r>
            <w:proofErr w:type="spellEnd"/>
          </w:p>
        </w:tc>
        <w:tc>
          <w:tcPr>
            <w:tcW w:w="992" w:type="dxa"/>
            <w:shd w:val="clear" w:color="auto" w:fill="auto"/>
          </w:tcPr>
          <w:p w14:paraId="3A18025B"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0.681</w:t>
            </w:r>
          </w:p>
        </w:tc>
        <w:tc>
          <w:tcPr>
            <w:tcW w:w="709" w:type="dxa"/>
            <w:shd w:val="clear" w:color="auto" w:fill="auto"/>
          </w:tcPr>
          <w:p w14:paraId="461F3215"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116</w:t>
            </w:r>
          </w:p>
        </w:tc>
        <w:tc>
          <w:tcPr>
            <w:tcW w:w="888" w:type="dxa"/>
            <w:shd w:val="clear" w:color="auto" w:fill="auto"/>
            <w:noWrap/>
            <w:hideMark/>
          </w:tcPr>
          <w:p w14:paraId="35D1378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1.024</w:t>
            </w:r>
          </w:p>
        </w:tc>
        <w:tc>
          <w:tcPr>
            <w:tcW w:w="866" w:type="dxa"/>
            <w:shd w:val="clear" w:color="auto" w:fill="auto"/>
            <w:noWrap/>
            <w:hideMark/>
          </w:tcPr>
          <w:p w14:paraId="364D19F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11.5</w:t>
            </w:r>
          </w:p>
        </w:tc>
        <w:tc>
          <w:tcPr>
            <w:tcW w:w="1141" w:type="dxa"/>
            <w:shd w:val="clear" w:color="auto" w:fill="auto"/>
            <w:noWrap/>
            <w:hideMark/>
          </w:tcPr>
          <w:p w14:paraId="46E9778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0.9962</w:t>
            </w:r>
          </w:p>
        </w:tc>
        <w:tc>
          <w:tcPr>
            <w:tcW w:w="994" w:type="dxa"/>
            <w:shd w:val="clear" w:color="auto" w:fill="auto"/>
            <w:noWrap/>
            <w:hideMark/>
          </w:tcPr>
          <w:p w14:paraId="059BB11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3.91</w:t>
            </w:r>
          </w:p>
        </w:tc>
        <w:tc>
          <w:tcPr>
            <w:tcW w:w="834" w:type="dxa"/>
            <w:shd w:val="clear" w:color="auto" w:fill="auto"/>
            <w:hideMark/>
          </w:tcPr>
          <w:p w14:paraId="40E49B0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0.777</w:t>
            </w:r>
          </w:p>
        </w:tc>
        <w:tc>
          <w:tcPr>
            <w:tcW w:w="937" w:type="dxa"/>
            <w:shd w:val="clear" w:color="auto" w:fill="auto"/>
            <w:hideMark/>
          </w:tcPr>
          <w:p w14:paraId="1D1C9B8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15.88</w:t>
            </w:r>
          </w:p>
        </w:tc>
      </w:tr>
      <w:tr w:rsidR="00DD24A4" w:rsidRPr="0092237D" w14:paraId="7F8C37BB" w14:textId="77777777" w:rsidTr="00B80853">
        <w:trPr>
          <w:trHeight w:val="290"/>
          <w:jc w:val="center"/>
        </w:trPr>
        <w:tc>
          <w:tcPr>
            <w:tcW w:w="1560" w:type="dxa"/>
            <w:shd w:val="clear" w:color="auto" w:fill="auto"/>
            <w:noWrap/>
            <w:hideMark/>
          </w:tcPr>
          <w:p w14:paraId="636799CB"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Bozhou</w:t>
            </w:r>
            <w:proofErr w:type="spellEnd"/>
          </w:p>
        </w:tc>
        <w:tc>
          <w:tcPr>
            <w:tcW w:w="992" w:type="dxa"/>
            <w:shd w:val="clear" w:color="auto" w:fill="auto"/>
          </w:tcPr>
          <w:p w14:paraId="1883DAE3"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0.556</w:t>
            </w:r>
          </w:p>
        </w:tc>
        <w:tc>
          <w:tcPr>
            <w:tcW w:w="709" w:type="dxa"/>
            <w:shd w:val="clear" w:color="auto" w:fill="auto"/>
          </w:tcPr>
          <w:p w14:paraId="1570FDA6"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397</w:t>
            </w:r>
          </w:p>
        </w:tc>
        <w:tc>
          <w:tcPr>
            <w:tcW w:w="888" w:type="dxa"/>
            <w:shd w:val="clear" w:color="auto" w:fill="auto"/>
            <w:noWrap/>
            <w:hideMark/>
          </w:tcPr>
          <w:p w14:paraId="2ABF923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1.029</w:t>
            </w:r>
          </w:p>
        </w:tc>
        <w:tc>
          <w:tcPr>
            <w:tcW w:w="866" w:type="dxa"/>
            <w:shd w:val="clear" w:color="auto" w:fill="auto"/>
            <w:noWrap/>
            <w:hideMark/>
          </w:tcPr>
          <w:p w14:paraId="1258F15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13</w:t>
            </w:r>
          </w:p>
        </w:tc>
        <w:tc>
          <w:tcPr>
            <w:tcW w:w="1141" w:type="dxa"/>
            <w:shd w:val="clear" w:color="auto" w:fill="auto"/>
            <w:noWrap/>
            <w:hideMark/>
          </w:tcPr>
          <w:p w14:paraId="792F7AA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0.9867</w:t>
            </w:r>
          </w:p>
        </w:tc>
        <w:tc>
          <w:tcPr>
            <w:tcW w:w="994" w:type="dxa"/>
            <w:shd w:val="clear" w:color="auto" w:fill="auto"/>
            <w:noWrap/>
            <w:hideMark/>
          </w:tcPr>
          <w:p w14:paraId="2D80858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3.94</w:t>
            </w:r>
          </w:p>
        </w:tc>
        <w:tc>
          <w:tcPr>
            <w:tcW w:w="834" w:type="dxa"/>
            <w:shd w:val="clear" w:color="auto" w:fill="auto"/>
            <w:hideMark/>
          </w:tcPr>
          <w:p w14:paraId="368E41A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1.238</w:t>
            </w:r>
          </w:p>
        </w:tc>
        <w:tc>
          <w:tcPr>
            <w:tcW w:w="937" w:type="dxa"/>
            <w:shd w:val="clear" w:color="auto" w:fill="auto"/>
            <w:hideMark/>
          </w:tcPr>
          <w:p w14:paraId="0A79D92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20.60</w:t>
            </w:r>
          </w:p>
        </w:tc>
      </w:tr>
      <w:tr w:rsidR="00DD24A4" w:rsidRPr="0092237D" w14:paraId="2667B829" w14:textId="77777777" w:rsidTr="00B80853">
        <w:trPr>
          <w:trHeight w:val="290"/>
          <w:jc w:val="center"/>
        </w:trPr>
        <w:tc>
          <w:tcPr>
            <w:tcW w:w="1560" w:type="dxa"/>
            <w:shd w:val="clear" w:color="auto" w:fill="auto"/>
            <w:noWrap/>
            <w:hideMark/>
          </w:tcPr>
          <w:p w14:paraId="4142F23A"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Cangzhou</w:t>
            </w:r>
            <w:proofErr w:type="spellEnd"/>
          </w:p>
        </w:tc>
        <w:tc>
          <w:tcPr>
            <w:tcW w:w="992" w:type="dxa"/>
            <w:shd w:val="clear" w:color="auto" w:fill="auto"/>
          </w:tcPr>
          <w:p w14:paraId="4053671F"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0.772</w:t>
            </w:r>
          </w:p>
        </w:tc>
        <w:tc>
          <w:tcPr>
            <w:tcW w:w="709" w:type="dxa"/>
            <w:shd w:val="clear" w:color="auto" w:fill="auto"/>
          </w:tcPr>
          <w:p w14:paraId="5AA7F81C"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2430</w:t>
            </w:r>
          </w:p>
        </w:tc>
        <w:tc>
          <w:tcPr>
            <w:tcW w:w="888" w:type="dxa"/>
            <w:shd w:val="clear" w:color="auto" w:fill="auto"/>
            <w:noWrap/>
            <w:hideMark/>
          </w:tcPr>
          <w:p w14:paraId="78E640E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1.023</w:t>
            </w:r>
          </w:p>
        </w:tc>
        <w:tc>
          <w:tcPr>
            <w:tcW w:w="866" w:type="dxa"/>
            <w:shd w:val="clear" w:color="auto" w:fill="auto"/>
            <w:noWrap/>
            <w:hideMark/>
          </w:tcPr>
          <w:p w14:paraId="3455E6D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11.7</w:t>
            </w:r>
          </w:p>
        </w:tc>
        <w:tc>
          <w:tcPr>
            <w:tcW w:w="1141" w:type="dxa"/>
            <w:shd w:val="clear" w:color="auto" w:fill="auto"/>
            <w:noWrap/>
            <w:hideMark/>
          </w:tcPr>
          <w:p w14:paraId="5E85B40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0.9946</w:t>
            </w:r>
          </w:p>
        </w:tc>
        <w:tc>
          <w:tcPr>
            <w:tcW w:w="994" w:type="dxa"/>
            <w:shd w:val="clear" w:color="auto" w:fill="auto"/>
            <w:noWrap/>
            <w:hideMark/>
          </w:tcPr>
          <w:p w14:paraId="4A5835E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2.01</w:t>
            </w:r>
          </w:p>
        </w:tc>
        <w:tc>
          <w:tcPr>
            <w:tcW w:w="834" w:type="dxa"/>
            <w:shd w:val="clear" w:color="auto" w:fill="auto"/>
            <w:hideMark/>
          </w:tcPr>
          <w:p w14:paraId="3519A69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1.017</w:t>
            </w:r>
          </w:p>
        </w:tc>
        <w:tc>
          <w:tcPr>
            <w:tcW w:w="937" w:type="dxa"/>
            <w:shd w:val="clear" w:color="auto" w:fill="auto"/>
            <w:hideMark/>
          </w:tcPr>
          <w:p w14:paraId="341861A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8.052</w:t>
            </w:r>
          </w:p>
        </w:tc>
      </w:tr>
      <w:tr w:rsidR="00DD24A4" w:rsidRPr="0092237D" w14:paraId="38747EA6" w14:textId="77777777" w:rsidTr="00B80853">
        <w:trPr>
          <w:trHeight w:val="290"/>
          <w:jc w:val="center"/>
        </w:trPr>
        <w:tc>
          <w:tcPr>
            <w:tcW w:w="1560" w:type="dxa"/>
            <w:shd w:val="clear" w:color="auto" w:fill="auto"/>
            <w:noWrap/>
            <w:hideMark/>
          </w:tcPr>
          <w:p w14:paraId="7410CAF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Changchun</w:t>
            </w:r>
          </w:p>
        </w:tc>
        <w:tc>
          <w:tcPr>
            <w:tcW w:w="992" w:type="dxa"/>
            <w:shd w:val="clear" w:color="auto" w:fill="auto"/>
          </w:tcPr>
          <w:p w14:paraId="43477046"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0.582</w:t>
            </w:r>
          </w:p>
        </w:tc>
        <w:tc>
          <w:tcPr>
            <w:tcW w:w="709" w:type="dxa"/>
            <w:shd w:val="clear" w:color="auto" w:fill="auto"/>
          </w:tcPr>
          <w:p w14:paraId="26AB01BA"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234</w:t>
            </w:r>
          </w:p>
        </w:tc>
        <w:tc>
          <w:tcPr>
            <w:tcW w:w="888" w:type="dxa"/>
            <w:shd w:val="clear" w:color="auto" w:fill="auto"/>
            <w:noWrap/>
            <w:hideMark/>
          </w:tcPr>
          <w:p w14:paraId="096DFD5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1.009</w:t>
            </w:r>
          </w:p>
        </w:tc>
        <w:tc>
          <w:tcPr>
            <w:tcW w:w="866" w:type="dxa"/>
            <w:shd w:val="clear" w:color="auto" w:fill="auto"/>
            <w:noWrap/>
            <w:hideMark/>
          </w:tcPr>
          <w:p w14:paraId="5B9B972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7.4</w:t>
            </w:r>
          </w:p>
        </w:tc>
        <w:tc>
          <w:tcPr>
            <w:tcW w:w="1141" w:type="dxa"/>
            <w:shd w:val="clear" w:color="auto" w:fill="auto"/>
            <w:noWrap/>
            <w:hideMark/>
          </w:tcPr>
          <w:p w14:paraId="7B0218F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1.0363</w:t>
            </w:r>
          </w:p>
        </w:tc>
        <w:tc>
          <w:tcPr>
            <w:tcW w:w="994" w:type="dxa"/>
            <w:shd w:val="clear" w:color="auto" w:fill="auto"/>
            <w:noWrap/>
            <w:hideMark/>
          </w:tcPr>
          <w:p w14:paraId="1A83BFB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3.2</w:t>
            </w:r>
          </w:p>
        </w:tc>
        <w:tc>
          <w:tcPr>
            <w:tcW w:w="834" w:type="dxa"/>
            <w:shd w:val="clear" w:color="auto" w:fill="auto"/>
            <w:hideMark/>
          </w:tcPr>
          <w:p w14:paraId="4B5F04E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1.043</w:t>
            </w:r>
          </w:p>
        </w:tc>
        <w:tc>
          <w:tcPr>
            <w:tcW w:w="937" w:type="dxa"/>
            <w:shd w:val="clear" w:color="auto" w:fill="auto"/>
            <w:hideMark/>
          </w:tcPr>
          <w:p w14:paraId="174B226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27.99</w:t>
            </w:r>
          </w:p>
        </w:tc>
      </w:tr>
      <w:tr w:rsidR="00DD24A4" w:rsidRPr="0092237D" w14:paraId="4082E8E4" w14:textId="77777777" w:rsidTr="00B80853">
        <w:trPr>
          <w:trHeight w:val="290"/>
          <w:jc w:val="center"/>
        </w:trPr>
        <w:tc>
          <w:tcPr>
            <w:tcW w:w="1560" w:type="dxa"/>
            <w:shd w:val="clear" w:color="auto" w:fill="auto"/>
            <w:noWrap/>
            <w:hideMark/>
          </w:tcPr>
          <w:p w14:paraId="682B71F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Changsha</w:t>
            </w:r>
          </w:p>
        </w:tc>
        <w:tc>
          <w:tcPr>
            <w:tcW w:w="992" w:type="dxa"/>
            <w:shd w:val="clear" w:color="auto" w:fill="auto"/>
          </w:tcPr>
          <w:p w14:paraId="65C0958E"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0.880</w:t>
            </w:r>
          </w:p>
        </w:tc>
        <w:tc>
          <w:tcPr>
            <w:tcW w:w="709" w:type="dxa"/>
            <w:shd w:val="clear" w:color="auto" w:fill="auto"/>
          </w:tcPr>
          <w:p w14:paraId="28364D97"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1580</w:t>
            </w:r>
          </w:p>
        </w:tc>
        <w:tc>
          <w:tcPr>
            <w:tcW w:w="888" w:type="dxa"/>
            <w:shd w:val="clear" w:color="auto" w:fill="auto"/>
            <w:noWrap/>
            <w:hideMark/>
          </w:tcPr>
          <w:p w14:paraId="464B6E0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1.03</w:t>
            </w:r>
          </w:p>
        </w:tc>
        <w:tc>
          <w:tcPr>
            <w:tcW w:w="866" w:type="dxa"/>
            <w:shd w:val="clear" w:color="auto" w:fill="auto"/>
            <w:noWrap/>
            <w:hideMark/>
          </w:tcPr>
          <w:p w14:paraId="56C7CF2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14.3</w:t>
            </w:r>
          </w:p>
        </w:tc>
        <w:tc>
          <w:tcPr>
            <w:tcW w:w="1141" w:type="dxa"/>
            <w:shd w:val="clear" w:color="auto" w:fill="auto"/>
            <w:noWrap/>
            <w:hideMark/>
          </w:tcPr>
          <w:p w14:paraId="4A635DF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0.9856</w:t>
            </w:r>
          </w:p>
        </w:tc>
        <w:tc>
          <w:tcPr>
            <w:tcW w:w="994" w:type="dxa"/>
            <w:shd w:val="clear" w:color="auto" w:fill="auto"/>
            <w:noWrap/>
            <w:hideMark/>
          </w:tcPr>
          <w:p w14:paraId="6117BEA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4.31</w:t>
            </w:r>
          </w:p>
        </w:tc>
        <w:tc>
          <w:tcPr>
            <w:tcW w:w="834" w:type="dxa"/>
            <w:shd w:val="clear" w:color="auto" w:fill="auto"/>
            <w:hideMark/>
          </w:tcPr>
          <w:p w14:paraId="66FA70F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1.498</w:t>
            </w:r>
          </w:p>
        </w:tc>
        <w:tc>
          <w:tcPr>
            <w:tcW w:w="937" w:type="dxa"/>
            <w:shd w:val="clear" w:color="auto" w:fill="auto"/>
            <w:hideMark/>
          </w:tcPr>
          <w:p w14:paraId="30CCEBE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10.64</w:t>
            </w:r>
          </w:p>
        </w:tc>
      </w:tr>
      <w:tr w:rsidR="00DD24A4" w:rsidRPr="0092237D" w14:paraId="0EF71690" w14:textId="77777777" w:rsidTr="00B80853">
        <w:trPr>
          <w:trHeight w:val="290"/>
          <w:jc w:val="center"/>
        </w:trPr>
        <w:tc>
          <w:tcPr>
            <w:tcW w:w="1560" w:type="dxa"/>
            <w:shd w:val="clear" w:color="auto" w:fill="auto"/>
            <w:noWrap/>
            <w:hideMark/>
          </w:tcPr>
          <w:p w14:paraId="792D42D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Changzhou</w:t>
            </w:r>
          </w:p>
        </w:tc>
        <w:tc>
          <w:tcPr>
            <w:tcW w:w="992" w:type="dxa"/>
            <w:shd w:val="clear" w:color="auto" w:fill="auto"/>
          </w:tcPr>
          <w:p w14:paraId="586A7EBC"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0.548</w:t>
            </w:r>
          </w:p>
        </w:tc>
        <w:tc>
          <w:tcPr>
            <w:tcW w:w="709" w:type="dxa"/>
            <w:shd w:val="clear" w:color="auto" w:fill="auto"/>
          </w:tcPr>
          <w:p w14:paraId="088CCE8A"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1422</w:t>
            </w:r>
          </w:p>
        </w:tc>
        <w:tc>
          <w:tcPr>
            <w:tcW w:w="888" w:type="dxa"/>
            <w:shd w:val="clear" w:color="auto" w:fill="auto"/>
            <w:noWrap/>
            <w:hideMark/>
          </w:tcPr>
          <w:p w14:paraId="1CDC284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1.016</w:t>
            </w:r>
          </w:p>
        </w:tc>
        <w:tc>
          <w:tcPr>
            <w:tcW w:w="866" w:type="dxa"/>
            <w:shd w:val="clear" w:color="auto" w:fill="auto"/>
            <w:noWrap/>
            <w:hideMark/>
          </w:tcPr>
          <w:p w14:paraId="4500E7D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8.8</w:t>
            </w:r>
          </w:p>
        </w:tc>
        <w:tc>
          <w:tcPr>
            <w:tcW w:w="1141" w:type="dxa"/>
            <w:shd w:val="clear" w:color="auto" w:fill="auto"/>
            <w:noWrap/>
            <w:hideMark/>
          </w:tcPr>
          <w:p w14:paraId="4ECB96C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0.9975</w:t>
            </w:r>
          </w:p>
        </w:tc>
        <w:tc>
          <w:tcPr>
            <w:tcW w:w="994" w:type="dxa"/>
            <w:shd w:val="clear" w:color="auto" w:fill="auto"/>
            <w:noWrap/>
            <w:hideMark/>
          </w:tcPr>
          <w:p w14:paraId="7363F81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2.26</w:t>
            </w:r>
          </w:p>
        </w:tc>
        <w:tc>
          <w:tcPr>
            <w:tcW w:w="834" w:type="dxa"/>
            <w:shd w:val="clear" w:color="auto" w:fill="auto"/>
            <w:hideMark/>
          </w:tcPr>
          <w:p w14:paraId="5D31026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0.974</w:t>
            </w:r>
          </w:p>
        </w:tc>
        <w:tc>
          <w:tcPr>
            <w:tcW w:w="937" w:type="dxa"/>
            <w:shd w:val="clear" w:color="auto" w:fill="auto"/>
            <w:hideMark/>
          </w:tcPr>
          <w:p w14:paraId="3C366CC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31.98</w:t>
            </w:r>
          </w:p>
        </w:tc>
      </w:tr>
      <w:tr w:rsidR="00DD24A4" w:rsidRPr="0092237D" w14:paraId="2E7A07D8" w14:textId="77777777" w:rsidTr="00B80853">
        <w:trPr>
          <w:trHeight w:val="290"/>
          <w:jc w:val="center"/>
        </w:trPr>
        <w:tc>
          <w:tcPr>
            <w:tcW w:w="1560" w:type="dxa"/>
            <w:shd w:val="clear" w:color="auto" w:fill="auto"/>
            <w:noWrap/>
            <w:hideMark/>
          </w:tcPr>
          <w:p w14:paraId="38293BC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Chengde</w:t>
            </w:r>
          </w:p>
        </w:tc>
        <w:tc>
          <w:tcPr>
            <w:tcW w:w="992" w:type="dxa"/>
            <w:shd w:val="clear" w:color="auto" w:fill="auto"/>
          </w:tcPr>
          <w:p w14:paraId="20E5F963"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0.904</w:t>
            </w:r>
          </w:p>
        </w:tc>
        <w:tc>
          <w:tcPr>
            <w:tcW w:w="709" w:type="dxa"/>
            <w:shd w:val="clear" w:color="auto" w:fill="auto"/>
          </w:tcPr>
          <w:p w14:paraId="319D0D21"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1929</w:t>
            </w:r>
          </w:p>
        </w:tc>
        <w:tc>
          <w:tcPr>
            <w:tcW w:w="888" w:type="dxa"/>
            <w:shd w:val="clear" w:color="auto" w:fill="auto"/>
            <w:noWrap/>
            <w:hideMark/>
          </w:tcPr>
          <w:p w14:paraId="710D6D5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w:t>
            </w:r>
          </w:p>
        </w:tc>
        <w:tc>
          <w:tcPr>
            <w:tcW w:w="866" w:type="dxa"/>
            <w:shd w:val="clear" w:color="auto" w:fill="auto"/>
            <w:noWrap/>
            <w:hideMark/>
          </w:tcPr>
          <w:p w14:paraId="2B29D32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11.9</w:t>
            </w:r>
          </w:p>
        </w:tc>
        <w:tc>
          <w:tcPr>
            <w:tcW w:w="1141" w:type="dxa"/>
            <w:shd w:val="clear" w:color="auto" w:fill="auto"/>
            <w:noWrap/>
            <w:hideMark/>
          </w:tcPr>
          <w:p w14:paraId="7E96E39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0.9967</w:t>
            </w:r>
          </w:p>
        </w:tc>
        <w:tc>
          <w:tcPr>
            <w:tcW w:w="994" w:type="dxa"/>
            <w:shd w:val="clear" w:color="auto" w:fill="auto"/>
            <w:noWrap/>
            <w:hideMark/>
          </w:tcPr>
          <w:p w14:paraId="7DA7442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2.99</w:t>
            </w:r>
          </w:p>
        </w:tc>
        <w:tc>
          <w:tcPr>
            <w:tcW w:w="834" w:type="dxa"/>
            <w:shd w:val="clear" w:color="auto" w:fill="auto"/>
            <w:hideMark/>
          </w:tcPr>
          <w:p w14:paraId="14EE232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1.059</w:t>
            </w:r>
          </w:p>
        </w:tc>
        <w:tc>
          <w:tcPr>
            <w:tcW w:w="937" w:type="dxa"/>
            <w:shd w:val="clear" w:color="auto" w:fill="auto"/>
            <w:hideMark/>
          </w:tcPr>
          <w:p w14:paraId="0EC81FD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16.26</w:t>
            </w:r>
          </w:p>
        </w:tc>
      </w:tr>
      <w:tr w:rsidR="00DD24A4" w:rsidRPr="0092237D" w14:paraId="70166389" w14:textId="77777777" w:rsidTr="00B80853">
        <w:trPr>
          <w:trHeight w:val="290"/>
          <w:jc w:val="center"/>
        </w:trPr>
        <w:tc>
          <w:tcPr>
            <w:tcW w:w="1560" w:type="dxa"/>
            <w:shd w:val="clear" w:color="auto" w:fill="auto"/>
            <w:noWrap/>
            <w:hideMark/>
          </w:tcPr>
          <w:p w14:paraId="1A8BBEA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Chengdu</w:t>
            </w:r>
          </w:p>
        </w:tc>
        <w:tc>
          <w:tcPr>
            <w:tcW w:w="992" w:type="dxa"/>
            <w:shd w:val="clear" w:color="auto" w:fill="auto"/>
          </w:tcPr>
          <w:p w14:paraId="7E1E4763"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0.831</w:t>
            </w:r>
          </w:p>
        </w:tc>
        <w:tc>
          <w:tcPr>
            <w:tcW w:w="709" w:type="dxa"/>
            <w:shd w:val="clear" w:color="auto" w:fill="auto"/>
          </w:tcPr>
          <w:p w14:paraId="6AA593AE"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2072</w:t>
            </w:r>
          </w:p>
        </w:tc>
        <w:tc>
          <w:tcPr>
            <w:tcW w:w="888" w:type="dxa"/>
            <w:shd w:val="clear" w:color="auto" w:fill="auto"/>
            <w:noWrap/>
            <w:hideMark/>
          </w:tcPr>
          <w:p w14:paraId="6D1F57A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1.015</w:t>
            </w:r>
          </w:p>
        </w:tc>
        <w:tc>
          <w:tcPr>
            <w:tcW w:w="866" w:type="dxa"/>
            <w:shd w:val="clear" w:color="auto" w:fill="auto"/>
            <w:noWrap/>
            <w:hideMark/>
          </w:tcPr>
          <w:p w14:paraId="6672422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w:t>
            </w:r>
          </w:p>
        </w:tc>
        <w:tc>
          <w:tcPr>
            <w:tcW w:w="1141" w:type="dxa"/>
            <w:shd w:val="clear" w:color="auto" w:fill="auto"/>
            <w:noWrap/>
            <w:hideMark/>
          </w:tcPr>
          <w:p w14:paraId="4861FEF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0.9937</w:t>
            </w:r>
          </w:p>
        </w:tc>
        <w:tc>
          <w:tcPr>
            <w:tcW w:w="994" w:type="dxa"/>
            <w:shd w:val="clear" w:color="auto" w:fill="auto"/>
            <w:noWrap/>
            <w:hideMark/>
          </w:tcPr>
          <w:p w14:paraId="727FD15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3.36</w:t>
            </w:r>
          </w:p>
        </w:tc>
        <w:tc>
          <w:tcPr>
            <w:tcW w:w="834" w:type="dxa"/>
            <w:shd w:val="clear" w:color="auto" w:fill="auto"/>
            <w:hideMark/>
          </w:tcPr>
          <w:p w14:paraId="2C8E5DC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0.662</w:t>
            </w:r>
          </w:p>
        </w:tc>
        <w:tc>
          <w:tcPr>
            <w:tcW w:w="937" w:type="dxa"/>
            <w:shd w:val="clear" w:color="auto" w:fill="auto"/>
            <w:hideMark/>
          </w:tcPr>
          <w:p w14:paraId="6CB17D07"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16.35</w:t>
            </w:r>
          </w:p>
        </w:tc>
      </w:tr>
      <w:tr w:rsidR="00DD24A4" w:rsidRPr="0092237D" w14:paraId="3351F948" w14:textId="77777777" w:rsidTr="00B80853">
        <w:trPr>
          <w:trHeight w:val="290"/>
          <w:jc w:val="center"/>
        </w:trPr>
        <w:tc>
          <w:tcPr>
            <w:tcW w:w="1560" w:type="dxa"/>
            <w:shd w:val="clear" w:color="auto" w:fill="auto"/>
            <w:noWrap/>
            <w:hideMark/>
          </w:tcPr>
          <w:p w14:paraId="25F5717D"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Chenzhou</w:t>
            </w:r>
            <w:proofErr w:type="spellEnd"/>
          </w:p>
        </w:tc>
        <w:tc>
          <w:tcPr>
            <w:tcW w:w="992" w:type="dxa"/>
            <w:shd w:val="clear" w:color="auto" w:fill="auto"/>
          </w:tcPr>
          <w:p w14:paraId="540F7F7B"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0.827</w:t>
            </w:r>
          </w:p>
        </w:tc>
        <w:tc>
          <w:tcPr>
            <w:tcW w:w="709" w:type="dxa"/>
            <w:shd w:val="clear" w:color="auto" w:fill="auto"/>
          </w:tcPr>
          <w:p w14:paraId="719A7EED"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1605</w:t>
            </w:r>
          </w:p>
        </w:tc>
        <w:tc>
          <w:tcPr>
            <w:tcW w:w="888" w:type="dxa"/>
            <w:shd w:val="clear" w:color="auto" w:fill="auto"/>
            <w:noWrap/>
            <w:hideMark/>
          </w:tcPr>
          <w:p w14:paraId="4F0443D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w:t>
            </w:r>
          </w:p>
        </w:tc>
        <w:tc>
          <w:tcPr>
            <w:tcW w:w="866" w:type="dxa"/>
            <w:shd w:val="clear" w:color="auto" w:fill="auto"/>
            <w:noWrap/>
            <w:hideMark/>
          </w:tcPr>
          <w:p w14:paraId="71AC08D7"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13.9</w:t>
            </w:r>
          </w:p>
        </w:tc>
        <w:tc>
          <w:tcPr>
            <w:tcW w:w="1141" w:type="dxa"/>
            <w:shd w:val="clear" w:color="auto" w:fill="auto"/>
            <w:noWrap/>
            <w:hideMark/>
          </w:tcPr>
          <w:p w14:paraId="6FDC099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0.9976</w:t>
            </w:r>
          </w:p>
        </w:tc>
        <w:tc>
          <w:tcPr>
            <w:tcW w:w="994" w:type="dxa"/>
            <w:shd w:val="clear" w:color="auto" w:fill="auto"/>
            <w:noWrap/>
            <w:hideMark/>
          </w:tcPr>
          <w:p w14:paraId="67694F8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3.1</w:t>
            </w:r>
          </w:p>
        </w:tc>
        <w:tc>
          <w:tcPr>
            <w:tcW w:w="834" w:type="dxa"/>
            <w:shd w:val="clear" w:color="auto" w:fill="auto"/>
            <w:hideMark/>
          </w:tcPr>
          <w:p w14:paraId="4E1DE91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1.016</w:t>
            </w:r>
          </w:p>
        </w:tc>
        <w:tc>
          <w:tcPr>
            <w:tcW w:w="937" w:type="dxa"/>
            <w:shd w:val="clear" w:color="auto" w:fill="auto"/>
            <w:hideMark/>
          </w:tcPr>
          <w:p w14:paraId="6C84879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7.781</w:t>
            </w:r>
          </w:p>
        </w:tc>
      </w:tr>
      <w:tr w:rsidR="00DD24A4" w:rsidRPr="0092237D" w14:paraId="12AF2D2F" w14:textId="77777777" w:rsidTr="00B80853">
        <w:trPr>
          <w:trHeight w:val="290"/>
          <w:jc w:val="center"/>
        </w:trPr>
        <w:tc>
          <w:tcPr>
            <w:tcW w:w="1560" w:type="dxa"/>
            <w:shd w:val="clear" w:color="auto" w:fill="auto"/>
            <w:noWrap/>
            <w:hideMark/>
          </w:tcPr>
          <w:p w14:paraId="6AD501C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Chifeng</w:t>
            </w:r>
          </w:p>
        </w:tc>
        <w:tc>
          <w:tcPr>
            <w:tcW w:w="992" w:type="dxa"/>
            <w:shd w:val="clear" w:color="auto" w:fill="auto"/>
          </w:tcPr>
          <w:p w14:paraId="08B1A867"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0.779</w:t>
            </w:r>
          </w:p>
        </w:tc>
        <w:tc>
          <w:tcPr>
            <w:tcW w:w="709" w:type="dxa"/>
            <w:shd w:val="clear" w:color="auto" w:fill="auto"/>
          </w:tcPr>
          <w:p w14:paraId="229635FC"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838</w:t>
            </w:r>
          </w:p>
        </w:tc>
        <w:tc>
          <w:tcPr>
            <w:tcW w:w="888" w:type="dxa"/>
            <w:shd w:val="clear" w:color="auto" w:fill="auto"/>
            <w:noWrap/>
            <w:hideMark/>
          </w:tcPr>
          <w:p w14:paraId="77A1D1B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1.005</w:t>
            </w:r>
          </w:p>
        </w:tc>
        <w:tc>
          <w:tcPr>
            <w:tcW w:w="866" w:type="dxa"/>
            <w:shd w:val="clear" w:color="auto" w:fill="auto"/>
            <w:noWrap/>
            <w:hideMark/>
          </w:tcPr>
          <w:p w14:paraId="15F7837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4.7</w:t>
            </w:r>
          </w:p>
        </w:tc>
        <w:tc>
          <w:tcPr>
            <w:tcW w:w="1141" w:type="dxa"/>
            <w:shd w:val="clear" w:color="auto" w:fill="auto"/>
            <w:noWrap/>
            <w:hideMark/>
          </w:tcPr>
          <w:p w14:paraId="537C582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1.0006</w:t>
            </w:r>
          </w:p>
        </w:tc>
        <w:tc>
          <w:tcPr>
            <w:tcW w:w="994" w:type="dxa"/>
            <w:shd w:val="clear" w:color="auto" w:fill="auto"/>
            <w:noWrap/>
            <w:hideMark/>
          </w:tcPr>
          <w:p w14:paraId="644ED92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1.72</w:t>
            </w:r>
          </w:p>
        </w:tc>
        <w:tc>
          <w:tcPr>
            <w:tcW w:w="834" w:type="dxa"/>
            <w:shd w:val="clear" w:color="auto" w:fill="auto"/>
            <w:hideMark/>
          </w:tcPr>
          <w:p w14:paraId="3FECEF0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1.167</w:t>
            </w:r>
          </w:p>
        </w:tc>
        <w:tc>
          <w:tcPr>
            <w:tcW w:w="937" w:type="dxa"/>
            <w:shd w:val="clear" w:color="auto" w:fill="auto"/>
            <w:hideMark/>
          </w:tcPr>
          <w:p w14:paraId="7F9BAFA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6.209</w:t>
            </w:r>
          </w:p>
        </w:tc>
      </w:tr>
      <w:tr w:rsidR="00DD24A4" w:rsidRPr="0092237D" w14:paraId="32FD2B02" w14:textId="77777777" w:rsidTr="00B80853">
        <w:trPr>
          <w:trHeight w:val="290"/>
          <w:jc w:val="center"/>
        </w:trPr>
        <w:tc>
          <w:tcPr>
            <w:tcW w:w="1560" w:type="dxa"/>
            <w:shd w:val="clear" w:color="auto" w:fill="auto"/>
            <w:noWrap/>
            <w:hideMark/>
          </w:tcPr>
          <w:p w14:paraId="6565138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Chongqing</w:t>
            </w:r>
          </w:p>
        </w:tc>
        <w:tc>
          <w:tcPr>
            <w:tcW w:w="992" w:type="dxa"/>
            <w:shd w:val="clear" w:color="auto" w:fill="auto"/>
          </w:tcPr>
          <w:p w14:paraId="71AA14E0"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0.800</w:t>
            </w:r>
          </w:p>
        </w:tc>
        <w:tc>
          <w:tcPr>
            <w:tcW w:w="709" w:type="dxa"/>
            <w:shd w:val="clear" w:color="auto" w:fill="auto"/>
          </w:tcPr>
          <w:p w14:paraId="24EFCD7D"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246</w:t>
            </w:r>
          </w:p>
        </w:tc>
        <w:tc>
          <w:tcPr>
            <w:tcW w:w="888" w:type="dxa"/>
            <w:shd w:val="clear" w:color="auto" w:fill="auto"/>
            <w:noWrap/>
            <w:hideMark/>
          </w:tcPr>
          <w:p w14:paraId="1EAAEE7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1.004</w:t>
            </w:r>
          </w:p>
        </w:tc>
        <w:tc>
          <w:tcPr>
            <w:tcW w:w="866" w:type="dxa"/>
            <w:shd w:val="clear" w:color="auto" w:fill="auto"/>
            <w:noWrap/>
            <w:hideMark/>
          </w:tcPr>
          <w:p w14:paraId="1E8BB5C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4.7</w:t>
            </w:r>
          </w:p>
        </w:tc>
        <w:tc>
          <w:tcPr>
            <w:tcW w:w="1141" w:type="dxa"/>
            <w:shd w:val="clear" w:color="auto" w:fill="auto"/>
            <w:noWrap/>
            <w:hideMark/>
          </w:tcPr>
          <w:p w14:paraId="70C89B7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1.0021</w:t>
            </w:r>
          </w:p>
        </w:tc>
        <w:tc>
          <w:tcPr>
            <w:tcW w:w="994" w:type="dxa"/>
            <w:shd w:val="clear" w:color="auto" w:fill="auto"/>
            <w:noWrap/>
            <w:hideMark/>
          </w:tcPr>
          <w:p w14:paraId="5B01ACE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2.51</w:t>
            </w:r>
          </w:p>
        </w:tc>
        <w:tc>
          <w:tcPr>
            <w:tcW w:w="834" w:type="dxa"/>
            <w:shd w:val="clear" w:color="auto" w:fill="auto"/>
            <w:hideMark/>
          </w:tcPr>
          <w:p w14:paraId="6A51FC7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0.683</w:t>
            </w:r>
          </w:p>
        </w:tc>
        <w:tc>
          <w:tcPr>
            <w:tcW w:w="937" w:type="dxa"/>
            <w:shd w:val="clear" w:color="auto" w:fill="auto"/>
            <w:hideMark/>
          </w:tcPr>
          <w:p w14:paraId="665055E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18.41</w:t>
            </w:r>
          </w:p>
        </w:tc>
      </w:tr>
      <w:tr w:rsidR="00DD24A4" w:rsidRPr="0092237D" w14:paraId="38F2436C" w14:textId="77777777" w:rsidTr="00B80853">
        <w:trPr>
          <w:trHeight w:val="290"/>
          <w:jc w:val="center"/>
        </w:trPr>
        <w:tc>
          <w:tcPr>
            <w:tcW w:w="1560" w:type="dxa"/>
            <w:shd w:val="clear" w:color="auto" w:fill="auto"/>
            <w:noWrap/>
            <w:hideMark/>
          </w:tcPr>
          <w:p w14:paraId="3567B14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Chuzhou</w:t>
            </w:r>
          </w:p>
        </w:tc>
        <w:tc>
          <w:tcPr>
            <w:tcW w:w="992" w:type="dxa"/>
            <w:shd w:val="clear" w:color="auto" w:fill="auto"/>
          </w:tcPr>
          <w:p w14:paraId="66082065"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0.524</w:t>
            </w:r>
          </w:p>
        </w:tc>
        <w:tc>
          <w:tcPr>
            <w:tcW w:w="709" w:type="dxa"/>
            <w:shd w:val="clear" w:color="auto" w:fill="auto"/>
          </w:tcPr>
          <w:p w14:paraId="60CFA05A"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1010</w:t>
            </w:r>
          </w:p>
        </w:tc>
        <w:tc>
          <w:tcPr>
            <w:tcW w:w="888" w:type="dxa"/>
            <w:shd w:val="clear" w:color="auto" w:fill="auto"/>
            <w:noWrap/>
            <w:hideMark/>
          </w:tcPr>
          <w:p w14:paraId="1847787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1.029</w:t>
            </w:r>
          </w:p>
        </w:tc>
        <w:tc>
          <w:tcPr>
            <w:tcW w:w="866" w:type="dxa"/>
            <w:shd w:val="clear" w:color="auto" w:fill="auto"/>
            <w:noWrap/>
            <w:hideMark/>
          </w:tcPr>
          <w:p w14:paraId="08E5F41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13.8</w:t>
            </w:r>
          </w:p>
        </w:tc>
        <w:tc>
          <w:tcPr>
            <w:tcW w:w="1141" w:type="dxa"/>
            <w:shd w:val="clear" w:color="auto" w:fill="auto"/>
            <w:noWrap/>
            <w:hideMark/>
          </w:tcPr>
          <w:p w14:paraId="78D1849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0.9756</w:t>
            </w:r>
          </w:p>
        </w:tc>
        <w:tc>
          <w:tcPr>
            <w:tcW w:w="994" w:type="dxa"/>
            <w:shd w:val="clear" w:color="auto" w:fill="auto"/>
            <w:noWrap/>
            <w:hideMark/>
          </w:tcPr>
          <w:p w14:paraId="18D8B98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4.97</w:t>
            </w:r>
          </w:p>
        </w:tc>
        <w:tc>
          <w:tcPr>
            <w:tcW w:w="834" w:type="dxa"/>
            <w:shd w:val="clear" w:color="auto" w:fill="auto"/>
            <w:hideMark/>
          </w:tcPr>
          <w:p w14:paraId="4D53134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0.862</w:t>
            </w:r>
          </w:p>
        </w:tc>
        <w:tc>
          <w:tcPr>
            <w:tcW w:w="937" w:type="dxa"/>
            <w:shd w:val="clear" w:color="auto" w:fill="auto"/>
            <w:hideMark/>
          </w:tcPr>
          <w:p w14:paraId="0717D92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6.327</w:t>
            </w:r>
          </w:p>
        </w:tc>
      </w:tr>
      <w:tr w:rsidR="00DD24A4" w:rsidRPr="0092237D" w14:paraId="6687F51D" w14:textId="77777777" w:rsidTr="00B80853">
        <w:trPr>
          <w:trHeight w:val="290"/>
          <w:jc w:val="center"/>
        </w:trPr>
        <w:tc>
          <w:tcPr>
            <w:tcW w:w="1560" w:type="dxa"/>
            <w:shd w:val="clear" w:color="auto" w:fill="auto"/>
            <w:noWrap/>
            <w:hideMark/>
          </w:tcPr>
          <w:p w14:paraId="41115E0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Gian</w:t>
            </w:r>
          </w:p>
        </w:tc>
        <w:tc>
          <w:tcPr>
            <w:tcW w:w="992" w:type="dxa"/>
            <w:shd w:val="clear" w:color="auto" w:fill="auto"/>
          </w:tcPr>
          <w:p w14:paraId="5251EE11"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0.485</w:t>
            </w:r>
          </w:p>
        </w:tc>
        <w:tc>
          <w:tcPr>
            <w:tcW w:w="709" w:type="dxa"/>
            <w:shd w:val="clear" w:color="auto" w:fill="auto"/>
          </w:tcPr>
          <w:p w14:paraId="2C26D7BF"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461</w:t>
            </w:r>
          </w:p>
        </w:tc>
        <w:tc>
          <w:tcPr>
            <w:tcW w:w="888" w:type="dxa"/>
            <w:shd w:val="clear" w:color="auto" w:fill="auto"/>
            <w:noWrap/>
            <w:hideMark/>
          </w:tcPr>
          <w:p w14:paraId="692F7E7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1.001</w:t>
            </w:r>
          </w:p>
        </w:tc>
        <w:tc>
          <w:tcPr>
            <w:tcW w:w="866" w:type="dxa"/>
            <w:shd w:val="clear" w:color="auto" w:fill="auto"/>
            <w:noWrap/>
            <w:hideMark/>
          </w:tcPr>
          <w:p w14:paraId="5E14AC3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2.7</w:t>
            </w:r>
          </w:p>
        </w:tc>
        <w:tc>
          <w:tcPr>
            <w:tcW w:w="1141" w:type="dxa"/>
            <w:shd w:val="clear" w:color="auto" w:fill="auto"/>
            <w:noWrap/>
            <w:hideMark/>
          </w:tcPr>
          <w:p w14:paraId="5A20CC1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0.9996</w:t>
            </w:r>
          </w:p>
        </w:tc>
        <w:tc>
          <w:tcPr>
            <w:tcW w:w="994" w:type="dxa"/>
            <w:shd w:val="clear" w:color="auto" w:fill="auto"/>
            <w:noWrap/>
            <w:hideMark/>
          </w:tcPr>
          <w:p w14:paraId="374395E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w:t>
            </w:r>
          </w:p>
        </w:tc>
        <w:tc>
          <w:tcPr>
            <w:tcW w:w="834" w:type="dxa"/>
            <w:shd w:val="clear" w:color="auto" w:fill="auto"/>
            <w:hideMark/>
          </w:tcPr>
          <w:p w14:paraId="36DBAF0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1.586</w:t>
            </w:r>
          </w:p>
        </w:tc>
        <w:tc>
          <w:tcPr>
            <w:tcW w:w="937" w:type="dxa"/>
            <w:shd w:val="clear" w:color="auto" w:fill="auto"/>
            <w:hideMark/>
          </w:tcPr>
          <w:p w14:paraId="24D6FBD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8.455</w:t>
            </w:r>
          </w:p>
        </w:tc>
      </w:tr>
      <w:tr w:rsidR="00DD24A4" w:rsidRPr="0092237D" w14:paraId="56DFCA07" w14:textId="77777777" w:rsidTr="00B80853">
        <w:trPr>
          <w:trHeight w:val="290"/>
          <w:jc w:val="center"/>
        </w:trPr>
        <w:tc>
          <w:tcPr>
            <w:tcW w:w="1560" w:type="dxa"/>
            <w:shd w:val="clear" w:color="auto" w:fill="auto"/>
            <w:noWrap/>
            <w:hideMark/>
          </w:tcPr>
          <w:p w14:paraId="08D3587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Hefei</w:t>
            </w:r>
          </w:p>
        </w:tc>
        <w:tc>
          <w:tcPr>
            <w:tcW w:w="992" w:type="dxa"/>
            <w:shd w:val="clear" w:color="auto" w:fill="auto"/>
          </w:tcPr>
          <w:p w14:paraId="2EF59B88"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0.691</w:t>
            </w:r>
          </w:p>
        </w:tc>
        <w:tc>
          <w:tcPr>
            <w:tcW w:w="709" w:type="dxa"/>
            <w:shd w:val="clear" w:color="auto" w:fill="auto"/>
          </w:tcPr>
          <w:p w14:paraId="1F5C8321"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544</w:t>
            </w:r>
          </w:p>
        </w:tc>
        <w:tc>
          <w:tcPr>
            <w:tcW w:w="888" w:type="dxa"/>
            <w:shd w:val="clear" w:color="auto" w:fill="auto"/>
            <w:noWrap/>
            <w:hideMark/>
          </w:tcPr>
          <w:p w14:paraId="3B1F50D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1.003</w:t>
            </w:r>
          </w:p>
        </w:tc>
        <w:tc>
          <w:tcPr>
            <w:tcW w:w="866" w:type="dxa"/>
            <w:shd w:val="clear" w:color="auto" w:fill="auto"/>
            <w:noWrap/>
            <w:hideMark/>
          </w:tcPr>
          <w:p w14:paraId="3B6D4FB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3.5</w:t>
            </w:r>
          </w:p>
        </w:tc>
        <w:tc>
          <w:tcPr>
            <w:tcW w:w="1141" w:type="dxa"/>
            <w:shd w:val="clear" w:color="auto" w:fill="auto"/>
            <w:noWrap/>
            <w:hideMark/>
          </w:tcPr>
          <w:p w14:paraId="6B98639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1.0431</w:t>
            </w:r>
          </w:p>
        </w:tc>
        <w:tc>
          <w:tcPr>
            <w:tcW w:w="994" w:type="dxa"/>
            <w:shd w:val="clear" w:color="auto" w:fill="auto"/>
            <w:noWrap/>
            <w:hideMark/>
          </w:tcPr>
          <w:p w14:paraId="5030991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2.17</w:t>
            </w:r>
          </w:p>
        </w:tc>
        <w:tc>
          <w:tcPr>
            <w:tcW w:w="834" w:type="dxa"/>
            <w:shd w:val="clear" w:color="auto" w:fill="auto"/>
            <w:hideMark/>
          </w:tcPr>
          <w:p w14:paraId="736D6137"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0.511</w:t>
            </w:r>
          </w:p>
        </w:tc>
        <w:tc>
          <w:tcPr>
            <w:tcW w:w="937" w:type="dxa"/>
            <w:shd w:val="clear" w:color="auto" w:fill="auto"/>
            <w:hideMark/>
          </w:tcPr>
          <w:p w14:paraId="463769B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24.87</w:t>
            </w:r>
          </w:p>
        </w:tc>
      </w:tr>
      <w:tr w:rsidR="00DD24A4" w:rsidRPr="0092237D" w14:paraId="5F2B1FE6" w14:textId="77777777" w:rsidTr="00B80853">
        <w:trPr>
          <w:trHeight w:val="290"/>
          <w:jc w:val="center"/>
        </w:trPr>
        <w:tc>
          <w:tcPr>
            <w:tcW w:w="1560" w:type="dxa"/>
            <w:shd w:val="clear" w:color="auto" w:fill="auto"/>
            <w:noWrap/>
            <w:hideMark/>
          </w:tcPr>
          <w:p w14:paraId="625656F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Jiamusi</w:t>
            </w:r>
          </w:p>
        </w:tc>
        <w:tc>
          <w:tcPr>
            <w:tcW w:w="992" w:type="dxa"/>
            <w:shd w:val="clear" w:color="auto" w:fill="auto"/>
          </w:tcPr>
          <w:p w14:paraId="2554300F"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0.741</w:t>
            </w:r>
          </w:p>
        </w:tc>
        <w:tc>
          <w:tcPr>
            <w:tcW w:w="709" w:type="dxa"/>
            <w:shd w:val="clear" w:color="auto" w:fill="auto"/>
          </w:tcPr>
          <w:p w14:paraId="29C46480"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325</w:t>
            </w:r>
          </w:p>
        </w:tc>
        <w:tc>
          <w:tcPr>
            <w:tcW w:w="888" w:type="dxa"/>
            <w:shd w:val="clear" w:color="auto" w:fill="auto"/>
            <w:noWrap/>
            <w:hideMark/>
          </w:tcPr>
          <w:p w14:paraId="6E504D0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1.029</w:t>
            </w:r>
          </w:p>
        </w:tc>
        <w:tc>
          <w:tcPr>
            <w:tcW w:w="866" w:type="dxa"/>
            <w:shd w:val="clear" w:color="auto" w:fill="auto"/>
            <w:noWrap/>
            <w:hideMark/>
          </w:tcPr>
          <w:p w14:paraId="19A8E1A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13.7</w:t>
            </w:r>
          </w:p>
        </w:tc>
        <w:tc>
          <w:tcPr>
            <w:tcW w:w="1141" w:type="dxa"/>
            <w:shd w:val="clear" w:color="auto" w:fill="auto"/>
            <w:noWrap/>
            <w:hideMark/>
          </w:tcPr>
          <w:p w14:paraId="7EE5E6A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0.968</w:t>
            </w:r>
          </w:p>
        </w:tc>
        <w:tc>
          <w:tcPr>
            <w:tcW w:w="994" w:type="dxa"/>
            <w:shd w:val="clear" w:color="auto" w:fill="auto"/>
            <w:noWrap/>
            <w:hideMark/>
          </w:tcPr>
          <w:p w14:paraId="54CDD7A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4.86</w:t>
            </w:r>
          </w:p>
        </w:tc>
        <w:tc>
          <w:tcPr>
            <w:tcW w:w="834" w:type="dxa"/>
            <w:shd w:val="clear" w:color="auto" w:fill="auto"/>
            <w:hideMark/>
          </w:tcPr>
          <w:p w14:paraId="77D7E76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0.947</w:t>
            </w:r>
          </w:p>
        </w:tc>
        <w:tc>
          <w:tcPr>
            <w:tcW w:w="937" w:type="dxa"/>
            <w:shd w:val="clear" w:color="auto" w:fill="auto"/>
            <w:hideMark/>
          </w:tcPr>
          <w:p w14:paraId="30D464C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12.06</w:t>
            </w:r>
          </w:p>
        </w:tc>
      </w:tr>
      <w:tr w:rsidR="00DD24A4" w:rsidRPr="0092237D" w14:paraId="3C4EB62F" w14:textId="77777777" w:rsidTr="00B80853">
        <w:trPr>
          <w:trHeight w:val="290"/>
          <w:jc w:val="center"/>
        </w:trPr>
        <w:tc>
          <w:tcPr>
            <w:tcW w:w="1560" w:type="dxa"/>
            <w:shd w:val="clear" w:color="auto" w:fill="auto"/>
            <w:noWrap/>
            <w:hideMark/>
          </w:tcPr>
          <w:p w14:paraId="1473B33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Jiangmen</w:t>
            </w:r>
          </w:p>
        </w:tc>
        <w:tc>
          <w:tcPr>
            <w:tcW w:w="992" w:type="dxa"/>
            <w:shd w:val="clear" w:color="auto" w:fill="auto"/>
          </w:tcPr>
          <w:p w14:paraId="35AE2336"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0.530</w:t>
            </w:r>
          </w:p>
        </w:tc>
        <w:tc>
          <w:tcPr>
            <w:tcW w:w="709" w:type="dxa"/>
            <w:shd w:val="clear" w:color="auto" w:fill="auto"/>
          </w:tcPr>
          <w:p w14:paraId="7489A23C"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466</w:t>
            </w:r>
          </w:p>
        </w:tc>
        <w:tc>
          <w:tcPr>
            <w:tcW w:w="888" w:type="dxa"/>
            <w:shd w:val="clear" w:color="auto" w:fill="auto"/>
            <w:noWrap/>
            <w:hideMark/>
          </w:tcPr>
          <w:p w14:paraId="5F21CCE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1.005</w:t>
            </w:r>
          </w:p>
        </w:tc>
        <w:tc>
          <w:tcPr>
            <w:tcW w:w="866" w:type="dxa"/>
            <w:shd w:val="clear" w:color="auto" w:fill="auto"/>
            <w:noWrap/>
            <w:hideMark/>
          </w:tcPr>
          <w:p w14:paraId="2EBEDCE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5.2</w:t>
            </w:r>
          </w:p>
        </w:tc>
        <w:tc>
          <w:tcPr>
            <w:tcW w:w="1141" w:type="dxa"/>
            <w:shd w:val="clear" w:color="auto" w:fill="auto"/>
            <w:noWrap/>
            <w:hideMark/>
          </w:tcPr>
          <w:p w14:paraId="6B2CCCE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1.0266</w:t>
            </w:r>
          </w:p>
        </w:tc>
        <w:tc>
          <w:tcPr>
            <w:tcW w:w="994" w:type="dxa"/>
            <w:shd w:val="clear" w:color="auto" w:fill="auto"/>
            <w:noWrap/>
            <w:hideMark/>
          </w:tcPr>
          <w:p w14:paraId="30BE7F7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2.02</w:t>
            </w:r>
          </w:p>
        </w:tc>
        <w:tc>
          <w:tcPr>
            <w:tcW w:w="834" w:type="dxa"/>
            <w:tcBorders>
              <w:bottom w:val="nil"/>
            </w:tcBorders>
            <w:shd w:val="clear" w:color="auto" w:fill="auto"/>
            <w:hideMark/>
          </w:tcPr>
          <w:p w14:paraId="172D745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0.951</w:t>
            </w:r>
          </w:p>
        </w:tc>
        <w:tc>
          <w:tcPr>
            <w:tcW w:w="937" w:type="dxa"/>
            <w:tcBorders>
              <w:bottom w:val="nil"/>
            </w:tcBorders>
            <w:shd w:val="clear" w:color="auto" w:fill="auto"/>
            <w:hideMark/>
          </w:tcPr>
          <w:p w14:paraId="45D5F617"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9.956</w:t>
            </w:r>
          </w:p>
        </w:tc>
      </w:tr>
      <w:tr w:rsidR="00DD24A4" w:rsidRPr="0092237D" w14:paraId="103C3055" w14:textId="77777777" w:rsidTr="00B80853">
        <w:trPr>
          <w:trHeight w:val="290"/>
          <w:jc w:val="center"/>
        </w:trPr>
        <w:tc>
          <w:tcPr>
            <w:tcW w:w="1560" w:type="dxa"/>
            <w:shd w:val="clear" w:color="auto" w:fill="auto"/>
            <w:noWrap/>
            <w:hideMark/>
          </w:tcPr>
          <w:p w14:paraId="32AFFD25"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jiaxing</w:t>
            </w:r>
            <w:proofErr w:type="spellEnd"/>
          </w:p>
        </w:tc>
        <w:tc>
          <w:tcPr>
            <w:tcW w:w="992" w:type="dxa"/>
            <w:shd w:val="clear" w:color="auto" w:fill="auto"/>
          </w:tcPr>
          <w:p w14:paraId="248F46A4"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0.261</w:t>
            </w:r>
          </w:p>
        </w:tc>
        <w:tc>
          <w:tcPr>
            <w:tcW w:w="709" w:type="dxa"/>
            <w:shd w:val="clear" w:color="auto" w:fill="auto"/>
          </w:tcPr>
          <w:p w14:paraId="2795BF05"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111</w:t>
            </w:r>
          </w:p>
        </w:tc>
        <w:tc>
          <w:tcPr>
            <w:tcW w:w="888" w:type="dxa"/>
            <w:shd w:val="clear" w:color="auto" w:fill="auto"/>
            <w:noWrap/>
            <w:hideMark/>
          </w:tcPr>
          <w:p w14:paraId="36CDFA8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w:t>
            </w:r>
          </w:p>
        </w:tc>
        <w:tc>
          <w:tcPr>
            <w:tcW w:w="866" w:type="dxa"/>
            <w:shd w:val="clear" w:color="auto" w:fill="auto"/>
            <w:noWrap/>
            <w:hideMark/>
          </w:tcPr>
          <w:p w14:paraId="17120E5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10.5</w:t>
            </w:r>
          </w:p>
        </w:tc>
        <w:tc>
          <w:tcPr>
            <w:tcW w:w="1141" w:type="dxa"/>
            <w:shd w:val="clear" w:color="auto" w:fill="auto"/>
            <w:noWrap/>
            <w:hideMark/>
          </w:tcPr>
          <w:p w14:paraId="2ABC5FD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0.9878</w:t>
            </w:r>
          </w:p>
        </w:tc>
        <w:tc>
          <w:tcPr>
            <w:tcW w:w="994" w:type="dxa"/>
            <w:shd w:val="clear" w:color="auto" w:fill="auto"/>
            <w:noWrap/>
            <w:hideMark/>
          </w:tcPr>
          <w:p w14:paraId="17B5A53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2.17</w:t>
            </w:r>
          </w:p>
        </w:tc>
        <w:tc>
          <w:tcPr>
            <w:tcW w:w="834" w:type="dxa"/>
            <w:tcBorders>
              <w:top w:val="nil"/>
              <w:bottom w:val="nil"/>
            </w:tcBorders>
            <w:shd w:val="clear" w:color="auto" w:fill="auto"/>
            <w:hideMark/>
          </w:tcPr>
          <w:p w14:paraId="2E8F9D86"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w:t>
            </w:r>
          </w:p>
        </w:tc>
        <w:tc>
          <w:tcPr>
            <w:tcW w:w="937" w:type="dxa"/>
            <w:tcBorders>
              <w:top w:val="nil"/>
              <w:bottom w:val="nil"/>
            </w:tcBorders>
            <w:shd w:val="clear" w:color="auto" w:fill="auto"/>
            <w:hideMark/>
          </w:tcPr>
          <w:p w14:paraId="569AEB28"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w:t>
            </w:r>
          </w:p>
        </w:tc>
      </w:tr>
      <w:tr w:rsidR="00DD24A4" w:rsidRPr="0092237D" w14:paraId="4BC8960A" w14:textId="77777777" w:rsidTr="00B80853">
        <w:trPr>
          <w:trHeight w:val="290"/>
          <w:jc w:val="center"/>
        </w:trPr>
        <w:tc>
          <w:tcPr>
            <w:tcW w:w="1560" w:type="dxa"/>
            <w:shd w:val="clear" w:color="auto" w:fill="auto"/>
            <w:noWrap/>
            <w:hideMark/>
          </w:tcPr>
          <w:p w14:paraId="7016D55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Jining</w:t>
            </w:r>
          </w:p>
        </w:tc>
        <w:tc>
          <w:tcPr>
            <w:tcW w:w="992" w:type="dxa"/>
            <w:shd w:val="clear" w:color="auto" w:fill="auto"/>
          </w:tcPr>
          <w:p w14:paraId="370347BE"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0.823</w:t>
            </w:r>
          </w:p>
        </w:tc>
        <w:tc>
          <w:tcPr>
            <w:tcW w:w="709" w:type="dxa"/>
            <w:shd w:val="clear" w:color="auto" w:fill="auto"/>
          </w:tcPr>
          <w:p w14:paraId="13E41579"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61</w:t>
            </w:r>
          </w:p>
        </w:tc>
        <w:tc>
          <w:tcPr>
            <w:tcW w:w="888" w:type="dxa"/>
            <w:shd w:val="clear" w:color="auto" w:fill="auto"/>
            <w:noWrap/>
            <w:hideMark/>
          </w:tcPr>
          <w:p w14:paraId="3018877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1.006</w:t>
            </w:r>
          </w:p>
        </w:tc>
        <w:tc>
          <w:tcPr>
            <w:tcW w:w="866" w:type="dxa"/>
            <w:shd w:val="clear" w:color="auto" w:fill="auto"/>
            <w:noWrap/>
            <w:hideMark/>
          </w:tcPr>
          <w:p w14:paraId="3810D4A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5.4</w:t>
            </w:r>
          </w:p>
        </w:tc>
        <w:tc>
          <w:tcPr>
            <w:tcW w:w="1141" w:type="dxa"/>
            <w:shd w:val="clear" w:color="auto" w:fill="auto"/>
            <w:noWrap/>
            <w:hideMark/>
          </w:tcPr>
          <w:p w14:paraId="78BA623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1.0246</w:t>
            </w:r>
          </w:p>
        </w:tc>
        <w:tc>
          <w:tcPr>
            <w:tcW w:w="994" w:type="dxa"/>
            <w:shd w:val="clear" w:color="auto" w:fill="auto"/>
            <w:noWrap/>
            <w:hideMark/>
          </w:tcPr>
          <w:p w14:paraId="215661C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4.13</w:t>
            </w:r>
          </w:p>
        </w:tc>
        <w:tc>
          <w:tcPr>
            <w:tcW w:w="834" w:type="dxa"/>
            <w:tcBorders>
              <w:top w:val="nil"/>
              <w:bottom w:val="nil"/>
            </w:tcBorders>
            <w:shd w:val="clear" w:color="auto" w:fill="auto"/>
            <w:hideMark/>
          </w:tcPr>
          <w:p w14:paraId="09F2A129"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w:t>
            </w:r>
          </w:p>
        </w:tc>
        <w:tc>
          <w:tcPr>
            <w:tcW w:w="937" w:type="dxa"/>
            <w:tcBorders>
              <w:top w:val="nil"/>
              <w:bottom w:val="nil"/>
            </w:tcBorders>
            <w:shd w:val="clear" w:color="auto" w:fill="auto"/>
            <w:hideMark/>
          </w:tcPr>
          <w:p w14:paraId="3C1D5166"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w:t>
            </w:r>
          </w:p>
        </w:tc>
      </w:tr>
      <w:tr w:rsidR="00DD24A4" w:rsidRPr="0092237D" w14:paraId="07338179" w14:textId="77777777" w:rsidTr="00B80853">
        <w:trPr>
          <w:trHeight w:val="290"/>
          <w:jc w:val="center"/>
        </w:trPr>
        <w:tc>
          <w:tcPr>
            <w:tcW w:w="1560" w:type="dxa"/>
            <w:shd w:val="clear" w:color="auto" w:fill="auto"/>
            <w:noWrap/>
            <w:hideMark/>
          </w:tcPr>
          <w:p w14:paraId="6930CB42"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Jiyuan</w:t>
            </w:r>
            <w:proofErr w:type="spellEnd"/>
          </w:p>
        </w:tc>
        <w:tc>
          <w:tcPr>
            <w:tcW w:w="992" w:type="dxa"/>
            <w:shd w:val="clear" w:color="auto" w:fill="auto"/>
          </w:tcPr>
          <w:p w14:paraId="0FF283B6"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0.739</w:t>
            </w:r>
          </w:p>
        </w:tc>
        <w:tc>
          <w:tcPr>
            <w:tcW w:w="709" w:type="dxa"/>
            <w:shd w:val="clear" w:color="auto" w:fill="auto"/>
          </w:tcPr>
          <w:p w14:paraId="65B3A3B3"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105</w:t>
            </w:r>
          </w:p>
        </w:tc>
        <w:tc>
          <w:tcPr>
            <w:tcW w:w="888" w:type="dxa"/>
            <w:shd w:val="clear" w:color="auto" w:fill="auto"/>
            <w:noWrap/>
            <w:hideMark/>
          </w:tcPr>
          <w:p w14:paraId="379BE7E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1.005</w:t>
            </w:r>
          </w:p>
        </w:tc>
        <w:tc>
          <w:tcPr>
            <w:tcW w:w="866" w:type="dxa"/>
            <w:shd w:val="clear" w:color="auto" w:fill="auto"/>
            <w:noWrap/>
            <w:hideMark/>
          </w:tcPr>
          <w:p w14:paraId="731CC65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5.4</w:t>
            </w:r>
          </w:p>
        </w:tc>
        <w:tc>
          <w:tcPr>
            <w:tcW w:w="1141" w:type="dxa"/>
            <w:shd w:val="clear" w:color="auto" w:fill="auto"/>
            <w:noWrap/>
            <w:hideMark/>
          </w:tcPr>
          <w:p w14:paraId="31F1B247"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1.0026</w:t>
            </w:r>
          </w:p>
        </w:tc>
        <w:tc>
          <w:tcPr>
            <w:tcW w:w="994" w:type="dxa"/>
            <w:shd w:val="clear" w:color="auto" w:fill="auto"/>
            <w:noWrap/>
            <w:hideMark/>
          </w:tcPr>
          <w:p w14:paraId="205109F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2.1</w:t>
            </w:r>
          </w:p>
        </w:tc>
        <w:tc>
          <w:tcPr>
            <w:tcW w:w="834" w:type="dxa"/>
            <w:tcBorders>
              <w:top w:val="nil"/>
              <w:left w:val="nil"/>
              <w:bottom w:val="nil"/>
              <w:right w:val="nil"/>
            </w:tcBorders>
            <w:shd w:val="clear" w:color="auto" w:fill="auto"/>
            <w:vAlign w:val="center"/>
          </w:tcPr>
          <w:p w14:paraId="5FF7F6BC" w14:textId="77777777" w:rsidR="00DD24A4" w:rsidRPr="0092237D" w:rsidRDefault="00DD24A4" w:rsidP="00DD24A4">
            <w:pPr>
              <w:pStyle w:val="Heading6"/>
              <w:jc w:val="center"/>
              <w:rPr>
                <w:rFonts w:ascii="Arial" w:hAnsi="Arial" w:cs="Arial"/>
                <w:i w:val="0"/>
                <w:sz w:val="22"/>
                <w:szCs w:val="22"/>
                <w:lang w:val="en-GB"/>
              </w:rPr>
            </w:pPr>
            <w:r w:rsidRPr="0092237D">
              <w:rPr>
                <w:rFonts w:ascii="Arial" w:hAnsi="Arial" w:cs="Arial"/>
                <w:i w:val="0"/>
                <w:sz w:val="22"/>
                <w:szCs w:val="22"/>
              </w:rPr>
              <w:t>-</w:t>
            </w:r>
          </w:p>
        </w:tc>
        <w:tc>
          <w:tcPr>
            <w:tcW w:w="937" w:type="dxa"/>
            <w:tcBorders>
              <w:top w:val="nil"/>
              <w:left w:val="nil"/>
              <w:bottom w:val="nil"/>
              <w:right w:val="nil"/>
            </w:tcBorders>
            <w:shd w:val="clear" w:color="auto" w:fill="auto"/>
            <w:vAlign w:val="center"/>
          </w:tcPr>
          <w:p w14:paraId="46C1785E"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w:t>
            </w:r>
          </w:p>
        </w:tc>
      </w:tr>
      <w:tr w:rsidR="00DD24A4" w:rsidRPr="0092237D" w14:paraId="0001096F" w14:textId="77777777" w:rsidTr="00B80853">
        <w:trPr>
          <w:trHeight w:val="290"/>
          <w:jc w:val="center"/>
        </w:trPr>
        <w:tc>
          <w:tcPr>
            <w:tcW w:w="1560" w:type="dxa"/>
            <w:shd w:val="clear" w:color="auto" w:fill="auto"/>
            <w:noWrap/>
            <w:hideMark/>
          </w:tcPr>
          <w:p w14:paraId="5DFAB1D5"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Sanming</w:t>
            </w:r>
            <w:proofErr w:type="spellEnd"/>
          </w:p>
        </w:tc>
        <w:tc>
          <w:tcPr>
            <w:tcW w:w="992" w:type="dxa"/>
            <w:shd w:val="clear" w:color="auto" w:fill="auto"/>
          </w:tcPr>
          <w:p w14:paraId="75851F07"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0.685</w:t>
            </w:r>
          </w:p>
        </w:tc>
        <w:tc>
          <w:tcPr>
            <w:tcW w:w="709" w:type="dxa"/>
            <w:shd w:val="clear" w:color="auto" w:fill="auto"/>
          </w:tcPr>
          <w:p w14:paraId="0F0449E7"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429</w:t>
            </w:r>
          </w:p>
        </w:tc>
        <w:tc>
          <w:tcPr>
            <w:tcW w:w="888" w:type="dxa"/>
            <w:shd w:val="clear" w:color="auto" w:fill="auto"/>
            <w:noWrap/>
            <w:hideMark/>
          </w:tcPr>
          <w:p w14:paraId="3293EE3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1.023</w:t>
            </w:r>
          </w:p>
        </w:tc>
        <w:tc>
          <w:tcPr>
            <w:tcW w:w="866" w:type="dxa"/>
            <w:shd w:val="clear" w:color="auto" w:fill="auto"/>
            <w:noWrap/>
            <w:hideMark/>
          </w:tcPr>
          <w:p w14:paraId="7026C93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11.7</w:t>
            </w:r>
          </w:p>
        </w:tc>
        <w:tc>
          <w:tcPr>
            <w:tcW w:w="1141" w:type="dxa"/>
            <w:shd w:val="clear" w:color="auto" w:fill="auto"/>
            <w:noWrap/>
            <w:hideMark/>
          </w:tcPr>
          <w:p w14:paraId="1B02FC6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0.9985</w:t>
            </w:r>
          </w:p>
        </w:tc>
        <w:tc>
          <w:tcPr>
            <w:tcW w:w="994" w:type="dxa"/>
            <w:shd w:val="clear" w:color="auto" w:fill="auto"/>
            <w:noWrap/>
            <w:hideMark/>
          </w:tcPr>
          <w:p w14:paraId="5C99F42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4.28</w:t>
            </w:r>
          </w:p>
        </w:tc>
        <w:tc>
          <w:tcPr>
            <w:tcW w:w="834" w:type="dxa"/>
            <w:tcBorders>
              <w:top w:val="nil"/>
              <w:left w:val="nil"/>
              <w:bottom w:val="nil"/>
              <w:right w:val="nil"/>
            </w:tcBorders>
            <w:shd w:val="clear" w:color="auto" w:fill="auto"/>
            <w:vAlign w:val="center"/>
          </w:tcPr>
          <w:p w14:paraId="1937615E"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1.053</w:t>
            </w:r>
          </w:p>
        </w:tc>
        <w:tc>
          <w:tcPr>
            <w:tcW w:w="937" w:type="dxa"/>
            <w:tcBorders>
              <w:top w:val="nil"/>
              <w:left w:val="nil"/>
              <w:bottom w:val="nil"/>
              <w:right w:val="nil"/>
            </w:tcBorders>
            <w:shd w:val="clear" w:color="auto" w:fill="auto"/>
            <w:vAlign w:val="center"/>
          </w:tcPr>
          <w:p w14:paraId="7C9F22A5"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11.744</w:t>
            </w:r>
          </w:p>
        </w:tc>
      </w:tr>
      <w:tr w:rsidR="00DD24A4" w:rsidRPr="0092237D" w14:paraId="281D3C1D" w14:textId="77777777" w:rsidTr="00B80853">
        <w:trPr>
          <w:trHeight w:val="290"/>
          <w:jc w:val="center"/>
        </w:trPr>
        <w:tc>
          <w:tcPr>
            <w:tcW w:w="1560" w:type="dxa"/>
            <w:shd w:val="clear" w:color="auto" w:fill="auto"/>
            <w:noWrap/>
            <w:hideMark/>
          </w:tcPr>
          <w:p w14:paraId="42D3939B"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Sanya</w:t>
            </w:r>
            <w:proofErr w:type="spellEnd"/>
          </w:p>
        </w:tc>
        <w:tc>
          <w:tcPr>
            <w:tcW w:w="992" w:type="dxa"/>
            <w:shd w:val="clear" w:color="auto" w:fill="auto"/>
          </w:tcPr>
          <w:p w14:paraId="49D28890"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0.849</w:t>
            </w:r>
          </w:p>
        </w:tc>
        <w:tc>
          <w:tcPr>
            <w:tcW w:w="709" w:type="dxa"/>
            <w:shd w:val="clear" w:color="auto" w:fill="auto"/>
          </w:tcPr>
          <w:p w14:paraId="2CCDC931"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572</w:t>
            </w:r>
          </w:p>
        </w:tc>
        <w:tc>
          <w:tcPr>
            <w:tcW w:w="888" w:type="dxa"/>
            <w:shd w:val="clear" w:color="auto" w:fill="auto"/>
            <w:noWrap/>
            <w:hideMark/>
          </w:tcPr>
          <w:p w14:paraId="6DAC1E3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1.03</w:t>
            </w:r>
          </w:p>
        </w:tc>
        <w:tc>
          <w:tcPr>
            <w:tcW w:w="866" w:type="dxa"/>
            <w:shd w:val="clear" w:color="auto" w:fill="auto"/>
            <w:noWrap/>
            <w:hideMark/>
          </w:tcPr>
          <w:p w14:paraId="7F0FED6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14.7</w:t>
            </w:r>
          </w:p>
        </w:tc>
        <w:tc>
          <w:tcPr>
            <w:tcW w:w="1141" w:type="dxa"/>
            <w:shd w:val="clear" w:color="auto" w:fill="auto"/>
            <w:noWrap/>
            <w:hideMark/>
          </w:tcPr>
          <w:p w14:paraId="2113AF4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1.0519</w:t>
            </w:r>
          </w:p>
        </w:tc>
        <w:tc>
          <w:tcPr>
            <w:tcW w:w="994" w:type="dxa"/>
            <w:shd w:val="clear" w:color="auto" w:fill="auto"/>
            <w:noWrap/>
            <w:hideMark/>
          </w:tcPr>
          <w:p w14:paraId="0B384AC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3.43</w:t>
            </w:r>
          </w:p>
        </w:tc>
        <w:tc>
          <w:tcPr>
            <w:tcW w:w="834" w:type="dxa"/>
            <w:tcBorders>
              <w:top w:val="nil"/>
              <w:left w:val="nil"/>
              <w:bottom w:val="nil"/>
              <w:right w:val="nil"/>
            </w:tcBorders>
            <w:shd w:val="clear" w:color="auto" w:fill="auto"/>
            <w:vAlign w:val="center"/>
          </w:tcPr>
          <w:p w14:paraId="0999842C"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0.875</w:t>
            </w:r>
          </w:p>
        </w:tc>
        <w:tc>
          <w:tcPr>
            <w:tcW w:w="937" w:type="dxa"/>
            <w:tcBorders>
              <w:top w:val="nil"/>
              <w:left w:val="nil"/>
              <w:bottom w:val="nil"/>
              <w:right w:val="nil"/>
            </w:tcBorders>
            <w:shd w:val="clear" w:color="auto" w:fill="auto"/>
            <w:vAlign w:val="center"/>
          </w:tcPr>
          <w:p w14:paraId="61703139"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22.358</w:t>
            </w:r>
          </w:p>
        </w:tc>
      </w:tr>
      <w:tr w:rsidR="00DD24A4" w:rsidRPr="0092237D" w14:paraId="1D0C8720" w14:textId="77777777" w:rsidTr="00B80853">
        <w:trPr>
          <w:trHeight w:val="290"/>
          <w:jc w:val="center"/>
        </w:trPr>
        <w:tc>
          <w:tcPr>
            <w:tcW w:w="1560" w:type="dxa"/>
            <w:shd w:val="clear" w:color="auto" w:fill="auto"/>
            <w:noWrap/>
            <w:hideMark/>
          </w:tcPr>
          <w:p w14:paraId="0497E74D"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Shangqiu</w:t>
            </w:r>
            <w:proofErr w:type="spellEnd"/>
          </w:p>
        </w:tc>
        <w:tc>
          <w:tcPr>
            <w:tcW w:w="992" w:type="dxa"/>
            <w:shd w:val="clear" w:color="auto" w:fill="auto"/>
          </w:tcPr>
          <w:p w14:paraId="52912261"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0.313</w:t>
            </w:r>
          </w:p>
        </w:tc>
        <w:tc>
          <w:tcPr>
            <w:tcW w:w="709" w:type="dxa"/>
            <w:shd w:val="clear" w:color="auto" w:fill="auto"/>
          </w:tcPr>
          <w:p w14:paraId="24E0BFED"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202</w:t>
            </w:r>
          </w:p>
        </w:tc>
        <w:tc>
          <w:tcPr>
            <w:tcW w:w="888" w:type="dxa"/>
            <w:shd w:val="clear" w:color="auto" w:fill="auto"/>
            <w:noWrap/>
            <w:hideMark/>
          </w:tcPr>
          <w:p w14:paraId="5D2FB50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1.019</w:t>
            </w:r>
          </w:p>
        </w:tc>
        <w:tc>
          <w:tcPr>
            <w:tcW w:w="866" w:type="dxa"/>
            <w:shd w:val="clear" w:color="auto" w:fill="auto"/>
            <w:noWrap/>
            <w:hideMark/>
          </w:tcPr>
          <w:p w14:paraId="0A407D6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9.3</w:t>
            </w:r>
          </w:p>
        </w:tc>
        <w:tc>
          <w:tcPr>
            <w:tcW w:w="1141" w:type="dxa"/>
            <w:shd w:val="clear" w:color="auto" w:fill="auto"/>
            <w:noWrap/>
            <w:hideMark/>
          </w:tcPr>
          <w:p w14:paraId="671874B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1.0023</w:t>
            </w:r>
          </w:p>
        </w:tc>
        <w:tc>
          <w:tcPr>
            <w:tcW w:w="994" w:type="dxa"/>
            <w:shd w:val="clear" w:color="auto" w:fill="auto"/>
            <w:noWrap/>
            <w:hideMark/>
          </w:tcPr>
          <w:p w14:paraId="3041B00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2.1</w:t>
            </w:r>
          </w:p>
        </w:tc>
        <w:tc>
          <w:tcPr>
            <w:tcW w:w="834" w:type="dxa"/>
            <w:tcBorders>
              <w:top w:val="nil"/>
              <w:left w:val="nil"/>
              <w:bottom w:val="nil"/>
              <w:right w:val="nil"/>
            </w:tcBorders>
            <w:shd w:val="clear" w:color="auto" w:fill="auto"/>
            <w:vAlign w:val="center"/>
          </w:tcPr>
          <w:p w14:paraId="630B9EF7"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0.796</w:t>
            </w:r>
          </w:p>
        </w:tc>
        <w:tc>
          <w:tcPr>
            <w:tcW w:w="937" w:type="dxa"/>
            <w:tcBorders>
              <w:top w:val="nil"/>
              <w:left w:val="nil"/>
              <w:bottom w:val="nil"/>
              <w:right w:val="nil"/>
            </w:tcBorders>
            <w:shd w:val="clear" w:color="auto" w:fill="auto"/>
            <w:vAlign w:val="center"/>
          </w:tcPr>
          <w:p w14:paraId="4FDE4511"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12.847</w:t>
            </w:r>
          </w:p>
        </w:tc>
      </w:tr>
      <w:tr w:rsidR="00DD24A4" w:rsidRPr="0092237D" w14:paraId="0E38A7CD" w14:textId="77777777" w:rsidTr="00B80853">
        <w:trPr>
          <w:trHeight w:val="290"/>
          <w:jc w:val="center"/>
        </w:trPr>
        <w:tc>
          <w:tcPr>
            <w:tcW w:w="1560" w:type="dxa"/>
            <w:shd w:val="clear" w:color="auto" w:fill="auto"/>
            <w:noWrap/>
            <w:hideMark/>
          </w:tcPr>
          <w:p w14:paraId="04A8AA5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Shantou</w:t>
            </w:r>
          </w:p>
        </w:tc>
        <w:tc>
          <w:tcPr>
            <w:tcW w:w="992" w:type="dxa"/>
            <w:shd w:val="clear" w:color="auto" w:fill="auto"/>
          </w:tcPr>
          <w:p w14:paraId="559AE182"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0.261</w:t>
            </w:r>
          </w:p>
        </w:tc>
        <w:tc>
          <w:tcPr>
            <w:tcW w:w="709" w:type="dxa"/>
            <w:shd w:val="clear" w:color="auto" w:fill="auto"/>
          </w:tcPr>
          <w:p w14:paraId="31CA0A46"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649</w:t>
            </w:r>
          </w:p>
        </w:tc>
        <w:tc>
          <w:tcPr>
            <w:tcW w:w="888" w:type="dxa"/>
            <w:shd w:val="clear" w:color="auto" w:fill="auto"/>
            <w:noWrap/>
            <w:hideMark/>
          </w:tcPr>
          <w:p w14:paraId="2EF8F54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1.013</w:t>
            </w:r>
          </w:p>
        </w:tc>
        <w:tc>
          <w:tcPr>
            <w:tcW w:w="866" w:type="dxa"/>
            <w:shd w:val="clear" w:color="auto" w:fill="auto"/>
            <w:noWrap/>
            <w:hideMark/>
          </w:tcPr>
          <w:p w14:paraId="1FE7449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8.2</w:t>
            </w:r>
          </w:p>
        </w:tc>
        <w:tc>
          <w:tcPr>
            <w:tcW w:w="1141" w:type="dxa"/>
            <w:shd w:val="clear" w:color="auto" w:fill="auto"/>
            <w:noWrap/>
            <w:hideMark/>
          </w:tcPr>
          <w:p w14:paraId="063F48D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0.9996</w:t>
            </w:r>
          </w:p>
        </w:tc>
        <w:tc>
          <w:tcPr>
            <w:tcW w:w="994" w:type="dxa"/>
            <w:shd w:val="clear" w:color="auto" w:fill="auto"/>
            <w:noWrap/>
            <w:hideMark/>
          </w:tcPr>
          <w:p w14:paraId="44DA673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1.71</w:t>
            </w:r>
          </w:p>
        </w:tc>
        <w:tc>
          <w:tcPr>
            <w:tcW w:w="834" w:type="dxa"/>
            <w:tcBorders>
              <w:top w:val="nil"/>
              <w:left w:val="nil"/>
              <w:bottom w:val="nil"/>
              <w:right w:val="nil"/>
            </w:tcBorders>
            <w:shd w:val="clear" w:color="auto" w:fill="auto"/>
            <w:vAlign w:val="center"/>
          </w:tcPr>
          <w:p w14:paraId="09B5FC7A"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0.999</w:t>
            </w:r>
          </w:p>
        </w:tc>
        <w:tc>
          <w:tcPr>
            <w:tcW w:w="937" w:type="dxa"/>
            <w:tcBorders>
              <w:top w:val="nil"/>
              <w:left w:val="nil"/>
              <w:bottom w:val="nil"/>
              <w:right w:val="nil"/>
            </w:tcBorders>
            <w:shd w:val="clear" w:color="auto" w:fill="auto"/>
            <w:vAlign w:val="center"/>
          </w:tcPr>
          <w:p w14:paraId="25A38BD8"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7.2</w:t>
            </w:r>
          </w:p>
        </w:tc>
      </w:tr>
      <w:tr w:rsidR="00DD24A4" w:rsidRPr="0092237D" w14:paraId="25497EF8" w14:textId="77777777" w:rsidTr="00B80853">
        <w:trPr>
          <w:trHeight w:val="290"/>
          <w:jc w:val="center"/>
        </w:trPr>
        <w:tc>
          <w:tcPr>
            <w:tcW w:w="1560" w:type="dxa"/>
            <w:shd w:val="clear" w:color="auto" w:fill="auto"/>
            <w:noWrap/>
            <w:hideMark/>
          </w:tcPr>
          <w:p w14:paraId="2E8A1E25"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Shaoguan</w:t>
            </w:r>
            <w:proofErr w:type="spellEnd"/>
          </w:p>
        </w:tc>
        <w:tc>
          <w:tcPr>
            <w:tcW w:w="992" w:type="dxa"/>
            <w:shd w:val="clear" w:color="auto" w:fill="auto"/>
          </w:tcPr>
          <w:p w14:paraId="03B32D8A"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0.708</w:t>
            </w:r>
          </w:p>
        </w:tc>
        <w:tc>
          <w:tcPr>
            <w:tcW w:w="709" w:type="dxa"/>
            <w:shd w:val="clear" w:color="auto" w:fill="auto"/>
          </w:tcPr>
          <w:p w14:paraId="0BE6AE2D"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624</w:t>
            </w:r>
          </w:p>
        </w:tc>
        <w:tc>
          <w:tcPr>
            <w:tcW w:w="888" w:type="dxa"/>
            <w:shd w:val="clear" w:color="auto" w:fill="auto"/>
            <w:noWrap/>
            <w:hideMark/>
          </w:tcPr>
          <w:p w14:paraId="2BB499D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w:t>
            </w:r>
          </w:p>
        </w:tc>
        <w:tc>
          <w:tcPr>
            <w:tcW w:w="866" w:type="dxa"/>
            <w:shd w:val="clear" w:color="auto" w:fill="auto"/>
            <w:noWrap/>
            <w:hideMark/>
          </w:tcPr>
          <w:p w14:paraId="4A7D938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7.2</w:t>
            </w:r>
          </w:p>
        </w:tc>
        <w:tc>
          <w:tcPr>
            <w:tcW w:w="1141" w:type="dxa"/>
            <w:shd w:val="clear" w:color="auto" w:fill="auto"/>
            <w:noWrap/>
            <w:hideMark/>
          </w:tcPr>
          <w:p w14:paraId="4E90BEF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0.9985</w:t>
            </w:r>
          </w:p>
        </w:tc>
        <w:tc>
          <w:tcPr>
            <w:tcW w:w="994" w:type="dxa"/>
            <w:shd w:val="clear" w:color="auto" w:fill="auto"/>
            <w:noWrap/>
            <w:hideMark/>
          </w:tcPr>
          <w:p w14:paraId="21FBC4C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2.3</w:t>
            </w:r>
          </w:p>
        </w:tc>
        <w:tc>
          <w:tcPr>
            <w:tcW w:w="834" w:type="dxa"/>
            <w:tcBorders>
              <w:top w:val="nil"/>
              <w:left w:val="nil"/>
              <w:bottom w:val="nil"/>
              <w:right w:val="nil"/>
            </w:tcBorders>
            <w:shd w:val="clear" w:color="auto" w:fill="auto"/>
            <w:vAlign w:val="center"/>
          </w:tcPr>
          <w:p w14:paraId="52B9E4F5"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0.805</w:t>
            </w:r>
          </w:p>
        </w:tc>
        <w:tc>
          <w:tcPr>
            <w:tcW w:w="937" w:type="dxa"/>
            <w:tcBorders>
              <w:top w:val="nil"/>
              <w:left w:val="nil"/>
              <w:bottom w:val="nil"/>
              <w:right w:val="nil"/>
            </w:tcBorders>
            <w:shd w:val="clear" w:color="auto" w:fill="auto"/>
            <w:vAlign w:val="center"/>
          </w:tcPr>
          <w:p w14:paraId="409167D7"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8.416</w:t>
            </w:r>
          </w:p>
        </w:tc>
      </w:tr>
      <w:tr w:rsidR="00DD24A4" w:rsidRPr="0092237D" w14:paraId="3490636A" w14:textId="77777777" w:rsidTr="00B80853">
        <w:trPr>
          <w:trHeight w:val="290"/>
          <w:jc w:val="center"/>
        </w:trPr>
        <w:tc>
          <w:tcPr>
            <w:tcW w:w="1560" w:type="dxa"/>
            <w:shd w:val="clear" w:color="auto" w:fill="auto"/>
            <w:noWrap/>
            <w:hideMark/>
          </w:tcPr>
          <w:p w14:paraId="0F98BE1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Shaoxing</w:t>
            </w:r>
          </w:p>
        </w:tc>
        <w:tc>
          <w:tcPr>
            <w:tcW w:w="992" w:type="dxa"/>
            <w:shd w:val="clear" w:color="auto" w:fill="auto"/>
          </w:tcPr>
          <w:p w14:paraId="71C17BED"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0.449</w:t>
            </w:r>
          </w:p>
        </w:tc>
        <w:tc>
          <w:tcPr>
            <w:tcW w:w="709" w:type="dxa"/>
            <w:shd w:val="clear" w:color="auto" w:fill="auto"/>
          </w:tcPr>
          <w:p w14:paraId="26BC31CE"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1075</w:t>
            </w:r>
          </w:p>
        </w:tc>
        <w:tc>
          <w:tcPr>
            <w:tcW w:w="888" w:type="dxa"/>
            <w:shd w:val="clear" w:color="auto" w:fill="auto"/>
            <w:noWrap/>
            <w:hideMark/>
          </w:tcPr>
          <w:p w14:paraId="1CCF654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1.047</w:t>
            </w:r>
          </w:p>
        </w:tc>
        <w:tc>
          <w:tcPr>
            <w:tcW w:w="866" w:type="dxa"/>
            <w:shd w:val="clear" w:color="auto" w:fill="auto"/>
            <w:noWrap/>
            <w:hideMark/>
          </w:tcPr>
          <w:p w14:paraId="5B6E476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16.1</w:t>
            </w:r>
          </w:p>
        </w:tc>
        <w:tc>
          <w:tcPr>
            <w:tcW w:w="1141" w:type="dxa"/>
            <w:shd w:val="clear" w:color="auto" w:fill="auto"/>
            <w:noWrap/>
            <w:hideMark/>
          </w:tcPr>
          <w:p w14:paraId="30B589F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0.9957</w:t>
            </w:r>
          </w:p>
        </w:tc>
        <w:tc>
          <w:tcPr>
            <w:tcW w:w="994" w:type="dxa"/>
            <w:shd w:val="clear" w:color="auto" w:fill="auto"/>
            <w:noWrap/>
            <w:hideMark/>
          </w:tcPr>
          <w:p w14:paraId="3F79A86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4.44</w:t>
            </w:r>
          </w:p>
        </w:tc>
        <w:tc>
          <w:tcPr>
            <w:tcW w:w="834" w:type="dxa"/>
            <w:tcBorders>
              <w:top w:val="nil"/>
              <w:left w:val="nil"/>
              <w:bottom w:val="nil"/>
              <w:right w:val="nil"/>
            </w:tcBorders>
            <w:shd w:val="clear" w:color="auto" w:fill="auto"/>
            <w:vAlign w:val="center"/>
          </w:tcPr>
          <w:p w14:paraId="393D9C88"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1.063</w:t>
            </w:r>
          </w:p>
        </w:tc>
        <w:tc>
          <w:tcPr>
            <w:tcW w:w="937" w:type="dxa"/>
            <w:tcBorders>
              <w:top w:val="nil"/>
              <w:left w:val="nil"/>
              <w:bottom w:val="nil"/>
              <w:right w:val="nil"/>
            </w:tcBorders>
            <w:shd w:val="clear" w:color="auto" w:fill="auto"/>
            <w:vAlign w:val="center"/>
          </w:tcPr>
          <w:p w14:paraId="0BAADA96"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12.63</w:t>
            </w:r>
          </w:p>
        </w:tc>
      </w:tr>
      <w:tr w:rsidR="00DD24A4" w:rsidRPr="0092237D" w14:paraId="03FCD10F" w14:textId="77777777" w:rsidTr="00B80853">
        <w:trPr>
          <w:trHeight w:val="290"/>
          <w:jc w:val="center"/>
        </w:trPr>
        <w:tc>
          <w:tcPr>
            <w:tcW w:w="1560" w:type="dxa"/>
            <w:shd w:val="clear" w:color="auto" w:fill="auto"/>
            <w:noWrap/>
            <w:hideMark/>
          </w:tcPr>
          <w:p w14:paraId="2242B8D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Shenyang</w:t>
            </w:r>
          </w:p>
        </w:tc>
        <w:tc>
          <w:tcPr>
            <w:tcW w:w="992" w:type="dxa"/>
            <w:shd w:val="clear" w:color="auto" w:fill="auto"/>
          </w:tcPr>
          <w:p w14:paraId="74B9058F"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0.784</w:t>
            </w:r>
          </w:p>
        </w:tc>
        <w:tc>
          <w:tcPr>
            <w:tcW w:w="709" w:type="dxa"/>
            <w:shd w:val="clear" w:color="auto" w:fill="auto"/>
          </w:tcPr>
          <w:p w14:paraId="791744C5"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1212</w:t>
            </w:r>
          </w:p>
        </w:tc>
        <w:tc>
          <w:tcPr>
            <w:tcW w:w="888" w:type="dxa"/>
            <w:shd w:val="clear" w:color="auto" w:fill="auto"/>
            <w:noWrap/>
            <w:hideMark/>
          </w:tcPr>
          <w:p w14:paraId="0CB6234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1.032</w:t>
            </w:r>
          </w:p>
        </w:tc>
        <w:tc>
          <w:tcPr>
            <w:tcW w:w="866" w:type="dxa"/>
            <w:shd w:val="clear" w:color="auto" w:fill="auto"/>
            <w:noWrap/>
            <w:hideMark/>
          </w:tcPr>
          <w:p w14:paraId="4274B31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14.2</w:t>
            </w:r>
          </w:p>
        </w:tc>
        <w:tc>
          <w:tcPr>
            <w:tcW w:w="1141" w:type="dxa"/>
            <w:shd w:val="clear" w:color="auto" w:fill="auto"/>
            <w:noWrap/>
            <w:hideMark/>
          </w:tcPr>
          <w:p w14:paraId="12082239"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1.0031</w:t>
            </w:r>
          </w:p>
        </w:tc>
        <w:tc>
          <w:tcPr>
            <w:tcW w:w="994" w:type="dxa"/>
            <w:shd w:val="clear" w:color="auto" w:fill="auto"/>
            <w:noWrap/>
            <w:hideMark/>
          </w:tcPr>
          <w:p w14:paraId="5D15B182"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5.22</w:t>
            </w:r>
          </w:p>
        </w:tc>
        <w:tc>
          <w:tcPr>
            <w:tcW w:w="834" w:type="dxa"/>
            <w:tcBorders>
              <w:top w:val="nil"/>
              <w:left w:val="nil"/>
              <w:bottom w:val="nil"/>
              <w:right w:val="nil"/>
            </w:tcBorders>
            <w:shd w:val="clear" w:color="auto" w:fill="auto"/>
            <w:vAlign w:val="center"/>
          </w:tcPr>
          <w:p w14:paraId="2447A909"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0.888</w:t>
            </w:r>
          </w:p>
        </w:tc>
        <w:tc>
          <w:tcPr>
            <w:tcW w:w="937" w:type="dxa"/>
            <w:tcBorders>
              <w:top w:val="nil"/>
              <w:left w:val="nil"/>
              <w:bottom w:val="nil"/>
              <w:right w:val="nil"/>
            </w:tcBorders>
            <w:shd w:val="clear" w:color="auto" w:fill="auto"/>
            <w:vAlign w:val="center"/>
          </w:tcPr>
          <w:p w14:paraId="6C2C8BD1"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23.938</w:t>
            </w:r>
          </w:p>
        </w:tc>
      </w:tr>
      <w:tr w:rsidR="00DD24A4" w:rsidRPr="0092237D" w14:paraId="12C7E405" w14:textId="77777777" w:rsidTr="00B80853">
        <w:trPr>
          <w:trHeight w:val="290"/>
          <w:jc w:val="center"/>
        </w:trPr>
        <w:tc>
          <w:tcPr>
            <w:tcW w:w="1560" w:type="dxa"/>
            <w:shd w:val="clear" w:color="auto" w:fill="auto"/>
            <w:noWrap/>
            <w:hideMark/>
          </w:tcPr>
          <w:p w14:paraId="14ECD0F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Shijiazhuang</w:t>
            </w:r>
          </w:p>
        </w:tc>
        <w:tc>
          <w:tcPr>
            <w:tcW w:w="992" w:type="dxa"/>
            <w:shd w:val="clear" w:color="auto" w:fill="auto"/>
          </w:tcPr>
          <w:p w14:paraId="5C1872A2"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0.890</w:t>
            </w:r>
          </w:p>
        </w:tc>
        <w:tc>
          <w:tcPr>
            <w:tcW w:w="709" w:type="dxa"/>
            <w:shd w:val="clear" w:color="auto" w:fill="auto"/>
          </w:tcPr>
          <w:p w14:paraId="30F29CD3"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1373</w:t>
            </w:r>
          </w:p>
        </w:tc>
        <w:tc>
          <w:tcPr>
            <w:tcW w:w="888" w:type="dxa"/>
            <w:shd w:val="clear" w:color="auto" w:fill="auto"/>
            <w:noWrap/>
            <w:hideMark/>
          </w:tcPr>
          <w:p w14:paraId="66771AAC"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1.012</w:t>
            </w:r>
          </w:p>
        </w:tc>
        <w:tc>
          <w:tcPr>
            <w:tcW w:w="866" w:type="dxa"/>
            <w:shd w:val="clear" w:color="auto" w:fill="auto"/>
            <w:noWrap/>
            <w:hideMark/>
          </w:tcPr>
          <w:p w14:paraId="0247386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8.3</w:t>
            </w:r>
          </w:p>
        </w:tc>
        <w:tc>
          <w:tcPr>
            <w:tcW w:w="1141" w:type="dxa"/>
            <w:shd w:val="clear" w:color="auto" w:fill="auto"/>
            <w:noWrap/>
            <w:hideMark/>
          </w:tcPr>
          <w:p w14:paraId="014B0A2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0.9922</w:t>
            </w:r>
          </w:p>
        </w:tc>
        <w:tc>
          <w:tcPr>
            <w:tcW w:w="994" w:type="dxa"/>
            <w:shd w:val="clear" w:color="auto" w:fill="auto"/>
            <w:noWrap/>
            <w:hideMark/>
          </w:tcPr>
          <w:p w14:paraId="36D0578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2.65</w:t>
            </w:r>
          </w:p>
        </w:tc>
        <w:tc>
          <w:tcPr>
            <w:tcW w:w="834" w:type="dxa"/>
            <w:tcBorders>
              <w:top w:val="nil"/>
              <w:left w:val="nil"/>
              <w:bottom w:val="nil"/>
              <w:right w:val="nil"/>
            </w:tcBorders>
            <w:shd w:val="clear" w:color="auto" w:fill="auto"/>
            <w:vAlign w:val="center"/>
          </w:tcPr>
          <w:p w14:paraId="71B9AD39"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1.552</w:t>
            </w:r>
          </w:p>
        </w:tc>
        <w:tc>
          <w:tcPr>
            <w:tcW w:w="937" w:type="dxa"/>
            <w:tcBorders>
              <w:top w:val="nil"/>
              <w:left w:val="nil"/>
              <w:bottom w:val="nil"/>
              <w:right w:val="nil"/>
            </w:tcBorders>
            <w:shd w:val="clear" w:color="auto" w:fill="auto"/>
            <w:vAlign w:val="center"/>
          </w:tcPr>
          <w:p w14:paraId="7B3747BC"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20.858</w:t>
            </w:r>
          </w:p>
        </w:tc>
      </w:tr>
      <w:tr w:rsidR="00DD24A4" w:rsidRPr="0092237D" w14:paraId="1E6C6CAD" w14:textId="77777777" w:rsidTr="00B80853">
        <w:trPr>
          <w:trHeight w:val="290"/>
          <w:jc w:val="center"/>
        </w:trPr>
        <w:tc>
          <w:tcPr>
            <w:tcW w:w="1560" w:type="dxa"/>
            <w:shd w:val="clear" w:color="auto" w:fill="auto"/>
            <w:noWrap/>
            <w:hideMark/>
          </w:tcPr>
          <w:p w14:paraId="19835CE0"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Shiyan</w:t>
            </w:r>
            <w:proofErr w:type="spellEnd"/>
          </w:p>
        </w:tc>
        <w:tc>
          <w:tcPr>
            <w:tcW w:w="992" w:type="dxa"/>
            <w:shd w:val="clear" w:color="auto" w:fill="auto"/>
          </w:tcPr>
          <w:p w14:paraId="5F8EB4AC"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0.739</w:t>
            </w:r>
          </w:p>
        </w:tc>
        <w:tc>
          <w:tcPr>
            <w:tcW w:w="709" w:type="dxa"/>
            <w:shd w:val="clear" w:color="auto" w:fill="auto"/>
          </w:tcPr>
          <w:p w14:paraId="00B60647"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992</w:t>
            </w:r>
          </w:p>
        </w:tc>
        <w:tc>
          <w:tcPr>
            <w:tcW w:w="888" w:type="dxa"/>
            <w:shd w:val="clear" w:color="auto" w:fill="auto"/>
            <w:noWrap/>
            <w:hideMark/>
          </w:tcPr>
          <w:p w14:paraId="621B727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1.025</w:t>
            </w:r>
          </w:p>
        </w:tc>
        <w:tc>
          <w:tcPr>
            <w:tcW w:w="866" w:type="dxa"/>
            <w:shd w:val="clear" w:color="auto" w:fill="auto"/>
            <w:noWrap/>
            <w:hideMark/>
          </w:tcPr>
          <w:p w14:paraId="5202FA3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12.5</w:t>
            </w:r>
          </w:p>
        </w:tc>
        <w:tc>
          <w:tcPr>
            <w:tcW w:w="1141" w:type="dxa"/>
            <w:shd w:val="clear" w:color="auto" w:fill="auto"/>
            <w:noWrap/>
            <w:hideMark/>
          </w:tcPr>
          <w:p w14:paraId="574559F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0.9984</w:t>
            </w:r>
          </w:p>
        </w:tc>
        <w:tc>
          <w:tcPr>
            <w:tcW w:w="994" w:type="dxa"/>
            <w:shd w:val="clear" w:color="auto" w:fill="auto"/>
            <w:noWrap/>
            <w:hideMark/>
          </w:tcPr>
          <w:p w14:paraId="1A98E74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3.53</w:t>
            </w:r>
          </w:p>
        </w:tc>
        <w:tc>
          <w:tcPr>
            <w:tcW w:w="834" w:type="dxa"/>
            <w:tcBorders>
              <w:top w:val="nil"/>
              <w:left w:val="nil"/>
              <w:bottom w:val="nil"/>
              <w:right w:val="nil"/>
            </w:tcBorders>
            <w:shd w:val="clear" w:color="auto" w:fill="auto"/>
            <w:vAlign w:val="center"/>
          </w:tcPr>
          <w:p w14:paraId="76ECFEAE"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0.657</w:t>
            </w:r>
          </w:p>
        </w:tc>
        <w:tc>
          <w:tcPr>
            <w:tcW w:w="937" w:type="dxa"/>
            <w:tcBorders>
              <w:top w:val="nil"/>
              <w:left w:val="nil"/>
              <w:bottom w:val="nil"/>
              <w:right w:val="nil"/>
            </w:tcBorders>
            <w:shd w:val="clear" w:color="auto" w:fill="auto"/>
            <w:vAlign w:val="center"/>
          </w:tcPr>
          <w:p w14:paraId="7CF35763"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13.192</w:t>
            </w:r>
          </w:p>
        </w:tc>
      </w:tr>
      <w:tr w:rsidR="00DD24A4" w:rsidRPr="0092237D" w14:paraId="28E47695" w14:textId="77777777" w:rsidTr="00B80853">
        <w:trPr>
          <w:trHeight w:val="290"/>
          <w:jc w:val="center"/>
        </w:trPr>
        <w:tc>
          <w:tcPr>
            <w:tcW w:w="1560" w:type="dxa"/>
            <w:shd w:val="clear" w:color="auto" w:fill="auto"/>
            <w:noWrap/>
            <w:hideMark/>
          </w:tcPr>
          <w:p w14:paraId="4091D821"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Suqian</w:t>
            </w:r>
            <w:proofErr w:type="spellEnd"/>
          </w:p>
        </w:tc>
        <w:tc>
          <w:tcPr>
            <w:tcW w:w="992" w:type="dxa"/>
            <w:shd w:val="clear" w:color="auto" w:fill="auto"/>
          </w:tcPr>
          <w:p w14:paraId="361D3511"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0.459</w:t>
            </w:r>
          </w:p>
        </w:tc>
        <w:tc>
          <w:tcPr>
            <w:tcW w:w="709" w:type="dxa"/>
            <w:shd w:val="clear" w:color="auto" w:fill="auto"/>
          </w:tcPr>
          <w:p w14:paraId="1989A72B"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61</w:t>
            </w:r>
          </w:p>
        </w:tc>
        <w:tc>
          <w:tcPr>
            <w:tcW w:w="888" w:type="dxa"/>
            <w:shd w:val="clear" w:color="auto" w:fill="auto"/>
            <w:noWrap/>
            <w:hideMark/>
          </w:tcPr>
          <w:p w14:paraId="50DED5D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1.013</w:t>
            </w:r>
          </w:p>
        </w:tc>
        <w:tc>
          <w:tcPr>
            <w:tcW w:w="866" w:type="dxa"/>
            <w:shd w:val="clear" w:color="auto" w:fill="auto"/>
            <w:noWrap/>
            <w:hideMark/>
          </w:tcPr>
          <w:p w14:paraId="0FBF76C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8.6</w:t>
            </w:r>
          </w:p>
        </w:tc>
        <w:tc>
          <w:tcPr>
            <w:tcW w:w="1141" w:type="dxa"/>
            <w:shd w:val="clear" w:color="auto" w:fill="auto"/>
            <w:noWrap/>
            <w:hideMark/>
          </w:tcPr>
          <w:p w14:paraId="3F3D3F1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1.0083</w:t>
            </w:r>
          </w:p>
        </w:tc>
        <w:tc>
          <w:tcPr>
            <w:tcW w:w="994" w:type="dxa"/>
            <w:shd w:val="clear" w:color="auto" w:fill="auto"/>
            <w:noWrap/>
            <w:hideMark/>
          </w:tcPr>
          <w:p w14:paraId="2BA9F3B4"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3.73</w:t>
            </w:r>
          </w:p>
        </w:tc>
        <w:tc>
          <w:tcPr>
            <w:tcW w:w="834" w:type="dxa"/>
            <w:tcBorders>
              <w:top w:val="nil"/>
              <w:left w:val="nil"/>
              <w:bottom w:val="nil"/>
              <w:right w:val="nil"/>
            </w:tcBorders>
            <w:shd w:val="clear" w:color="auto" w:fill="auto"/>
            <w:vAlign w:val="center"/>
          </w:tcPr>
          <w:p w14:paraId="31F70986"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w:t>
            </w:r>
          </w:p>
        </w:tc>
        <w:tc>
          <w:tcPr>
            <w:tcW w:w="937" w:type="dxa"/>
            <w:tcBorders>
              <w:top w:val="nil"/>
              <w:left w:val="nil"/>
              <w:bottom w:val="nil"/>
              <w:right w:val="nil"/>
            </w:tcBorders>
            <w:shd w:val="clear" w:color="auto" w:fill="auto"/>
            <w:vAlign w:val="center"/>
          </w:tcPr>
          <w:p w14:paraId="6D3517F1"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w:t>
            </w:r>
          </w:p>
        </w:tc>
      </w:tr>
      <w:tr w:rsidR="00DD24A4" w:rsidRPr="0092237D" w14:paraId="7FDD58DD" w14:textId="77777777" w:rsidTr="00B80853">
        <w:trPr>
          <w:trHeight w:val="290"/>
          <w:jc w:val="center"/>
        </w:trPr>
        <w:tc>
          <w:tcPr>
            <w:tcW w:w="1560" w:type="dxa"/>
            <w:shd w:val="clear" w:color="auto" w:fill="auto"/>
            <w:noWrap/>
            <w:hideMark/>
          </w:tcPr>
          <w:p w14:paraId="5FA5F9AF"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The north sea</w:t>
            </w:r>
          </w:p>
        </w:tc>
        <w:tc>
          <w:tcPr>
            <w:tcW w:w="992" w:type="dxa"/>
            <w:shd w:val="clear" w:color="auto" w:fill="auto"/>
          </w:tcPr>
          <w:p w14:paraId="7D689A51"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0.427</w:t>
            </w:r>
          </w:p>
        </w:tc>
        <w:tc>
          <w:tcPr>
            <w:tcW w:w="709" w:type="dxa"/>
            <w:shd w:val="clear" w:color="auto" w:fill="auto"/>
          </w:tcPr>
          <w:p w14:paraId="30F51D46"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100</w:t>
            </w:r>
          </w:p>
        </w:tc>
        <w:tc>
          <w:tcPr>
            <w:tcW w:w="888" w:type="dxa"/>
            <w:shd w:val="clear" w:color="auto" w:fill="auto"/>
            <w:noWrap/>
            <w:hideMark/>
          </w:tcPr>
          <w:p w14:paraId="4670C60B"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w:t>
            </w:r>
          </w:p>
        </w:tc>
        <w:tc>
          <w:tcPr>
            <w:tcW w:w="866" w:type="dxa"/>
            <w:shd w:val="clear" w:color="auto" w:fill="auto"/>
            <w:noWrap/>
            <w:hideMark/>
          </w:tcPr>
          <w:p w14:paraId="6F6A7600"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w:t>
            </w:r>
          </w:p>
        </w:tc>
        <w:tc>
          <w:tcPr>
            <w:tcW w:w="1141" w:type="dxa"/>
            <w:shd w:val="clear" w:color="auto" w:fill="auto"/>
            <w:noWrap/>
            <w:hideMark/>
          </w:tcPr>
          <w:p w14:paraId="623DCE5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0.8472</w:t>
            </w:r>
          </w:p>
        </w:tc>
        <w:tc>
          <w:tcPr>
            <w:tcW w:w="994" w:type="dxa"/>
            <w:shd w:val="clear" w:color="auto" w:fill="auto"/>
            <w:noWrap/>
            <w:hideMark/>
          </w:tcPr>
          <w:p w14:paraId="7820DE0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2.66</w:t>
            </w:r>
          </w:p>
        </w:tc>
        <w:tc>
          <w:tcPr>
            <w:tcW w:w="834" w:type="dxa"/>
            <w:tcBorders>
              <w:top w:val="nil"/>
              <w:left w:val="nil"/>
              <w:bottom w:val="nil"/>
              <w:right w:val="nil"/>
            </w:tcBorders>
            <w:shd w:val="clear" w:color="auto" w:fill="auto"/>
            <w:vAlign w:val="center"/>
          </w:tcPr>
          <w:p w14:paraId="1FF396C1"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w:t>
            </w:r>
          </w:p>
        </w:tc>
        <w:tc>
          <w:tcPr>
            <w:tcW w:w="937" w:type="dxa"/>
            <w:tcBorders>
              <w:top w:val="nil"/>
              <w:left w:val="nil"/>
              <w:bottom w:val="nil"/>
              <w:right w:val="nil"/>
            </w:tcBorders>
            <w:shd w:val="clear" w:color="auto" w:fill="auto"/>
            <w:vAlign w:val="center"/>
          </w:tcPr>
          <w:p w14:paraId="5EEB31AB"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w:t>
            </w:r>
          </w:p>
        </w:tc>
      </w:tr>
      <w:tr w:rsidR="00DD24A4" w:rsidRPr="0092237D" w14:paraId="061DE601" w14:textId="77777777" w:rsidTr="00B80853">
        <w:trPr>
          <w:trHeight w:val="290"/>
          <w:jc w:val="center"/>
        </w:trPr>
        <w:tc>
          <w:tcPr>
            <w:tcW w:w="1560" w:type="dxa"/>
            <w:shd w:val="clear" w:color="auto" w:fill="auto"/>
            <w:noWrap/>
            <w:hideMark/>
          </w:tcPr>
          <w:p w14:paraId="69A71E21"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The rising sun</w:t>
            </w:r>
          </w:p>
        </w:tc>
        <w:tc>
          <w:tcPr>
            <w:tcW w:w="992" w:type="dxa"/>
            <w:shd w:val="clear" w:color="auto" w:fill="auto"/>
          </w:tcPr>
          <w:p w14:paraId="4B3BBDF7"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0.854</w:t>
            </w:r>
          </w:p>
        </w:tc>
        <w:tc>
          <w:tcPr>
            <w:tcW w:w="709" w:type="dxa"/>
            <w:shd w:val="clear" w:color="auto" w:fill="auto"/>
          </w:tcPr>
          <w:p w14:paraId="4DF38EBC"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437</w:t>
            </w:r>
          </w:p>
        </w:tc>
        <w:tc>
          <w:tcPr>
            <w:tcW w:w="888" w:type="dxa"/>
            <w:shd w:val="clear" w:color="auto" w:fill="auto"/>
            <w:noWrap/>
            <w:hideMark/>
          </w:tcPr>
          <w:p w14:paraId="13B7B29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1.027</w:t>
            </w:r>
          </w:p>
        </w:tc>
        <w:tc>
          <w:tcPr>
            <w:tcW w:w="866" w:type="dxa"/>
            <w:shd w:val="clear" w:color="auto" w:fill="auto"/>
            <w:noWrap/>
            <w:hideMark/>
          </w:tcPr>
          <w:p w14:paraId="094C159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12.6</w:t>
            </w:r>
          </w:p>
        </w:tc>
        <w:tc>
          <w:tcPr>
            <w:tcW w:w="1141" w:type="dxa"/>
            <w:shd w:val="clear" w:color="auto" w:fill="auto"/>
            <w:noWrap/>
            <w:hideMark/>
          </w:tcPr>
          <w:p w14:paraId="46E5128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0.9861</w:t>
            </w:r>
          </w:p>
        </w:tc>
        <w:tc>
          <w:tcPr>
            <w:tcW w:w="994" w:type="dxa"/>
            <w:shd w:val="clear" w:color="auto" w:fill="auto"/>
            <w:noWrap/>
            <w:hideMark/>
          </w:tcPr>
          <w:p w14:paraId="5D059D1D"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4.66</w:t>
            </w:r>
          </w:p>
        </w:tc>
        <w:tc>
          <w:tcPr>
            <w:tcW w:w="834" w:type="dxa"/>
            <w:tcBorders>
              <w:top w:val="nil"/>
              <w:left w:val="nil"/>
              <w:bottom w:val="nil"/>
              <w:right w:val="nil"/>
            </w:tcBorders>
            <w:shd w:val="clear" w:color="auto" w:fill="auto"/>
            <w:vAlign w:val="center"/>
          </w:tcPr>
          <w:p w14:paraId="3B693EF9"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0.523</w:t>
            </w:r>
          </w:p>
        </w:tc>
        <w:tc>
          <w:tcPr>
            <w:tcW w:w="937" w:type="dxa"/>
            <w:tcBorders>
              <w:top w:val="nil"/>
              <w:left w:val="nil"/>
              <w:bottom w:val="nil"/>
              <w:right w:val="nil"/>
            </w:tcBorders>
            <w:shd w:val="clear" w:color="auto" w:fill="auto"/>
            <w:vAlign w:val="center"/>
          </w:tcPr>
          <w:p w14:paraId="4FA19D57"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21.668</w:t>
            </w:r>
          </w:p>
        </w:tc>
      </w:tr>
      <w:tr w:rsidR="00DD24A4" w:rsidRPr="0092237D" w14:paraId="337641DD" w14:textId="77777777" w:rsidTr="00B80853">
        <w:trPr>
          <w:trHeight w:val="290"/>
          <w:jc w:val="center"/>
        </w:trPr>
        <w:tc>
          <w:tcPr>
            <w:tcW w:w="1560" w:type="dxa"/>
            <w:shd w:val="clear" w:color="auto" w:fill="auto"/>
            <w:noWrap/>
            <w:hideMark/>
          </w:tcPr>
          <w:p w14:paraId="440D6E35" w14:textId="77777777" w:rsidR="00DD24A4" w:rsidRPr="0092237D" w:rsidRDefault="00DD24A4" w:rsidP="00DD24A4">
            <w:pPr>
              <w:pStyle w:val="WPBodyText"/>
              <w:rPr>
                <w:rFonts w:ascii="Arial" w:hAnsi="Arial" w:cs="Arial"/>
                <w:sz w:val="22"/>
                <w:szCs w:val="22"/>
              </w:rPr>
            </w:pPr>
            <w:proofErr w:type="spellStart"/>
            <w:r w:rsidRPr="0092237D">
              <w:rPr>
                <w:rFonts w:ascii="Arial" w:hAnsi="Arial" w:cs="Arial"/>
                <w:sz w:val="22"/>
                <w:szCs w:val="22"/>
              </w:rPr>
              <w:t>Yulin</w:t>
            </w:r>
            <w:proofErr w:type="spellEnd"/>
            <w:r w:rsidRPr="0092237D">
              <w:rPr>
                <w:rFonts w:ascii="Arial" w:hAnsi="Arial" w:cs="Arial"/>
                <w:sz w:val="22"/>
                <w:szCs w:val="22"/>
              </w:rPr>
              <w:t>.</w:t>
            </w:r>
          </w:p>
        </w:tc>
        <w:tc>
          <w:tcPr>
            <w:tcW w:w="992" w:type="dxa"/>
            <w:shd w:val="clear" w:color="auto" w:fill="auto"/>
          </w:tcPr>
          <w:p w14:paraId="5249C9C9"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0.304</w:t>
            </w:r>
          </w:p>
        </w:tc>
        <w:tc>
          <w:tcPr>
            <w:tcW w:w="709" w:type="dxa"/>
            <w:shd w:val="clear" w:color="auto" w:fill="auto"/>
          </w:tcPr>
          <w:p w14:paraId="73CEF863"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194</w:t>
            </w:r>
          </w:p>
        </w:tc>
        <w:tc>
          <w:tcPr>
            <w:tcW w:w="888" w:type="dxa"/>
            <w:shd w:val="clear" w:color="auto" w:fill="auto"/>
            <w:noWrap/>
            <w:hideMark/>
          </w:tcPr>
          <w:p w14:paraId="661BDC08"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1.043</w:t>
            </w:r>
          </w:p>
        </w:tc>
        <w:tc>
          <w:tcPr>
            <w:tcW w:w="866" w:type="dxa"/>
            <w:shd w:val="clear" w:color="auto" w:fill="auto"/>
            <w:noWrap/>
            <w:hideMark/>
          </w:tcPr>
          <w:p w14:paraId="55D518A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16.4</w:t>
            </w:r>
          </w:p>
        </w:tc>
        <w:tc>
          <w:tcPr>
            <w:tcW w:w="1141" w:type="dxa"/>
            <w:shd w:val="clear" w:color="auto" w:fill="auto"/>
            <w:noWrap/>
            <w:hideMark/>
          </w:tcPr>
          <w:p w14:paraId="6B2011F7"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0.9975</w:t>
            </w:r>
          </w:p>
        </w:tc>
        <w:tc>
          <w:tcPr>
            <w:tcW w:w="994" w:type="dxa"/>
            <w:shd w:val="clear" w:color="auto" w:fill="auto"/>
            <w:noWrap/>
            <w:hideMark/>
          </w:tcPr>
          <w:p w14:paraId="485E1343"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4.5</w:t>
            </w:r>
          </w:p>
        </w:tc>
        <w:tc>
          <w:tcPr>
            <w:tcW w:w="834" w:type="dxa"/>
            <w:tcBorders>
              <w:top w:val="nil"/>
              <w:left w:val="nil"/>
              <w:bottom w:val="nil"/>
              <w:right w:val="nil"/>
            </w:tcBorders>
            <w:shd w:val="clear" w:color="auto" w:fill="auto"/>
            <w:vAlign w:val="center"/>
          </w:tcPr>
          <w:p w14:paraId="5C15C5C8"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0.682</w:t>
            </w:r>
          </w:p>
        </w:tc>
        <w:tc>
          <w:tcPr>
            <w:tcW w:w="937" w:type="dxa"/>
            <w:tcBorders>
              <w:top w:val="nil"/>
              <w:left w:val="nil"/>
              <w:bottom w:val="nil"/>
              <w:right w:val="nil"/>
            </w:tcBorders>
            <w:shd w:val="clear" w:color="auto" w:fill="auto"/>
            <w:vAlign w:val="center"/>
          </w:tcPr>
          <w:p w14:paraId="4A517EB2"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10.166</w:t>
            </w:r>
          </w:p>
        </w:tc>
      </w:tr>
      <w:tr w:rsidR="00DD24A4" w:rsidRPr="0092237D" w14:paraId="38EA0A99" w14:textId="77777777" w:rsidTr="00B80853">
        <w:trPr>
          <w:trHeight w:val="300"/>
          <w:jc w:val="center"/>
        </w:trPr>
        <w:tc>
          <w:tcPr>
            <w:tcW w:w="1560" w:type="dxa"/>
            <w:shd w:val="clear" w:color="auto" w:fill="auto"/>
            <w:noWrap/>
            <w:hideMark/>
          </w:tcPr>
          <w:p w14:paraId="5AC994E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Zhoushan</w:t>
            </w:r>
          </w:p>
        </w:tc>
        <w:tc>
          <w:tcPr>
            <w:tcW w:w="992" w:type="dxa"/>
            <w:shd w:val="clear" w:color="auto" w:fill="auto"/>
          </w:tcPr>
          <w:p w14:paraId="02621EB0" w14:textId="77777777" w:rsidR="00DD24A4" w:rsidRPr="0092237D" w:rsidRDefault="00DD24A4" w:rsidP="00DD24A4">
            <w:pPr>
              <w:pStyle w:val="WPHeading1"/>
              <w:rPr>
                <w:rFonts w:ascii="Arial" w:hAnsi="Arial" w:cs="Arial"/>
                <w:b w:val="0"/>
                <w:sz w:val="22"/>
                <w:szCs w:val="22"/>
              </w:rPr>
            </w:pPr>
            <w:r w:rsidRPr="0092237D">
              <w:rPr>
                <w:rFonts w:ascii="Arial" w:hAnsi="Arial" w:cs="Arial"/>
                <w:b w:val="0"/>
                <w:sz w:val="22"/>
                <w:szCs w:val="22"/>
              </w:rPr>
              <w:t>0.924</w:t>
            </w:r>
          </w:p>
        </w:tc>
        <w:tc>
          <w:tcPr>
            <w:tcW w:w="709" w:type="dxa"/>
            <w:shd w:val="clear" w:color="auto" w:fill="auto"/>
          </w:tcPr>
          <w:p w14:paraId="09400555" w14:textId="77777777" w:rsidR="00DD24A4" w:rsidRPr="0092237D" w:rsidRDefault="00DD24A4" w:rsidP="00DD24A4">
            <w:pPr>
              <w:pStyle w:val="WPBodyText"/>
              <w:jc w:val="center"/>
              <w:rPr>
                <w:rFonts w:ascii="Arial" w:hAnsi="Arial" w:cs="Arial"/>
                <w:sz w:val="22"/>
                <w:szCs w:val="22"/>
              </w:rPr>
            </w:pPr>
            <w:r w:rsidRPr="0092237D">
              <w:rPr>
                <w:rFonts w:ascii="Arial" w:hAnsi="Arial" w:cs="Arial"/>
                <w:sz w:val="22"/>
                <w:szCs w:val="22"/>
              </w:rPr>
              <w:t>150</w:t>
            </w:r>
          </w:p>
        </w:tc>
        <w:tc>
          <w:tcPr>
            <w:tcW w:w="888" w:type="dxa"/>
            <w:shd w:val="clear" w:color="auto" w:fill="auto"/>
            <w:noWrap/>
            <w:hideMark/>
          </w:tcPr>
          <w:p w14:paraId="7819349E"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1.009</w:t>
            </w:r>
          </w:p>
        </w:tc>
        <w:tc>
          <w:tcPr>
            <w:tcW w:w="866" w:type="dxa"/>
            <w:shd w:val="clear" w:color="auto" w:fill="auto"/>
            <w:noWrap/>
            <w:hideMark/>
          </w:tcPr>
          <w:p w14:paraId="7A047EB5"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5.7</w:t>
            </w:r>
          </w:p>
        </w:tc>
        <w:tc>
          <w:tcPr>
            <w:tcW w:w="1141" w:type="dxa"/>
            <w:shd w:val="clear" w:color="auto" w:fill="auto"/>
            <w:noWrap/>
            <w:hideMark/>
          </w:tcPr>
          <w:p w14:paraId="197DD746"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1.0017</w:t>
            </w:r>
          </w:p>
        </w:tc>
        <w:tc>
          <w:tcPr>
            <w:tcW w:w="994" w:type="dxa"/>
            <w:shd w:val="clear" w:color="auto" w:fill="auto"/>
            <w:noWrap/>
            <w:hideMark/>
          </w:tcPr>
          <w:p w14:paraId="0BB8531A" w14:textId="77777777" w:rsidR="00DD24A4" w:rsidRPr="0092237D" w:rsidRDefault="00DD24A4" w:rsidP="00DD24A4">
            <w:pPr>
              <w:pStyle w:val="WPBodyText"/>
              <w:rPr>
                <w:rFonts w:ascii="Arial" w:hAnsi="Arial" w:cs="Arial"/>
                <w:sz w:val="22"/>
                <w:szCs w:val="22"/>
              </w:rPr>
            </w:pPr>
            <w:r w:rsidRPr="0092237D">
              <w:rPr>
                <w:rFonts w:ascii="Arial" w:hAnsi="Arial" w:cs="Arial"/>
                <w:sz w:val="22"/>
                <w:szCs w:val="22"/>
              </w:rPr>
              <w:t>5.13</w:t>
            </w:r>
          </w:p>
        </w:tc>
        <w:tc>
          <w:tcPr>
            <w:tcW w:w="834" w:type="dxa"/>
            <w:tcBorders>
              <w:top w:val="nil"/>
              <w:left w:val="nil"/>
              <w:bottom w:val="single" w:sz="8" w:space="0" w:color="auto"/>
              <w:right w:val="nil"/>
            </w:tcBorders>
            <w:shd w:val="clear" w:color="auto" w:fill="auto"/>
            <w:vAlign w:val="center"/>
          </w:tcPr>
          <w:p w14:paraId="3958C88A"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w:t>
            </w:r>
          </w:p>
        </w:tc>
        <w:tc>
          <w:tcPr>
            <w:tcW w:w="937" w:type="dxa"/>
            <w:tcBorders>
              <w:top w:val="nil"/>
              <w:left w:val="nil"/>
              <w:bottom w:val="single" w:sz="8" w:space="0" w:color="auto"/>
              <w:right w:val="nil"/>
            </w:tcBorders>
            <w:shd w:val="clear" w:color="auto" w:fill="auto"/>
            <w:vAlign w:val="center"/>
          </w:tcPr>
          <w:p w14:paraId="1E122389" w14:textId="77777777" w:rsidR="00DD24A4" w:rsidRPr="0092237D" w:rsidRDefault="00DD24A4" w:rsidP="00DD24A4">
            <w:pPr>
              <w:pStyle w:val="Heading6"/>
              <w:jc w:val="center"/>
              <w:rPr>
                <w:rFonts w:ascii="Arial" w:hAnsi="Arial" w:cs="Arial"/>
                <w:i w:val="0"/>
                <w:sz w:val="22"/>
                <w:szCs w:val="22"/>
              </w:rPr>
            </w:pPr>
            <w:r w:rsidRPr="0092237D">
              <w:rPr>
                <w:rFonts w:ascii="Arial" w:hAnsi="Arial" w:cs="Arial"/>
                <w:i w:val="0"/>
                <w:sz w:val="22"/>
                <w:szCs w:val="22"/>
              </w:rPr>
              <w:t>-</w:t>
            </w:r>
          </w:p>
        </w:tc>
      </w:tr>
    </w:tbl>
    <w:p w14:paraId="05A56288" w14:textId="77777777" w:rsidR="0032001C" w:rsidRPr="0092237D" w:rsidRDefault="00DD24A4" w:rsidP="0032001C">
      <w:pPr>
        <w:pStyle w:val="WPBodyText"/>
        <w:rPr>
          <w:rFonts w:ascii="Arial" w:hAnsi="Arial" w:cs="Arial"/>
          <w:sz w:val="22"/>
          <w:szCs w:val="22"/>
        </w:rPr>
      </w:pPr>
      <w:r>
        <w:rPr>
          <w:sz w:val="20"/>
        </w:rPr>
        <w:t xml:space="preserve">       </w:t>
      </w:r>
      <w:r w:rsidRPr="00B47E65">
        <w:rPr>
          <w:rFonts w:ascii="Arial" w:hAnsi="Arial" w:cs="Arial"/>
          <w:sz w:val="20"/>
        </w:rPr>
        <w:t>Note: missing values are a consequence of inadequate sample size for hold-out models.</w:t>
      </w:r>
    </w:p>
    <w:p w14:paraId="34C1B1CE" w14:textId="77777777" w:rsidR="0032001C" w:rsidRPr="0092237D" w:rsidRDefault="0032001C" w:rsidP="0032001C">
      <w:pPr>
        <w:pStyle w:val="WPBodyText"/>
        <w:rPr>
          <w:rFonts w:ascii="Arial" w:hAnsi="Arial" w:cs="Arial"/>
          <w:sz w:val="22"/>
          <w:szCs w:val="22"/>
        </w:rPr>
      </w:pPr>
    </w:p>
    <w:p w14:paraId="05CF00BC" w14:textId="77777777" w:rsidR="00406AA7" w:rsidRPr="0092237D" w:rsidRDefault="00406AA7" w:rsidP="0032001C">
      <w:pPr>
        <w:pStyle w:val="WPBodyText"/>
        <w:rPr>
          <w:rFonts w:ascii="Arial" w:hAnsi="Arial" w:cs="Arial"/>
          <w:i/>
          <w:iCs/>
          <w:sz w:val="22"/>
          <w:szCs w:val="22"/>
        </w:rPr>
      </w:pPr>
    </w:p>
    <w:p w14:paraId="715BD80D" w14:textId="77777777" w:rsidR="00DD24A4" w:rsidRPr="0092237D" w:rsidRDefault="00DD24A4" w:rsidP="0032001C">
      <w:pPr>
        <w:pStyle w:val="WPBodyText"/>
        <w:rPr>
          <w:rFonts w:ascii="Arial" w:hAnsi="Arial" w:cs="Arial"/>
          <w:i/>
          <w:iCs/>
          <w:sz w:val="22"/>
          <w:szCs w:val="22"/>
        </w:rPr>
      </w:pPr>
      <w:r w:rsidRPr="0092237D">
        <w:rPr>
          <w:rFonts w:ascii="Arial" w:hAnsi="Arial" w:cs="Arial"/>
          <w:i/>
          <w:iCs/>
          <w:sz w:val="22"/>
          <w:szCs w:val="22"/>
        </w:rPr>
        <w:t>Testing the Scalability of Modelling frameworks</w:t>
      </w:r>
    </w:p>
    <w:p w14:paraId="2611AE57" w14:textId="77777777" w:rsidR="0065576A" w:rsidRPr="0092237D" w:rsidRDefault="00DD24A4" w:rsidP="0092237D">
      <w:pPr>
        <w:pStyle w:val="WPHeading1"/>
        <w:spacing w:line="360" w:lineRule="auto"/>
        <w:jc w:val="both"/>
        <w:rPr>
          <w:rFonts w:ascii="Arial" w:hAnsi="Arial" w:cs="Arial"/>
          <w:b w:val="0"/>
          <w:sz w:val="22"/>
          <w:szCs w:val="18"/>
        </w:rPr>
      </w:pPr>
      <w:r w:rsidRPr="0092237D">
        <w:rPr>
          <w:rFonts w:ascii="Arial" w:hAnsi="Arial" w:cs="Arial"/>
          <w:b w:val="0"/>
          <w:sz w:val="22"/>
          <w:szCs w:val="18"/>
        </w:rPr>
        <w:lastRenderedPageBreak/>
        <w:t xml:space="preserve">At the global level, the ratio benchmarks suggest that a large number of the cities appear to conform to the accepted thresholds. Nonetheless, this would not be practical or feasible in terms of a mass appraisal approach and more micro-level analysis is required for implementation. Therefore we select a random assortment of five (spatially dissimilar) cities (Baoding[1,239]; Bayinnaoer [299]; Bengbu [97]; Chongqing [246 ]; Chuzhou [1,010]) in order to test a more regional (or subset) model to examine the level of performance and the spatial variation (for differing sample sizes) of the included characteristics such as property size (area) coefficients in a more municipal setting. </w:t>
      </w:r>
      <w:r w:rsidR="00406AA7" w:rsidRPr="0092237D">
        <w:rPr>
          <w:rFonts w:ascii="Arial" w:hAnsi="Arial" w:cs="Arial"/>
          <w:b w:val="0"/>
          <w:sz w:val="22"/>
          <w:szCs w:val="18"/>
        </w:rPr>
        <w:t>T</w:t>
      </w:r>
      <w:r w:rsidRPr="0092237D">
        <w:rPr>
          <w:rFonts w:ascii="Arial" w:hAnsi="Arial" w:cs="Arial"/>
          <w:b w:val="0"/>
          <w:sz w:val="22"/>
          <w:szCs w:val="18"/>
        </w:rPr>
        <w:t xml:space="preserve">his approach forms the basis of estimation, from a CAMA perspective, of spatial heterogeneity and determination of value significant attributes for predictive estimation of the sold versus unsold stock. </w:t>
      </w:r>
    </w:p>
    <w:p w14:paraId="0BFF9993" w14:textId="77777777" w:rsidR="0065576A" w:rsidRPr="0092237D" w:rsidRDefault="0065576A" w:rsidP="0092237D">
      <w:pPr>
        <w:pStyle w:val="WPHeading1"/>
        <w:spacing w:line="360" w:lineRule="auto"/>
        <w:jc w:val="both"/>
        <w:rPr>
          <w:rFonts w:ascii="Arial" w:hAnsi="Arial" w:cs="Arial"/>
          <w:b w:val="0"/>
          <w:sz w:val="22"/>
          <w:szCs w:val="18"/>
        </w:rPr>
      </w:pPr>
    </w:p>
    <w:p w14:paraId="1F91D2AC" w14:textId="1E368FF8" w:rsidR="00DD24A4" w:rsidRPr="0092237D" w:rsidRDefault="00DD24A4" w:rsidP="0092237D">
      <w:pPr>
        <w:pStyle w:val="WPHeading1"/>
        <w:spacing w:line="360" w:lineRule="auto"/>
        <w:jc w:val="both"/>
        <w:rPr>
          <w:rFonts w:ascii="Arial" w:hAnsi="Arial" w:cs="Arial"/>
          <w:b w:val="0"/>
          <w:color w:val="333333"/>
          <w:sz w:val="22"/>
          <w:szCs w:val="22"/>
          <w:shd w:val="clear" w:color="auto" w:fill="FFFFFF"/>
        </w:rPr>
      </w:pPr>
      <w:r w:rsidRPr="0092237D">
        <w:rPr>
          <w:rFonts w:ascii="Arial" w:hAnsi="Arial" w:cs="Arial"/>
          <w:b w:val="0"/>
          <w:sz w:val="22"/>
          <w:szCs w:val="18"/>
        </w:rPr>
        <w:t>Examination of the price</w:t>
      </w:r>
      <w:r w:rsidR="00406AA7" w:rsidRPr="0092237D">
        <w:rPr>
          <w:rFonts w:ascii="Arial" w:hAnsi="Arial" w:cs="Arial"/>
          <w:b w:val="0"/>
          <w:sz w:val="22"/>
          <w:szCs w:val="18"/>
        </w:rPr>
        <w:t>-</w:t>
      </w:r>
      <w:r w:rsidRPr="0092237D">
        <w:rPr>
          <w:rFonts w:ascii="Arial" w:hAnsi="Arial" w:cs="Arial"/>
          <w:b w:val="0"/>
          <w:sz w:val="22"/>
          <w:szCs w:val="18"/>
        </w:rPr>
        <w:t>area relationship provides an insight as to the differing trends across each distinct region. It is clear</w:t>
      </w:r>
      <w:r w:rsidR="00C756B9" w:rsidRPr="0092237D">
        <w:rPr>
          <w:rFonts w:ascii="Arial" w:hAnsi="Arial" w:cs="Arial"/>
          <w:b w:val="0"/>
          <w:sz w:val="22"/>
          <w:szCs w:val="18"/>
        </w:rPr>
        <w:t xml:space="preserve"> </w:t>
      </w:r>
      <w:r w:rsidRPr="0092237D">
        <w:rPr>
          <w:rFonts w:ascii="Arial" w:hAnsi="Arial" w:cs="Arial"/>
          <w:b w:val="0"/>
          <w:sz w:val="22"/>
          <w:szCs w:val="18"/>
        </w:rPr>
        <w:t>that there are marginal or partial differences in the fundamental floor area and price association spatially</w:t>
      </w:r>
      <w:r w:rsidR="00C756B9" w:rsidRPr="0092237D">
        <w:rPr>
          <w:rFonts w:ascii="Arial" w:hAnsi="Arial" w:cs="Arial"/>
          <w:b w:val="0"/>
          <w:sz w:val="22"/>
          <w:szCs w:val="18"/>
        </w:rPr>
        <w:t>,</w:t>
      </w:r>
      <w:r w:rsidRPr="0092237D">
        <w:rPr>
          <w:rFonts w:ascii="Arial" w:hAnsi="Arial" w:cs="Arial"/>
          <w:b w:val="0"/>
          <w:sz w:val="22"/>
          <w:szCs w:val="18"/>
        </w:rPr>
        <w:t xml:space="preserve"> as observed in Figure </w:t>
      </w:r>
      <w:r w:rsidR="0065576A" w:rsidRPr="0092237D">
        <w:rPr>
          <w:rFonts w:ascii="Arial" w:hAnsi="Arial" w:cs="Arial"/>
          <w:b w:val="0"/>
          <w:sz w:val="22"/>
          <w:szCs w:val="18"/>
        </w:rPr>
        <w:t>2</w:t>
      </w:r>
      <w:r w:rsidRPr="0092237D">
        <w:rPr>
          <w:rFonts w:ascii="Arial" w:hAnsi="Arial" w:cs="Arial"/>
          <w:b w:val="0"/>
          <w:sz w:val="22"/>
          <w:szCs w:val="18"/>
        </w:rPr>
        <w:t xml:space="preserve">, giving rise to homoscedastic and heteroskedastic bias in the adoption of a wider model at this level. Nonetheless, employing a reduced model structure to account for significant predictors across all city jurisdictions, </w:t>
      </w:r>
      <w:r w:rsidR="00406AA7" w:rsidRPr="0092237D">
        <w:rPr>
          <w:rFonts w:ascii="Arial" w:hAnsi="Arial" w:cs="Arial"/>
          <w:b w:val="0"/>
          <w:sz w:val="22"/>
          <w:szCs w:val="18"/>
        </w:rPr>
        <w:t>a</w:t>
      </w:r>
      <w:r w:rsidRPr="0092237D">
        <w:rPr>
          <w:rFonts w:ascii="Arial" w:hAnsi="Arial" w:cs="Arial"/>
          <w:b w:val="0"/>
          <w:sz w:val="22"/>
          <w:szCs w:val="18"/>
        </w:rPr>
        <w:t xml:space="preserve"> GWR model shows an </w:t>
      </w:r>
      <w:r w:rsidRPr="0092237D">
        <w:rPr>
          <w:rFonts w:ascii="Arial" w:hAnsi="Arial" w:cs="Arial"/>
          <w:b w:val="0"/>
          <w:i/>
          <w:sz w:val="22"/>
          <w:szCs w:val="18"/>
        </w:rPr>
        <w:t>R</w:t>
      </w:r>
      <w:r w:rsidRPr="0092237D">
        <w:rPr>
          <w:rFonts w:ascii="Arial" w:hAnsi="Arial" w:cs="Arial"/>
          <w:b w:val="0"/>
          <w:sz w:val="22"/>
          <w:szCs w:val="18"/>
          <w:vertAlign w:val="superscript"/>
        </w:rPr>
        <w:t>2</w:t>
      </w:r>
      <w:r w:rsidRPr="0092237D">
        <w:rPr>
          <w:rFonts w:ascii="Arial" w:hAnsi="Arial" w:cs="Arial"/>
          <w:b w:val="0"/>
          <w:sz w:val="22"/>
          <w:szCs w:val="18"/>
        </w:rPr>
        <w:t xml:space="preserve"> of 76.3% (</w:t>
      </w:r>
      <w:r w:rsidRPr="0092237D">
        <w:rPr>
          <w:rFonts w:ascii="Arial" w:hAnsi="Arial" w:cs="Arial"/>
          <w:b w:val="0"/>
          <w:i/>
          <w:sz w:val="22"/>
          <w:szCs w:val="18"/>
        </w:rPr>
        <w:t>F</w:t>
      </w:r>
      <w:r w:rsidRPr="0092237D">
        <w:rPr>
          <w:rFonts w:ascii="Arial" w:hAnsi="Arial" w:cs="Arial"/>
          <w:b w:val="0"/>
          <w:sz w:val="22"/>
          <w:szCs w:val="18"/>
        </w:rPr>
        <w:t>=109.182,</w:t>
      </w:r>
      <w:r w:rsidRPr="0092237D">
        <w:rPr>
          <w:rFonts w:ascii="Arial" w:hAnsi="Arial" w:cs="Arial"/>
          <w:b w:val="0"/>
          <w:i/>
          <w:sz w:val="22"/>
          <w:szCs w:val="18"/>
        </w:rPr>
        <w:t xml:space="preserve"> p</w:t>
      </w:r>
      <w:r w:rsidRPr="0092237D">
        <w:rPr>
          <w:rFonts w:ascii="Arial" w:hAnsi="Arial" w:cs="Arial"/>
          <w:b w:val="0"/>
          <w:sz w:val="22"/>
          <w:szCs w:val="18"/>
        </w:rPr>
        <w:t>&lt;.001). The results show a differing pricing effect across the coefficient ranges signifying a marginal effect, in a spatial sense, with floor area commanding a pricing effect of 0.0048 at the lower quartile to 0.011 at the upper quartile. In terms of model inequity and uniformity, t</w:t>
      </w:r>
      <w:r w:rsidRPr="0092237D">
        <w:rPr>
          <w:rFonts w:ascii="Arial" w:hAnsi="Arial" w:cs="Arial"/>
          <w:b w:val="0"/>
          <w:sz w:val="22"/>
          <w:szCs w:val="18"/>
          <w:lang w:val="en-GB"/>
        </w:rPr>
        <w:t xml:space="preserve">he PRD statistic equates to 1.19 with the COD equal to 26% signalling elevated levels of regressivity and dispersion outside the accepted ratio benchmarks for inequity and uniformity conformance. As Figure </w:t>
      </w:r>
      <w:r w:rsidR="00E45701" w:rsidRPr="0092237D">
        <w:rPr>
          <w:rFonts w:ascii="Arial" w:hAnsi="Arial" w:cs="Arial"/>
          <w:b w:val="0"/>
          <w:sz w:val="22"/>
          <w:szCs w:val="18"/>
          <w:lang w:val="en-GB"/>
        </w:rPr>
        <w:t>2</w:t>
      </w:r>
      <w:r w:rsidRPr="0092237D">
        <w:rPr>
          <w:rFonts w:ascii="Arial" w:hAnsi="Arial" w:cs="Arial"/>
          <w:b w:val="0"/>
          <w:sz w:val="22"/>
          <w:szCs w:val="18"/>
          <w:lang w:val="en-GB"/>
        </w:rPr>
        <w:t xml:space="preserve"> exhibits, </w:t>
      </w:r>
      <w:r w:rsidRPr="0092237D">
        <w:rPr>
          <w:rFonts w:ascii="Arial" w:hAnsi="Arial" w:cs="Arial"/>
          <w:b w:val="0"/>
          <w:sz w:val="22"/>
          <w:szCs w:val="22"/>
          <w:lang w:val="en-GB"/>
        </w:rPr>
        <w:t xml:space="preserve">the predictive accuracy shows structural breaks and to a large extent homogeneity of variance with various tangential ‘column’ structures evident in the data and also aspects of heteroskedasticity indicating  inflated variances which present questions to model structure and further investigation of techniques for increasing robustness such as boosted regression trees, </w:t>
      </w:r>
      <w:r w:rsidR="0032001C" w:rsidRPr="0092237D">
        <w:rPr>
          <w:rFonts w:ascii="Arial" w:hAnsi="Arial" w:cs="Arial"/>
          <w:b w:val="0"/>
          <w:sz w:val="22"/>
          <w:szCs w:val="22"/>
          <w:lang w:val="en-GB"/>
        </w:rPr>
        <w:t>L</w:t>
      </w:r>
      <w:r w:rsidR="0032001C" w:rsidRPr="0092237D">
        <w:rPr>
          <w:rFonts w:ascii="Arial" w:hAnsi="Arial" w:cs="Arial"/>
          <w:b w:val="0"/>
          <w:sz w:val="22"/>
          <w:szCs w:val="22"/>
          <w:shd w:val="clear" w:color="auto" w:fill="FFFFFF"/>
          <w:lang w:val="en-GB"/>
        </w:rPr>
        <w:t>ASSO/Ridge</w:t>
      </w:r>
      <w:r w:rsidRPr="0092237D">
        <w:rPr>
          <w:rFonts w:ascii="Arial" w:hAnsi="Arial" w:cs="Arial"/>
          <w:b w:val="0"/>
          <w:sz w:val="22"/>
          <w:szCs w:val="22"/>
          <w:shd w:val="clear" w:color="auto" w:fill="FFFFFF"/>
        </w:rPr>
        <w:t xml:space="preserve"> regression a random forest regression algorithm. </w:t>
      </w:r>
    </w:p>
    <w:p w14:paraId="384BE587" w14:textId="77777777" w:rsidR="00DD24A4" w:rsidRPr="0092237D" w:rsidRDefault="00DD24A4" w:rsidP="0092237D">
      <w:pPr>
        <w:pStyle w:val="WPBodyText"/>
        <w:spacing w:line="360" w:lineRule="auto"/>
        <w:rPr>
          <w:rFonts w:ascii="Arial" w:hAnsi="Arial" w:cs="Arial"/>
          <w:sz w:val="22"/>
          <w:szCs w:val="18"/>
        </w:rPr>
      </w:pPr>
    </w:p>
    <w:p w14:paraId="52B14C1A" w14:textId="540E957D" w:rsidR="00DD24A4" w:rsidRPr="0092237D" w:rsidRDefault="00DD24A4" w:rsidP="0092237D">
      <w:pPr>
        <w:pStyle w:val="WPHeading1"/>
        <w:spacing w:line="360" w:lineRule="auto"/>
        <w:jc w:val="both"/>
        <w:rPr>
          <w:rFonts w:ascii="Arial" w:hAnsi="Arial" w:cs="Arial"/>
          <w:b w:val="0"/>
          <w:sz w:val="22"/>
          <w:szCs w:val="18"/>
          <w:lang w:val="en-GB"/>
        </w:rPr>
      </w:pPr>
      <w:r w:rsidRPr="0092237D">
        <w:rPr>
          <w:rFonts w:ascii="Arial" w:hAnsi="Arial" w:cs="Arial"/>
          <w:b w:val="0"/>
          <w:sz w:val="22"/>
          <w:szCs w:val="18"/>
          <w:lang w:val="en-GB"/>
        </w:rPr>
        <w:t>The findings seemingly infer that more regionally based CAMA models would be presented with a number of core challenges</w:t>
      </w:r>
      <w:r w:rsidR="002466F0" w:rsidRPr="0092237D">
        <w:rPr>
          <w:rFonts w:ascii="Arial" w:hAnsi="Arial" w:cs="Arial"/>
          <w:b w:val="0"/>
          <w:sz w:val="22"/>
          <w:szCs w:val="18"/>
          <w:lang w:val="en-GB"/>
        </w:rPr>
        <w:t>,</w:t>
      </w:r>
      <w:r w:rsidRPr="0092237D">
        <w:rPr>
          <w:rFonts w:ascii="Arial" w:hAnsi="Arial" w:cs="Arial"/>
          <w:b w:val="0"/>
          <w:sz w:val="22"/>
          <w:szCs w:val="18"/>
          <w:lang w:val="en-GB"/>
        </w:rPr>
        <w:t xml:space="preserve"> even with the application of a consistent parameter subset. The varying, and almost chaotic nature, of the price and floor area (size) relationship - compounded by spatial (dis)aggregation - would </w:t>
      </w:r>
      <w:r w:rsidR="00406AA7" w:rsidRPr="0092237D">
        <w:rPr>
          <w:rFonts w:ascii="Arial" w:hAnsi="Arial" w:cs="Arial"/>
          <w:b w:val="0"/>
          <w:sz w:val="22"/>
          <w:szCs w:val="18"/>
          <w:lang w:val="en-GB"/>
        </w:rPr>
        <w:t xml:space="preserve">seemingly </w:t>
      </w:r>
      <w:r w:rsidRPr="0092237D">
        <w:rPr>
          <w:rFonts w:ascii="Arial" w:hAnsi="Arial" w:cs="Arial"/>
          <w:b w:val="0"/>
          <w:sz w:val="22"/>
          <w:szCs w:val="18"/>
          <w:lang w:val="en-GB"/>
        </w:rPr>
        <w:t>make the introduction of a mass appraisal system</w:t>
      </w:r>
      <w:r w:rsidR="00406AA7" w:rsidRPr="0092237D">
        <w:rPr>
          <w:rFonts w:ascii="Arial" w:hAnsi="Arial" w:cs="Arial"/>
          <w:b w:val="0"/>
          <w:sz w:val="22"/>
          <w:szCs w:val="18"/>
          <w:lang w:val="en-GB"/>
        </w:rPr>
        <w:t xml:space="preserve">, </w:t>
      </w:r>
      <w:r w:rsidRPr="0092237D">
        <w:rPr>
          <w:rFonts w:ascii="Arial" w:hAnsi="Arial" w:cs="Arial"/>
          <w:b w:val="0"/>
          <w:sz w:val="22"/>
          <w:szCs w:val="18"/>
          <w:lang w:val="en-GB"/>
        </w:rPr>
        <w:t>at this scale</w:t>
      </w:r>
      <w:r w:rsidR="00406AA7" w:rsidRPr="0092237D">
        <w:rPr>
          <w:rFonts w:ascii="Arial" w:hAnsi="Arial" w:cs="Arial"/>
          <w:b w:val="0"/>
          <w:sz w:val="22"/>
          <w:szCs w:val="18"/>
          <w:lang w:val="en-GB"/>
        </w:rPr>
        <w:t>,</w:t>
      </w:r>
      <w:r w:rsidRPr="0092237D">
        <w:rPr>
          <w:rFonts w:ascii="Arial" w:hAnsi="Arial" w:cs="Arial"/>
          <w:b w:val="0"/>
          <w:sz w:val="22"/>
          <w:szCs w:val="18"/>
          <w:lang w:val="en-GB"/>
        </w:rPr>
        <w:t xml:space="preserve"> demanding if not infeasible. In saying that, international practice would, in any case, suggest that bespoke models should be developed for each district, and or, metropolitan area.  </w:t>
      </w:r>
    </w:p>
    <w:p w14:paraId="76C15609" w14:textId="77777777" w:rsidR="00DD24A4" w:rsidRPr="0092237D" w:rsidRDefault="00DD24A4" w:rsidP="0092237D">
      <w:pPr>
        <w:pStyle w:val="WPHeading1"/>
        <w:spacing w:line="360" w:lineRule="auto"/>
        <w:jc w:val="left"/>
        <w:rPr>
          <w:rFonts w:ascii="Arial" w:hAnsi="Arial" w:cs="Arial"/>
          <w:sz w:val="22"/>
          <w:szCs w:val="18"/>
        </w:rPr>
      </w:pPr>
    </w:p>
    <w:p w14:paraId="720E9A3E" w14:textId="3A712E88" w:rsidR="00DD24A4" w:rsidRPr="0092237D" w:rsidRDefault="00DD24A4" w:rsidP="00DD24A4">
      <w:pPr>
        <w:pStyle w:val="WPHeading1"/>
        <w:jc w:val="left"/>
        <w:rPr>
          <w:rFonts w:ascii="Arial" w:hAnsi="Arial" w:cs="Arial"/>
          <w:b w:val="0"/>
          <w:sz w:val="22"/>
          <w:szCs w:val="18"/>
          <w:lang w:val="en-GB"/>
        </w:rPr>
      </w:pPr>
      <w:r w:rsidRPr="0092237D">
        <w:rPr>
          <w:rFonts w:ascii="Arial" w:hAnsi="Arial" w:cs="Arial"/>
          <w:sz w:val="22"/>
          <w:szCs w:val="18"/>
        </w:rPr>
        <w:t xml:space="preserve">Figure </w:t>
      </w:r>
      <w:r w:rsidR="0065576A" w:rsidRPr="0092237D">
        <w:rPr>
          <w:rFonts w:ascii="Arial" w:hAnsi="Arial" w:cs="Arial"/>
          <w:sz w:val="22"/>
          <w:szCs w:val="18"/>
        </w:rPr>
        <w:t>2</w:t>
      </w:r>
      <w:r w:rsidRPr="0092237D">
        <w:rPr>
          <w:rFonts w:ascii="Arial" w:hAnsi="Arial" w:cs="Arial"/>
          <w:sz w:val="22"/>
          <w:szCs w:val="18"/>
        </w:rPr>
        <w:t xml:space="preserve"> Price*Area relationship and predictive accuracy of regional level analysis</w:t>
      </w:r>
    </w:p>
    <w:p w14:paraId="354029D8" w14:textId="77777777" w:rsidR="00DD24A4" w:rsidRPr="003F6FA6" w:rsidRDefault="00DD24A4" w:rsidP="00DD24A4">
      <w:pPr>
        <w:pStyle w:val="WPHeading1"/>
        <w:jc w:val="left"/>
      </w:pPr>
    </w:p>
    <w:p w14:paraId="79921DE7" w14:textId="77777777" w:rsidR="00DD24A4" w:rsidRPr="003F6FA6" w:rsidRDefault="00DD24A4" w:rsidP="0032001C">
      <w:pPr>
        <w:pStyle w:val="WPHeading1"/>
      </w:pPr>
      <w:r w:rsidRPr="003F6FA6">
        <w:rPr>
          <w:noProof/>
          <w:lang w:val="en-GB"/>
        </w:rPr>
        <w:drawing>
          <wp:inline distT="0" distB="0" distL="0" distR="0" wp14:anchorId="757C649F" wp14:editId="402D2D82">
            <wp:extent cx="2707640" cy="2399953"/>
            <wp:effectExtent l="0" t="0" r="0" b="0"/>
            <wp:docPr id="327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32567" b="32662"/>
                    <a:stretch/>
                  </pic:blipFill>
                  <pic:spPr bwMode="auto">
                    <a:xfrm>
                      <a:off x="0" y="0"/>
                      <a:ext cx="2710556" cy="2402537"/>
                    </a:xfrm>
                    <a:prstGeom prst="rect">
                      <a:avLst/>
                    </a:prstGeom>
                    <a:noFill/>
                    <a:ln>
                      <a:noFill/>
                    </a:ln>
                    <a:extLst>
                      <a:ext uri="{53640926-AAD7-44D8-BBD7-CCE9431645EC}">
                        <a14:shadowObscured xmlns:a14="http://schemas.microsoft.com/office/drawing/2010/main"/>
                      </a:ext>
                    </a:extLst>
                  </pic:spPr>
                </pic:pic>
              </a:graphicData>
            </a:graphic>
          </wp:inline>
        </w:drawing>
      </w:r>
    </w:p>
    <w:p w14:paraId="75923055" w14:textId="77777777" w:rsidR="00DD24A4" w:rsidRPr="003F6FA6" w:rsidRDefault="00DD24A4" w:rsidP="00DD24A4">
      <w:pPr>
        <w:pStyle w:val="WPHeading1"/>
        <w:jc w:val="left"/>
      </w:pPr>
    </w:p>
    <w:p w14:paraId="0455322E" w14:textId="77777777" w:rsidR="00DD24A4" w:rsidRPr="0092237D" w:rsidRDefault="00DD24A4" w:rsidP="00DD24A4">
      <w:pPr>
        <w:pStyle w:val="WPHeading1"/>
        <w:jc w:val="left"/>
        <w:rPr>
          <w:rFonts w:ascii="Arial" w:hAnsi="Arial" w:cs="Arial"/>
          <w:sz w:val="22"/>
          <w:szCs w:val="18"/>
        </w:rPr>
      </w:pPr>
      <w:r w:rsidRPr="0092237D">
        <w:rPr>
          <w:rFonts w:ascii="Arial" w:hAnsi="Arial" w:cs="Arial"/>
          <w:sz w:val="22"/>
          <w:szCs w:val="18"/>
        </w:rPr>
        <w:t>Administrative city level models</w:t>
      </w:r>
    </w:p>
    <w:p w14:paraId="5372C795" w14:textId="77777777" w:rsidR="00DD24A4" w:rsidRPr="003F6FA6" w:rsidRDefault="00DD24A4" w:rsidP="00DD24A4">
      <w:pPr>
        <w:pStyle w:val="WPHeading1"/>
        <w:jc w:val="left"/>
      </w:pPr>
    </w:p>
    <w:p w14:paraId="755F73CC" w14:textId="72C30B5F" w:rsidR="00DD24A4" w:rsidRPr="0092237D" w:rsidRDefault="00DD24A4" w:rsidP="0092237D">
      <w:pPr>
        <w:pStyle w:val="WPHeading1"/>
        <w:spacing w:line="360" w:lineRule="auto"/>
        <w:jc w:val="both"/>
        <w:rPr>
          <w:rFonts w:ascii="Arial" w:hAnsi="Arial" w:cs="Arial"/>
          <w:b w:val="0"/>
          <w:sz w:val="22"/>
          <w:szCs w:val="22"/>
          <w:shd w:val="clear" w:color="auto" w:fill="FFFFFF"/>
        </w:rPr>
      </w:pPr>
      <w:r w:rsidRPr="0092237D">
        <w:rPr>
          <w:rFonts w:ascii="Arial" w:hAnsi="Arial" w:cs="Arial"/>
          <w:b w:val="0"/>
          <w:sz w:val="22"/>
          <w:szCs w:val="18"/>
        </w:rPr>
        <w:t xml:space="preserve">The analysis is extended to examine the feasibility of ‘city’ based mass appraisal models within particular locales. Undertaking this exercise demonstrates the application of the data subset accounting for differing sample sizes and the viability of the data. This analysis takes account of three Cities (Chuzhou, Baoding and Beijing) in order to rationalize the feasibility of the development of city based valuation models for spatial and market differentiation. Chuzhou is a prefecture-level city in eastern Anhui Province, comprised of two Administrative Divisions, 2 districts, 4 counties and 2 county-level cities. The listed price evidence for Chuzhou city area captures data from seven out of the eight administrative divisions at the administrative district and submarket level. Similarly, </w:t>
      </w:r>
      <w:r w:rsidRPr="0092237D">
        <w:rPr>
          <w:rFonts w:ascii="Arial" w:hAnsi="Arial" w:cs="Arial"/>
          <w:b w:val="0"/>
          <w:sz w:val="22"/>
          <w:szCs w:val="22"/>
          <w:shd w:val="clear" w:color="auto" w:fill="FFFFFF"/>
        </w:rPr>
        <w:t>Baoding is a prefecture-level city in central Hebei province, approximately 150 kilometers southwest of Beijing and constitutes 3 urban districts and 2 counties. Baoding is ranked 7</w:t>
      </w:r>
      <w:r w:rsidRPr="0092237D">
        <w:rPr>
          <w:rFonts w:ascii="Arial" w:hAnsi="Arial" w:cs="Arial"/>
          <w:b w:val="0"/>
          <w:sz w:val="22"/>
          <w:szCs w:val="22"/>
          <w:shd w:val="clear" w:color="auto" w:fill="FFFFFF"/>
          <w:vertAlign w:val="superscript"/>
        </w:rPr>
        <w:t>th</w:t>
      </w:r>
      <w:r w:rsidRPr="0092237D">
        <w:rPr>
          <w:rFonts w:ascii="Arial" w:hAnsi="Arial" w:cs="Arial"/>
          <w:b w:val="0"/>
          <w:sz w:val="22"/>
          <w:szCs w:val="22"/>
          <w:shd w:val="clear" w:color="auto" w:fill="FFFFFF"/>
        </w:rPr>
        <w:t xml:space="preserve"> amongst 13 Chinese cities with a population of over 10 million. Finally, Beijing is analyzed due to its stature being the capital city and is governed as a municipality under the direct administration of central government with 16 urban, suburban, and rural districts.</w:t>
      </w:r>
    </w:p>
    <w:p w14:paraId="69EA3CB0" w14:textId="77777777" w:rsidR="00DD24A4" w:rsidRPr="0092237D" w:rsidRDefault="00DD24A4" w:rsidP="0092237D">
      <w:pPr>
        <w:pStyle w:val="WPHeading1"/>
        <w:spacing w:line="360" w:lineRule="auto"/>
        <w:jc w:val="left"/>
        <w:rPr>
          <w:rFonts w:ascii="Arial" w:hAnsi="Arial" w:cs="Arial"/>
          <w:sz w:val="22"/>
          <w:szCs w:val="18"/>
        </w:rPr>
      </w:pPr>
    </w:p>
    <w:p w14:paraId="5A271536" w14:textId="38943102" w:rsidR="00DD24A4" w:rsidRPr="0092237D" w:rsidRDefault="00DD24A4" w:rsidP="0092237D">
      <w:pPr>
        <w:pStyle w:val="WPHeading1"/>
        <w:spacing w:line="360" w:lineRule="auto"/>
        <w:jc w:val="both"/>
        <w:rPr>
          <w:rFonts w:ascii="Arial" w:hAnsi="Arial" w:cs="Arial"/>
          <w:b w:val="0"/>
          <w:sz w:val="22"/>
          <w:szCs w:val="18"/>
          <w:lang w:val="en-GB"/>
        </w:rPr>
      </w:pPr>
      <w:r w:rsidRPr="0092237D">
        <w:rPr>
          <w:rFonts w:ascii="Arial" w:hAnsi="Arial" w:cs="Arial"/>
          <w:b w:val="0"/>
          <w:sz w:val="22"/>
          <w:szCs w:val="18"/>
        </w:rPr>
        <w:t>In terms of market characteristics, the Chuzhou market reveals that three bedroom properties represent 93.4% of the list market, a similar trait for two apartments comprising two bathrooms which account for 95.7% of the data. Apartments comprise, 98.8% with the specification of no decoration representing 99.3% and south orientation</w:t>
      </w:r>
      <w:r w:rsidRPr="0092237D">
        <w:rPr>
          <w:rFonts w:ascii="Arial" w:hAnsi="Arial" w:cs="Arial"/>
          <w:b w:val="0"/>
          <w:sz w:val="22"/>
          <w:szCs w:val="18"/>
          <w:vertAlign w:val="superscript"/>
        </w:rPr>
        <w:footnoteReference w:id="10"/>
      </w:r>
      <w:r w:rsidRPr="0092237D">
        <w:rPr>
          <w:rFonts w:ascii="Arial" w:hAnsi="Arial" w:cs="Arial"/>
          <w:b w:val="0"/>
          <w:sz w:val="22"/>
          <w:szCs w:val="18"/>
        </w:rPr>
        <w:t xml:space="preserve"> accounting for 98.5%. The Baoding market data exhibits</w:t>
      </w:r>
      <w:r w:rsidRPr="0092237D">
        <w:rPr>
          <w:rFonts w:ascii="Arial" w:hAnsi="Arial" w:cs="Arial"/>
          <w:b w:val="0"/>
          <w:sz w:val="22"/>
          <w:szCs w:val="22"/>
        </w:rPr>
        <w:t xml:space="preserve"> apartments to represent 99.4% of the list prices, constituting</w:t>
      </w:r>
      <w:r w:rsidRPr="0092237D">
        <w:rPr>
          <w:rFonts w:ascii="Arial" w:hAnsi="Arial" w:cs="Arial"/>
          <w:b w:val="0"/>
          <w:sz w:val="22"/>
          <w:szCs w:val="18"/>
        </w:rPr>
        <w:t xml:space="preserve"> 83.5% with two bedrooms. Over 95% of the sample data reveals properties to comprise a high-end specification. The data illustrates high homogeneity in the housing stock, therefore on initial </w:t>
      </w:r>
      <w:r w:rsidRPr="0092237D">
        <w:rPr>
          <w:rFonts w:ascii="Arial" w:hAnsi="Arial" w:cs="Arial"/>
          <w:b w:val="0"/>
          <w:sz w:val="22"/>
          <w:szCs w:val="18"/>
        </w:rPr>
        <w:lastRenderedPageBreak/>
        <w:t xml:space="preserve">inspection portrays feasibility for mass appraisal exercises. </w:t>
      </w:r>
      <w:r w:rsidRPr="0092237D">
        <w:rPr>
          <w:rFonts w:ascii="Arial" w:hAnsi="Arial" w:cs="Arial"/>
          <w:b w:val="0"/>
          <w:sz w:val="22"/>
          <w:szCs w:val="18"/>
          <w:lang w:val="en-GB"/>
        </w:rPr>
        <w:t xml:space="preserve">The data for Beijing is relatively rich, in modelling terms, and demonstrates a consistent spatial coverage (albeit in the urban core) as depicted previously in Figure 1b. The composition of the property stock for the analysis shows more variation and heterogeneity as opposed to the other prefectural cities examined. This is perhaps understandable given its long history and arguably more established market system. The data shows two bedroom properties to represent 47% of the sample with one bedroom properties constituting 16.7% and three bedrooms accounting for 29.3%. </w:t>
      </w:r>
      <w:r w:rsidR="006A31AD" w:rsidRPr="0092237D">
        <w:rPr>
          <w:rFonts w:ascii="Arial" w:hAnsi="Arial" w:cs="Arial"/>
          <w:b w:val="0"/>
          <w:sz w:val="22"/>
          <w:szCs w:val="18"/>
          <w:lang w:val="en-GB"/>
        </w:rPr>
        <w:t>A</w:t>
      </w:r>
      <w:r w:rsidRPr="0092237D">
        <w:rPr>
          <w:rFonts w:ascii="Arial" w:hAnsi="Arial" w:cs="Arial"/>
          <w:b w:val="0"/>
          <w:sz w:val="22"/>
          <w:szCs w:val="18"/>
          <w:lang w:val="en-GB"/>
        </w:rPr>
        <w:t xml:space="preserve">partments dominate with 90.3%, duplexes represent 6.3% and houses making up the remainder. One living room apartments equate to 70.9% with apartments comprising two living areas representing 24.5%, a similar position for the number of bathrooms which reveal one bathroom apartments to account for 71.3% and two bathrooms 24.9% respectively. </w:t>
      </w:r>
    </w:p>
    <w:p w14:paraId="28659A53" w14:textId="77777777" w:rsidR="00DD24A4" w:rsidRPr="0092237D" w:rsidRDefault="00DD24A4" w:rsidP="0092237D">
      <w:pPr>
        <w:pStyle w:val="WPBodyText"/>
        <w:spacing w:line="360" w:lineRule="auto"/>
        <w:rPr>
          <w:rFonts w:ascii="Arial" w:hAnsi="Arial" w:cs="Arial"/>
          <w:sz w:val="22"/>
          <w:szCs w:val="18"/>
          <w:lang w:val="en-GB"/>
        </w:rPr>
      </w:pPr>
    </w:p>
    <w:p w14:paraId="5CDE3698" w14:textId="285C48BD" w:rsidR="00DD24A4" w:rsidRPr="0092237D" w:rsidRDefault="00DD24A4" w:rsidP="0092237D">
      <w:pPr>
        <w:pStyle w:val="WPBodyText"/>
        <w:spacing w:line="360" w:lineRule="auto"/>
        <w:jc w:val="both"/>
        <w:rPr>
          <w:rFonts w:ascii="Arial" w:hAnsi="Arial" w:cs="Arial"/>
          <w:sz w:val="22"/>
          <w:szCs w:val="18"/>
        </w:rPr>
      </w:pPr>
      <w:r w:rsidRPr="0092237D">
        <w:rPr>
          <w:rFonts w:ascii="Arial" w:hAnsi="Arial" w:cs="Arial"/>
          <w:sz w:val="22"/>
          <w:szCs w:val="18"/>
          <w:lang w:val="en-GB"/>
        </w:rPr>
        <w:t xml:space="preserve">The price by floor area relationships for each city can be observed in Figure </w:t>
      </w:r>
      <w:r w:rsidR="00C518D8">
        <w:rPr>
          <w:rFonts w:ascii="Arial" w:hAnsi="Arial" w:cs="Arial"/>
          <w:sz w:val="22"/>
          <w:szCs w:val="18"/>
          <w:lang w:val="en-GB"/>
        </w:rPr>
        <w:t>3</w:t>
      </w:r>
      <w:r w:rsidRPr="0092237D">
        <w:rPr>
          <w:rFonts w:ascii="Arial" w:hAnsi="Arial" w:cs="Arial"/>
          <w:sz w:val="22"/>
          <w:szCs w:val="18"/>
          <w:lang w:val="en-GB"/>
        </w:rPr>
        <w:t xml:space="preserve">. For the </w:t>
      </w:r>
      <w:r w:rsidRPr="0092237D">
        <w:rPr>
          <w:rFonts w:ascii="Arial" w:hAnsi="Arial" w:cs="Arial"/>
          <w:sz w:val="22"/>
          <w:szCs w:val="18"/>
        </w:rPr>
        <w:t>Chuzhou market the price-size relationship reveals a 34% level of explanation thereby providing a relatively stable basis for determining market value. In contrast, for Baoding city, the level of explanation is more characteristic and reflective of inelasticity in terms of price versus size variation. Indeed, this seemingly poses challenges for any floor</w:t>
      </w:r>
      <w:r w:rsidR="00214ECE" w:rsidRPr="0092237D">
        <w:rPr>
          <w:rFonts w:ascii="Arial" w:hAnsi="Arial" w:cs="Arial"/>
          <w:sz w:val="22"/>
          <w:szCs w:val="18"/>
        </w:rPr>
        <w:t>-</w:t>
      </w:r>
      <w:r w:rsidRPr="0092237D">
        <w:rPr>
          <w:rFonts w:ascii="Arial" w:hAnsi="Arial" w:cs="Arial"/>
          <w:sz w:val="22"/>
          <w:szCs w:val="18"/>
        </w:rPr>
        <w:t xml:space="preserve">area based tax model and presents a few issues for AVM approaches at the city level. </w:t>
      </w:r>
    </w:p>
    <w:p w14:paraId="53E15A41" w14:textId="77777777" w:rsidR="00DD24A4" w:rsidRPr="00F007E5" w:rsidRDefault="00DD24A4" w:rsidP="00DD24A4">
      <w:pPr>
        <w:pStyle w:val="WPBodyText"/>
        <w:rPr>
          <w:lang w:val="en-GB"/>
        </w:rPr>
      </w:pPr>
    </w:p>
    <w:p w14:paraId="0750652E" w14:textId="7790E9F1" w:rsidR="00DD24A4" w:rsidRPr="0092237D" w:rsidRDefault="00DD24A4" w:rsidP="00DD24A4">
      <w:pPr>
        <w:pStyle w:val="WPHeading1"/>
        <w:jc w:val="left"/>
        <w:rPr>
          <w:rFonts w:ascii="Arial" w:hAnsi="Arial" w:cs="Arial"/>
          <w:sz w:val="22"/>
          <w:szCs w:val="18"/>
        </w:rPr>
      </w:pPr>
      <w:r w:rsidRPr="0092237D">
        <w:rPr>
          <w:rFonts w:ascii="Arial" w:hAnsi="Arial" w:cs="Arial"/>
          <w:sz w:val="22"/>
          <w:szCs w:val="18"/>
        </w:rPr>
        <w:t xml:space="preserve">Figure </w:t>
      </w:r>
      <w:r w:rsidR="004F1719" w:rsidRPr="0092237D">
        <w:rPr>
          <w:rFonts w:ascii="Arial" w:hAnsi="Arial" w:cs="Arial"/>
          <w:sz w:val="22"/>
          <w:szCs w:val="18"/>
        </w:rPr>
        <w:t>3</w:t>
      </w:r>
      <w:r w:rsidRPr="0092237D">
        <w:rPr>
          <w:rFonts w:ascii="Arial" w:hAnsi="Arial" w:cs="Arial"/>
          <w:sz w:val="22"/>
          <w:szCs w:val="18"/>
        </w:rPr>
        <w:t>: Price and Area relationship in Chuzhou</w:t>
      </w:r>
      <w:r w:rsidR="00075201" w:rsidRPr="0092237D">
        <w:rPr>
          <w:rFonts w:ascii="Arial" w:hAnsi="Arial" w:cs="Arial"/>
          <w:sz w:val="22"/>
          <w:szCs w:val="18"/>
        </w:rPr>
        <w:t xml:space="preserve"> and</w:t>
      </w:r>
      <w:r w:rsidRPr="0092237D">
        <w:rPr>
          <w:rFonts w:ascii="Arial" w:hAnsi="Arial" w:cs="Arial"/>
          <w:sz w:val="22"/>
          <w:szCs w:val="18"/>
        </w:rPr>
        <w:t xml:space="preserve"> Baoding</w:t>
      </w:r>
    </w:p>
    <w:p w14:paraId="324648F7" w14:textId="77777777" w:rsidR="00DD24A4" w:rsidRPr="0092237D" w:rsidRDefault="00DD24A4" w:rsidP="00DD24A4">
      <w:pPr>
        <w:pStyle w:val="WPBodyText"/>
        <w:rPr>
          <w:rFonts w:ascii="Arial" w:hAnsi="Arial" w:cs="Arial"/>
          <w:sz w:val="22"/>
          <w:szCs w:val="18"/>
        </w:rPr>
      </w:pPr>
    </w:p>
    <w:p w14:paraId="4D69E87F" w14:textId="77777777" w:rsidR="00DD24A4" w:rsidRPr="001D72F4" w:rsidRDefault="00DD24A4" w:rsidP="00DD24A4">
      <w:pPr>
        <w:pStyle w:val="WPBodyText"/>
        <w:numPr>
          <w:ilvl w:val="0"/>
          <w:numId w:val="36"/>
        </w:numPr>
        <w:tabs>
          <w:tab w:val="left" w:pos="720"/>
          <w:tab w:val="left" w:pos="1440"/>
          <w:tab w:val="left" w:pos="2160"/>
          <w:tab w:val="left" w:pos="7870"/>
        </w:tabs>
      </w:pPr>
      <w:r>
        <w:t xml:space="preserve">                                                                              (b)</w:t>
      </w:r>
    </w:p>
    <w:p w14:paraId="730935E3" w14:textId="77777777" w:rsidR="00DD24A4" w:rsidRPr="00871F56" w:rsidRDefault="00DD24A4" w:rsidP="00DD24A4">
      <w:pPr>
        <w:pStyle w:val="WPHeading1"/>
      </w:pPr>
      <w:r w:rsidRPr="003F6FA6">
        <w:rPr>
          <w:noProof/>
          <w:lang w:val="en-GB"/>
        </w:rPr>
        <w:drawing>
          <wp:inline distT="0" distB="0" distL="0" distR="0" wp14:anchorId="2037B6E9" wp14:editId="1470C497">
            <wp:extent cx="2585980" cy="2108200"/>
            <wp:effectExtent l="0" t="0" r="0" b="0"/>
            <wp:docPr id="289" name="Picture 8">
              <a:extLst xmlns:a="http://schemas.openxmlformats.org/drawingml/2006/main">
                <a:ext uri="{FF2B5EF4-FFF2-40B4-BE49-F238E27FC236}">
                  <a16:creationId xmlns:a16="http://schemas.microsoft.com/office/drawing/2014/main" id="{3F548D61-1F1C-4B5B-A825-02CEF78FA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F548D61-1F1C-4B5B-A825-02CEF78FA8F0}"/>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r="31290" b="32421"/>
                    <a:stretch/>
                  </pic:blipFill>
                  <pic:spPr bwMode="auto">
                    <a:xfrm>
                      <a:off x="0" y="0"/>
                      <a:ext cx="2592874" cy="2113820"/>
                    </a:xfrm>
                    <a:prstGeom prst="rect">
                      <a:avLst/>
                    </a:prstGeom>
                    <a:noFill/>
                  </pic:spPr>
                </pic:pic>
              </a:graphicData>
            </a:graphic>
          </wp:inline>
        </w:drawing>
      </w:r>
      <w:r w:rsidRPr="00E220BC">
        <w:rPr>
          <w:noProof/>
          <w:lang w:val="en-GB"/>
        </w:rPr>
        <w:t xml:space="preserve"> </w:t>
      </w:r>
      <w:r w:rsidRPr="003F6FA6">
        <w:rPr>
          <w:noProof/>
          <w:lang w:val="en-GB"/>
        </w:rPr>
        <w:drawing>
          <wp:inline distT="0" distB="0" distL="0" distR="0" wp14:anchorId="45329452" wp14:editId="4070E1DC">
            <wp:extent cx="2349500" cy="2096706"/>
            <wp:effectExtent l="0" t="0" r="0" b="0"/>
            <wp:docPr id="297" name="Picture 3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28A0092B-C50C-407E-A947-70E740481C1C}">
                          <a14:useLocalDpi xmlns:a14="http://schemas.microsoft.com/office/drawing/2010/main" val="0"/>
                        </a:ext>
                      </a:extLst>
                    </a:blip>
                    <a:srcRect r="32476" b="32050"/>
                    <a:stretch/>
                  </pic:blipFill>
                  <pic:spPr bwMode="auto">
                    <a:xfrm>
                      <a:off x="0" y="0"/>
                      <a:ext cx="2361381" cy="2107309"/>
                    </a:xfrm>
                    <a:prstGeom prst="rect">
                      <a:avLst/>
                    </a:prstGeom>
                    <a:noFill/>
                    <a:ln>
                      <a:noFill/>
                    </a:ln>
                    <a:extLst>
                      <a:ext uri="{53640926-AAD7-44D8-BBD7-CCE9431645EC}">
                        <a14:shadowObscured xmlns:a14="http://schemas.microsoft.com/office/drawing/2010/main"/>
                      </a:ext>
                    </a:extLst>
                  </pic:spPr>
                </pic:pic>
              </a:graphicData>
            </a:graphic>
          </wp:inline>
        </w:drawing>
      </w:r>
    </w:p>
    <w:p w14:paraId="436538EE" w14:textId="77777777" w:rsidR="00DD24A4" w:rsidRPr="00ED4A03" w:rsidRDefault="00DD24A4" w:rsidP="00DD24A4">
      <w:pPr>
        <w:pStyle w:val="WPBodyText"/>
      </w:pPr>
      <w:r>
        <w:t xml:space="preserve">                                                                              (C)</w:t>
      </w:r>
    </w:p>
    <w:p w14:paraId="1D45D8DB" w14:textId="77777777" w:rsidR="00DD24A4" w:rsidRDefault="00DD24A4" w:rsidP="00DD24A4">
      <w:pPr>
        <w:pStyle w:val="WPHeading1"/>
        <w:rPr>
          <w:b w:val="0"/>
        </w:rPr>
      </w:pPr>
    </w:p>
    <w:p w14:paraId="1B9D0D99" w14:textId="77777777" w:rsidR="00DD24A4" w:rsidRPr="00871F56" w:rsidRDefault="00075201" w:rsidP="00075201">
      <w:pPr>
        <w:pStyle w:val="WPBodyText"/>
        <w:jc w:val="center"/>
      </w:pPr>
      <w:r>
        <w:rPr>
          <w:noProof/>
          <w:szCs w:val="24"/>
          <w:lang w:val="en-GB" w:eastAsia="en-GB"/>
        </w:rPr>
        <w:lastRenderedPageBreak/>
        <w:drawing>
          <wp:inline distT="0" distB="0" distL="0" distR="0" wp14:anchorId="4595871E" wp14:editId="146D6DB5">
            <wp:extent cx="3186040" cy="255181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7795" cy="2601275"/>
                    </a:xfrm>
                    <a:prstGeom prst="rect">
                      <a:avLst/>
                    </a:prstGeom>
                    <a:noFill/>
                    <a:ln>
                      <a:noFill/>
                    </a:ln>
                  </pic:spPr>
                </pic:pic>
              </a:graphicData>
            </a:graphic>
          </wp:inline>
        </w:drawing>
      </w:r>
    </w:p>
    <w:p w14:paraId="731F575C" w14:textId="77777777" w:rsidR="004F29BF" w:rsidRDefault="004F29BF" w:rsidP="00214ECE">
      <w:pPr>
        <w:pStyle w:val="WPHeading1"/>
        <w:jc w:val="both"/>
        <w:rPr>
          <w:b w:val="0"/>
        </w:rPr>
      </w:pPr>
    </w:p>
    <w:p w14:paraId="55A935F8" w14:textId="77777777" w:rsidR="0069096F" w:rsidRDefault="00DD24A4" w:rsidP="00C518D8">
      <w:pPr>
        <w:pStyle w:val="WPHeading1"/>
        <w:spacing w:line="360" w:lineRule="auto"/>
        <w:jc w:val="both"/>
        <w:rPr>
          <w:rFonts w:ascii="Arial" w:hAnsi="Arial" w:cs="Arial"/>
          <w:b w:val="0"/>
          <w:sz w:val="22"/>
          <w:szCs w:val="18"/>
        </w:rPr>
      </w:pPr>
      <w:r w:rsidRPr="00B47E65">
        <w:rPr>
          <w:rFonts w:ascii="Arial" w:hAnsi="Arial" w:cs="Arial"/>
          <w:b w:val="0"/>
          <w:sz w:val="22"/>
          <w:szCs w:val="22"/>
        </w:rPr>
        <w:t>In terms of city model performance, for the Chuzhou region, the model shows a</w:t>
      </w:r>
      <w:r w:rsidR="00A25D9C" w:rsidRPr="00B47E65">
        <w:rPr>
          <w:rFonts w:ascii="Arial" w:hAnsi="Arial" w:cs="Arial"/>
          <w:b w:val="0"/>
          <w:sz w:val="22"/>
          <w:szCs w:val="22"/>
        </w:rPr>
        <w:t>n</w:t>
      </w:r>
      <w:r w:rsidRPr="00B47E65">
        <w:rPr>
          <w:rFonts w:ascii="Arial" w:hAnsi="Arial" w:cs="Arial"/>
          <w:b w:val="0"/>
          <w:sz w:val="22"/>
          <w:szCs w:val="22"/>
        </w:rPr>
        <w:t xml:space="preserve"> 82.4% level of explanation significant at the 1% level (</w:t>
      </w:r>
      <w:r w:rsidRPr="00B47E65">
        <w:rPr>
          <w:rFonts w:ascii="Arial" w:hAnsi="Arial" w:cs="Arial"/>
          <w:b w:val="0"/>
          <w:i/>
          <w:sz w:val="22"/>
          <w:szCs w:val="22"/>
        </w:rPr>
        <w:t>F</w:t>
      </w:r>
      <w:r w:rsidRPr="00B47E65">
        <w:rPr>
          <w:rFonts w:ascii="Arial" w:hAnsi="Arial" w:cs="Arial"/>
          <w:b w:val="0"/>
          <w:sz w:val="22"/>
          <w:szCs w:val="22"/>
        </w:rPr>
        <w:t xml:space="preserve">=31.06, </w:t>
      </w:r>
      <w:r w:rsidRPr="00B47E65">
        <w:rPr>
          <w:rFonts w:ascii="Arial" w:hAnsi="Arial" w:cs="Arial"/>
          <w:b w:val="0"/>
          <w:i/>
          <w:sz w:val="22"/>
          <w:szCs w:val="22"/>
        </w:rPr>
        <w:t>p</w:t>
      </w:r>
      <w:r w:rsidRPr="00B47E65">
        <w:rPr>
          <w:rFonts w:ascii="Arial" w:hAnsi="Arial" w:cs="Arial"/>
          <w:b w:val="0"/>
          <w:sz w:val="22"/>
          <w:szCs w:val="22"/>
        </w:rPr>
        <w:t>&lt;.001). The model coefficients</w:t>
      </w:r>
      <w:r w:rsidR="00D9670F" w:rsidRPr="00B47E65">
        <w:rPr>
          <w:rStyle w:val="FootnoteReference"/>
          <w:rFonts w:ascii="Arial" w:hAnsi="Arial" w:cs="Arial"/>
          <w:b w:val="0"/>
          <w:sz w:val="22"/>
          <w:szCs w:val="22"/>
        </w:rPr>
        <w:footnoteReference w:id="11"/>
      </w:r>
      <w:r w:rsidRPr="00B47E65">
        <w:rPr>
          <w:rFonts w:ascii="Arial" w:hAnsi="Arial" w:cs="Arial"/>
          <w:b w:val="0"/>
          <w:sz w:val="22"/>
          <w:szCs w:val="22"/>
        </w:rPr>
        <w:t xml:space="preserve"> show floor area (property size) to be a significant determinant with both the bedrooms and bathroom coefficients conforming to expectation. The results also signal that the floor level the property is situated on is a significant parameter for value, in this instance inferring that units located on the lowest floors command</w:t>
      </w:r>
      <w:r w:rsidRPr="00C518D8">
        <w:rPr>
          <w:rFonts w:ascii="Arial" w:hAnsi="Arial" w:cs="Arial"/>
          <w:b w:val="0"/>
          <w:sz w:val="22"/>
          <w:szCs w:val="18"/>
        </w:rPr>
        <w:t xml:space="preserve"> more of a premium, a finding also evident for newer properties. The estimates also illustrate different price effects (and significance) across delineated submarket areas. In addition, the GWR model displays an (Pseudo) </w:t>
      </w:r>
      <w:r w:rsidRPr="00C518D8">
        <w:rPr>
          <w:rFonts w:ascii="Arial" w:hAnsi="Arial" w:cs="Arial"/>
          <w:b w:val="0"/>
          <w:i/>
          <w:sz w:val="22"/>
          <w:szCs w:val="18"/>
        </w:rPr>
        <w:t>R</w:t>
      </w:r>
      <w:r w:rsidRPr="00C518D8">
        <w:rPr>
          <w:rFonts w:ascii="Arial" w:hAnsi="Arial" w:cs="Arial"/>
          <w:b w:val="0"/>
          <w:sz w:val="22"/>
          <w:szCs w:val="18"/>
          <w:vertAlign w:val="superscript"/>
        </w:rPr>
        <w:t>2</w:t>
      </w:r>
      <w:r w:rsidRPr="00C518D8">
        <w:rPr>
          <w:rFonts w:ascii="Arial" w:hAnsi="Arial" w:cs="Arial"/>
          <w:b w:val="0"/>
          <w:sz w:val="22"/>
          <w:szCs w:val="18"/>
        </w:rPr>
        <w:t xml:space="preserve"> of 79.1% (</w:t>
      </w:r>
      <w:r w:rsidRPr="00C518D8">
        <w:rPr>
          <w:rFonts w:ascii="Arial" w:hAnsi="Arial" w:cs="Arial"/>
          <w:b w:val="0"/>
          <w:i/>
          <w:sz w:val="22"/>
          <w:szCs w:val="18"/>
        </w:rPr>
        <w:t>F</w:t>
      </w:r>
      <w:r w:rsidRPr="00C518D8">
        <w:rPr>
          <w:rFonts w:ascii="Arial" w:hAnsi="Arial" w:cs="Arial"/>
          <w:b w:val="0"/>
          <w:sz w:val="22"/>
          <w:szCs w:val="18"/>
        </w:rPr>
        <w:t xml:space="preserve"> = 38.22, p&lt;.001). The local </w:t>
      </w:r>
      <w:r w:rsidRPr="00C518D8">
        <w:rPr>
          <w:rFonts w:ascii="Arial" w:hAnsi="Arial" w:cs="Arial"/>
          <w:b w:val="0"/>
          <w:i/>
          <w:sz w:val="22"/>
          <w:szCs w:val="18"/>
        </w:rPr>
        <w:t>R</w:t>
      </w:r>
      <w:r w:rsidRPr="00C518D8">
        <w:rPr>
          <w:rFonts w:ascii="Arial" w:hAnsi="Arial" w:cs="Arial"/>
          <w:b w:val="0"/>
          <w:sz w:val="22"/>
          <w:szCs w:val="18"/>
          <w:vertAlign w:val="superscript"/>
        </w:rPr>
        <w:t>2</w:t>
      </w:r>
      <w:r w:rsidRPr="00C518D8">
        <w:rPr>
          <w:rFonts w:ascii="Arial" w:hAnsi="Arial" w:cs="Arial"/>
          <w:b w:val="0"/>
          <w:sz w:val="22"/>
          <w:szCs w:val="18"/>
        </w:rPr>
        <w:t xml:space="preserve"> statistics within the GWR model, highlight high spatial depiction of the model performance with the </w:t>
      </w:r>
      <w:r w:rsidRPr="00C518D8">
        <w:rPr>
          <w:rFonts w:ascii="Arial" w:hAnsi="Arial" w:cs="Arial"/>
          <w:b w:val="0"/>
          <w:i/>
          <w:sz w:val="22"/>
          <w:szCs w:val="18"/>
        </w:rPr>
        <w:t>R</w:t>
      </w:r>
      <w:r w:rsidRPr="00C518D8">
        <w:rPr>
          <w:rFonts w:ascii="Arial" w:hAnsi="Arial" w:cs="Arial"/>
          <w:b w:val="0"/>
          <w:sz w:val="22"/>
          <w:szCs w:val="18"/>
          <w:vertAlign w:val="superscript"/>
        </w:rPr>
        <w:t>2</w:t>
      </w:r>
      <w:r w:rsidRPr="00C518D8">
        <w:rPr>
          <w:rFonts w:ascii="Arial" w:hAnsi="Arial" w:cs="Arial"/>
          <w:b w:val="0"/>
          <w:sz w:val="22"/>
          <w:szCs w:val="18"/>
        </w:rPr>
        <w:t xml:space="preserve"> values </w:t>
      </w:r>
      <w:r w:rsidRPr="00D9670F">
        <w:rPr>
          <w:rFonts w:ascii="Arial" w:hAnsi="Arial" w:cs="Arial"/>
          <w:b w:val="0"/>
          <w:sz w:val="22"/>
          <w:szCs w:val="18"/>
        </w:rPr>
        <w:t>ranging from 24% to 94% and illustrate where the model has more enhanced performance</w:t>
      </w:r>
      <w:r w:rsidR="00D9670F" w:rsidRPr="00D9670F">
        <w:rPr>
          <w:rFonts w:ascii="Arial" w:hAnsi="Arial" w:cs="Arial"/>
          <w:b w:val="0"/>
          <w:sz w:val="22"/>
          <w:szCs w:val="18"/>
          <w:vertAlign w:val="superscript"/>
        </w:rPr>
        <w:t>12</w:t>
      </w:r>
      <w:r w:rsidR="00D9670F" w:rsidRPr="00D9670F">
        <w:rPr>
          <w:rFonts w:ascii="Arial" w:hAnsi="Arial" w:cs="Arial"/>
          <w:b w:val="0"/>
          <w:sz w:val="22"/>
          <w:szCs w:val="18"/>
        </w:rPr>
        <w:t xml:space="preserve">. </w:t>
      </w:r>
    </w:p>
    <w:p w14:paraId="233945F2" w14:textId="77777777" w:rsidR="0069096F" w:rsidRDefault="0069096F" w:rsidP="00C518D8">
      <w:pPr>
        <w:pStyle w:val="WPHeading1"/>
        <w:spacing w:line="360" w:lineRule="auto"/>
        <w:jc w:val="both"/>
        <w:rPr>
          <w:rFonts w:ascii="Arial" w:hAnsi="Arial" w:cs="Arial"/>
          <w:b w:val="0"/>
          <w:sz w:val="22"/>
          <w:szCs w:val="18"/>
        </w:rPr>
      </w:pPr>
    </w:p>
    <w:p w14:paraId="146747C8" w14:textId="57884E86" w:rsidR="00DD24A4" w:rsidRPr="00C518D8" w:rsidRDefault="00DD24A4" w:rsidP="00C518D8">
      <w:pPr>
        <w:pStyle w:val="WPHeading1"/>
        <w:spacing w:line="360" w:lineRule="auto"/>
        <w:jc w:val="both"/>
        <w:rPr>
          <w:rFonts w:ascii="Arial" w:hAnsi="Arial" w:cs="Arial"/>
          <w:sz w:val="22"/>
          <w:szCs w:val="18"/>
        </w:rPr>
      </w:pPr>
      <w:r w:rsidRPr="00D9670F">
        <w:rPr>
          <w:rFonts w:ascii="Arial" w:hAnsi="Arial" w:cs="Arial"/>
          <w:b w:val="0"/>
          <w:sz w:val="22"/>
          <w:szCs w:val="18"/>
        </w:rPr>
        <w:t>The GWR model parameter estimates clearly illustrate the spatial variation in the market pricing and the effect of the various property characteristics. The property size coefficient (Area) displays an increased effect across the quartiles</w:t>
      </w:r>
      <w:r w:rsidR="00D9670F" w:rsidRPr="00D9670F">
        <w:rPr>
          <w:rFonts w:ascii="Arial" w:hAnsi="Arial" w:cs="Arial"/>
          <w:b w:val="0"/>
          <w:sz w:val="22"/>
          <w:szCs w:val="18"/>
        </w:rPr>
        <w:t xml:space="preserve">. </w:t>
      </w:r>
      <w:r w:rsidRPr="00D9670F">
        <w:rPr>
          <w:rFonts w:ascii="Arial" w:hAnsi="Arial" w:cs="Arial"/>
          <w:b w:val="0"/>
          <w:sz w:val="22"/>
          <w:szCs w:val="18"/>
        </w:rPr>
        <w:t>This is also symptomatic for the bedroom, bathroom, floor range and age coefficients which all exhibit both negative and positive influences across the market geography.</w:t>
      </w:r>
      <w:r w:rsidRPr="00D9670F">
        <w:rPr>
          <w:rFonts w:ascii="Arial" w:hAnsi="Arial" w:cs="Arial"/>
          <w:sz w:val="22"/>
          <w:szCs w:val="18"/>
        </w:rPr>
        <w:t xml:space="preserve"> </w:t>
      </w:r>
      <w:r w:rsidRPr="00D9670F">
        <w:rPr>
          <w:rFonts w:ascii="Arial" w:hAnsi="Arial" w:cs="Arial"/>
          <w:b w:val="0"/>
          <w:sz w:val="22"/>
          <w:szCs w:val="18"/>
        </w:rPr>
        <w:t xml:space="preserve">Accounting for this spatial variation offers important insights and provides a strong spatial basis for isolating market areas where model performance is weak for tailoring more local mass appraisal systems. </w:t>
      </w:r>
      <w:r w:rsidRPr="00C518D8">
        <w:rPr>
          <w:rFonts w:ascii="Arial" w:hAnsi="Arial" w:cs="Arial"/>
          <w:b w:val="0"/>
          <w:sz w:val="22"/>
          <w:szCs w:val="18"/>
        </w:rPr>
        <w:t xml:space="preserve">Indeed, it provides insights regarding further investigation and aspects which need to be accounted for in terms of understanding market substitution, the spatial nature of value significant coefficients and thus mass appraisal efficacy. In terms of model stability, the </w:t>
      </w:r>
      <w:r w:rsidRPr="00C518D8">
        <w:rPr>
          <w:rFonts w:ascii="Arial" w:hAnsi="Arial" w:cs="Arial"/>
          <w:b w:val="0"/>
          <w:sz w:val="22"/>
          <w:szCs w:val="16"/>
        </w:rPr>
        <w:t xml:space="preserve">standard residual diagnostics (histogram of residuals and the plot of the observed versus predicted values) show the model to be stable with limited error variance and normally distributed residuals (Figure </w:t>
      </w:r>
      <w:r w:rsidR="00810493" w:rsidRPr="00C518D8">
        <w:rPr>
          <w:rFonts w:ascii="Arial" w:hAnsi="Arial" w:cs="Arial"/>
          <w:b w:val="0"/>
          <w:sz w:val="22"/>
          <w:szCs w:val="16"/>
        </w:rPr>
        <w:t>4</w:t>
      </w:r>
      <w:r w:rsidRPr="00C518D8">
        <w:rPr>
          <w:rFonts w:ascii="Arial" w:hAnsi="Arial" w:cs="Arial"/>
          <w:b w:val="0"/>
          <w:sz w:val="22"/>
          <w:szCs w:val="16"/>
        </w:rPr>
        <w:t>).</w:t>
      </w:r>
    </w:p>
    <w:p w14:paraId="593971BC" w14:textId="77777777" w:rsidR="00DD24A4" w:rsidRDefault="00DD24A4" w:rsidP="00DD24A4">
      <w:pPr>
        <w:pStyle w:val="WPBodyText"/>
      </w:pPr>
    </w:p>
    <w:p w14:paraId="0BCD2E57" w14:textId="04DAE15D" w:rsidR="00DD24A4" w:rsidRPr="00D9670F" w:rsidRDefault="00DD24A4" w:rsidP="00DD24A4">
      <w:pPr>
        <w:pStyle w:val="WPBodyText"/>
        <w:rPr>
          <w:rFonts w:ascii="Arial" w:hAnsi="Arial" w:cs="Arial"/>
          <w:b/>
          <w:sz w:val="22"/>
          <w:szCs w:val="18"/>
        </w:rPr>
      </w:pPr>
      <w:r w:rsidRPr="00D9670F">
        <w:rPr>
          <w:rFonts w:ascii="Arial" w:hAnsi="Arial" w:cs="Arial"/>
          <w:b/>
          <w:sz w:val="22"/>
          <w:szCs w:val="18"/>
        </w:rPr>
        <w:t xml:space="preserve">Figure </w:t>
      </w:r>
      <w:r w:rsidR="00810493" w:rsidRPr="00D9670F">
        <w:rPr>
          <w:rFonts w:ascii="Arial" w:hAnsi="Arial" w:cs="Arial"/>
          <w:b/>
          <w:sz w:val="22"/>
          <w:szCs w:val="18"/>
        </w:rPr>
        <w:t>4</w:t>
      </w:r>
      <w:r w:rsidRPr="00D9670F">
        <w:rPr>
          <w:rFonts w:ascii="Arial" w:hAnsi="Arial" w:cs="Arial"/>
          <w:b/>
          <w:sz w:val="22"/>
          <w:szCs w:val="18"/>
        </w:rPr>
        <w:t>: Estimate and Actual Log-Prices and residuals</w:t>
      </w:r>
    </w:p>
    <w:p w14:paraId="59776871" w14:textId="77777777" w:rsidR="00DD24A4" w:rsidRPr="00D9670F" w:rsidRDefault="00DD24A4" w:rsidP="00DD24A4">
      <w:pPr>
        <w:pStyle w:val="WPBodyText"/>
        <w:rPr>
          <w:rFonts w:ascii="Arial" w:hAnsi="Arial" w:cs="Arial"/>
          <w:sz w:val="22"/>
          <w:szCs w:val="18"/>
        </w:rPr>
      </w:pPr>
    </w:p>
    <w:p w14:paraId="54EE90AA" w14:textId="77777777" w:rsidR="00DD24A4" w:rsidRPr="003F6FA6" w:rsidRDefault="00DD24A4" w:rsidP="00DD24A4">
      <w:pPr>
        <w:pStyle w:val="WPHeading1"/>
        <w:jc w:val="left"/>
      </w:pPr>
      <w:r w:rsidRPr="003F6FA6">
        <w:rPr>
          <w:noProof/>
          <w:lang w:val="en-GB"/>
        </w:rPr>
        <w:drawing>
          <wp:inline distT="0" distB="0" distL="0" distR="0" wp14:anchorId="45166A22" wp14:editId="07F268BB">
            <wp:extent cx="2819400" cy="1729621"/>
            <wp:effectExtent l="0" t="0" r="0" b="4445"/>
            <wp:docPr id="292" name="Picture 1">
              <a:extLst xmlns:a="http://schemas.openxmlformats.org/drawingml/2006/main">
                <a:ext uri="{FF2B5EF4-FFF2-40B4-BE49-F238E27FC236}">
                  <a16:creationId xmlns:a16="http://schemas.microsoft.com/office/drawing/2014/main" id="{2F5AE8F3-BC38-47B6-A3AA-BCB34D268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F5AE8F3-BC38-47B6-A3AA-BCB34D268DAE}"/>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5525" r="32500" b="34244"/>
                    <a:stretch/>
                  </pic:blipFill>
                  <pic:spPr bwMode="auto">
                    <a:xfrm>
                      <a:off x="0" y="0"/>
                      <a:ext cx="2828815" cy="1735397"/>
                    </a:xfrm>
                    <a:prstGeom prst="rect">
                      <a:avLst/>
                    </a:prstGeom>
                    <a:noFill/>
                    <a:ln>
                      <a:noFill/>
                    </a:ln>
                    <a:extLst>
                      <a:ext uri="{53640926-AAD7-44D8-BBD7-CCE9431645EC}">
                        <a14:shadowObscured xmlns:a14="http://schemas.microsoft.com/office/drawing/2010/main"/>
                      </a:ext>
                    </a:extLst>
                  </pic:spPr>
                </pic:pic>
              </a:graphicData>
            </a:graphic>
          </wp:inline>
        </w:drawing>
      </w:r>
      <w:r w:rsidRPr="003F6FA6">
        <w:t xml:space="preserve"> </w:t>
      </w:r>
      <w:r w:rsidRPr="003F6FA6">
        <w:rPr>
          <w:noProof/>
          <w:lang w:val="en-GB"/>
        </w:rPr>
        <w:drawing>
          <wp:inline distT="0" distB="0" distL="0" distR="0" wp14:anchorId="79A88142" wp14:editId="5073AB13">
            <wp:extent cx="2794000" cy="1698994"/>
            <wp:effectExtent l="0" t="0" r="0" b="0"/>
            <wp:docPr id="293" name="Picture 2">
              <a:extLst xmlns:a="http://schemas.openxmlformats.org/drawingml/2006/main">
                <a:ext uri="{FF2B5EF4-FFF2-40B4-BE49-F238E27FC236}">
                  <a16:creationId xmlns:a16="http://schemas.microsoft.com/office/drawing/2014/main" id="{E6D42DE0-1AB2-4921-9045-3C55CD0AB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6D42DE0-1AB2-4921-9045-3C55CD0AB712}"/>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6042" r="31458" b="33333"/>
                    <a:stretch/>
                  </pic:blipFill>
                  <pic:spPr bwMode="auto">
                    <a:xfrm>
                      <a:off x="0" y="0"/>
                      <a:ext cx="2812368" cy="1710163"/>
                    </a:xfrm>
                    <a:prstGeom prst="rect">
                      <a:avLst/>
                    </a:prstGeom>
                    <a:noFill/>
                    <a:ln>
                      <a:noFill/>
                    </a:ln>
                    <a:extLst>
                      <a:ext uri="{53640926-AAD7-44D8-BBD7-CCE9431645EC}">
                        <a14:shadowObscured xmlns:a14="http://schemas.microsoft.com/office/drawing/2010/main"/>
                      </a:ext>
                    </a:extLst>
                  </pic:spPr>
                </pic:pic>
              </a:graphicData>
            </a:graphic>
          </wp:inline>
        </w:drawing>
      </w:r>
    </w:p>
    <w:p w14:paraId="5F30ACE3" w14:textId="77777777" w:rsidR="00DD24A4" w:rsidRDefault="00DD24A4" w:rsidP="00DD24A4">
      <w:pPr>
        <w:pStyle w:val="WPHeading1"/>
        <w:jc w:val="left"/>
      </w:pPr>
    </w:p>
    <w:p w14:paraId="69656637" w14:textId="77777777" w:rsidR="00DD24A4" w:rsidRDefault="00DD24A4" w:rsidP="00DD24A4">
      <w:pPr>
        <w:pStyle w:val="WPBodyText"/>
      </w:pPr>
    </w:p>
    <w:p w14:paraId="720F3F71" w14:textId="673D1187" w:rsidR="004F29BF" w:rsidRPr="00D9670F" w:rsidRDefault="004F29BF" w:rsidP="00D9670F">
      <w:pPr>
        <w:pStyle w:val="WPBodyText"/>
        <w:spacing w:line="360" w:lineRule="auto"/>
        <w:jc w:val="both"/>
        <w:rPr>
          <w:rFonts w:ascii="Arial" w:hAnsi="Arial" w:cs="Arial"/>
          <w:sz w:val="22"/>
          <w:szCs w:val="18"/>
        </w:rPr>
      </w:pPr>
      <w:r w:rsidRPr="00D9670F">
        <w:rPr>
          <w:rFonts w:ascii="Arial" w:hAnsi="Arial" w:cs="Arial"/>
          <w:sz w:val="22"/>
          <w:szCs w:val="18"/>
        </w:rPr>
        <w:t xml:space="preserve">For Baoding, </w:t>
      </w:r>
      <w:r w:rsidR="002264E8" w:rsidRPr="00D9670F">
        <w:rPr>
          <w:rFonts w:ascii="Arial" w:hAnsi="Arial" w:cs="Arial"/>
          <w:sz w:val="22"/>
          <w:szCs w:val="18"/>
        </w:rPr>
        <w:t>t</w:t>
      </w:r>
      <w:r w:rsidRPr="00D9670F">
        <w:rPr>
          <w:rFonts w:ascii="Arial" w:hAnsi="Arial" w:cs="Arial"/>
          <w:sz w:val="22"/>
          <w:szCs w:val="18"/>
        </w:rPr>
        <w:t>he model explanation exhibits an R</w:t>
      </w:r>
      <w:r w:rsidRPr="00D9670F">
        <w:rPr>
          <w:rFonts w:ascii="Arial" w:hAnsi="Arial" w:cs="Arial"/>
          <w:sz w:val="22"/>
          <w:szCs w:val="18"/>
          <w:vertAlign w:val="superscript"/>
        </w:rPr>
        <w:t>2</w:t>
      </w:r>
      <w:r w:rsidRPr="00D9670F">
        <w:rPr>
          <w:rFonts w:ascii="Arial" w:hAnsi="Arial" w:cs="Arial"/>
          <w:sz w:val="22"/>
          <w:szCs w:val="18"/>
        </w:rPr>
        <w:t xml:space="preserve"> of 35.6% (</w:t>
      </w:r>
      <w:r w:rsidRPr="0069096F">
        <w:rPr>
          <w:rFonts w:ascii="Arial" w:hAnsi="Arial" w:cs="Arial"/>
          <w:i/>
          <w:iCs/>
          <w:sz w:val="22"/>
          <w:szCs w:val="18"/>
        </w:rPr>
        <w:t>F</w:t>
      </w:r>
      <w:r w:rsidRPr="00D9670F">
        <w:rPr>
          <w:rFonts w:ascii="Arial" w:hAnsi="Arial" w:cs="Arial"/>
          <w:sz w:val="22"/>
          <w:szCs w:val="18"/>
        </w:rPr>
        <w:t xml:space="preserve">=8.601, </w:t>
      </w:r>
      <w:r w:rsidRPr="0069096F">
        <w:rPr>
          <w:rFonts w:ascii="Arial" w:hAnsi="Arial" w:cs="Arial"/>
          <w:i/>
          <w:iCs/>
          <w:sz w:val="22"/>
          <w:szCs w:val="18"/>
        </w:rPr>
        <w:t>p</w:t>
      </w:r>
      <w:r w:rsidRPr="00D9670F">
        <w:rPr>
          <w:rFonts w:ascii="Arial" w:hAnsi="Arial" w:cs="Arial"/>
          <w:sz w:val="22"/>
          <w:szCs w:val="18"/>
        </w:rPr>
        <w:t>&lt;.001)</w:t>
      </w:r>
      <w:r w:rsidR="002264E8" w:rsidRPr="00D9670F">
        <w:rPr>
          <w:rStyle w:val="FootnoteReference"/>
          <w:rFonts w:ascii="Arial" w:hAnsi="Arial" w:cs="Arial"/>
          <w:sz w:val="22"/>
          <w:szCs w:val="18"/>
        </w:rPr>
        <w:footnoteReference w:id="12"/>
      </w:r>
      <w:r w:rsidRPr="00D9670F">
        <w:rPr>
          <w:rFonts w:ascii="Arial" w:hAnsi="Arial" w:cs="Arial"/>
          <w:sz w:val="22"/>
          <w:szCs w:val="18"/>
        </w:rPr>
        <w:t xml:space="preserve">. The model significant parameters reveal a number of archetype physical characteristics demonstrate statistical significance such as floor area, age and low floor level providing a platform for more investigative analysis for implementation of a CAMA approach, whilst clearly demonstrating that investigation to identify additional value significant attributes (such as “site positive”/”site negative”) or further spatial delineation would be required prior to operationalization. </w:t>
      </w:r>
      <w:r w:rsidR="002F1D3C" w:rsidRPr="00D9670F">
        <w:rPr>
          <w:rFonts w:ascii="Arial" w:hAnsi="Arial" w:cs="Arial"/>
          <w:sz w:val="22"/>
          <w:szCs w:val="18"/>
        </w:rPr>
        <w:t>Fo</w:t>
      </w:r>
      <w:r w:rsidRPr="00D9670F">
        <w:rPr>
          <w:rFonts w:ascii="Arial" w:hAnsi="Arial" w:cs="Arial"/>
          <w:sz w:val="22"/>
          <w:szCs w:val="18"/>
        </w:rPr>
        <w:t>r the Beijing market, the overall model performs strongly in terms of predictive accuracy (87.5 percent). Given the increased heterogeneity of the Beijing market, the nature of the property stock variation by type and age and relativity of market size, the findings clearly illustrate that market features and characteristics can be readily used and integrated into a mass appraisal system.</w:t>
      </w:r>
    </w:p>
    <w:p w14:paraId="4E01CEBB" w14:textId="77777777" w:rsidR="00DD24A4" w:rsidRPr="00D9670F" w:rsidRDefault="00DD24A4" w:rsidP="00D9670F">
      <w:pPr>
        <w:pStyle w:val="WPBodyText"/>
        <w:spacing w:line="360" w:lineRule="auto"/>
        <w:rPr>
          <w:rFonts w:ascii="Arial" w:hAnsi="Arial" w:cs="Arial"/>
          <w:sz w:val="22"/>
          <w:szCs w:val="18"/>
          <w:lang w:val="en-GB"/>
        </w:rPr>
      </w:pPr>
    </w:p>
    <w:p w14:paraId="0B8FA0D6" w14:textId="6E0F27FA" w:rsidR="004F29BF" w:rsidRPr="00D9670F" w:rsidRDefault="00DD24A4" w:rsidP="00D9670F">
      <w:pPr>
        <w:pStyle w:val="WPHeading1"/>
        <w:spacing w:line="360" w:lineRule="auto"/>
        <w:jc w:val="both"/>
        <w:rPr>
          <w:rFonts w:ascii="Arial" w:hAnsi="Arial" w:cs="Arial"/>
          <w:b w:val="0"/>
          <w:sz w:val="22"/>
          <w:szCs w:val="18"/>
        </w:rPr>
      </w:pPr>
      <w:r w:rsidRPr="00D9670F">
        <w:rPr>
          <w:rFonts w:ascii="Arial" w:hAnsi="Arial" w:cs="Arial"/>
          <w:b w:val="0"/>
          <w:sz w:val="22"/>
          <w:szCs w:val="18"/>
        </w:rPr>
        <w:t xml:space="preserve">Turning to the uniformity and equitability standards, the model evaluation for Chuzhou city falls within the accepted threshold of the ratio benchmarks revealing a PRD of 1.029 which displays slight regressivity and a COD of 13.8%. The results suggest good feasibility for introducing </w:t>
      </w:r>
      <w:r w:rsidRPr="00D9670F">
        <w:rPr>
          <w:rFonts w:ascii="Arial" w:hAnsi="Arial" w:cs="Arial"/>
          <w:b w:val="0"/>
          <w:i/>
          <w:sz w:val="22"/>
          <w:szCs w:val="18"/>
        </w:rPr>
        <w:t>ad valorem</w:t>
      </w:r>
      <w:r w:rsidRPr="00D9670F">
        <w:rPr>
          <w:rFonts w:ascii="Arial" w:hAnsi="Arial" w:cs="Arial"/>
          <w:b w:val="0"/>
          <w:sz w:val="22"/>
          <w:szCs w:val="18"/>
        </w:rPr>
        <w:t xml:space="preserve"> based tax assessment in this city area. These findings are complimented with the GWR model where the PRD equates to 1.012 with the COD equal to 8.2%, providing greater model accuracy and reliability – and pertinently, demonstrates the viability of introducing a fair and equitable property tax. With regards to Baoding city, the ratio standards are better than expected given the relatively poor level of explanation (35.8%). </w:t>
      </w:r>
      <w:r w:rsidR="00D9670F">
        <w:rPr>
          <w:rFonts w:ascii="Arial" w:hAnsi="Arial" w:cs="Arial"/>
          <w:b w:val="0"/>
          <w:sz w:val="22"/>
          <w:szCs w:val="18"/>
        </w:rPr>
        <w:t xml:space="preserve">The ratio statistics for </w:t>
      </w:r>
      <w:r w:rsidRPr="00D9670F">
        <w:rPr>
          <w:rFonts w:ascii="Arial" w:hAnsi="Arial" w:cs="Arial"/>
          <w:b w:val="0"/>
          <w:sz w:val="22"/>
          <w:szCs w:val="18"/>
        </w:rPr>
        <w:t xml:space="preserve">Baoding </w:t>
      </w:r>
      <w:r w:rsidR="00D9670F">
        <w:rPr>
          <w:rFonts w:ascii="Arial" w:hAnsi="Arial" w:cs="Arial"/>
          <w:b w:val="0"/>
          <w:sz w:val="22"/>
          <w:szCs w:val="18"/>
        </w:rPr>
        <w:t>display a</w:t>
      </w:r>
      <w:r w:rsidRPr="00D9670F">
        <w:rPr>
          <w:rFonts w:ascii="Arial" w:hAnsi="Arial" w:cs="Arial"/>
          <w:b w:val="0"/>
          <w:sz w:val="22"/>
          <w:szCs w:val="18"/>
        </w:rPr>
        <w:t xml:space="preserve"> PRD of 1.083 and a COD of 12.04</w:t>
      </w:r>
      <w:r w:rsidR="00D9670F">
        <w:rPr>
          <w:rFonts w:ascii="Arial" w:hAnsi="Arial" w:cs="Arial"/>
          <w:b w:val="0"/>
          <w:sz w:val="22"/>
          <w:szCs w:val="18"/>
        </w:rPr>
        <w:t>%</w:t>
      </w:r>
      <w:r w:rsidRPr="00D9670F">
        <w:rPr>
          <w:rFonts w:ascii="Arial" w:hAnsi="Arial" w:cs="Arial"/>
          <w:b w:val="0"/>
          <w:sz w:val="22"/>
          <w:szCs w:val="18"/>
        </w:rPr>
        <w:t xml:space="preserve"> showing it to conform to uniformity and a degree of regressivity. This is undoubtedly due to the high degree of market homogeneity in the market (sample data) as the data clusters symmetrically. With regards to Beijing, the predictive accuracy of the actual versus the predicted shows a noteworthy deterministic relationship. The </w:t>
      </w:r>
      <w:r w:rsidRPr="00D9670F">
        <w:rPr>
          <w:rFonts w:ascii="Arial" w:hAnsi="Arial" w:cs="Arial"/>
          <w:b w:val="0"/>
          <w:sz w:val="22"/>
          <w:szCs w:val="18"/>
        </w:rPr>
        <w:lastRenderedPageBreak/>
        <w:t>PRD (1.01) and COD of 13.1% indicates that a mass appraisal model could be adopted and operationalized.</w:t>
      </w:r>
    </w:p>
    <w:p w14:paraId="2019F900" w14:textId="77777777" w:rsidR="004F29BF" w:rsidRDefault="004F29BF" w:rsidP="004F29BF">
      <w:pPr>
        <w:pStyle w:val="WPHeading1"/>
        <w:jc w:val="left"/>
      </w:pPr>
    </w:p>
    <w:p w14:paraId="1F7244E0" w14:textId="77777777" w:rsidR="00DD24A4" w:rsidRPr="00D9670F" w:rsidRDefault="00DD24A4" w:rsidP="004F29BF">
      <w:pPr>
        <w:pStyle w:val="WPHeading1"/>
        <w:jc w:val="left"/>
        <w:rPr>
          <w:rFonts w:ascii="Arial" w:hAnsi="Arial" w:cs="Arial"/>
          <w:sz w:val="22"/>
          <w:szCs w:val="18"/>
        </w:rPr>
      </w:pPr>
      <w:r w:rsidRPr="00D9670F">
        <w:rPr>
          <w:rFonts w:ascii="Arial" w:hAnsi="Arial" w:cs="Arial"/>
          <w:sz w:val="22"/>
          <w:szCs w:val="18"/>
        </w:rPr>
        <w:t>Discussion</w:t>
      </w:r>
    </w:p>
    <w:p w14:paraId="7DC910F9" w14:textId="77777777" w:rsidR="00DD24A4" w:rsidRPr="00A92E7C" w:rsidRDefault="00DD24A4" w:rsidP="00DD24A4">
      <w:pPr>
        <w:pStyle w:val="WPBodyText"/>
      </w:pPr>
    </w:p>
    <w:p w14:paraId="259D2B3A" w14:textId="493AC5F0" w:rsidR="002264E8" w:rsidRPr="00D9670F" w:rsidRDefault="004F29BF"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 xml:space="preserve">The general OLS models show predictive competency from the general set of property and spatial characteristics—a process which is uniform across the cities included. Pertinently, the global mass appraisal performed </w:t>
      </w:r>
      <w:r w:rsidR="001979FE" w:rsidRPr="00D9670F">
        <w:rPr>
          <w:rFonts w:ascii="Arial" w:hAnsi="Arial" w:cs="Arial"/>
          <w:b w:val="0"/>
          <w:sz w:val="22"/>
          <w:szCs w:val="22"/>
        </w:rPr>
        <w:t>acceptably</w:t>
      </w:r>
      <w:r w:rsidRPr="00D9670F">
        <w:rPr>
          <w:rFonts w:ascii="Arial" w:hAnsi="Arial" w:cs="Arial"/>
          <w:b w:val="0"/>
          <w:sz w:val="22"/>
          <w:szCs w:val="22"/>
        </w:rPr>
        <w:t xml:space="preserve"> for an overall model </w:t>
      </w:r>
      <w:r w:rsidR="001979FE" w:rsidRPr="00D9670F">
        <w:rPr>
          <w:rFonts w:ascii="Arial" w:hAnsi="Arial" w:cs="Arial"/>
          <w:b w:val="0"/>
          <w:sz w:val="22"/>
          <w:szCs w:val="22"/>
        </w:rPr>
        <w:t>with</w:t>
      </w:r>
      <w:r w:rsidRPr="00D9670F">
        <w:rPr>
          <w:rFonts w:ascii="Arial" w:hAnsi="Arial" w:cs="Arial"/>
          <w:b w:val="0"/>
          <w:sz w:val="22"/>
          <w:szCs w:val="22"/>
        </w:rPr>
        <w:t xml:space="preserve"> spatial dummies</w:t>
      </w:r>
      <w:r w:rsidR="001979FE" w:rsidRPr="00D9670F">
        <w:rPr>
          <w:rFonts w:ascii="Arial" w:hAnsi="Arial" w:cs="Arial"/>
          <w:b w:val="0"/>
          <w:sz w:val="22"/>
          <w:szCs w:val="22"/>
        </w:rPr>
        <w:t xml:space="preserve"> -</w:t>
      </w:r>
      <w:r w:rsidRPr="00D9670F">
        <w:rPr>
          <w:rFonts w:ascii="Arial" w:hAnsi="Arial" w:cs="Arial"/>
          <w:b w:val="0"/>
          <w:sz w:val="22"/>
          <w:szCs w:val="22"/>
        </w:rPr>
        <w:t xml:space="preserve"> with ratio statistics falling within acceptable IAAO benchmarks. This was also evident for the mass GWR-based assessment</w:t>
      </w:r>
      <w:r w:rsidR="001979FE" w:rsidRPr="00D9670F">
        <w:rPr>
          <w:rFonts w:ascii="Arial" w:hAnsi="Arial" w:cs="Arial"/>
          <w:b w:val="0"/>
          <w:sz w:val="22"/>
          <w:szCs w:val="22"/>
        </w:rPr>
        <w:t>. However</w:t>
      </w:r>
      <w:r w:rsidR="006D5FAA">
        <w:rPr>
          <w:rFonts w:ascii="Arial" w:hAnsi="Arial" w:cs="Arial"/>
          <w:b w:val="0"/>
          <w:sz w:val="22"/>
          <w:szCs w:val="22"/>
        </w:rPr>
        <w:t>,</w:t>
      </w:r>
      <w:r w:rsidR="001979FE" w:rsidRPr="00D9670F">
        <w:rPr>
          <w:rFonts w:ascii="Arial" w:hAnsi="Arial" w:cs="Arial"/>
          <w:b w:val="0"/>
          <w:sz w:val="22"/>
          <w:szCs w:val="22"/>
        </w:rPr>
        <w:t xml:space="preserve"> t</w:t>
      </w:r>
      <w:r w:rsidRPr="00D9670F">
        <w:rPr>
          <w:rFonts w:ascii="Arial" w:hAnsi="Arial" w:cs="Arial"/>
          <w:b w:val="0"/>
          <w:sz w:val="22"/>
          <w:szCs w:val="22"/>
        </w:rPr>
        <w:t xml:space="preserve">his was demonstrated to be more sporadic when applying the hold-out sample—signifying some preliminary challenges for using the “sold” housing stock characteristics to value the unsold stock in China at this spatial scale. Analysis at the city level highlights increased levels of spatial concentration in geographic clusters, inferring price variation at the same location. </w:t>
      </w:r>
    </w:p>
    <w:p w14:paraId="199012D6" w14:textId="77777777" w:rsidR="002264E8" w:rsidRPr="00D9670F" w:rsidRDefault="002264E8" w:rsidP="00D9670F">
      <w:pPr>
        <w:pStyle w:val="WPHeading1"/>
        <w:spacing w:line="360" w:lineRule="auto"/>
        <w:jc w:val="both"/>
        <w:rPr>
          <w:rFonts w:ascii="Arial" w:hAnsi="Arial" w:cs="Arial"/>
          <w:b w:val="0"/>
          <w:sz w:val="22"/>
          <w:szCs w:val="22"/>
        </w:rPr>
      </w:pPr>
    </w:p>
    <w:p w14:paraId="381C6E0D" w14:textId="77777777" w:rsidR="0069096F" w:rsidRDefault="004F29BF"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 xml:space="preserve">These instances of spatial containment appear to be resulting in distinct market structures resulting in different pricing levels </w:t>
      </w:r>
      <w:r w:rsidR="00962E32" w:rsidRPr="00D9670F">
        <w:rPr>
          <w:rFonts w:ascii="Arial" w:hAnsi="Arial" w:cs="Arial"/>
          <w:b w:val="0"/>
          <w:sz w:val="22"/>
          <w:szCs w:val="22"/>
        </w:rPr>
        <w:t xml:space="preserve">- </w:t>
      </w:r>
      <w:r w:rsidRPr="00D9670F">
        <w:rPr>
          <w:rFonts w:ascii="Arial" w:hAnsi="Arial" w:cs="Arial"/>
          <w:b w:val="0"/>
          <w:sz w:val="22"/>
          <w:szCs w:val="22"/>
        </w:rPr>
        <w:t>certainly vertically (based on the floor level) and marginally horizontally</w:t>
      </w:r>
      <w:r w:rsidR="0088074D" w:rsidRPr="00D9670F">
        <w:rPr>
          <w:rFonts w:ascii="Arial" w:hAnsi="Arial" w:cs="Arial"/>
          <w:b w:val="0"/>
          <w:sz w:val="22"/>
          <w:szCs w:val="22"/>
        </w:rPr>
        <w:t>,</w:t>
      </w:r>
      <w:r w:rsidRPr="00D9670F">
        <w:rPr>
          <w:rFonts w:ascii="Arial" w:hAnsi="Arial" w:cs="Arial"/>
          <w:b w:val="0"/>
          <w:sz w:val="22"/>
          <w:szCs w:val="22"/>
        </w:rPr>
        <w:t xml:space="preserve"> across the developments</w:t>
      </w:r>
      <w:r w:rsidR="0088074D" w:rsidRPr="00D9670F">
        <w:rPr>
          <w:rFonts w:ascii="Arial" w:hAnsi="Arial" w:cs="Arial"/>
          <w:b w:val="0"/>
          <w:sz w:val="22"/>
          <w:szCs w:val="22"/>
        </w:rPr>
        <w:t xml:space="preserve">, </w:t>
      </w:r>
      <w:r w:rsidRPr="00D9670F">
        <w:rPr>
          <w:rFonts w:ascii="Arial" w:hAnsi="Arial" w:cs="Arial"/>
          <w:b w:val="0"/>
          <w:sz w:val="22"/>
          <w:szCs w:val="22"/>
        </w:rPr>
        <w:t xml:space="preserve"> within each designated housing estate. This spatial clustering is compounded by the high homogeneity of the housing stock which are priced similarly, marginally (partial differences) and differently all at the corresponding locations</w:t>
      </w:r>
      <w:r w:rsidR="006E4455" w:rsidRPr="00D9670F">
        <w:rPr>
          <w:rFonts w:ascii="Arial" w:hAnsi="Arial" w:cs="Arial"/>
          <w:b w:val="0"/>
          <w:sz w:val="22"/>
          <w:szCs w:val="22"/>
        </w:rPr>
        <w:t xml:space="preserve">. </w:t>
      </w:r>
      <w:r w:rsidR="002264E8" w:rsidRPr="00D9670F">
        <w:rPr>
          <w:rFonts w:ascii="Arial" w:hAnsi="Arial" w:cs="Arial"/>
          <w:b w:val="0"/>
          <w:sz w:val="22"/>
          <w:szCs w:val="22"/>
        </w:rPr>
        <w:t xml:space="preserve">This poses challenges for the ratio analysis and </w:t>
      </w:r>
      <w:r w:rsidR="00321F10" w:rsidRPr="00D9670F">
        <w:rPr>
          <w:rFonts w:ascii="Arial" w:hAnsi="Arial" w:cs="Arial"/>
          <w:b w:val="0"/>
          <w:sz w:val="22"/>
          <w:szCs w:val="22"/>
        </w:rPr>
        <w:t xml:space="preserve">for </w:t>
      </w:r>
      <w:r w:rsidR="00512F10" w:rsidRPr="00D9670F">
        <w:rPr>
          <w:rFonts w:ascii="Arial" w:hAnsi="Arial" w:cs="Arial"/>
          <w:b w:val="0"/>
          <w:sz w:val="22"/>
          <w:szCs w:val="22"/>
        </w:rPr>
        <w:t xml:space="preserve">investigating issues such as </w:t>
      </w:r>
      <w:r w:rsidR="002264E8" w:rsidRPr="00D9670F">
        <w:rPr>
          <w:rFonts w:ascii="Arial" w:hAnsi="Arial" w:cs="Arial"/>
          <w:b w:val="0"/>
          <w:sz w:val="22"/>
          <w:szCs w:val="22"/>
        </w:rPr>
        <w:t>whether there is over-fitting</w:t>
      </w:r>
      <w:r w:rsidR="00512F10" w:rsidRPr="00D9670F">
        <w:rPr>
          <w:rFonts w:ascii="Arial" w:hAnsi="Arial" w:cs="Arial"/>
          <w:b w:val="0"/>
          <w:sz w:val="22"/>
          <w:szCs w:val="22"/>
        </w:rPr>
        <w:t>,</w:t>
      </w:r>
      <w:r w:rsidR="002264E8" w:rsidRPr="00D9670F">
        <w:rPr>
          <w:rFonts w:ascii="Arial" w:hAnsi="Arial" w:cs="Arial"/>
          <w:b w:val="0"/>
          <w:sz w:val="22"/>
          <w:szCs w:val="22"/>
        </w:rPr>
        <w:t xml:space="preserve"> because the relative homogeneity of the stock and limited variation spatially. This warrants further analysis in terms of integration into mass appraisal modeling. </w:t>
      </w:r>
    </w:p>
    <w:p w14:paraId="3EAF075B" w14:textId="77777777" w:rsidR="0069096F" w:rsidRDefault="0069096F" w:rsidP="00D9670F">
      <w:pPr>
        <w:pStyle w:val="WPHeading1"/>
        <w:spacing w:line="360" w:lineRule="auto"/>
        <w:jc w:val="both"/>
        <w:rPr>
          <w:rFonts w:ascii="Arial" w:hAnsi="Arial" w:cs="Arial"/>
          <w:b w:val="0"/>
          <w:sz w:val="22"/>
          <w:szCs w:val="22"/>
        </w:rPr>
      </w:pPr>
    </w:p>
    <w:p w14:paraId="472F4926" w14:textId="35B6BE4B" w:rsidR="002264E8" w:rsidRPr="00D9670F" w:rsidRDefault="004F29BF"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Indeed, whilst the city models are not without their “local” challenges, this also affords an opportunity, and the feasibility, to build very robust and standardized models which can readily be adjusted for each region. Nevertheless, it must be noted that a simple pricing on a m</w:t>
      </w:r>
      <w:r w:rsidRPr="00D9670F">
        <w:rPr>
          <w:rFonts w:ascii="Arial" w:hAnsi="Arial" w:cs="Arial"/>
          <w:b w:val="0"/>
          <w:sz w:val="22"/>
          <w:szCs w:val="22"/>
          <w:vertAlign w:val="superscript"/>
        </w:rPr>
        <w:t>2</w:t>
      </w:r>
      <w:r w:rsidRPr="00D9670F">
        <w:rPr>
          <w:rFonts w:ascii="Arial" w:hAnsi="Arial" w:cs="Arial"/>
          <w:b w:val="0"/>
          <w:sz w:val="22"/>
          <w:szCs w:val="22"/>
        </w:rPr>
        <w:t xml:space="preserve"> basis could present challenges given the reduced level of explanation against price (of floor area) as depicted by lower </w:t>
      </w:r>
      <w:r w:rsidRPr="00D9670F">
        <w:rPr>
          <w:rFonts w:ascii="Arial" w:hAnsi="Arial" w:cs="Arial"/>
          <w:b w:val="0"/>
          <w:i/>
          <w:iCs/>
          <w:sz w:val="22"/>
          <w:szCs w:val="22"/>
        </w:rPr>
        <w:t>R</w:t>
      </w:r>
      <w:r w:rsidRPr="00D9670F">
        <w:rPr>
          <w:rFonts w:ascii="Arial" w:hAnsi="Arial" w:cs="Arial"/>
          <w:b w:val="0"/>
          <w:sz w:val="22"/>
          <w:szCs w:val="22"/>
          <w:vertAlign w:val="superscript"/>
        </w:rPr>
        <w:t>2</w:t>
      </w:r>
      <w:r w:rsidRPr="00D9670F">
        <w:rPr>
          <w:rFonts w:ascii="Arial" w:hAnsi="Arial" w:cs="Arial"/>
          <w:b w:val="0"/>
          <w:sz w:val="22"/>
          <w:szCs w:val="22"/>
        </w:rPr>
        <w:t xml:space="preserve"> values than traditionally observed in </w:t>
      </w:r>
      <w:r w:rsidR="00512F10" w:rsidRPr="00D9670F">
        <w:rPr>
          <w:rFonts w:ascii="Arial" w:hAnsi="Arial" w:cs="Arial"/>
          <w:b w:val="0"/>
          <w:sz w:val="22"/>
          <w:szCs w:val="22"/>
        </w:rPr>
        <w:t xml:space="preserve">established </w:t>
      </w:r>
      <w:r w:rsidRPr="00D9670F">
        <w:rPr>
          <w:rFonts w:ascii="Arial" w:hAnsi="Arial" w:cs="Arial"/>
          <w:b w:val="0"/>
          <w:sz w:val="22"/>
          <w:szCs w:val="22"/>
        </w:rPr>
        <w:t>market economies. Significantly, deterministic traditional market structures evident in China are not fully in line with Western economics, which employ highly specified hedonic models (+spatial models). There</w:t>
      </w:r>
      <w:r w:rsidR="00512F10" w:rsidRPr="00D9670F">
        <w:rPr>
          <w:rFonts w:ascii="Arial" w:hAnsi="Arial" w:cs="Arial"/>
          <w:b w:val="0"/>
          <w:sz w:val="22"/>
          <w:szCs w:val="22"/>
        </w:rPr>
        <w:t xml:space="preserve"> do</w:t>
      </w:r>
      <w:r w:rsidRPr="00D9670F">
        <w:rPr>
          <w:rFonts w:ascii="Arial" w:hAnsi="Arial" w:cs="Arial"/>
          <w:b w:val="0"/>
          <w:sz w:val="22"/>
          <w:szCs w:val="22"/>
        </w:rPr>
        <w:t xml:space="preserve"> appear to be instances of model over-fitting which requires further investigation for fruitful adoption of mass appraisal exercises, perhaps indicative of rapid, (new) homogenous development. </w:t>
      </w:r>
    </w:p>
    <w:p w14:paraId="7C16137D" w14:textId="77777777" w:rsidR="002264E8" w:rsidRPr="00D9670F" w:rsidRDefault="002264E8" w:rsidP="00D9670F">
      <w:pPr>
        <w:pStyle w:val="WPHeading1"/>
        <w:spacing w:line="360" w:lineRule="auto"/>
        <w:jc w:val="both"/>
        <w:rPr>
          <w:rFonts w:ascii="Arial" w:hAnsi="Arial" w:cs="Arial"/>
          <w:b w:val="0"/>
          <w:sz w:val="22"/>
          <w:szCs w:val="22"/>
        </w:rPr>
      </w:pPr>
    </w:p>
    <w:p w14:paraId="75F696B2" w14:textId="579E5B16" w:rsidR="004F29BF" w:rsidRPr="00D9670F" w:rsidRDefault="004F29BF"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The level of explanation being achieved is without accounting for market tastes or embedding any further socio-economic (market based) profiling</w:t>
      </w:r>
      <w:r w:rsidR="00AF35F5" w:rsidRPr="00D9670F">
        <w:rPr>
          <w:rFonts w:ascii="Arial" w:hAnsi="Arial" w:cs="Arial"/>
          <w:b w:val="0"/>
          <w:sz w:val="22"/>
          <w:szCs w:val="22"/>
        </w:rPr>
        <w:t>. This suggests</w:t>
      </w:r>
      <w:r w:rsidRPr="00D9670F">
        <w:rPr>
          <w:rFonts w:ascii="Arial" w:hAnsi="Arial" w:cs="Arial"/>
          <w:b w:val="0"/>
          <w:sz w:val="22"/>
          <w:szCs w:val="22"/>
        </w:rPr>
        <w:t xml:space="preserve"> </w:t>
      </w:r>
      <w:r w:rsidR="00AF35F5" w:rsidRPr="00D9670F">
        <w:rPr>
          <w:rFonts w:ascii="Arial" w:hAnsi="Arial" w:cs="Arial"/>
          <w:b w:val="0"/>
          <w:sz w:val="22"/>
          <w:szCs w:val="22"/>
        </w:rPr>
        <w:t>a</w:t>
      </w:r>
      <w:r w:rsidRPr="00D9670F">
        <w:rPr>
          <w:rFonts w:ascii="Arial" w:hAnsi="Arial" w:cs="Arial"/>
          <w:b w:val="0"/>
          <w:sz w:val="22"/>
          <w:szCs w:val="22"/>
        </w:rPr>
        <w:t xml:space="preserve"> necessity to apply more </w:t>
      </w:r>
      <w:r w:rsidRPr="00D9670F">
        <w:rPr>
          <w:rFonts w:ascii="Arial" w:hAnsi="Arial" w:cs="Arial"/>
          <w:b w:val="0"/>
          <w:sz w:val="22"/>
          <w:szCs w:val="22"/>
        </w:rPr>
        <w:lastRenderedPageBreak/>
        <w:t>basic model formats, initially</w:t>
      </w:r>
      <w:r w:rsidR="00AF35F5" w:rsidRPr="00D9670F">
        <w:rPr>
          <w:rFonts w:ascii="Arial" w:hAnsi="Arial" w:cs="Arial"/>
          <w:b w:val="0"/>
          <w:sz w:val="22"/>
          <w:szCs w:val="22"/>
        </w:rPr>
        <w:t>,</w:t>
      </w:r>
      <w:r w:rsidRPr="00D9670F">
        <w:rPr>
          <w:rFonts w:ascii="Arial" w:hAnsi="Arial" w:cs="Arial"/>
          <w:b w:val="0"/>
          <w:sz w:val="22"/>
          <w:szCs w:val="22"/>
        </w:rPr>
        <w:t xml:space="preserve"> to ascertain value significant market characteristics. Indeed, a consideration for both feasibility and scalability is the concept of ‘Community’ or ‘scheme’ based valuation models—which may be achievable if wider amenities</w:t>
      </w:r>
      <w:r w:rsidR="000A3423" w:rsidRPr="00D9670F">
        <w:rPr>
          <w:rFonts w:ascii="Arial" w:hAnsi="Arial" w:cs="Arial"/>
          <w:b w:val="0"/>
          <w:sz w:val="22"/>
          <w:szCs w:val="22"/>
        </w:rPr>
        <w:t xml:space="preserve">, </w:t>
      </w:r>
      <w:r w:rsidRPr="00D9670F">
        <w:rPr>
          <w:rFonts w:ascii="Arial" w:hAnsi="Arial" w:cs="Arial"/>
          <w:b w:val="0"/>
          <w:sz w:val="22"/>
          <w:szCs w:val="22"/>
        </w:rPr>
        <w:t>facilities</w:t>
      </w:r>
      <w:r w:rsidR="000A3423" w:rsidRPr="00D9670F">
        <w:rPr>
          <w:rFonts w:ascii="Arial" w:hAnsi="Arial" w:cs="Arial"/>
          <w:b w:val="0"/>
          <w:sz w:val="22"/>
          <w:szCs w:val="22"/>
        </w:rPr>
        <w:t xml:space="preserve"> and ‘rights’</w:t>
      </w:r>
      <w:r w:rsidR="00AE5A1B" w:rsidRPr="00D9670F">
        <w:rPr>
          <w:rFonts w:ascii="Arial" w:hAnsi="Arial" w:cs="Arial"/>
          <w:b w:val="0"/>
          <w:sz w:val="22"/>
          <w:szCs w:val="22"/>
        </w:rPr>
        <w:t xml:space="preserve"> such as health services</w:t>
      </w:r>
      <w:r w:rsidRPr="00D9670F">
        <w:rPr>
          <w:rFonts w:ascii="Arial" w:hAnsi="Arial" w:cs="Arial"/>
          <w:b w:val="0"/>
          <w:sz w:val="22"/>
          <w:szCs w:val="22"/>
        </w:rPr>
        <w:t xml:space="preserve"> are implicit in the pricing of housing estates and developments. This could also take the form of more simplified valuation approaches such as calibrating floor area to create a value weighted floor area and then </w:t>
      </w:r>
      <w:r w:rsidR="000A3423" w:rsidRPr="00D9670F">
        <w:rPr>
          <w:rFonts w:ascii="Arial" w:hAnsi="Arial" w:cs="Arial"/>
          <w:b w:val="0"/>
          <w:sz w:val="22"/>
          <w:szCs w:val="22"/>
        </w:rPr>
        <w:t xml:space="preserve">perhaps </w:t>
      </w:r>
      <w:r w:rsidRPr="00D9670F">
        <w:rPr>
          <w:rFonts w:ascii="Arial" w:hAnsi="Arial" w:cs="Arial"/>
          <w:b w:val="0"/>
          <w:sz w:val="22"/>
          <w:szCs w:val="22"/>
        </w:rPr>
        <w:t xml:space="preserve">undertaking a banding approach.   </w:t>
      </w:r>
    </w:p>
    <w:p w14:paraId="10002746" w14:textId="77777777" w:rsidR="004F29BF" w:rsidRPr="00D9670F" w:rsidRDefault="004F29BF" w:rsidP="00D9670F">
      <w:pPr>
        <w:pStyle w:val="WPHeading1"/>
        <w:spacing w:line="360" w:lineRule="auto"/>
        <w:rPr>
          <w:rFonts w:ascii="Arial" w:hAnsi="Arial" w:cs="Arial"/>
          <w:b w:val="0"/>
          <w:sz w:val="22"/>
          <w:szCs w:val="22"/>
        </w:rPr>
      </w:pPr>
      <w:r w:rsidRPr="00D9670F">
        <w:rPr>
          <w:rFonts w:ascii="Arial" w:hAnsi="Arial" w:cs="Arial"/>
          <w:b w:val="0"/>
          <w:sz w:val="22"/>
          <w:szCs w:val="22"/>
        </w:rPr>
        <w:t xml:space="preserve"> </w:t>
      </w:r>
    </w:p>
    <w:p w14:paraId="2A0D204D" w14:textId="585D1E4B" w:rsidR="00DD24A4" w:rsidRPr="00D9670F" w:rsidRDefault="00DD24A4" w:rsidP="00D9670F">
      <w:pPr>
        <w:pStyle w:val="WPHeading1"/>
        <w:spacing w:line="360" w:lineRule="auto"/>
        <w:jc w:val="left"/>
        <w:rPr>
          <w:rFonts w:ascii="Arial" w:hAnsi="Arial" w:cs="Arial"/>
          <w:b w:val="0"/>
          <w:sz w:val="22"/>
          <w:szCs w:val="22"/>
        </w:rPr>
      </w:pPr>
      <w:r w:rsidRPr="00D9670F">
        <w:rPr>
          <w:rFonts w:ascii="Arial" w:hAnsi="Arial" w:cs="Arial"/>
          <w:sz w:val="22"/>
          <w:szCs w:val="22"/>
        </w:rPr>
        <w:t>Conclusions</w:t>
      </w:r>
    </w:p>
    <w:p w14:paraId="549CE23E" w14:textId="5CB6C4CF" w:rsidR="00DD24A4" w:rsidRPr="00D9670F" w:rsidRDefault="00DD24A4"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Th</w:t>
      </w:r>
      <w:r w:rsidR="00AE5A1B" w:rsidRPr="00D9670F">
        <w:rPr>
          <w:rFonts w:ascii="Arial" w:hAnsi="Arial" w:cs="Arial"/>
          <w:b w:val="0"/>
          <w:sz w:val="22"/>
          <w:szCs w:val="22"/>
        </w:rPr>
        <w:t>is</w:t>
      </w:r>
      <w:r w:rsidRPr="00D9670F">
        <w:rPr>
          <w:rFonts w:ascii="Arial" w:hAnsi="Arial" w:cs="Arial"/>
          <w:b w:val="0"/>
          <w:sz w:val="22"/>
          <w:szCs w:val="22"/>
        </w:rPr>
        <w:t xml:space="preserve"> analysis has been based on a large dataset of list prices of residential property drawn from a number of </w:t>
      </w:r>
      <w:r w:rsidRPr="00D9670F">
        <w:rPr>
          <w:rFonts w:ascii="Arial" w:hAnsi="Arial" w:cs="Arial"/>
          <w:b w:val="0"/>
          <w:i/>
          <w:iCs/>
          <w:sz w:val="22"/>
          <w:szCs w:val="22"/>
        </w:rPr>
        <w:t>Tier 1</w:t>
      </w:r>
      <w:r w:rsidRPr="00D9670F">
        <w:rPr>
          <w:rFonts w:ascii="Arial" w:hAnsi="Arial" w:cs="Arial"/>
          <w:b w:val="0"/>
          <w:sz w:val="22"/>
          <w:szCs w:val="22"/>
        </w:rPr>
        <w:t xml:space="preserve"> to </w:t>
      </w:r>
      <w:r w:rsidRPr="00D9670F">
        <w:rPr>
          <w:rFonts w:ascii="Arial" w:hAnsi="Arial" w:cs="Arial"/>
          <w:b w:val="0"/>
          <w:i/>
          <w:iCs/>
          <w:sz w:val="22"/>
          <w:szCs w:val="22"/>
        </w:rPr>
        <w:t>Tier 4</w:t>
      </w:r>
      <w:r w:rsidRPr="00D9670F">
        <w:rPr>
          <w:rFonts w:ascii="Arial" w:hAnsi="Arial" w:cs="Arial"/>
          <w:b w:val="0"/>
          <w:sz w:val="22"/>
          <w:szCs w:val="22"/>
        </w:rPr>
        <w:t xml:space="preserve"> cities </w:t>
      </w:r>
      <w:r w:rsidR="002264E8" w:rsidRPr="00D9670F">
        <w:rPr>
          <w:rFonts w:ascii="Arial" w:hAnsi="Arial" w:cs="Arial"/>
          <w:b w:val="0"/>
          <w:sz w:val="22"/>
          <w:szCs w:val="22"/>
        </w:rPr>
        <w:t>across</w:t>
      </w:r>
      <w:r w:rsidRPr="00D9670F">
        <w:rPr>
          <w:rFonts w:ascii="Arial" w:hAnsi="Arial" w:cs="Arial"/>
          <w:b w:val="0"/>
          <w:sz w:val="22"/>
          <w:szCs w:val="22"/>
        </w:rPr>
        <w:t xml:space="preserve"> China. The datasets utilized provides evidence of the scale and nature of market information available to underpin mass appraisal activity in China. Any operationalized tax policy would almost certainly develop more sophisticated datasets, potentially linked to achieved prices from verified market transactions (ordinarily derived from transfer tax declarations). It must also be acknowledged that any such dataset may not adequately represent the full range of properties which would require to be valued in a full </w:t>
      </w:r>
      <w:r w:rsidRPr="00D9670F">
        <w:rPr>
          <w:rFonts w:ascii="Arial" w:hAnsi="Arial" w:cs="Arial"/>
          <w:b w:val="0"/>
          <w:i/>
          <w:sz w:val="22"/>
          <w:szCs w:val="22"/>
        </w:rPr>
        <w:t>ad valorem</w:t>
      </w:r>
      <w:r w:rsidRPr="00D9670F">
        <w:rPr>
          <w:rFonts w:ascii="Arial" w:hAnsi="Arial" w:cs="Arial"/>
          <w:b w:val="0"/>
          <w:sz w:val="22"/>
          <w:szCs w:val="22"/>
        </w:rPr>
        <w:t xml:space="preserve"> exercise – perhaps being skewed towards newer properties or </w:t>
      </w:r>
      <w:r w:rsidR="00AE5A1B" w:rsidRPr="00D9670F">
        <w:rPr>
          <w:rFonts w:ascii="Arial" w:hAnsi="Arial" w:cs="Arial"/>
          <w:b w:val="0"/>
          <w:sz w:val="22"/>
          <w:szCs w:val="22"/>
        </w:rPr>
        <w:t xml:space="preserve">may be </w:t>
      </w:r>
      <w:r w:rsidRPr="00D9670F">
        <w:rPr>
          <w:rFonts w:ascii="Arial" w:hAnsi="Arial" w:cs="Arial"/>
          <w:b w:val="0"/>
          <w:sz w:val="22"/>
          <w:szCs w:val="22"/>
        </w:rPr>
        <w:t xml:space="preserve">overly spatially concentrated, leaving older properties and some locations under-represented. Nevertheless, it does represent a significant data resource which covers many of the major population centers and prefecture-level cities and is therefore a solid ‘test bed’ to investigate both the feasibility and scalability questions central to this research. With regards to the feasibility question: it is evident that it is possible to acquire significant datasets of property prices and associated (potentially) value significant attributes, which are ostensibly in the public domain and subject to scrutiny. This in itself is a considerable finding, as many emerging economies do not have ‘live’ market data sources to access for this type of research. </w:t>
      </w:r>
    </w:p>
    <w:p w14:paraId="21A04E2D" w14:textId="77777777" w:rsidR="00DD24A4" w:rsidRPr="00D9670F" w:rsidRDefault="00DD24A4" w:rsidP="00D9670F">
      <w:pPr>
        <w:pStyle w:val="WPBodyText"/>
        <w:spacing w:line="360" w:lineRule="auto"/>
        <w:rPr>
          <w:rFonts w:ascii="Arial" w:hAnsi="Arial" w:cs="Arial"/>
          <w:sz w:val="22"/>
          <w:szCs w:val="22"/>
        </w:rPr>
      </w:pPr>
    </w:p>
    <w:p w14:paraId="1DE3CC2C" w14:textId="77777777" w:rsidR="00DD24A4" w:rsidRPr="00D9670F" w:rsidRDefault="00DD24A4"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 xml:space="preserve">After routine data cleansing and purging exercises, initial modelling using standard and multiplicative OLS approaches, augmented by GWR techniques allows us to adequately model the list prices in line with internationally accepted benchmarks of accuracy and uniformity, with increasing performance achieved as the crucial element of location is more explicitly included within the model specification. To the extent that the data is representative of the population at large, the initial findings suggest that mass appraisal is practically feasible for urban areas in China – adequate market data appears to exist which meets the requirements for hedonic analysis, particularly with a spatial dimension. </w:t>
      </w:r>
    </w:p>
    <w:p w14:paraId="471C73D3" w14:textId="77777777" w:rsidR="00DD24A4" w:rsidRPr="00D9670F" w:rsidRDefault="00DD24A4" w:rsidP="00D9670F">
      <w:pPr>
        <w:pStyle w:val="WPBodyText"/>
        <w:spacing w:line="360" w:lineRule="auto"/>
        <w:rPr>
          <w:rFonts w:ascii="Arial" w:hAnsi="Arial" w:cs="Arial"/>
          <w:sz w:val="22"/>
          <w:szCs w:val="22"/>
        </w:rPr>
      </w:pPr>
    </w:p>
    <w:p w14:paraId="29943634" w14:textId="740FC379" w:rsidR="00DD24A4" w:rsidRPr="00D9670F" w:rsidRDefault="00DD24A4"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In terms of scalability, it must be acknowledged that the results are not uniform across all markets. There are areas which have limited data and cannot adequately be modelled</w:t>
      </w:r>
      <w:r w:rsidR="00EE187E" w:rsidRPr="00D9670F">
        <w:rPr>
          <w:rFonts w:ascii="Arial" w:hAnsi="Arial" w:cs="Arial"/>
          <w:b w:val="0"/>
          <w:sz w:val="22"/>
          <w:szCs w:val="22"/>
        </w:rPr>
        <w:t xml:space="preserve"> - </w:t>
      </w:r>
      <w:r w:rsidRPr="00D9670F">
        <w:rPr>
          <w:rFonts w:ascii="Arial" w:hAnsi="Arial" w:cs="Arial"/>
          <w:b w:val="0"/>
          <w:sz w:val="22"/>
          <w:szCs w:val="22"/>
        </w:rPr>
        <w:t xml:space="preserve">a dimension to be mindful of for mass appraisal exercises. In some areas the models perform </w:t>
      </w:r>
      <w:r w:rsidRPr="00D9670F">
        <w:rPr>
          <w:rFonts w:ascii="Arial" w:hAnsi="Arial" w:cs="Arial"/>
          <w:b w:val="0"/>
          <w:sz w:val="22"/>
          <w:szCs w:val="22"/>
        </w:rPr>
        <w:lastRenderedPageBreak/>
        <w:t xml:space="preserve">slightly less well and may require better data or more tailored calibration. Several models appear to work </w:t>
      </w:r>
      <w:r w:rsidRPr="00D9670F">
        <w:rPr>
          <w:rFonts w:ascii="Arial" w:hAnsi="Arial" w:cs="Arial"/>
          <w:b w:val="0"/>
          <w:i/>
          <w:sz w:val="22"/>
          <w:szCs w:val="22"/>
        </w:rPr>
        <w:t>too well</w:t>
      </w:r>
      <w:r w:rsidRPr="00D9670F">
        <w:rPr>
          <w:rFonts w:ascii="Arial" w:hAnsi="Arial" w:cs="Arial"/>
          <w:b w:val="0"/>
          <w:sz w:val="22"/>
          <w:szCs w:val="22"/>
        </w:rPr>
        <w:t xml:space="preserve">, raising concerns regarding the data and the underlying pricing mechanism, which may be being overtly driven by a more rudimentary or ‘simplistic’ pricing mechanism in largely new, large scale and uniform development areas – this may well ‘unwind’ as more properties enter the resale markets and normal market forces begin to take </w:t>
      </w:r>
      <w:r w:rsidR="004317C0" w:rsidRPr="00D9670F">
        <w:rPr>
          <w:rFonts w:ascii="Arial" w:hAnsi="Arial" w:cs="Arial"/>
          <w:b w:val="0"/>
          <w:sz w:val="22"/>
          <w:szCs w:val="22"/>
        </w:rPr>
        <w:t>precedence</w:t>
      </w:r>
      <w:r w:rsidRPr="00D9670F">
        <w:rPr>
          <w:rFonts w:ascii="Arial" w:hAnsi="Arial" w:cs="Arial"/>
          <w:b w:val="0"/>
          <w:sz w:val="22"/>
          <w:szCs w:val="22"/>
        </w:rPr>
        <w:t xml:space="preserve"> over a </w:t>
      </w:r>
      <w:r w:rsidR="004317C0" w:rsidRPr="00D9670F">
        <w:rPr>
          <w:rFonts w:ascii="Arial" w:hAnsi="Arial" w:cs="Arial"/>
          <w:b w:val="0"/>
          <w:sz w:val="22"/>
          <w:szCs w:val="22"/>
        </w:rPr>
        <w:t>‘</w:t>
      </w:r>
      <w:r w:rsidRPr="00D9670F">
        <w:rPr>
          <w:rFonts w:ascii="Arial" w:hAnsi="Arial" w:cs="Arial"/>
          <w:b w:val="0"/>
          <w:sz w:val="22"/>
          <w:szCs w:val="22"/>
        </w:rPr>
        <w:t>developer input cost</w:t>
      </w:r>
      <w:r w:rsidR="004317C0" w:rsidRPr="00D9670F">
        <w:rPr>
          <w:rFonts w:ascii="Arial" w:hAnsi="Arial" w:cs="Arial"/>
          <w:b w:val="0"/>
          <w:sz w:val="22"/>
          <w:szCs w:val="22"/>
        </w:rPr>
        <w:t>’</w:t>
      </w:r>
      <w:r w:rsidRPr="00D9670F">
        <w:rPr>
          <w:rFonts w:ascii="Arial" w:hAnsi="Arial" w:cs="Arial"/>
          <w:b w:val="0"/>
          <w:sz w:val="22"/>
          <w:szCs w:val="22"/>
        </w:rPr>
        <w:t xml:space="preserve"> model of pricing. It is also clear that there are many ways in which submarket calibration could be carried out, with physical aspects such as the pricing effect of altitude in high rise developments not being uniform from place to place (perhaps driven by air quality parameters or issues such as perceived fire safety</w:t>
      </w:r>
      <w:r w:rsidR="00F6624B" w:rsidRPr="00D9670F">
        <w:rPr>
          <w:rFonts w:ascii="Arial" w:hAnsi="Arial" w:cs="Arial"/>
          <w:b w:val="0"/>
          <w:sz w:val="22"/>
          <w:szCs w:val="22"/>
        </w:rPr>
        <w:t xml:space="preserve"> and quality of elevator maintenance</w:t>
      </w:r>
      <w:r w:rsidRPr="00D9670F">
        <w:rPr>
          <w:rFonts w:ascii="Arial" w:hAnsi="Arial" w:cs="Arial"/>
          <w:b w:val="0"/>
          <w:sz w:val="22"/>
          <w:szCs w:val="22"/>
        </w:rPr>
        <w:t xml:space="preserve">, not contained within the data). However, it is highly unlikely that a single model form would be deployed across such a vast socio-economic and physical geography, so this is entirely acceptable. </w:t>
      </w:r>
    </w:p>
    <w:p w14:paraId="35F0267C" w14:textId="77777777" w:rsidR="00DD24A4" w:rsidRPr="00D9670F" w:rsidRDefault="00DD24A4" w:rsidP="00D9670F">
      <w:pPr>
        <w:pStyle w:val="WPBodyText"/>
        <w:spacing w:line="360" w:lineRule="auto"/>
        <w:rPr>
          <w:rFonts w:ascii="Arial" w:hAnsi="Arial" w:cs="Arial"/>
          <w:sz w:val="22"/>
          <w:szCs w:val="22"/>
        </w:rPr>
      </w:pPr>
    </w:p>
    <w:p w14:paraId="5901225C" w14:textId="71644FF7" w:rsidR="00DD24A4" w:rsidRPr="00D9670F" w:rsidRDefault="00DD24A4" w:rsidP="00D9670F">
      <w:pPr>
        <w:pStyle w:val="WPBodyText"/>
        <w:spacing w:line="360" w:lineRule="auto"/>
        <w:jc w:val="both"/>
        <w:rPr>
          <w:rFonts w:ascii="Arial" w:hAnsi="Arial" w:cs="Arial"/>
          <w:sz w:val="22"/>
          <w:szCs w:val="22"/>
        </w:rPr>
      </w:pPr>
      <w:r w:rsidRPr="00D9670F">
        <w:rPr>
          <w:rFonts w:ascii="Arial" w:hAnsi="Arial" w:cs="Arial"/>
          <w:sz w:val="22"/>
          <w:szCs w:val="22"/>
        </w:rPr>
        <w:t xml:space="preserve">One important dimension which has surfaced during the model building exercises is the issue pertaining to market structure, topography and the value enhancing attributes. The complex non-continuous urban form and structure, principally the designation of ‘community value’ appears to create isolated or non-continuous pricing relationships which </w:t>
      </w:r>
      <w:r w:rsidR="00226F98" w:rsidRPr="00D9670F">
        <w:rPr>
          <w:rFonts w:ascii="Arial" w:hAnsi="Arial" w:cs="Arial"/>
          <w:sz w:val="22"/>
          <w:szCs w:val="22"/>
        </w:rPr>
        <w:t>inhibits</w:t>
      </w:r>
      <w:r w:rsidRPr="00D9670F">
        <w:rPr>
          <w:rFonts w:ascii="Arial" w:hAnsi="Arial" w:cs="Arial"/>
          <w:sz w:val="22"/>
          <w:szCs w:val="22"/>
        </w:rPr>
        <w:t xml:space="preserve"> </w:t>
      </w:r>
      <w:r w:rsidRPr="00D9670F">
        <w:rPr>
          <w:rFonts w:ascii="Arial" w:hAnsi="Arial" w:cs="Arial"/>
          <w:color w:val="000000" w:themeColor="text1"/>
          <w:sz w:val="22"/>
          <w:szCs w:val="22"/>
        </w:rPr>
        <w:t xml:space="preserve">the varying nature of price determination. These ‘distinctive’ market characteristics appear to distort wider scalability of introducing basic tax models for </w:t>
      </w:r>
      <w:r w:rsidRPr="00D9670F">
        <w:rPr>
          <w:rFonts w:ascii="Arial" w:hAnsi="Arial" w:cs="Arial"/>
          <w:sz w:val="22"/>
          <w:szCs w:val="22"/>
        </w:rPr>
        <w:t xml:space="preserve">CAMA exercises which appears a barrier for implementation of any spatial framework to be introduced. Indeed, an inherent problem is that more simplified approaches may not conform to accuracy </w:t>
      </w:r>
      <w:r w:rsidR="00052C4C" w:rsidRPr="00D9670F">
        <w:rPr>
          <w:rFonts w:ascii="Arial" w:hAnsi="Arial" w:cs="Arial"/>
          <w:sz w:val="22"/>
          <w:szCs w:val="22"/>
        </w:rPr>
        <w:t xml:space="preserve">requirements </w:t>
      </w:r>
      <w:r w:rsidRPr="00D9670F">
        <w:rPr>
          <w:rFonts w:ascii="Arial" w:hAnsi="Arial" w:cs="Arial"/>
          <w:sz w:val="22"/>
          <w:szCs w:val="22"/>
        </w:rPr>
        <w:t>and</w:t>
      </w:r>
      <w:r w:rsidR="00052C4C" w:rsidRPr="00D9670F">
        <w:rPr>
          <w:rFonts w:ascii="Arial" w:hAnsi="Arial" w:cs="Arial"/>
          <w:sz w:val="22"/>
          <w:szCs w:val="22"/>
        </w:rPr>
        <w:t xml:space="preserve"> may</w:t>
      </w:r>
      <w:r w:rsidRPr="00D9670F">
        <w:rPr>
          <w:rFonts w:ascii="Arial" w:hAnsi="Arial" w:cs="Arial"/>
          <w:sz w:val="22"/>
          <w:szCs w:val="22"/>
        </w:rPr>
        <w:t xml:space="preserve"> face challenges in particular jurisdictions of fundamental market value basics such as floor area, with more sophisticated approaches simultaneously introducing omitted variable bias and mis-attribution</w:t>
      </w:r>
      <w:r w:rsidR="00052C4C" w:rsidRPr="00D9670F">
        <w:rPr>
          <w:rFonts w:ascii="Arial" w:hAnsi="Arial" w:cs="Arial"/>
          <w:sz w:val="22"/>
          <w:szCs w:val="22"/>
        </w:rPr>
        <w:t>,</w:t>
      </w:r>
      <w:r w:rsidR="006730F6">
        <w:rPr>
          <w:rFonts w:ascii="Arial" w:hAnsi="Arial" w:cs="Arial"/>
          <w:sz w:val="22"/>
          <w:szCs w:val="22"/>
        </w:rPr>
        <w:t xml:space="preserve"> </w:t>
      </w:r>
      <w:r w:rsidRPr="00D9670F">
        <w:rPr>
          <w:rFonts w:ascii="Arial" w:hAnsi="Arial" w:cs="Arial"/>
          <w:sz w:val="22"/>
          <w:szCs w:val="22"/>
        </w:rPr>
        <w:t>but</w:t>
      </w:r>
      <w:r w:rsidR="00052C4C" w:rsidRPr="00D9670F">
        <w:rPr>
          <w:rFonts w:ascii="Arial" w:hAnsi="Arial" w:cs="Arial"/>
          <w:sz w:val="22"/>
          <w:szCs w:val="22"/>
        </w:rPr>
        <w:t xml:space="preserve"> may be</w:t>
      </w:r>
      <w:r w:rsidRPr="00D9670F">
        <w:rPr>
          <w:rFonts w:ascii="Arial" w:hAnsi="Arial" w:cs="Arial"/>
          <w:sz w:val="22"/>
          <w:szCs w:val="22"/>
        </w:rPr>
        <w:t xml:space="preserve"> needed for trying to assess extreme locational fluctuations. Furthermore, when testing more enhanced spatial modelling frameworks, namely Spatial Error, Spatial Lag and Conditional Autoregressive models, in addition to the GWR, to account for spatial heterogeneity and model accuracy, a consistent challenge regarding singularity for the spatial weighting matrices emerged.  </w:t>
      </w:r>
    </w:p>
    <w:p w14:paraId="1B900FEC" w14:textId="77777777" w:rsidR="00DD24A4" w:rsidRPr="00D9670F" w:rsidRDefault="00DD24A4" w:rsidP="00D9670F">
      <w:pPr>
        <w:pStyle w:val="WPBodyText"/>
        <w:spacing w:line="360" w:lineRule="auto"/>
        <w:rPr>
          <w:rFonts w:ascii="Arial" w:hAnsi="Arial" w:cs="Arial"/>
          <w:sz w:val="22"/>
          <w:szCs w:val="22"/>
        </w:rPr>
      </w:pPr>
    </w:p>
    <w:p w14:paraId="00BF84D0" w14:textId="19D5C009" w:rsidR="00DD24A4" w:rsidRPr="00D9670F" w:rsidRDefault="00DD24A4"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t xml:space="preserve">The main finding is that from ‘place to place’, and with few exceptions, available market evidence can facilitate an adequate basic valuation exercise. From a number of typical value significant attributes, robust models can be built which conform with </w:t>
      </w:r>
      <w:r w:rsidR="00FA0479" w:rsidRPr="00D9670F">
        <w:rPr>
          <w:rFonts w:ascii="Arial" w:hAnsi="Arial" w:cs="Arial"/>
          <w:b w:val="0"/>
          <w:sz w:val="22"/>
          <w:szCs w:val="22"/>
        </w:rPr>
        <w:t xml:space="preserve">standard </w:t>
      </w:r>
      <w:r w:rsidRPr="00D9670F">
        <w:rPr>
          <w:rFonts w:ascii="Arial" w:hAnsi="Arial" w:cs="Arial"/>
          <w:b w:val="0"/>
          <w:sz w:val="22"/>
          <w:szCs w:val="22"/>
        </w:rPr>
        <w:t xml:space="preserve">horizontal and vertical inequity tests. In this regard it can be argued that there are no fundamental barriers to scalability. The model findings thus demonstrate a good ability to utilise value </w:t>
      </w:r>
      <w:r w:rsidR="00381E4A" w:rsidRPr="00D9670F">
        <w:rPr>
          <w:rFonts w:ascii="Arial" w:hAnsi="Arial" w:cs="Arial"/>
          <w:b w:val="0"/>
          <w:sz w:val="22"/>
          <w:szCs w:val="22"/>
        </w:rPr>
        <w:t>significant</w:t>
      </w:r>
      <w:r w:rsidRPr="00D9670F">
        <w:rPr>
          <w:rFonts w:ascii="Arial" w:hAnsi="Arial" w:cs="Arial"/>
          <w:b w:val="0"/>
          <w:sz w:val="22"/>
          <w:szCs w:val="22"/>
        </w:rPr>
        <w:t xml:space="preserve"> coefficients in a wider model with more tailored models also showing promise at the city and administrative level.</w:t>
      </w:r>
    </w:p>
    <w:p w14:paraId="4E56DC41" w14:textId="77777777" w:rsidR="00DD24A4" w:rsidRPr="00D9670F" w:rsidRDefault="00DD24A4" w:rsidP="00D9670F">
      <w:pPr>
        <w:pStyle w:val="WPHeading1"/>
        <w:spacing w:line="360" w:lineRule="auto"/>
        <w:jc w:val="left"/>
        <w:rPr>
          <w:rFonts w:ascii="Arial" w:hAnsi="Arial" w:cs="Arial"/>
          <w:b w:val="0"/>
          <w:sz w:val="22"/>
          <w:szCs w:val="22"/>
        </w:rPr>
      </w:pPr>
    </w:p>
    <w:p w14:paraId="754C8865" w14:textId="65AB12B5" w:rsidR="00DD24A4" w:rsidRPr="00D9670F" w:rsidRDefault="00DD24A4" w:rsidP="00D9670F">
      <w:pPr>
        <w:pStyle w:val="WPHeading1"/>
        <w:spacing w:line="360" w:lineRule="auto"/>
        <w:jc w:val="both"/>
        <w:rPr>
          <w:rFonts w:ascii="Arial" w:hAnsi="Arial" w:cs="Arial"/>
          <w:b w:val="0"/>
          <w:sz w:val="22"/>
          <w:szCs w:val="22"/>
        </w:rPr>
      </w:pPr>
      <w:r w:rsidRPr="00D9670F">
        <w:rPr>
          <w:rFonts w:ascii="Arial" w:hAnsi="Arial" w:cs="Arial"/>
          <w:b w:val="0"/>
          <w:sz w:val="22"/>
          <w:szCs w:val="22"/>
        </w:rPr>
        <w:lastRenderedPageBreak/>
        <w:t xml:space="preserve">The scale and nature of the data sourced and deployed for this research augers well for efforts to operationalize mass appraisal in China, at least within the ‘market sector’. Some areas which demonstrate very narrow pricing variation, or areas with thinner markets may well benefit from consideration of more simplified approaches, particularly in the billing mechanism, particularly from the </w:t>
      </w:r>
      <w:r w:rsidR="00DB6407" w:rsidRPr="00D9670F">
        <w:rPr>
          <w:rFonts w:ascii="Arial" w:hAnsi="Arial" w:cs="Arial"/>
          <w:b w:val="0"/>
          <w:sz w:val="22"/>
          <w:szCs w:val="22"/>
        </w:rPr>
        <w:t>‘</w:t>
      </w:r>
      <w:r w:rsidRPr="00D9670F">
        <w:rPr>
          <w:rFonts w:ascii="Arial" w:hAnsi="Arial" w:cs="Arial"/>
          <w:b w:val="0"/>
          <w:sz w:val="22"/>
          <w:szCs w:val="22"/>
        </w:rPr>
        <w:t>benefit</w:t>
      </w:r>
      <w:r w:rsidR="004B0246" w:rsidRPr="00D9670F">
        <w:rPr>
          <w:rFonts w:ascii="Arial" w:hAnsi="Arial" w:cs="Arial"/>
          <w:b w:val="0"/>
          <w:sz w:val="22"/>
          <w:szCs w:val="22"/>
        </w:rPr>
        <w:t xml:space="preserve"> tax</w:t>
      </w:r>
      <w:r w:rsidR="00DB6407" w:rsidRPr="00D9670F">
        <w:rPr>
          <w:rFonts w:ascii="Arial" w:hAnsi="Arial" w:cs="Arial"/>
          <w:b w:val="0"/>
          <w:sz w:val="22"/>
          <w:szCs w:val="22"/>
        </w:rPr>
        <w:t>’</w:t>
      </w:r>
      <w:r w:rsidRPr="00D9670F">
        <w:rPr>
          <w:rFonts w:ascii="Arial" w:hAnsi="Arial" w:cs="Arial"/>
          <w:b w:val="0"/>
          <w:sz w:val="22"/>
          <w:szCs w:val="22"/>
        </w:rPr>
        <w:t xml:space="preserve"> and </w:t>
      </w:r>
      <w:r w:rsidR="00DB6407" w:rsidRPr="00D9670F">
        <w:rPr>
          <w:rFonts w:ascii="Arial" w:hAnsi="Arial" w:cs="Arial"/>
          <w:b w:val="0"/>
          <w:sz w:val="22"/>
          <w:szCs w:val="22"/>
        </w:rPr>
        <w:t>‘</w:t>
      </w:r>
      <w:r w:rsidRPr="00D9670F">
        <w:rPr>
          <w:rFonts w:ascii="Arial" w:hAnsi="Arial" w:cs="Arial"/>
          <w:b w:val="0"/>
          <w:sz w:val="22"/>
          <w:szCs w:val="22"/>
        </w:rPr>
        <w:t>efficiency</w:t>
      </w:r>
      <w:r w:rsidR="004B0246" w:rsidRPr="00D9670F">
        <w:rPr>
          <w:rFonts w:ascii="Arial" w:hAnsi="Arial" w:cs="Arial"/>
          <w:b w:val="0"/>
          <w:sz w:val="22"/>
          <w:szCs w:val="22"/>
        </w:rPr>
        <w:t>’</w:t>
      </w:r>
      <w:r w:rsidRPr="00D9670F">
        <w:rPr>
          <w:rFonts w:ascii="Arial" w:hAnsi="Arial" w:cs="Arial"/>
          <w:b w:val="0"/>
          <w:sz w:val="22"/>
          <w:szCs w:val="22"/>
        </w:rPr>
        <w:t xml:space="preserve"> of taxation perspective</w:t>
      </w:r>
      <w:r w:rsidR="00E871E5" w:rsidRPr="00D9670F">
        <w:rPr>
          <w:rFonts w:ascii="Arial" w:hAnsi="Arial" w:cs="Arial"/>
          <w:b w:val="0"/>
          <w:sz w:val="22"/>
          <w:szCs w:val="22"/>
        </w:rPr>
        <w:t xml:space="preserve">. To implement a nationwide </w:t>
      </w:r>
      <w:r w:rsidR="00E871E5" w:rsidRPr="00D9670F">
        <w:rPr>
          <w:rFonts w:ascii="Arial" w:hAnsi="Arial" w:cs="Arial"/>
          <w:b w:val="0"/>
          <w:i/>
          <w:sz w:val="22"/>
          <w:szCs w:val="22"/>
        </w:rPr>
        <w:t>ad valorem</w:t>
      </w:r>
      <w:r w:rsidR="00E871E5" w:rsidRPr="00D9670F">
        <w:rPr>
          <w:rFonts w:ascii="Arial" w:hAnsi="Arial" w:cs="Arial"/>
          <w:b w:val="0"/>
          <w:sz w:val="22"/>
          <w:szCs w:val="22"/>
        </w:rPr>
        <w:t xml:space="preserve"> property tax, China needs to become more transparent with transacted market data. Setting that debate aside,</w:t>
      </w:r>
      <w:r w:rsidRPr="00D9670F">
        <w:rPr>
          <w:rFonts w:ascii="Arial" w:hAnsi="Arial" w:cs="Arial"/>
          <w:b w:val="0"/>
          <w:sz w:val="22"/>
          <w:szCs w:val="22"/>
        </w:rPr>
        <w:t xml:space="preserve"> there is nevertheless adequate evidence that recognizably modern mass appraisal approaches can be devised and deployed to support national coverage of a property tax in China. </w:t>
      </w:r>
    </w:p>
    <w:p w14:paraId="14198DBE" w14:textId="77777777" w:rsidR="00DD24A4" w:rsidRPr="00D9670F" w:rsidRDefault="00DD24A4" w:rsidP="00D9670F">
      <w:pPr>
        <w:pStyle w:val="WPBodyText"/>
        <w:spacing w:line="360" w:lineRule="auto"/>
        <w:rPr>
          <w:rFonts w:ascii="Arial" w:hAnsi="Arial" w:cs="Arial"/>
          <w:sz w:val="22"/>
          <w:szCs w:val="22"/>
        </w:rPr>
      </w:pPr>
    </w:p>
    <w:p w14:paraId="71BF4363" w14:textId="07600FE5" w:rsidR="00DD24A4" w:rsidRPr="00D9670F" w:rsidRDefault="00DD24A4" w:rsidP="00D9670F">
      <w:pPr>
        <w:pStyle w:val="WPFrontMatterHead"/>
        <w:spacing w:line="360" w:lineRule="auto"/>
        <w:jc w:val="left"/>
        <w:rPr>
          <w:rFonts w:ascii="Arial" w:hAnsi="Arial" w:cs="Arial"/>
          <w:sz w:val="22"/>
          <w:szCs w:val="22"/>
        </w:rPr>
      </w:pPr>
      <w:r w:rsidRPr="00D9670F">
        <w:rPr>
          <w:rFonts w:ascii="Arial" w:hAnsi="Arial" w:cs="Arial"/>
          <w:sz w:val="22"/>
          <w:szCs w:val="22"/>
        </w:rPr>
        <w:t>Acknowledgements</w:t>
      </w:r>
    </w:p>
    <w:p w14:paraId="51892BAB" w14:textId="4EB0ED19" w:rsidR="00DD24A4" w:rsidRPr="00D9670F" w:rsidRDefault="00DD24A4" w:rsidP="00D9670F">
      <w:pPr>
        <w:pStyle w:val="WPBodyText"/>
        <w:spacing w:line="360" w:lineRule="auto"/>
        <w:jc w:val="both"/>
        <w:rPr>
          <w:rFonts w:ascii="Arial" w:hAnsi="Arial" w:cs="Arial"/>
          <w:sz w:val="22"/>
          <w:szCs w:val="22"/>
        </w:rPr>
      </w:pPr>
      <w:r w:rsidRPr="00D9670F">
        <w:rPr>
          <w:rFonts w:ascii="Arial" w:hAnsi="Arial" w:cs="Arial"/>
          <w:sz w:val="22"/>
          <w:szCs w:val="22"/>
        </w:rPr>
        <w:t>The authors would like to thank the Lincoln Institute</w:t>
      </w:r>
      <w:r w:rsidR="006730F6">
        <w:rPr>
          <w:rFonts w:ascii="Arial" w:hAnsi="Arial" w:cs="Arial"/>
          <w:sz w:val="22"/>
          <w:szCs w:val="22"/>
        </w:rPr>
        <w:t xml:space="preserve"> of Land Policy</w:t>
      </w:r>
      <w:r w:rsidRPr="00D9670F">
        <w:rPr>
          <w:rFonts w:ascii="Arial" w:hAnsi="Arial" w:cs="Arial"/>
          <w:sz w:val="22"/>
          <w:szCs w:val="22"/>
        </w:rPr>
        <w:t xml:space="preserve"> for the opportunity to undertake such interesting and important research through the </w:t>
      </w:r>
      <w:r w:rsidR="00B10B9C">
        <w:rPr>
          <w:rFonts w:ascii="Arial" w:hAnsi="Arial" w:cs="Arial"/>
          <w:sz w:val="22"/>
          <w:szCs w:val="22"/>
        </w:rPr>
        <w:t>F</w:t>
      </w:r>
      <w:r w:rsidRPr="00D9670F">
        <w:rPr>
          <w:rFonts w:ascii="Arial" w:hAnsi="Arial" w:cs="Arial"/>
          <w:sz w:val="22"/>
          <w:szCs w:val="22"/>
        </w:rPr>
        <w:t>ellowship</w:t>
      </w:r>
      <w:r w:rsidR="00B10B9C">
        <w:rPr>
          <w:rFonts w:ascii="Arial" w:hAnsi="Arial" w:cs="Arial"/>
          <w:sz w:val="22"/>
          <w:szCs w:val="22"/>
        </w:rPr>
        <w:t xml:space="preserve"> </w:t>
      </w:r>
      <w:r w:rsidR="00714CB1">
        <w:rPr>
          <w:rFonts w:ascii="Arial" w:hAnsi="Arial" w:cs="Arial"/>
          <w:sz w:val="22"/>
          <w:szCs w:val="22"/>
        </w:rPr>
        <w:t>Program</w:t>
      </w:r>
      <w:r w:rsidRPr="00D9670F">
        <w:rPr>
          <w:rFonts w:ascii="Arial" w:hAnsi="Arial" w:cs="Arial"/>
          <w:sz w:val="22"/>
          <w:szCs w:val="22"/>
        </w:rPr>
        <w:t>. We would also like to thank our research support staff who fastidiously translated and interpreted data.</w:t>
      </w:r>
    </w:p>
    <w:p w14:paraId="165D1EF5" w14:textId="4DCEC800" w:rsidR="00DD24A4" w:rsidRPr="002F6D04" w:rsidRDefault="00DD24A4" w:rsidP="00D9670F">
      <w:pPr>
        <w:spacing w:line="360" w:lineRule="auto"/>
        <w:rPr>
          <w:rFonts w:ascii="Arial" w:hAnsi="Arial" w:cs="Arial"/>
          <w:sz w:val="24"/>
          <w:szCs w:val="24"/>
          <w:lang w:val="en-US"/>
        </w:rPr>
      </w:pPr>
    </w:p>
    <w:p w14:paraId="10DB7AD6" w14:textId="12965618" w:rsidR="009C1D25" w:rsidRPr="002F6D04" w:rsidRDefault="009C1D25" w:rsidP="00D9670F">
      <w:pPr>
        <w:spacing w:line="360" w:lineRule="auto"/>
        <w:rPr>
          <w:rFonts w:ascii="Arial" w:hAnsi="Arial" w:cs="Arial"/>
          <w:b/>
          <w:bCs/>
          <w:lang w:val="en-US"/>
        </w:rPr>
      </w:pPr>
      <w:r w:rsidRPr="002F6D04">
        <w:rPr>
          <w:rFonts w:ascii="Arial" w:hAnsi="Arial" w:cs="Arial"/>
          <w:b/>
          <w:bCs/>
          <w:lang w:val="en-US"/>
        </w:rPr>
        <w:t>Re</w:t>
      </w:r>
      <w:r w:rsidR="005F4382" w:rsidRPr="002F6D04">
        <w:rPr>
          <w:rFonts w:ascii="Arial" w:hAnsi="Arial" w:cs="Arial"/>
          <w:b/>
          <w:bCs/>
          <w:lang w:val="en-US"/>
        </w:rPr>
        <w:t>ferences</w:t>
      </w:r>
    </w:p>
    <w:p w14:paraId="71738980"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Anderson, J.E. 2008. “The Path to Property Taxation.” Paper presented at Local Public Finance and Property Tax in China conference, Peking University–Lincoln Institute </w:t>
      </w:r>
      <w:proofErr w:type="spellStart"/>
      <w:r w:rsidRPr="002F6D04">
        <w:rPr>
          <w:rFonts w:ascii="Arial" w:hAnsi="Arial" w:cs="Arial"/>
          <w:sz w:val="20"/>
          <w:szCs w:val="20"/>
        </w:rPr>
        <w:t>Center</w:t>
      </w:r>
      <w:proofErr w:type="spellEnd"/>
      <w:r w:rsidRPr="002F6D04">
        <w:rPr>
          <w:rFonts w:ascii="Arial" w:hAnsi="Arial" w:cs="Arial"/>
          <w:sz w:val="20"/>
          <w:szCs w:val="20"/>
        </w:rPr>
        <w:t xml:space="preserve"> for Urban Development and Land Policy, Cambridge, MA, May 12. </w:t>
      </w:r>
    </w:p>
    <w:p w14:paraId="659CE4A2"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Beijing Government. (2014) Beijing Local Taxation Bureau. http://www.ebeijing.gov.cn/Government/Departments/t929917.htm. </w:t>
      </w:r>
    </w:p>
    <w:p w14:paraId="4EFBF4D7"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Bidanset, P. E., and Lombard, J. R. 2014a. “Evaluating Spatial Model Accuracy in Mass Real Estate Appraisal: A Comparison of Geographically Weighted Regression and the Spatial Lag Model.” Cityscape: A Journal of Policy Development and Research, 16(3). </w:t>
      </w:r>
    </w:p>
    <w:p w14:paraId="32ECBBB7"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 2014b. “The Effect of Kernel and Bandwidth Specification in Geographically Weighted Regression Models on the Accuracy and Uniformity of Mass Real Estate Appraisal.” Journal of Property Tax Assessment and Administration, 11(3), 5. </w:t>
      </w:r>
    </w:p>
    <w:p w14:paraId="3EEA2CA1"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 2016. “Optimal kernel and bandwidth specifications for geographically weighted regression: an evaluation using automated valuation models (AVMs) for mass real estate appraisal.” In J. Lombard, E. Stern, and G. Clarke (Eds.), </w:t>
      </w:r>
      <w:r w:rsidRPr="002F6D04">
        <w:rPr>
          <w:rFonts w:ascii="Arial" w:hAnsi="Arial" w:cs="Arial"/>
          <w:i/>
          <w:iCs/>
          <w:sz w:val="20"/>
          <w:szCs w:val="20"/>
        </w:rPr>
        <w:t xml:space="preserve">Applied Spatial </w:t>
      </w:r>
      <w:proofErr w:type="spellStart"/>
      <w:r w:rsidRPr="002F6D04">
        <w:rPr>
          <w:rFonts w:ascii="Arial" w:hAnsi="Arial" w:cs="Arial"/>
          <w:i/>
          <w:iCs/>
          <w:sz w:val="20"/>
          <w:szCs w:val="20"/>
        </w:rPr>
        <w:t>Modeling</w:t>
      </w:r>
      <w:proofErr w:type="spellEnd"/>
      <w:r w:rsidRPr="002F6D04">
        <w:rPr>
          <w:rFonts w:ascii="Arial" w:hAnsi="Arial" w:cs="Arial"/>
          <w:i/>
          <w:iCs/>
          <w:sz w:val="20"/>
          <w:szCs w:val="20"/>
        </w:rPr>
        <w:t xml:space="preserve"> and Planning </w:t>
      </w:r>
      <w:r w:rsidRPr="002F6D04">
        <w:rPr>
          <w:rFonts w:ascii="Arial" w:hAnsi="Arial" w:cs="Arial"/>
          <w:sz w:val="20"/>
          <w:szCs w:val="20"/>
        </w:rPr>
        <w:t xml:space="preserve">(pp. 107–120). Abingdon, United Kingdom: Routledge </w:t>
      </w:r>
    </w:p>
    <w:p w14:paraId="38BEEB77"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Bidanset, P. E., Lombard, J. R., Davis, P., McCord, M., and McCluskey, W. J. 2017. “Further Evaluating the Impact of Kernel and Bandwidth Specifications of Geographically Weighted Regression on the Equity and Uniformity of Mass Appraisal Models.” In </w:t>
      </w:r>
      <w:r w:rsidRPr="002F6D04">
        <w:rPr>
          <w:rFonts w:ascii="Arial" w:hAnsi="Arial" w:cs="Arial"/>
          <w:i/>
          <w:iCs/>
          <w:sz w:val="20"/>
          <w:szCs w:val="20"/>
        </w:rPr>
        <w:t xml:space="preserve">Advances in Automated Valuation </w:t>
      </w:r>
      <w:proofErr w:type="spellStart"/>
      <w:r w:rsidRPr="002F6D04">
        <w:rPr>
          <w:rFonts w:ascii="Arial" w:hAnsi="Arial" w:cs="Arial"/>
          <w:i/>
          <w:iCs/>
          <w:sz w:val="20"/>
          <w:szCs w:val="20"/>
        </w:rPr>
        <w:t>Modeling</w:t>
      </w:r>
      <w:proofErr w:type="spellEnd"/>
      <w:r w:rsidRPr="002F6D04">
        <w:rPr>
          <w:rFonts w:ascii="Arial" w:hAnsi="Arial" w:cs="Arial"/>
          <w:i/>
          <w:iCs/>
          <w:sz w:val="20"/>
          <w:szCs w:val="20"/>
        </w:rPr>
        <w:t xml:space="preserve"> </w:t>
      </w:r>
      <w:r w:rsidRPr="002F6D04">
        <w:rPr>
          <w:rFonts w:ascii="Arial" w:hAnsi="Arial" w:cs="Arial"/>
          <w:sz w:val="20"/>
          <w:szCs w:val="20"/>
        </w:rPr>
        <w:t xml:space="preserve">(pp. 191–199). Springer International Publishing. </w:t>
      </w:r>
    </w:p>
    <w:p w14:paraId="0F5BF8F1"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Bidanset, P. E., McCord, M., Davis, P., McCluskey, W., and Lombard, J. R. 2017. “Accounting for Locational, Temporal, and Physical Similarity of Residential Sales in Mass Appraisal </w:t>
      </w:r>
      <w:proofErr w:type="spellStart"/>
      <w:r w:rsidRPr="002F6D04">
        <w:rPr>
          <w:rFonts w:ascii="Arial" w:hAnsi="Arial" w:cs="Arial"/>
          <w:sz w:val="20"/>
          <w:szCs w:val="20"/>
        </w:rPr>
        <w:t>Modeling</w:t>
      </w:r>
      <w:proofErr w:type="spellEnd"/>
      <w:r w:rsidRPr="002F6D04">
        <w:rPr>
          <w:rFonts w:ascii="Arial" w:hAnsi="Arial" w:cs="Arial"/>
          <w:sz w:val="20"/>
          <w:szCs w:val="20"/>
        </w:rPr>
        <w:t xml:space="preserve">: The Development and Application of Geographically, Temporally, and Characteristically Weighted Regression (GTCWR).” Journal of Property Tax Assessment and Administration. 14(2), 5–13. </w:t>
      </w:r>
    </w:p>
    <w:p w14:paraId="5669FEAE"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Bird, R. M., &amp; Slack, N. E. (Eds.) 2004. </w:t>
      </w:r>
      <w:r w:rsidRPr="002F6D04">
        <w:rPr>
          <w:rFonts w:ascii="Arial" w:hAnsi="Arial" w:cs="Arial"/>
          <w:i/>
          <w:iCs/>
          <w:sz w:val="20"/>
          <w:szCs w:val="20"/>
        </w:rPr>
        <w:t>International Handbook of Land and Property Taxation</w:t>
      </w:r>
      <w:r w:rsidRPr="002F6D04">
        <w:rPr>
          <w:rFonts w:ascii="Arial" w:hAnsi="Arial" w:cs="Arial"/>
          <w:sz w:val="20"/>
          <w:szCs w:val="20"/>
        </w:rPr>
        <w:t xml:space="preserve">. Edward Elgar Publishing. </w:t>
      </w:r>
    </w:p>
    <w:p w14:paraId="3B5C3DD7"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Borst, R. 2013. “Spatio-temporal Methods in Mass Appraisal.” International Property Tax Institute. Mason Inn Conference </w:t>
      </w:r>
      <w:proofErr w:type="spellStart"/>
      <w:r w:rsidRPr="002F6D04">
        <w:rPr>
          <w:rFonts w:ascii="Arial" w:hAnsi="Arial" w:cs="Arial"/>
          <w:sz w:val="20"/>
          <w:szCs w:val="20"/>
        </w:rPr>
        <w:t>Center</w:t>
      </w:r>
      <w:proofErr w:type="spellEnd"/>
      <w:r w:rsidRPr="002F6D04">
        <w:rPr>
          <w:rFonts w:ascii="Arial" w:hAnsi="Arial" w:cs="Arial"/>
          <w:sz w:val="20"/>
          <w:szCs w:val="20"/>
        </w:rPr>
        <w:t xml:space="preserve">. Fairfax, VA. </w:t>
      </w:r>
    </w:p>
    <w:p w14:paraId="5CBD38C5"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Borst, R. and McCluskey, W. 2008. “Using geographically weighted regression to detect housing submarkets: </w:t>
      </w:r>
      <w:proofErr w:type="spellStart"/>
      <w:r w:rsidRPr="002F6D04">
        <w:rPr>
          <w:rFonts w:ascii="Arial" w:hAnsi="Arial" w:cs="Arial"/>
          <w:sz w:val="20"/>
          <w:szCs w:val="20"/>
        </w:rPr>
        <w:t>modeling</w:t>
      </w:r>
      <w:proofErr w:type="spellEnd"/>
      <w:r w:rsidRPr="002F6D04">
        <w:rPr>
          <w:rFonts w:ascii="Arial" w:hAnsi="Arial" w:cs="Arial"/>
          <w:sz w:val="20"/>
          <w:szCs w:val="20"/>
        </w:rPr>
        <w:t xml:space="preserve"> large-scale spatial variations in value.” Journal of Property Tax Assessment and Administration. 5(1). 21–54. </w:t>
      </w:r>
    </w:p>
    <w:p w14:paraId="6237CB56"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lastRenderedPageBreak/>
        <w:t>Brunsdon</w:t>
      </w:r>
      <w:proofErr w:type="spellEnd"/>
      <w:r w:rsidRPr="002F6D04">
        <w:rPr>
          <w:rFonts w:ascii="Arial" w:hAnsi="Arial" w:cs="Arial"/>
          <w:sz w:val="20"/>
          <w:szCs w:val="20"/>
        </w:rPr>
        <w:t xml:space="preserve">, C. 1998. “Geographically weighted regression: a natural evolution of the expansion method for spatial data analysis.” Environment and planning. A(30). 905–1927. </w:t>
      </w:r>
    </w:p>
    <w:p w14:paraId="1180800E"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Brunsdon</w:t>
      </w:r>
      <w:proofErr w:type="spellEnd"/>
      <w:r w:rsidRPr="002F6D04">
        <w:rPr>
          <w:rFonts w:ascii="Arial" w:hAnsi="Arial" w:cs="Arial"/>
          <w:sz w:val="20"/>
          <w:szCs w:val="20"/>
        </w:rPr>
        <w:t xml:space="preserve">, C., Fotheringham, A. S. and Charlton, M. E. 1996. “Geographically Weighted Regression: A Method for Exploring Spatial </w:t>
      </w:r>
      <w:proofErr w:type="spellStart"/>
      <w:r w:rsidRPr="002F6D04">
        <w:rPr>
          <w:rFonts w:ascii="Arial" w:hAnsi="Arial" w:cs="Arial"/>
          <w:sz w:val="20"/>
          <w:szCs w:val="20"/>
        </w:rPr>
        <w:t>Nonstationarity</w:t>
      </w:r>
      <w:proofErr w:type="spellEnd"/>
      <w:r w:rsidRPr="002F6D04">
        <w:rPr>
          <w:rFonts w:ascii="Arial" w:hAnsi="Arial" w:cs="Arial"/>
          <w:sz w:val="20"/>
          <w:szCs w:val="20"/>
        </w:rPr>
        <w:t xml:space="preserve">.” Geographical Analysis. 28. 281–298. </w:t>
      </w:r>
    </w:p>
    <w:p w14:paraId="09BD5C73"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Cao, J. and Hu, W. 2016. “A microsimulation of property tax policy in China.” Journal of Housing Economics, 33, 128–142. </w:t>
      </w:r>
    </w:p>
    <w:p w14:paraId="7464FE7B"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China Daily. 2014. http://www. chinadaily.com.cn/business/propertytax-expansion.htm. </w:t>
      </w:r>
    </w:p>
    <w:p w14:paraId="6183AE8E"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Chinese Statistical Yearbook. 2013. http://www.stats.gov.cn/tjsj/ndsj/2013/ indexeh.htm. </w:t>
      </w:r>
    </w:p>
    <w:p w14:paraId="2CE341BD"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Dale-Johnson, D. and Zhu, G. 2017. </w:t>
      </w:r>
      <w:r w:rsidRPr="002F6D04">
        <w:rPr>
          <w:rFonts w:ascii="Arial" w:hAnsi="Arial" w:cs="Arial"/>
          <w:i/>
          <w:iCs/>
          <w:sz w:val="20"/>
          <w:szCs w:val="20"/>
        </w:rPr>
        <w:t>Transition to the Property Tax in China: A Dynamic General Equilibrium Analysis</w:t>
      </w:r>
      <w:r w:rsidRPr="002F6D04">
        <w:rPr>
          <w:rFonts w:ascii="Arial" w:hAnsi="Arial" w:cs="Arial"/>
          <w:sz w:val="20"/>
          <w:szCs w:val="20"/>
        </w:rPr>
        <w:t xml:space="preserve">. </w:t>
      </w:r>
    </w:p>
    <w:p w14:paraId="5ED719B8"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Dong, H. B. (2006). “Neutrality of Taxation and Property Tax Reform, Journal of Harbin Committee School of the CCP,” 43(1), pp. 44–47 </w:t>
      </w:r>
    </w:p>
    <w:p w14:paraId="7D029D41"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Du, Z., and Zhang, L. (2015). “Home-Purchase Restriction, Property Tax and Housing Price in China: A Counterfactual Analysis.” Journal of Econometrics, 188(2), 558–568. </w:t>
      </w:r>
    </w:p>
    <w:p w14:paraId="6857B8A7"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Duda</w:t>
      </w:r>
      <w:proofErr w:type="spellEnd"/>
      <w:r w:rsidRPr="002F6D04">
        <w:rPr>
          <w:rFonts w:ascii="Arial" w:hAnsi="Arial" w:cs="Arial"/>
          <w:sz w:val="20"/>
          <w:szCs w:val="20"/>
        </w:rPr>
        <w:t xml:space="preserve">, M., Zhang, X. and Dong, M. 2005. “China’s Homeownership-Oriented Housing Policy: An Examination of Two Programs Using Survey Data from Beijing.” W05-7, Joint </w:t>
      </w:r>
      <w:proofErr w:type="spellStart"/>
      <w:r w:rsidRPr="002F6D04">
        <w:rPr>
          <w:rFonts w:ascii="Arial" w:hAnsi="Arial" w:cs="Arial"/>
          <w:sz w:val="20"/>
          <w:szCs w:val="20"/>
        </w:rPr>
        <w:t>Center</w:t>
      </w:r>
      <w:proofErr w:type="spellEnd"/>
      <w:r w:rsidRPr="002F6D04">
        <w:rPr>
          <w:rFonts w:ascii="Arial" w:hAnsi="Arial" w:cs="Arial"/>
          <w:sz w:val="20"/>
          <w:szCs w:val="20"/>
        </w:rPr>
        <w:t xml:space="preserve"> for Housing Studies, Harvard University </w:t>
      </w:r>
    </w:p>
    <w:p w14:paraId="0853CA32"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Fan, L. M. and Li, W. 2004. “Study of Property Tax Reforms,” Shui Wu Yan Jiu [Tax Review], 9, pp. 12–16 </w:t>
      </w:r>
    </w:p>
    <w:p w14:paraId="11808661"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Farber, S., and </w:t>
      </w:r>
      <w:proofErr w:type="spellStart"/>
      <w:r w:rsidRPr="002F6D04">
        <w:rPr>
          <w:rFonts w:ascii="Arial" w:hAnsi="Arial" w:cs="Arial"/>
          <w:sz w:val="20"/>
          <w:szCs w:val="20"/>
        </w:rPr>
        <w:t>Yeates</w:t>
      </w:r>
      <w:proofErr w:type="spellEnd"/>
      <w:r w:rsidRPr="002F6D04">
        <w:rPr>
          <w:rFonts w:ascii="Arial" w:hAnsi="Arial" w:cs="Arial"/>
          <w:sz w:val="20"/>
          <w:szCs w:val="20"/>
        </w:rPr>
        <w:t xml:space="preserve">, M. 2006. “A Comparison of Localized Regression Models in a Hedonic House Price Context.” Canadian Journal of Regional Science, 29(3), 405–420. </w:t>
      </w:r>
    </w:p>
    <w:p w14:paraId="1D7555FF"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Fotheringham, A. S., Crespo, R., and Yao, J. 2015. “Geographical and Temporal Weighted Regression (GTWR).” Geographical Analysis, 47(4), 431–452. </w:t>
      </w:r>
    </w:p>
    <w:p w14:paraId="3970C9EA"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Fotheringham, A.S., </w:t>
      </w:r>
      <w:proofErr w:type="spellStart"/>
      <w:r w:rsidRPr="002F6D04">
        <w:rPr>
          <w:rFonts w:ascii="Arial" w:hAnsi="Arial" w:cs="Arial"/>
          <w:sz w:val="20"/>
          <w:szCs w:val="20"/>
        </w:rPr>
        <w:t>Brunsdon</w:t>
      </w:r>
      <w:proofErr w:type="spellEnd"/>
      <w:r w:rsidRPr="002F6D04">
        <w:rPr>
          <w:rFonts w:ascii="Arial" w:hAnsi="Arial" w:cs="Arial"/>
          <w:sz w:val="20"/>
          <w:szCs w:val="20"/>
        </w:rPr>
        <w:t xml:space="preserve">, C. and Charlton, M. 2002. </w:t>
      </w:r>
      <w:r w:rsidRPr="002F6D04">
        <w:rPr>
          <w:rFonts w:ascii="Arial" w:hAnsi="Arial" w:cs="Arial"/>
          <w:i/>
          <w:iCs/>
          <w:sz w:val="20"/>
          <w:szCs w:val="20"/>
        </w:rPr>
        <w:t>Geographically Weighted Regression: The Analysis of Spatially Varying Relationships</w:t>
      </w:r>
      <w:r w:rsidRPr="002F6D04">
        <w:rPr>
          <w:rFonts w:ascii="Arial" w:hAnsi="Arial" w:cs="Arial"/>
          <w:sz w:val="20"/>
          <w:szCs w:val="20"/>
        </w:rPr>
        <w:t xml:space="preserve">. Chichester, England: Wiley. </w:t>
      </w:r>
    </w:p>
    <w:p w14:paraId="36FEEB47"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Gao, Y. H. 2005. “A Simple Analysis of Structural Problems of Real Estate Taxation in China and Reform Measures,” Economists, 11, pp. 228–228 </w:t>
      </w:r>
    </w:p>
    <w:p w14:paraId="6C94D164"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Geng</w:t>
      </w:r>
      <w:proofErr w:type="spellEnd"/>
      <w:r w:rsidRPr="002F6D04">
        <w:rPr>
          <w:rFonts w:ascii="Arial" w:hAnsi="Arial" w:cs="Arial"/>
          <w:sz w:val="20"/>
          <w:szCs w:val="20"/>
        </w:rPr>
        <w:t xml:space="preserve">, J., and Li, Y. 2012. “Empirical Analysis of Real Estate Mass Appraisal.” [J]. Engineering Journal of Wuhan University, 3. </w:t>
      </w:r>
    </w:p>
    <w:p w14:paraId="2431D7ED"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Geng</w:t>
      </w:r>
      <w:proofErr w:type="spellEnd"/>
      <w:r w:rsidRPr="002F6D04">
        <w:rPr>
          <w:rFonts w:ascii="Arial" w:hAnsi="Arial" w:cs="Arial"/>
          <w:sz w:val="20"/>
          <w:szCs w:val="20"/>
        </w:rPr>
        <w:t xml:space="preserve">, J. 2011. “Empirical Study on the Mass Appraisal of Real Estate Taxable Value.” [J]. Geospatial Information, 3. </w:t>
      </w:r>
    </w:p>
    <w:p w14:paraId="27355679"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Gloudemans</w:t>
      </w:r>
      <w:proofErr w:type="spellEnd"/>
      <w:r w:rsidRPr="002F6D04">
        <w:rPr>
          <w:rFonts w:ascii="Arial" w:hAnsi="Arial" w:cs="Arial"/>
          <w:sz w:val="20"/>
          <w:szCs w:val="20"/>
        </w:rPr>
        <w:t xml:space="preserve">, R. J., and </w:t>
      </w:r>
      <w:proofErr w:type="spellStart"/>
      <w:r w:rsidRPr="002F6D04">
        <w:rPr>
          <w:rFonts w:ascii="Arial" w:hAnsi="Arial" w:cs="Arial"/>
          <w:sz w:val="20"/>
          <w:szCs w:val="20"/>
        </w:rPr>
        <w:t>Almy</w:t>
      </w:r>
      <w:proofErr w:type="spellEnd"/>
      <w:r w:rsidRPr="002F6D04">
        <w:rPr>
          <w:rFonts w:ascii="Arial" w:hAnsi="Arial" w:cs="Arial"/>
          <w:sz w:val="20"/>
          <w:szCs w:val="20"/>
        </w:rPr>
        <w:t xml:space="preserve">, R. R. 2011. Fundamentals of mass appraisal. International Association of Assessing Officers. Kansas City, MO. </w:t>
      </w:r>
    </w:p>
    <w:p w14:paraId="44431C59"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Gollini, I., Lu, B., Charlton, M., </w:t>
      </w:r>
      <w:proofErr w:type="spellStart"/>
      <w:r w:rsidRPr="002F6D04">
        <w:rPr>
          <w:rFonts w:ascii="Arial" w:hAnsi="Arial" w:cs="Arial"/>
          <w:sz w:val="20"/>
          <w:szCs w:val="20"/>
        </w:rPr>
        <w:t>Brunsdon</w:t>
      </w:r>
      <w:proofErr w:type="spellEnd"/>
      <w:r w:rsidRPr="002F6D04">
        <w:rPr>
          <w:rFonts w:ascii="Arial" w:hAnsi="Arial" w:cs="Arial"/>
          <w:sz w:val="20"/>
          <w:szCs w:val="20"/>
        </w:rPr>
        <w:t>, C. and Harris, P. 2013. “</w:t>
      </w:r>
      <w:proofErr w:type="spellStart"/>
      <w:r w:rsidRPr="002F6D04">
        <w:rPr>
          <w:rFonts w:ascii="Arial" w:hAnsi="Arial" w:cs="Arial"/>
          <w:sz w:val="20"/>
          <w:szCs w:val="20"/>
        </w:rPr>
        <w:t>GWmodel</w:t>
      </w:r>
      <w:proofErr w:type="spellEnd"/>
      <w:r w:rsidRPr="002F6D04">
        <w:rPr>
          <w:rFonts w:ascii="Arial" w:hAnsi="Arial" w:cs="Arial"/>
          <w:sz w:val="20"/>
          <w:szCs w:val="20"/>
        </w:rPr>
        <w:t xml:space="preserve">: An R Package for Exploring Spatial Heterogeneity Using Geographically Weighted Models.” </w:t>
      </w:r>
      <w:proofErr w:type="spellStart"/>
      <w:r w:rsidRPr="002F6D04">
        <w:rPr>
          <w:rFonts w:ascii="Arial" w:hAnsi="Arial" w:cs="Arial"/>
          <w:sz w:val="20"/>
          <w:szCs w:val="20"/>
        </w:rPr>
        <w:t>arXiv</w:t>
      </w:r>
      <w:proofErr w:type="spellEnd"/>
      <w:r w:rsidRPr="002F6D04">
        <w:rPr>
          <w:rFonts w:ascii="Arial" w:hAnsi="Arial" w:cs="Arial"/>
          <w:sz w:val="20"/>
          <w:szCs w:val="20"/>
        </w:rPr>
        <w:t xml:space="preserve"> preprint arXiv:1306.0413. </w:t>
      </w:r>
    </w:p>
    <w:p w14:paraId="7A0CF23A"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Hong, Y. (Ed.). 2012. </w:t>
      </w:r>
      <w:r w:rsidRPr="002F6D04">
        <w:rPr>
          <w:rFonts w:ascii="Arial" w:hAnsi="Arial" w:cs="Arial"/>
          <w:i/>
          <w:iCs/>
          <w:sz w:val="20"/>
          <w:szCs w:val="20"/>
        </w:rPr>
        <w:t>An Introduction to China's Taxation</w:t>
      </w:r>
      <w:r w:rsidRPr="002F6D04">
        <w:rPr>
          <w:rFonts w:ascii="Arial" w:hAnsi="Arial" w:cs="Arial"/>
          <w:sz w:val="20"/>
          <w:szCs w:val="20"/>
        </w:rPr>
        <w:t xml:space="preserve">. Enrich Professional Pub Limited. </w:t>
      </w:r>
    </w:p>
    <w:p w14:paraId="5DB590A2"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Hou, Y., Ren, Q., and Zhang, P. 2014. </w:t>
      </w:r>
      <w:r w:rsidRPr="002F6D04">
        <w:rPr>
          <w:rFonts w:ascii="Arial" w:hAnsi="Arial" w:cs="Arial"/>
          <w:i/>
          <w:iCs/>
          <w:sz w:val="20"/>
          <w:szCs w:val="20"/>
        </w:rPr>
        <w:t>The Property Tax in China: History, Pilots, and Prospects (Vol. 1)</w:t>
      </w:r>
      <w:r w:rsidRPr="002F6D04">
        <w:rPr>
          <w:rFonts w:ascii="Arial" w:hAnsi="Arial" w:cs="Arial"/>
          <w:sz w:val="20"/>
          <w:szCs w:val="20"/>
        </w:rPr>
        <w:t xml:space="preserve">. Springer. </w:t>
      </w:r>
    </w:p>
    <w:p w14:paraId="24E616A7"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Jia, Y. L. and Zhou, C. Y. 2006. “Impacts of the Levy of New Real Estate Tax on the Interests of Various Sectors,” in: HIJ Foreign Economic Relation and Trade, pp. 144–126 [in Chinese]. </w:t>
      </w:r>
    </w:p>
    <w:p w14:paraId="29FFD777"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Jin</w:t>
      </w:r>
      <w:proofErr w:type="spellEnd"/>
      <w:r w:rsidRPr="002F6D04">
        <w:rPr>
          <w:rFonts w:ascii="Arial" w:hAnsi="Arial" w:cs="Arial"/>
          <w:sz w:val="20"/>
          <w:szCs w:val="20"/>
        </w:rPr>
        <w:t xml:space="preserve">, W. S. 2004. “Property Tax in Canada: Management and its Characteristics.” International Taxation in China, 9, pp. 54–58. </w:t>
      </w:r>
    </w:p>
    <w:p w14:paraId="56F9BF0E"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color w:val="222222"/>
          <w:sz w:val="20"/>
          <w:szCs w:val="20"/>
          <w:shd w:val="clear" w:color="auto" w:fill="FFFFFF"/>
        </w:rPr>
        <w:t>Jijin</w:t>
      </w:r>
      <w:proofErr w:type="spellEnd"/>
      <w:r w:rsidRPr="002F6D04">
        <w:rPr>
          <w:rFonts w:ascii="Arial" w:hAnsi="Arial" w:cs="Arial"/>
          <w:color w:val="222222"/>
          <w:sz w:val="20"/>
          <w:szCs w:val="20"/>
          <w:shd w:val="clear" w:color="auto" w:fill="FFFFFF"/>
        </w:rPr>
        <w:t xml:space="preserve">, G. E. N. G., &amp; Yan, L. I. (2012). Empirical analysis of real estate mass appraisal [J]. </w:t>
      </w:r>
      <w:r w:rsidRPr="002F6D04">
        <w:rPr>
          <w:rFonts w:ascii="Arial" w:hAnsi="Arial" w:cs="Arial"/>
          <w:i/>
          <w:iCs/>
          <w:color w:val="222222"/>
          <w:sz w:val="20"/>
          <w:szCs w:val="20"/>
        </w:rPr>
        <w:t>Engineering Journal of Wuhan University</w:t>
      </w:r>
      <w:r w:rsidRPr="002F6D04">
        <w:rPr>
          <w:rFonts w:ascii="Arial" w:hAnsi="Arial" w:cs="Arial"/>
          <w:color w:val="222222"/>
          <w:sz w:val="20"/>
          <w:szCs w:val="20"/>
          <w:shd w:val="clear" w:color="auto" w:fill="FFFFFF"/>
        </w:rPr>
        <w:t xml:space="preserve">, </w:t>
      </w:r>
      <w:r w:rsidRPr="002F6D04">
        <w:rPr>
          <w:rFonts w:ascii="Arial" w:hAnsi="Arial" w:cs="Arial"/>
          <w:i/>
          <w:iCs/>
          <w:color w:val="222222"/>
          <w:sz w:val="20"/>
          <w:szCs w:val="20"/>
        </w:rPr>
        <w:t>3</w:t>
      </w:r>
      <w:r w:rsidRPr="002F6D04">
        <w:rPr>
          <w:rFonts w:ascii="Arial" w:hAnsi="Arial" w:cs="Arial"/>
          <w:color w:val="222222"/>
          <w:sz w:val="20"/>
          <w:szCs w:val="20"/>
          <w:shd w:val="clear" w:color="auto" w:fill="FFFFFF"/>
        </w:rPr>
        <w:t>.</w:t>
      </w:r>
    </w:p>
    <w:p w14:paraId="4F73DA26"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 D. 2005. “An Analysis of the Impact of Implementing Property Tax Policy,” </w:t>
      </w:r>
      <w:proofErr w:type="spellStart"/>
      <w:r w:rsidRPr="002F6D04">
        <w:rPr>
          <w:rFonts w:ascii="Arial" w:hAnsi="Arial" w:cs="Arial"/>
          <w:sz w:val="20"/>
          <w:szCs w:val="20"/>
        </w:rPr>
        <w:t>Zhonggong</w:t>
      </w:r>
      <w:proofErr w:type="spellEnd"/>
      <w:r w:rsidRPr="002F6D04">
        <w:rPr>
          <w:rFonts w:ascii="Arial" w:hAnsi="Arial" w:cs="Arial"/>
          <w:sz w:val="20"/>
          <w:szCs w:val="20"/>
        </w:rPr>
        <w:t xml:space="preserve"> </w:t>
      </w:r>
      <w:proofErr w:type="spellStart"/>
      <w:r w:rsidRPr="002F6D04">
        <w:rPr>
          <w:rFonts w:ascii="Arial" w:hAnsi="Arial" w:cs="Arial"/>
          <w:sz w:val="20"/>
          <w:szCs w:val="20"/>
        </w:rPr>
        <w:t>Hangzhoushiwei</w:t>
      </w:r>
      <w:proofErr w:type="spellEnd"/>
      <w:r w:rsidRPr="002F6D04">
        <w:rPr>
          <w:rFonts w:ascii="Arial" w:hAnsi="Arial" w:cs="Arial"/>
          <w:sz w:val="20"/>
          <w:szCs w:val="20"/>
        </w:rPr>
        <w:t xml:space="preserve"> </w:t>
      </w:r>
      <w:proofErr w:type="spellStart"/>
      <w:r w:rsidRPr="002F6D04">
        <w:rPr>
          <w:rFonts w:ascii="Arial" w:hAnsi="Arial" w:cs="Arial"/>
          <w:sz w:val="20"/>
          <w:szCs w:val="20"/>
        </w:rPr>
        <w:t>Dangxiao</w:t>
      </w:r>
      <w:proofErr w:type="spellEnd"/>
      <w:r w:rsidRPr="002F6D04">
        <w:rPr>
          <w:rFonts w:ascii="Arial" w:hAnsi="Arial" w:cs="Arial"/>
          <w:sz w:val="20"/>
          <w:szCs w:val="20"/>
        </w:rPr>
        <w:t xml:space="preserve"> </w:t>
      </w:r>
      <w:proofErr w:type="spellStart"/>
      <w:r w:rsidRPr="002F6D04">
        <w:rPr>
          <w:rFonts w:ascii="Arial" w:hAnsi="Arial" w:cs="Arial"/>
          <w:sz w:val="20"/>
          <w:szCs w:val="20"/>
        </w:rPr>
        <w:t>Xue</w:t>
      </w:r>
      <w:proofErr w:type="spellEnd"/>
      <w:r w:rsidRPr="002F6D04">
        <w:rPr>
          <w:rFonts w:ascii="Arial" w:hAnsi="Arial" w:cs="Arial"/>
          <w:sz w:val="20"/>
          <w:szCs w:val="20"/>
        </w:rPr>
        <w:t xml:space="preserve"> Bao, 3, pp. 47–50. </w:t>
      </w:r>
    </w:p>
    <w:p w14:paraId="6A56B495"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H. 2006. “A Study on How to Improve Real Estate Taxation in China,” Journal of Guangxi University of Finance and Economics, 19(1), pp. 37–40 [in Chinese]. </w:t>
      </w:r>
    </w:p>
    <w:p w14:paraId="1B5AAA06"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J., Zhan, J. and Deng, X. 2005. “Spatio-Temporal Patterns and Driving Forces of Urban Land Expansion in China During the Economic Reform Era.” AMBIO: a journal of the human environment, 34(6), 450–456. </w:t>
      </w:r>
    </w:p>
    <w:p w14:paraId="00395F42"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M., Song, B. and Tao, R. 2006. “Perspective on Local Governance Reform in China.” China and World Economy, 14(2), 16–31. </w:t>
      </w:r>
    </w:p>
    <w:p w14:paraId="3408077F"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S. C., Wang, M., Tang, B. S. and Wong, S. W. 2006. “Computer Assisted Mass Appraisal of Real Property in Guangzhou, China.” Paper presented at The World Valuation Congress, Kuala Lumpur, Malaysia, May. </w:t>
      </w:r>
    </w:p>
    <w:p w14:paraId="33146689"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X. J. 2006. “Strengthening Regulations of Property Appraisal Profession,” China Land, 6, pp. 23–24. </w:t>
      </w:r>
    </w:p>
    <w:p w14:paraId="30AE5E00"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lastRenderedPageBreak/>
        <w:t xml:space="preserve">Liu, X. S., Sun, L. and Han, X. L. 2006. “How Should Land Use Rights Be Compensated?” China Land, 4, pp. 42–43. </w:t>
      </w:r>
    </w:p>
    <w:p w14:paraId="2C5903BD"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Y. 2006. “From Land Registration to the Registration Institute for Immobile Assets,” China Land, 1, pp. 18–20. </w:t>
      </w:r>
    </w:p>
    <w:p w14:paraId="6DF1260D"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Y., Li, H. and Wang, X. 2015. “Real Estate Appraised Model Based on GIS and VIKOR Method,” International Conference on Architectural, Civil and Hydraulics Engineering (ICACHE 2015), November 28-29, Guangzhou, China </w:t>
      </w:r>
    </w:p>
    <w:p w14:paraId="574DA9FF"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Liu, Z. 2018. “Land-Based Finance and Property Tax in China,” Working paper series 18-04, African tax Institute. </w:t>
      </w:r>
    </w:p>
    <w:p w14:paraId="597F7D6B"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Lockwood, T. and Rossini, P. 2011. “Efficacy in </w:t>
      </w:r>
      <w:proofErr w:type="spellStart"/>
      <w:r w:rsidRPr="002F6D04">
        <w:rPr>
          <w:rFonts w:ascii="Arial" w:hAnsi="Arial" w:cs="Arial"/>
          <w:sz w:val="20"/>
          <w:szCs w:val="20"/>
        </w:rPr>
        <w:t>Modeling</w:t>
      </w:r>
      <w:proofErr w:type="spellEnd"/>
      <w:r w:rsidRPr="002F6D04">
        <w:rPr>
          <w:rFonts w:ascii="Arial" w:hAnsi="Arial" w:cs="Arial"/>
          <w:sz w:val="20"/>
          <w:szCs w:val="20"/>
        </w:rPr>
        <w:t xml:space="preserve"> Location within the Mass Appraisal Process.” Pacific Rim Property Research Journal. 17(3). 418–442. </w:t>
      </w:r>
    </w:p>
    <w:p w14:paraId="2FB23189"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Man, J. Y. (Ed.). 2011. </w:t>
      </w:r>
      <w:r w:rsidRPr="002F6D04">
        <w:rPr>
          <w:rFonts w:ascii="Arial" w:hAnsi="Arial" w:cs="Arial"/>
          <w:i/>
          <w:iCs/>
          <w:sz w:val="20"/>
          <w:szCs w:val="20"/>
        </w:rPr>
        <w:t>China's Housing Reform and Outcomes</w:t>
      </w:r>
      <w:r w:rsidRPr="002F6D04">
        <w:rPr>
          <w:rFonts w:ascii="Arial" w:hAnsi="Arial" w:cs="Arial"/>
          <w:sz w:val="20"/>
          <w:szCs w:val="20"/>
        </w:rPr>
        <w:t xml:space="preserve">. Cambridge, MA: Lincoln Institute of Land Policy. </w:t>
      </w:r>
    </w:p>
    <w:p w14:paraId="62231043"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 2011. </w:t>
      </w:r>
      <w:r w:rsidRPr="002F6D04">
        <w:rPr>
          <w:rFonts w:ascii="Arial" w:hAnsi="Arial" w:cs="Arial"/>
          <w:i/>
          <w:iCs/>
          <w:sz w:val="20"/>
          <w:szCs w:val="20"/>
        </w:rPr>
        <w:t>Local Public Finance in China: An Overview. In China’s Local Public Finance in Transition</w:t>
      </w:r>
      <w:r w:rsidRPr="002F6D04">
        <w:rPr>
          <w:rFonts w:ascii="Arial" w:hAnsi="Arial" w:cs="Arial"/>
          <w:sz w:val="20"/>
          <w:szCs w:val="20"/>
        </w:rPr>
        <w:t xml:space="preserve">, eds. Joyce </w:t>
      </w:r>
      <w:proofErr w:type="spellStart"/>
      <w:r w:rsidRPr="002F6D04">
        <w:rPr>
          <w:rFonts w:ascii="Arial" w:hAnsi="Arial" w:cs="Arial"/>
          <w:sz w:val="20"/>
          <w:szCs w:val="20"/>
        </w:rPr>
        <w:t>Yanyun</w:t>
      </w:r>
      <w:proofErr w:type="spellEnd"/>
      <w:r w:rsidRPr="002F6D04">
        <w:rPr>
          <w:rFonts w:ascii="Arial" w:hAnsi="Arial" w:cs="Arial"/>
          <w:sz w:val="20"/>
          <w:szCs w:val="20"/>
        </w:rPr>
        <w:t xml:space="preserve"> Man and Yu-Hung Hong. Cambridge, MA: Lincoln Institute of Land Policy. </w:t>
      </w:r>
    </w:p>
    <w:p w14:paraId="7633BCB8"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 2012. “China's Property Tax Reform: Progress and Challenges,” Land Lines, 24, April: 15–19. http://www.lincolninst.edu/sites/default/files/pubfiles/2022_1346_chinas_property_tax_reform.pdf. </w:t>
      </w:r>
    </w:p>
    <w:p w14:paraId="39DBCBA4"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Man, J. Y., Zheng, S. and Ren. R. 2011. “Housing policy and Housing Markets: Trends, Patterns and Affordability.” In </w:t>
      </w:r>
      <w:r w:rsidRPr="002F6D04">
        <w:rPr>
          <w:rFonts w:ascii="Arial" w:hAnsi="Arial" w:cs="Arial"/>
          <w:i/>
          <w:iCs/>
          <w:sz w:val="20"/>
          <w:szCs w:val="20"/>
        </w:rPr>
        <w:t>China’s Housing Reform and Outcomes</w:t>
      </w:r>
      <w:r w:rsidRPr="002F6D04">
        <w:rPr>
          <w:rFonts w:ascii="Arial" w:hAnsi="Arial" w:cs="Arial"/>
          <w:sz w:val="20"/>
          <w:szCs w:val="20"/>
        </w:rPr>
        <w:t xml:space="preserve">, ed. Joyce </w:t>
      </w:r>
      <w:proofErr w:type="spellStart"/>
      <w:r w:rsidRPr="002F6D04">
        <w:rPr>
          <w:rFonts w:ascii="Arial" w:hAnsi="Arial" w:cs="Arial"/>
          <w:sz w:val="20"/>
          <w:szCs w:val="20"/>
        </w:rPr>
        <w:t>Yanyun</w:t>
      </w:r>
      <w:proofErr w:type="spellEnd"/>
      <w:r w:rsidRPr="002F6D04">
        <w:rPr>
          <w:rFonts w:ascii="Arial" w:hAnsi="Arial" w:cs="Arial"/>
          <w:sz w:val="20"/>
          <w:szCs w:val="20"/>
        </w:rPr>
        <w:t xml:space="preserve"> Man. Cambridge, MA: Lincoln Institute of Land Policy. </w:t>
      </w:r>
    </w:p>
    <w:p w14:paraId="40202287"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Mao, L. 2005. “A Study on China’s Current Real Estate Taxation System and Reform,” Journal of Xinjiang Finance and Economics Institute, 17(2), pp. 78–80. </w:t>
      </w:r>
    </w:p>
    <w:p w14:paraId="2BD9679E"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McCluskey, WJ., McCord, M., Davis, PT., Haran, M. and McIlhatton, D. 2013. “Prediction Accuracy in Mass Appraisal: A Comparison of Modern Approaches.” Journal of Property Research 30(4). 239–265. </w:t>
      </w:r>
    </w:p>
    <w:p w14:paraId="4E68D251"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McMillen, D.P. 2010. “Issues in Spatial Data Analysis,” Journal of Regional Science, Vol. 50 No. 1, pp. 119–141. </w:t>
      </w:r>
    </w:p>
    <w:p w14:paraId="265956ED"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Mi, X., and Ji, Y. 2009. “A Study on the Techniques of Mass Appraisal in Real Estate Tax Base and Mortgage Valuation Based on Quantile Regression.” In Management and Service Science, September, 2009. MASS'09. International Conference on (pp. 1–4). IEEE. </w:t>
      </w:r>
    </w:p>
    <w:p w14:paraId="4C689258"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Moore, J. W. and Myers, J. 2010. “Using Geographic-Attribute Weighted Regression for CAMA </w:t>
      </w:r>
      <w:proofErr w:type="spellStart"/>
      <w:r w:rsidRPr="002F6D04">
        <w:rPr>
          <w:rFonts w:ascii="Arial" w:hAnsi="Arial" w:cs="Arial"/>
          <w:sz w:val="20"/>
          <w:szCs w:val="20"/>
        </w:rPr>
        <w:t>Modeling</w:t>
      </w:r>
      <w:proofErr w:type="spellEnd"/>
      <w:r w:rsidRPr="002F6D04">
        <w:rPr>
          <w:rFonts w:ascii="Arial" w:hAnsi="Arial" w:cs="Arial"/>
          <w:sz w:val="20"/>
          <w:szCs w:val="20"/>
        </w:rPr>
        <w:t xml:space="preserve">.” Journal of Property Tax Assessment and Administration, 7(3), 5–28. </w:t>
      </w:r>
    </w:p>
    <w:p w14:paraId="62C32869"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Mou</w:t>
      </w:r>
      <w:proofErr w:type="spellEnd"/>
      <w:r w:rsidRPr="002F6D04">
        <w:rPr>
          <w:rFonts w:ascii="Arial" w:hAnsi="Arial" w:cs="Arial"/>
          <w:sz w:val="20"/>
          <w:szCs w:val="20"/>
        </w:rPr>
        <w:t xml:space="preserve">, Y., He, Q. and Zhou, B. 2017. “Detecting the Spatially Non-Stationary Relationships between Housing Price and Its Determinants in China: Guide for Housing Market Sustainability.” Sustainability , 9(10), 18–26. </w:t>
      </w:r>
    </w:p>
    <w:p w14:paraId="73F23A4E"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National Bureau of Statistics. 2009. </w:t>
      </w:r>
      <w:r w:rsidRPr="002F6D04">
        <w:rPr>
          <w:rFonts w:ascii="Arial" w:hAnsi="Arial" w:cs="Arial"/>
          <w:i/>
          <w:iCs/>
          <w:sz w:val="20"/>
          <w:szCs w:val="20"/>
        </w:rPr>
        <w:t>China Statistical Yearbook</w:t>
      </w:r>
      <w:r w:rsidRPr="002F6D04">
        <w:rPr>
          <w:rFonts w:ascii="Arial" w:hAnsi="Arial" w:cs="Arial"/>
          <w:sz w:val="20"/>
          <w:szCs w:val="20"/>
        </w:rPr>
        <w:t xml:space="preserve">. Beijing: China Statistics Press. </w:t>
      </w:r>
    </w:p>
    <w:p w14:paraId="2EB3AD56"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Nunlist</w:t>
      </w:r>
      <w:proofErr w:type="spellEnd"/>
      <w:r w:rsidRPr="002F6D04">
        <w:rPr>
          <w:rFonts w:ascii="Arial" w:hAnsi="Arial" w:cs="Arial"/>
          <w:sz w:val="20"/>
          <w:szCs w:val="20"/>
        </w:rPr>
        <w:t xml:space="preserve">, T. 2017. “Virtual Valuation: GIS-Assisted Mass Appraisal in Shenzhen, Land Lines,” 8–13. https://www.lincolninst.edu/sites/default/files/pubfiles/virtual-valuation-lla171003.pdf </w:t>
      </w:r>
    </w:p>
    <w:p w14:paraId="3E0D7E68"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Ng, J. P. 2006. “Some Theoretical Issues About Implementing Property Tax in China,” International Taxation in China, 1, pp. 5–7 </w:t>
      </w:r>
    </w:p>
    <w:p w14:paraId="4332BC03"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Salm, M. 2016. “Property Tax as a Local Government Financing Instrument for Megacities in China.” Journal of Property Tax Assessment &amp; Administration, 13(2), 5. </w:t>
      </w:r>
    </w:p>
    <w:p w14:paraId="0C638F7E"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SAT (State Administration of Taxation of the People's Republic of China). 2012. “China's Tax System.” http://www.chinatax.gov.cn/2013/n2925/n2959/c307248/content.html. </w:t>
      </w:r>
    </w:p>
    <w:p w14:paraId="6284846D"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Sun, C. and He, M. 2006. “Perfecting System of Expenses and Taxation Of Real Estate in China,” Journal of Anhui Vocational College of Metallurgy and Technology, 16(1), pp. 83–86 </w:t>
      </w:r>
    </w:p>
    <w:p w14:paraId="10D93785"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Tan, M., Li, X., </w:t>
      </w:r>
      <w:proofErr w:type="spellStart"/>
      <w:r w:rsidRPr="002F6D04">
        <w:rPr>
          <w:rFonts w:ascii="Arial" w:hAnsi="Arial" w:cs="Arial"/>
          <w:sz w:val="20"/>
          <w:szCs w:val="20"/>
        </w:rPr>
        <w:t>Xie</w:t>
      </w:r>
      <w:proofErr w:type="spellEnd"/>
      <w:r w:rsidRPr="002F6D04">
        <w:rPr>
          <w:rFonts w:ascii="Arial" w:hAnsi="Arial" w:cs="Arial"/>
          <w:sz w:val="20"/>
          <w:szCs w:val="20"/>
        </w:rPr>
        <w:t xml:space="preserve">, H. and Lu, C. 2005. “Urban Land Expansion and Arable Land Loss in China—A Case Study of Beijing–Tianjin–Hebei region.” Land use policy, 22(3), 187–196. </w:t>
      </w:r>
    </w:p>
    <w:p w14:paraId="7833AEB2"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Tang, B. S., </w:t>
      </w:r>
      <w:proofErr w:type="spellStart"/>
      <w:r w:rsidRPr="002F6D04">
        <w:rPr>
          <w:rFonts w:ascii="Arial" w:hAnsi="Arial" w:cs="Arial"/>
          <w:sz w:val="20"/>
          <w:szCs w:val="20"/>
        </w:rPr>
        <w:t>Haila</w:t>
      </w:r>
      <w:proofErr w:type="spellEnd"/>
      <w:r w:rsidRPr="002F6D04">
        <w:rPr>
          <w:rFonts w:ascii="Arial" w:hAnsi="Arial" w:cs="Arial"/>
          <w:sz w:val="20"/>
          <w:szCs w:val="20"/>
        </w:rPr>
        <w:t xml:space="preserve">, A. and Wong, S. W. 2006. “Housing Intermediary Services in China: The Rise and Fall of ‘Fang Wu Yin Hang.’” Journal of Housing and the Built Environment, 21(4), 337. </w:t>
      </w:r>
    </w:p>
    <w:p w14:paraId="5540A3F9"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Tao, Y. P. 2006. “An Analysis on the Property Tax Institutions,” Finance and Economics, 2, pp. 123–123. </w:t>
      </w:r>
    </w:p>
    <w:p w14:paraId="7572988C"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Xiao, L. L. 2005. “International Experience on Property Taxation,” Finance Economy, 12, pp. 57–58. </w:t>
      </w:r>
    </w:p>
    <w:p w14:paraId="4853268D"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Xie</w:t>
      </w:r>
      <w:proofErr w:type="spellEnd"/>
      <w:r w:rsidRPr="002F6D04">
        <w:rPr>
          <w:rFonts w:ascii="Arial" w:hAnsi="Arial" w:cs="Arial"/>
          <w:sz w:val="20"/>
          <w:szCs w:val="20"/>
        </w:rPr>
        <w:t xml:space="preserve">, </w:t>
      </w:r>
      <w:proofErr w:type="spellStart"/>
      <w:r w:rsidRPr="002F6D04">
        <w:rPr>
          <w:rFonts w:ascii="Arial" w:hAnsi="Arial" w:cs="Arial"/>
          <w:sz w:val="20"/>
          <w:szCs w:val="20"/>
        </w:rPr>
        <w:t>Fuzhan</w:t>
      </w:r>
      <w:proofErr w:type="spellEnd"/>
      <w:r w:rsidRPr="002F6D04">
        <w:rPr>
          <w:rFonts w:ascii="Arial" w:hAnsi="Arial" w:cs="Arial"/>
          <w:sz w:val="20"/>
          <w:szCs w:val="20"/>
        </w:rPr>
        <w:t xml:space="preserve">. 2005. </w:t>
      </w:r>
      <w:r w:rsidRPr="002F6D04">
        <w:rPr>
          <w:rFonts w:ascii="Arial" w:hAnsi="Arial" w:cs="Arial"/>
          <w:i/>
          <w:iCs/>
          <w:sz w:val="20"/>
          <w:szCs w:val="20"/>
        </w:rPr>
        <w:t>A Study of Real Estate Taxation in China</w:t>
      </w:r>
      <w:r w:rsidRPr="002F6D04">
        <w:rPr>
          <w:rFonts w:ascii="Arial" w:hAnsi="Arial" w:cs="Arial"/>
          <w:sz w:val="20"/>
          <w:szCs w:val="20"/>
        </w:rPr>
        <w:t xml:space="preserve">. China Land Press. </w:t>
      </w:r>
    </w:p>
    <w:p w14:paraId="38FABF9F"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sz w:val="20"/>
          <w:szCs w:val="20"/>
        </w:rPr>
        <w:t>Xie</w:t>
      </w:r>
      <w:proofErr w:type="spellEnd"/>
      <w:r w:rsidRPr="002F6D04">
        <w:rPr>
          <w:rFonts w:ascii="Arial" w:hAnsi="Arial" w:cs="Arial"/>
          <w:sz w:val="20"/>
          <w:szCs w:val="20"/>
        </w:rPr>
        <w:t xml:space="preserve">, </w:t>
      </w:r>
      <w:proofErr w:type="spellStart"/>
      <w:r w:rsidRPr="002F6D04">
        <w:rPr>
          <w:rFonts w:ascii="Arial" w:hAnsi="Arial" w:cs="Arial"/>
          <w:sz w:val="20"/>
          <w:szCs w:val="20"/>
        </w:rPr>
        <w:t>Fuzhan</w:t>
      </w:r>
      <w:proofErr w:type="spellEnd"/>
      <w:r w:rsidRPr="002F6D04">
        <w:rPr>
          <w:rFonts w:ascii="Arial" w:hAnsi="Arial" w:cs="Arial"/>
          <w:sz w:val="20"/>
          <w:szCs w:val="20"/>
        </w:rPr>
        <w:t xml:space="preserve">. 2006. </w:t>
      </w:r>
      <w:r w:rsidRPr="002F6D04">
        <w:rPr>
          <w:rFonts w:ascii="Arial" w:hAnsi="Arial" w:cs="Arial"/>
          <w:i/>
          <w:iCs/>
          <w:sz w:val="20"/>
          <w:szCs w:val="20"/>
        </w:rPr>
        <w:t>Designing China’s Real Estate Tax System</w:t>
      </w:r>
      <w:r w:rsidRPr="002F6D04">
        <w:rPr>
          <w:rFonts w:ascii="Arial" w:hAnsi="Arial" w:cs="Arial"/>
          <w:sz w:val="20"/>
          <w:szCs w:val="20"/>
        </w:rPr>
        <w:t xml:space="preserve">. China Development Press. </w:t>
      </w:r>
    </w:p>
    <w:p w14:paraId="06960CC9"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Xing, X. L. 2004. “Experience and Enlightenment of the US Real Tax on China’s Tax Policy,” Journal of Tianjin University of Commerce, 24(5), pp. 48–50 [in Chinese]. </w:t>
      </w:r>
    </w:p>
    <w:p w14:paraId="45751C36"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Yearbook, C. S. 2012. </w:t>
      </w:r>
      <w:r w:rsidRPr="002F6D04">
        <w:rPr>
          <w:rFonts w:ascii="Arial" w:hAnsi="Arial" w:cs="Arial"/>
          <w:i/>
          <w:iCs/>
          <w:sz w:val="20"/>
          <w:szCs w:val="20"/>
        </w:rPr>
        <w:t>National Bureau of statistics of China</w:t>
      </w:r>
      <w:r w:rsidRPr="002F6D04">
        <w:rPr>
          <w:rFonts w:ascii="Arial" w:hAnsi="Arial" w:cs="Arial"/>
          <w:sz w:val="20"/>
          <w:szCs w:val="20"/>
        </w:rPr>
        <w:t xml:space="preserve">. China Statistical Yearbook. </w:t>
      </w:r>
    </w:p>
    <w:p w14:paraId="72CDE444" w14:textId="77777777" w:rsidR="005F4382" w:rsidRPr="002F6D04" w:rsidRDefault="005F4382" w:rsidP="005F4382">
      <w:pPr>
        <w:pStyle w:val="Default"/>
        <w:ind w:left="851" w:hanging="851"/>
        <w:jc w:val="both"/>
        <w:rPr>
          <w:rFonts w:ascii="Arial" w:hAnsi="Arial" w:cs="Arial"/>
          <w:sz w:val="20"/>
          <w:szCs w:val="20"/>
        </w:rPr>
      </w:pPr>
      <w:proofErr w:type="spellStart"/>
      <w:r w:rsidRPr="002F6D04">
        <w:rPr>
          <w:rFonts w:ascii="Arial" w:hAnsi="Arial" w:cs="Arial"/>
          <w:color w:val="222222"/>
          <w:sz w:val="20"/>
          <w:szCs w:val="20"/>
          <w:shd w:val="clear" w:color="auto" w:fill="FFFFFF"/>
        </w:rPr>
        <w:lastRenderedPageBreak/>
        <w:t>Yicheng</w:t>
      </w:r>
      <w:proofErr w:type="spellEnd"/>
      <w:r w:rsidRPr="002F6D04">
        <w:rPr>
          <w:rFonts w:ascii="Arial" w:hAnsi="Arial" w:cs="Arial"/>
          <w:color w:val="222222"/>
          <w:sz w:val="20"/>
          <w:szCs w:val="20"/>
          <w:shd w:val="clear" w:color="auto" w:fill="FFFFFF"/>
        </w:rPr>
        <w:t xml:space="preserve">, J., &amp; </w:t>
      </w:r>
      <w:proofErr w:type="spellStart"/>
      <w:r w:rsidRPr="002F6D04">
        <w:rPr>
          <w:rFonts w:ascii="Arial" w:hAnsi="Arial" w:cs="Arial"/>
          <w:color w:val="222222"/>
          <w:sz w:val="20"/>
          <w:szCs w:val="20"/>
          <w:shd w:val="clear" w:color="auto" w:fill="FFFFFF"/>
        </w:rPr>
        <w:t>Chuanrui</w:t>
      </w:r>
      <w:proofErr w:type="spellEnd"/>
      <w:r w:rsidRPr="002F6D04">
        <w:rPr>
          <w:rFonts w:ascii="Arial" w:hAnsi="Arial" w:cs="Arial"/>
          <w:color w:val="222222"/>
          <w:sz w:val="20"/>
          <w:szCs w:val="20"/>
          <w:shd w:val="clear" w:color="auto" w:fill="FFFFFF"/>
        </w:rPr>
        <w:t xml:space="preserve">, F. (2005). Mass Appraisal: A Tax Base Appraisal Method for Ad Valorem Tax [J]. </w:t>
      </w:r>
      <w:r w:rsidRPr="002F6D04">
        <w:rPr>
          <w:rFonts w:ascii="Arial" w:hAnsi="Arial" w:cs="Arial"/>
          <w:i/>
          <w:iCs/>
          <w:color w:val="222222"/>
          <w:sz w:val="20"/>
          <w:szCs w:val="20"/>
        </w:rPr>
        <w:t>The Journal of Assets Appraisal</w:t>
      </w:r>
      <w:r w:rsidRPr="002F6D04">
        <w:rPr>
          <w:rFonts w:ascii="Arial" w:hAnsi="Arial" w:cs="Arial"/>
          <w:color w:val="222222"/>
          <w:sz w:val="20"/>
          <w:szCs w:val="20"/>
          <w:shd w:val="clear" w:color="auto" w:fill="FFFFFF"/>
        </w:rPr>
        <w:t xml:space="preserve">, </w:t>
      </w:r>
      <w:r w:rsidRPr="002F6D04">
        <w:rPr>
          <w:rFonts w:ascii="Arial" w:hAnsi="Arial" w:cs="Arial"/>
          <w:i/>
          <w:iCs/>
          <w:color w:val="222222"/>
          <w:sz w:val="20"/>
          <w:szCs w:val="20"/>
        </w:rPr>
        <w:t>11</w:t>
      </w:r>
      <w:r w:rsidRPr="002F6D04">
        <w:rPr>
          <w:rFonts w:ascii="Arial" w:hAnsi="Arial" w:cs="Arial"/>
          <w:color w:val="222222"/>
          <w:sz w:val="20"/>
          <w:szCs w:val="20"/>
          <w:shd w:val="clear" w:color="auto" w:fill="FFFFFF"/>
        </w:rPr>
        <w:t>.</w:t>
      </w:r>
    </w:p>
    <w:p w14:paraId="5FBAEA9B"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Yiping, X. 2007. “Valuing Property Tax Base According to Prices of Benchmark Property, Appraisal Journal of China, 11, 003. </w:t>
      </w:r>
    </w:p>
    <w:p w14:paraId="41755D96"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Zhang, J. C. 2003a. “A Review on the UK’s Local Taxation System,” Modern Finance and Economics, 163(23), pp. 17–21. </w:t>
      </w:r>
    </w:p>
    <w:p w14:paraId="4E9423A0" w14:textId="77777777" w:rsidR="005F4382" w:rsidRPr="002F6D04" w:rsidRDefault="005F4382" w:rsidP="005F4382">
      <w:pPr>
        <w:pStyle w:val="Default"/>
        <w:ind w:left="851" w:hanging="851"/>
        <w:jc w:val="both"/>
        <w:rPr>
          <w:rFonts w:ascii="Arial" w:hAnsi="Arial" w:cs="Arial"/>
          <w:sz w:val="20"/>
          <w:szCs w:val="20"/>
        </w:rPr>
      </w:pPr>
      <w:r w:rsidRPr="002F6D04">
        <w:rPr>
          <w:rFonts w:ascii="Arial" w:hAnsi="Arial" w:cs="Arial"/>
          <w:sz w:val="20"/>
          <w:szCs w:val="20"/>
        </w:rPr>
        <w:t xml:space="preserve">———. 2003b. “An Analysis on the Framework and Structural Characteristics of the UK Local Tax System,” Modern Finance and Economics, 163(8), pp. 17–21. </w:t>
      </w:r>
    </w:p>
    <w:p w14:paraId="2C71A34C" w14:textId="77777777" w:rsidR="005F4382" w:rsidRPr="005F4382" w:rsidRDefault="005F4382" w:rsidP="00D9670F">
      <w:pPr>
        <w:spacing w:line="360" w:lineRule="auto"/>
        <w:rPr>
          <w:rFonts w:ascii="Arial" w:hAnsi="Arial" w:cs="Arial"/>
        </w:rPr>
      </w:pPr>
    </w:p>
    <w:p w14:paraId="269F716A" w14:textId="77777777" w:rsidR="009C1D25" w:rsidRPr="00D9670F" w:rsidRDefault="009C1D25" w:rsidP="00D9670F">
      <w:pPr>
        <w:spacing w:line="360" w:lineRule="auto"/>
        <w:rPr>
          <w:rFonts w:ascii="Arial" w:hAnsi="Arial" w:cs="Arial"/>
          <w:lang w:val="en-US"/>
        </w:rPr>
      </w:pPr>
    </w:p>
    <w:sectPr w:rsidR="009C1D25" w:rsidRPr="00D967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C1EB7" w14:textId="77777777" w:rsidR="005977BD" w:rsidRDefault="005977BD" w:rsidP="00DD24A4">
      <w:pPr>
        <w:spacing w:after="0" w:line="240" w:lineRule="auto"/>
      </w:pPr>
      <w:r>
        <w:separator/>
      </w:r>
    </w:p>
  </w:endnote>
  <w:endnote w:type="continuationSeparator" w:id="0">
    <w:p w14:paraId="2BD46431" w14:textId="77777777" w:rsidR="005977BD" w:rsidRDefault="005977BD" w:rsidP="00DD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Cambria"/>
    <w:panose1 w:val="00000000000000000000"/>
    <w:charset w:val="00"/>
    <w:family w:val="swiss"/>
    <w:notTrueType/>
    <w:pitch w:val="default"/>
    <w:sig w:usb0="00000003" w:usb1="00000000" w:usb2="00000000" w:usb3="00000000" w:csb0="00000001" w:csb1="00000000"/>
  </w:font>
  <w:font w:name="Palatino">
    <w:altName w:val="Palatino Linotype"/>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71DD8" w14:textId="77777777" w:rsidR="005977BD" w:rsidRDefault="005977BD" w:rsidP="00DD24A4">
      <w:pPr>
        <w:spacing w:after="0" w:line="240" w:lineRule="auto"/>
      </w:pPr>
      <w:r>
        <w:separator/>
      </w:r>
    </w:p>
  </w:footnote>
  <w:footnote w:type="continuationSeparator" w:id="0">
    <w:p w14:paraId="6DFA2E17" w14:textId="77777777" w:rsidR="005977BD" w:rsidRDefault="005977BD" w:rsidP="00DD24A4">
      <w:pPr>
        <w:spacing w:after="0" w:line="240" w:lineRule="auto"/>
      </w:pPr>
      <w:r>
        <w:continuationSeparator/>
      </w:r>
    </w:p>
  </w:footnote>
  <w:footnote w:id="1">
    <w:p w14:paraId="02D161E7" w14:textId="5B599030" w:rsidR="00E16580" w:rsidRPr="00800401" w:rsidRDefault="00E16580">
      <w:pPr>
        <w:pStyle w:val="FootnoteText"/>
        <w:rPr>
          <w:rFonts w:ascii="Arial" w:hAnsi="Arial" w:cs="Arial"/>
          <w:sz w:val="16"/>
          <w:szCs w:val="14"/>
          <w:lang w:val="en-GB"/>
        </w:rPr>
      </w:pPr>
      <w:r w:rsidRPr="00800401">
        <w:rPr>
          <w:rStyle w:val="FootnoteReference"/>
          <w:rFonts w:ascii="Arial" w:hAnsi="Arial" w:cs="Arial"/>
          <w:sz w:val="18"/>
          <w:szCs w:val="14"/>
        </w:rPr>
        <w:footnoteRef/>
      </w:r>
      <w:r w:rsidRPr="00800401">
        <w:rPr>
          <w:rFonts w:ascii="Arial" w:hAnsi="Arial" w:cs="Arial"/>
          <w:sz w:val="16"/>
          <w:szCs w:val="14"/>
        </w:rPr>
        <w:t xml:space="preserve"> Premised on longstanding work by Michael </w:t>
      </w:r>
      <w:r w:rsidRPr="00800401">
        <w:rPr>
          <w:rFonts w:ascii="Arial" w:hAnsi="Arial" w:cs="Arial"/>
          <w:sz w:val="16"/>
          <w:szCs w:val="14"/>
          <w:lang w:val="en-GB"/>
        </w:rPr>
        <w:t xml:space="preserve">Lomax and Elton Yuen </w:t>
      </w:r>
    </w:p>
  </w:footnote>
  <w:footnote w:id="2">
    <w:p w14:paraId="35A58122" w14:textId="77777777" w:rsidR="00E16580" w:rsidRPr="0069581C" w:rsidRDefault="00E16580" w:rsidP="00DD24A4">
      <w:r w:rsidRPr="00800401">
        <w:rPr>
          <w:rFonts w:ascii="Arial" w:hAnsi="Arial" w:cs="Arial"/>
          <w:sz w:val="14"/>
          <w:szCs w:val="16"/>
          <w:vertAlign w:val="superscript"/>
        </w:rPr>
        <w:footnoteRef/>
      </w:r>
      <w:r w:rsidRPr="00800401">
        <w:rPr>
          <w:rFonts w:ascii="Arial" w:hAnsi="Arial" w:cs="Arial"/>
          <w:sz w:val="14"/>
          <w:szCs w:val="16"/>
          <w:vertAlign w:val="superscript"/>
        </w:rPr>
        <w:t xml:space="preserve"> </w:t>
      </w:r>
      <w:r w:rsidRPr="00800401">
        <w:rPr>
          <w:rFonts w:ascii="Arial" w:hAnsi="Arial" w:cs="Arial"/>
          <w:sz w:val="16"/>
          <w:szCs w:val="18"/>
        </w:rPr>
        <w:t>Effective January (2017).</w:t>
      </w:r>
    </w:p>
  </w:footnote>
  <w:footnote w:id="3">
    <w:p w14:paraId="2957C142" w14:textId="55C5E985" w:rsidR="00E16580" w:rsidRPr="00877B14" w:rsidRDefault="00E16580" w:rsidP="00DD24A4">
      <w:pPr>
        <w:pStyle w:val="FootnoteText"/>
        <w:rPr>
          <w:rFonts w:ascii="Arial" w:hAnsi="Arial" w:cs="Arial"/>
          <w:color w:val="0563C1"/>
          <w:sz w:val="18"/>
          <w:szCs w:val="18"/>
          <w:u w:val="single" w:color="0563C1"/>
        </w:rPr>
      </w:pPr>
      <w:r w:rsidRPr="00877B14">
        <w:rPr>
          <w:rStyle w:val="FootnoteReference"/>
          <w:rFonts w:ascii="Arial" w:hAnsi="Arial" w:cs="Arial"/>
        </w:rPr>
        <w:footnoteRef/>
      </w:r>
      <w:r w:rsidRPr="00877B14">
        <w:rPr>
          <w:rFonts w:ascii="Arial" w:hAnsi="Arial" w:cs="Arial"/>
        </w:rPr>
        <w:t xml:space="preserve"> </w:t>
      </w:r>
      <w:hyperlink r:id="rId1">
        <w:r w:rsidRPr="00877B14">
          <w:rPr>
            <w:rFonts w:ascii="Arial" w:hAnsi="Arial" w:cs="Arial"/>
            <w:color w:val="0563C1"/>
            <w:sz w:val="18"/>
            <w:szCs w:val="18"/>
            <w:u w:color="0563C1"/>
          </w:rPr>
          <w:t>http://www.fang.com/</w:t>
        </w:r>
      </w:hyperlink>
      <w:r w:rsidR="00877B14">
        <w:rPr>
          <w:rFonts w:ascii="Arial" w:hAnsi="Arial" w:cs="Arial"/>
          <w:color w:val="0563C1"/>
          <w:sz w:val="18"/>
          <w:szCs w:val="18"/>
          <w:u w:color="0563C1"/>
        </w:rPr>
        <w:t>.</w:t>
      </w:r>
      <w:r w:rsidRPr="00877B14">
        <w:rPr>
          <w:rFonts w:ascii="Arial" w:hAnsi="Arial" w:cs="Arial"/>
          <w:color w:val="0563C1"/>
          <w:sz w:val="18"/>
          <w:szCs w:val="18"/>
          <w:u w:color="0563C1"/>
        </w:rPr>
        <w:t xml:space="preserve">  https://www.anjuke.com/</w:t>
      </w:r>
      <w:r w:rsidR="00877B14">
        <w:rPr>
          <w:rFonts w:ascii="Arial" w:hAnsi="Arial" w:cs="Arial"/>
          <w:color w:val="0563C1"/>
          <w:sz w:val="18"/>
          <w:szCs w:val="18"/>
          <w:u w:color="0563C1"/>
        </w:rPr>
        <w:t>.</w:t>
      </w:r>
      <w:hyperlink r:id="rId2" w:history="1">
        <w:r w:rsidR="00877B14" w:rsidRPr="00137ACA">
          <w:rPr>
            <w:rStyle w:val="Hyperlink"/>
            <w:rFonts w:ascii="Arial" w:hAnsi="Arial" w:cs="Arial"/>
            <w:sz w:val="18"/>
            <w:szCs w:val="18"/>
          </w:rPr>
          <w:t xml:space="preserve"> </w:t>
        </w:r>
      </w:hyperlink>
      <w:r w:rsidRPr="00877B14">
        <w:rPr>
          <w:rFonts w:ascii="Arial" w:hAnsi="Arial" w:cs="Arial"/>
          <w:sz w:val="18"/>
          <w:szCs w:val="18"/>
        </w:rPr>
        <w:t xml:space="preserve"> </w:t>
      </w:r>
      <w:r w:rsidRPr="00877B14">
        <w:rPr>
          <w:rFonts w:ascii="Arial" w:hAnsi="Arial" w:cs="Arial"/>
          <w:color w:val="0563C1"/>
          <w:sz w:val="18"/>
          <w:szCs w:val="18"/>
        </w:rPr>
        <w:t>https://www.lianjia.com</w:t>
      </w:r>
      <w:r w:rsidR="00877B14">
        <w:rPr>
          <w:rFonts w:ascii="Arial" w:hAnsi="Arial" w:cs="Arial"/>
          <w:color w:val="0563C1"/>
          <w:sz w:val="18"/>
          <w:szCs w:val="18"/>
        </w:rPr>
        <w:t>.</w:t>
      </w:r>
    </w:p>
  </w:footnote>
  <w:footnote w:id="4">
    <w:p w14:paraId="269DCB88" w14:textId="75B61FAB" w:rsidR="00E16580" w:rsidRDefault="00E16580" w:rsidP="00DD24A4">
      <w:pPr>
        <w:pStyle w:val="NoSpacing"/>
      </w:pPr>
      <w:r>
        <w:rPr>
          <w:rStyle w:val="FootnoteReference"/>
        </w:rPr>
        <w:footnoteRef/>
      </w:r>
      <w:r>
        <w:t xml:space="preserve"> </w:t>
      </w:r>
      <w:r>
        <w:rPr>
          <w:sz w:val="20"/>
          <w:szCs w:val="20"/>
        </w:rPr>
        <w:t>A</w:t>
      </w:r>
      <w:r w:rsidRPr="00C1081D">
        <w:rPr>
          <w:sz w:val="20"/>
          <w:szCs w:val="20"/>
        </w:rPr>
        <w:t xml:space="preserve">s a consequence of the above websites </w:t>
      </w:r>
      <w:r>
        <w:rPr>
          <w:sz w:val="20"/>
          <w:szCs w:val="20"/>
        </w:rPr>
        <w:t xml:space="preserve">only providing listing pricing information, we endeavored to validate the analysis for a random subset of markets </w:t>
      </w:r>
      <w:r w:rsidRPr="00C1081D">
        <w:rPr>
          <w:sz w:val="20"/>
          <w:szCs w:val="20"/>
        </w:rPr>
        <w:t>using sales data from other sources</w:t>
      </w:r>
      <w:r>
        <w:rPr>
          <w:sz w:val="20"/>
          <w:szCs w:val="20"/>
        </w:rPr>
        <w:t xml:space="preserve"> in order to test for potential discrepancies and adjust according</w:t>
      </w:r>
      <w:r w:rsidR="003070A9">
        <w:rPr>
          <w:sz w:val="20"/>
          <w:szCs w:val="20"/>
        </w:rPr>
        <w:t>l</w:t>
      </w:r>
      <w:r>
        <w:rPr>
          <w:sz w:val="20"/>
          <w:szCs w:val="20"/>
        </w:rPr>
        <w:t>y.</w:t>
      </w:r>
    </w:p>
    <w:p w14:paraId="0E95EFFC" w14:textId="77777777" w:rsidR="00E16580" w:rsidRPr="00C1081D" w:rsidRDefault="00E16580" w:rsidP="00DD24A4">
      <w:pPr>
        <w:pStyle w:val="FootnoteText"/>
      </w:pPr>
    </w:p>
  </w:footnote>
  <w:footnote w:id="5">
    <w:p w14:paraId="29244647" w14:textId="77777777" w:rsidR="00E16580" w:rsidRPr="00877B14" w:rsidRDefault="00E16580" w:rsidP="00DD24A4">
      <w:pPr>
        <w:pStyle w:val="FootnoteText"/>
        <w:jc w:val="both"/>
        <w:rPr>
          <w:rFonts w:ascii="Arial" w:hAnsi="Arial" w:cs="Arial"/>
          <w:sz w:val="18"/>
          <w:szCs w:val="18"/>
        </w:rPr>
      </w:pPr>
      <w:r w:rsidRPr="00BA32A1">
        <w:rPr>
          <w:rStyle w:val="FootnoteReference"/>
        </w:rPr>
        <w:footnoteRef/>
      </w:r>
      <w:r w:rsidRPr="00BA32A1">
        <w:t xml:space="preserve"> </w:t>
      </w:r>
      <w:r w:rsidRPr="00877B14">
        <w:rPr>
          <w:rFonts w:ascii="Arial" w:hAnsi="Arial" w:cs="Arial"/>
          <w:sz w:val="18"/>
          <w:szCs w:val="18"/>
        </w:rPr>
        <w:t>Mahalanobis distance is a multi-dimensional generalization of the idea of measuring how many standard deviations away P is from the mean of the distribution (D). This distance is zero if P is at the mean of D, and grows as P moves away from the mean along each principal component axis. If each of these axes is re-scaled to have unit variance, then the distance corresponds to standard Euclidean distance in the transformed space. The distance is thus unitless and scale-invariant, and takes into account the correlations of the data set.</w:t>
      </w:r>
    </w:p>
  </w:footnote>
  <w:footnote w:id="6">
    <w:p w14:paraId="6FA8E051" w14:textId="77777777" w:rsidR="00E16580" w:rsidRPr="00877298" w:rsidRDefault="00E16580" w:rsidP="00DD24A4">
      <w:pPr>
        <w:pStyle w:val="FootnoteText"/>
        <w:jc w:val="both"/>
        <w:rPr>
          <w:sz w:val="20"/>
          <w:lang w:val="en-GB"/>
        </w:rPr>
      </w:pPr>
      <w:r w:rsidRPr="00877B14">
        <w:rPr>
          <w:rStyle w:val="FootnoteReference"/>
          <w:rFonts w:ascii="Arial" w:hAnsi="Arial" w:cs="Arial"/>
          <w:sz w:val="18"/>
          <w:szCs w:val="18"/>
        </w:rPr>
        <w:footnoteRef/>
      </w:r>
      <w:r w:rsidRPr="00877B14">
        <w:rPr>
          <w:rFonts w:ascii="Arial" w:hAnsi="Arial" w:cs="Arial"/>
          <w:sz w:val="18"/>
          <w:szCs w:val="18"/>
        </w:rPr>
        <w:t xml:space="preserve"> </w:t>
      </w:r>
      <w:r w:rsidRPr="00877B14">
        <w:rPr>
          <w:rFonts w:ascii="Arial" w:hAnsi="Arial" w:cs="Arial"/>
          <w:kern w:val="28"/>
          <w:sz w:val="18"/>
          <w:szCs w:val="18"/>
        </w:rPr>
        <w:t>For example, the City of Baoding revealed 14 cases of standardised residuals beyond the acceptable threshold, however this is out of 1,239 observations equating to 1.12%.</w:t>
      </w:r>
    </w:p>
  </w:footnote>
  <w:footnote w:id="7">
    <w:p w14:paraId="3CB26B0D" w14:textId="77777777" w:rsidR="00E16580" w:rsidRDefault="00E16580" w:rsidP="00DD24A4">
      <w:pPr>
        <w:spacing w:line="246" w:lineRule="auto"/>
        <w:ind w:right="88"/>
        <w:jc w:val="both"/>
      </w:pPr>
      <w:r w:rsidRPr="00390587">
        <w:rPr>
          <w:vertAlign w:val="superscript"/>
        </w:rPr>
        <w:footnoteRef/>
      </w:r>
      <w:r w:rsidRPr="00877B14">
        <w:rPr>
          <w:rFonts w:ascii="Arial" w:eastAsia="Calibri" w:hAnsi="Arial" w:cs="Arial"/>
          <w:sz w:val="18"/>
          <w:szCs w:val="20"/>
        </w:rPr>
        <w:t>Assessment-to-sale ratios (ASRs) are a common way to measure valuation accuracy within property tax valuation, where the estimated value of a property is divided by the sale price or in regression terminology, the predicted value (ŷ) is divided by the observed value (y); valuations with an ASR greater than (less than) one are considered overvalued (undervalued).</w:t>
      </w:r>
      <w:r w:rsidRPr="00877B14">
        <w:rPr>
          <w:rFonts w:ascii="Calibri" w:eastAsia="Calibri" w:hAnsi="Calibri" w:cs="Calibri"/>
          <w:sz w:val="18"/>
          <w:szCs w:val="20"/>
        </w:rPr>
        <w:t xml:space="preserve"> </w:t>
      </w:r>
    </w:p>
  </w:footnote>
  <w:footnote w:id="8">
    <w:p w14:paraId="23C1B3A8" w14:textId="1F71F2A9" w:rsidR="00E16580" w:rsidRPr="004C5799" w:rsidRDefault="00E16580" w:rsidP="00DD24A4">
      <w:pPr>
        <w:pStyle w:val="FootnoteText"/>
        <w:rPr>
          <w:sz w:val="18"/>
          <w:szCs w:val="18"/>
        </w:rPr>
      </w:pPr>
      <w:r w:rsidRPr="004C5799">
        <w:rPr>
          <w:rStyle w:val="FootnoteReference"/>
          <w:sz w:val="18"/>
          <w:szCs w:val="18"/>
        </w:rPr>
        <w:footnoteRef/>
      </w:r>
      <w:r w:rsidRPr="004C5799">
        <w:rPr>
          <w:sz w:val="18"/>
          <w:szCs w:val="18"/>
        </w:rPr>
        <w:t xml:space="preserve"> See Gollini </w:t>
      </w:r>
      <w:r w:rsidR="00D47BE6" w:rsidRPr="00D47BE6">
        <w:rPr>
          <w:i/>
          <w:iCs/>
          <w:sz w:val="18"/>
          <w:szCs w:val="18"/>
        </w:rPr>
        <w:t>et al.</w:t>
      </w:r>
      <w:r w:rsidRPr="004C5799">
        <w:rPr>
          <w:sz w:val="18"/>
          <w:szCs w:val="18"/>
        </w:rPr>
        <w:t xml:space="preserve"> (2013) and Bidanset and Lombard 2014b for a full discussion.</w:t>
      </w:r>
    </w:p>
  </w:footnote>
  <w:footnote w:id="9">
    <w:p w14:paraId="5915F704" w14:textId="77777777" w:rsidR="00E16580" w:rsidRPr="00950BF2" w:rsidRDefault="00E16580" w:rsidP="00DD24A4">
      <w:pPr>
        <w:pStyle w:val="FootnoteText"/>
        <w:rPr>
          <w:rFonts w:ascii="Arial" w:hAnsi="Arial" w:cs="Arial"/>
          <w:sz w:val="18"/>
          <w:szCs w:val="18"/>
        </w:rPr>
      </w:pPr>
    </w:p>
  </w:footnote>
  <w:footnote w:id="10">
    <w:p w14:paraId="62DFEB4F" w14:textId="77777777" w:rsidR="00E16580" w:rsidRPr="00B9000D" w:rsidRDefault="00E16580" w:rsidP="00DD24A4">
      <w:pPr>
        <w:pStyle w:val="FootnoteText"/>
      </w:pPr>
      <w:r w:rsidRPr="00D664BB">
        <w:rPr>
          <w:rStyle w:val="FootnoteReference"/>
          <w:sz w:val="20"/>
        </w:rPr>
        <w:footnoteRef/>
      </w:r>
      <w:r w:rsidRPr="00D664BB">
        <w:rPr>
          <w:sz w:val="20"/>
        </w:rPr>
        <w:t xml:space="preserve"> </w:t>
      </w:r>
      <w:r w:rsidRPr="0069096F">
        <w:rPr>
          <w:rFonts w:ascii="Arial" w:hAnsi="Arial" w:cs="Arial"/>
          <w:sz w:val="18"/>
          <w:szCs w:val="18"/>
        </w:rPr>
        <w:t>This coefficient encompasses the range from South-east to South-West.</w:t>
      </w:r>
    </w:p>
  </w:footnote>
  <w:footnote w:id="11">
    <w:p w14:paraId="33196A50" w14:textId="28CB254B" w:rsidR="00E16580" w:rsidRPr="00D9670F" w:rsidRDefault="00E16580">
      <w:pPr>
        <w:pStyle w:val="FootnoteText"/>
      </w:pPr>
      <w:r>
        <w:rPr>
          <w:rStyle w:val="FootnoteReference"/>
        </w:rPr>
        <w:footnoteRef/>
      </w:r>
      <w:r>
        <w:t xml:space="preserve"> </w:t>
      </w:r>
      <w:r w:rsidRPr="00D9670F">
        <w:rPr>
          <w:rFonts w:ascii="Arial" w:hAnsi="Arial" w:cs="Arial"/>
          <w:sz w:val="18"/>
          <w:szCs w:val="16"/>
        </w:rPr>
        <w:t>Full model coefficients are available upon request</w:t>
      </w:r>
    </w:p>
  </w:footnote>
  <w:footnote w:id="12">
    <w:p w14:paraId="43532B1D" w14:textId="77777777" w:rsidR="00E16580" w:rsidRPr="002264E8" w:rsidRDefault="00E16580">
      <w:pPr>
        <w:pStyle w:val="FootnoteText"/>
        <w:rPr>
          <w:lang w:val="en-GB"/>
        </w:rPr>
      </w:pPr>
      <w:r>
        <w:rPr>
          <w:rStyle w:val="FootnoteReference"/>
        </w:rPr>
        <w:footnoteRef/>
      </w:r>
      <w:r>
        <w:t xml:space="preserve"> </w:t>
      </w:r>
      <w:r w:rsidRPr="00D9670F">
        <w:rPr>
          <w:rFonts w:ascii="Arial" w:hAnsi="Arial" w:cs="Arial"/>
          <w:sz w:val="18"/>
          <w:szCs w:val="16"/>
        </w:rPr>
        <w:t>model coefficients are available upon request.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6A4C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1CEB60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2C871F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D1A24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E86D2D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61A6C3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E1CD11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B7E1F8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51E7C1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2FE39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04AD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282D"/>
    <w:multiLevelType w:val="hybridMultilevel"/>
    <w:tmpl w:val="B7061482"/>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2" w15:restartNumberingAfterBreak="0">
    <w:nsid w:val="02BD48FD"/>
    <w:multiLevelType w:val="hybridMultilevel"/>
    <w:tmpl w:val="A9F807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B70706"/>
    <w:multiLevelType w:val="hybridMultilevel"/>
    <w:tmpl w:val="5A20DA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C7929DA"/>
    <w:multiLevelType w:val="hybridMultilevel"/>
    <w:tmpl w:val="B48E386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5" w15:restartNumberingAfterBreak="0">
    <w:nsid w:val="0F1A1DC7"/>
    <w:multiLevelType w:val="hybridMultilevel"/>
    <w:tmpl w:val="323EE424"/>
    <w:lvl w:ilvl="0" w:tplc="F7EE05BE">
      <w:start w:val="1"/>
      <w:numFmt w:val="lowerLetter"/>
      <w:lvlText w:val="%1)"/>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D4A7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618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EBB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80C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50AD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276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8BD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4817B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AD0B94"/>
    <w:multiLevelType w:val="hybridMultilevel"/>
    <w:tmpl w:val="622C8AC2"/>
    <w:lvl w:ilvl="0" w:tplc="AF06174C">
      <w:start w:val="1"/>
      <w:numFmt w:val="lowerLetter"/>
      <w:lvlText w:val="%1."/>
      <w:lvlJc w:val="left"/>
      <w:pPr>
        <w:ind w:left="1069" w:hanging="360"/>
      </w:pPr>
      <w:rPr>
        <w:rFonts w:hint="default"/>
        <w:vertAlign w:val="superscrip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15C43951"/>
    <w:multiLevelType w:val="singleLevel"/>
    <w:tmpl w:val="5B86B6F0"/>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7593CB7"/>
    <w:multiLevelType w:val="hybridMultilevel"/>
    <w:tmpl w:val="A81E2008"/>
    <w:lvl w:ilvl="0" w:tplc="D706820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2D9574A9"/>
    <w:multiLevelType w:val="hybridMultilevel"/>
    <w:tmpl w:val="AE045B6E"/>
    <w:lvl w:ilvl="0" w:tplc="184692B0">
      <w:start w:val="1"/>
      <w:numFmt w:val="bullet"/>
      <w:lvlText w:val="•"/>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36C3C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889C9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428B8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D0843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128C9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8A4E9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A669B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68C2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407175"/>
    <w:multiLevelType w:val="hybridMultilevel"/>
    <w:tmpl w:val="D4A09C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77208C"/>
    <w:multiLevelType w:val="hybridMultilevel"/>
    <w:tmpl w:val="56624E70"/>
    <w:lvl w:ilvl="0" w:tplc="0D723A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C9212D"/>
    <w:multiLevelType w:val="hybridMultilevel"/>
    <w:tmpl w:val="66BC9B02"/>
    <w:lvl w:ilvl="0" w:tplc="4A3EB522">
      <w:start w:val="1"/>
      <w:numFmt w:val="bullet"/>
      <w:pStyle w:val="W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47572"/>
    <w:multiLevelType w:val="hybridMultilevel"/>
    <w:tmpl w:val="DD84A5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8E79A1"/>
    <w:multiLevelType w:val="hybridMultilevel"/>
    <w:tmpl w:val="E1BA26C4"/>
    <w:lvl w:ilvl="0" w:tplc="76FC025E">
      <w:start w:val="1"/>
      <w:numFmt w:val="lowerLetter"/>
      <w:lvlText w:val="%1)"/>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C0C32">
      <w:start w:val="1"/>
      <w:numFmt w:val="bullet"/>
      <w:lvlText w:val="•"/>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00F4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5C6A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B460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709E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FED2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DA72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34F7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BE3C59"/>
    <w:multiLevelType w:val="hybridMultilevel"/>
    <w:tmpl w:val="A978D2BC"/>
    <w:lvl w:ilvl="0" w:tplc="FF32AD1C">
      <w:start w:val="1"/>
      <w:numFmt w:val="decimal"/>
      <w:lvlText w:val="%1."/>
      <w:lvlJc w:val="left"/>
      <w:pPr>
        <w:ind w:left="545" w:hanging="360"/>
      </w:pPr>
      <w:rPr>
        <w:rFonts w:hint="default"/>
        <w:b/>
      </w:rPr>
    </w:lvl>
    <w:lvl w:ilvl="1" w:tplc="08090019" w:tentative="1">
      <w:start w:val="1"/>
      <w:numFmt w:val="lowerLetter"/>
      <w:lvlText w:val="%2."/>
      <w:lvlJc w:val="left"/>
      <w:pPr>
        <w:ind w:left="1265" w:hanging="360"/>
      </w:pPr>
    </w:lvl>
    <w:lvl w:ilvl="2" w:tplc="0809001B" w:tentative="1">
      <w:start w:val="1"/>
      <w:numFmt w:val="lowerRoman"/>
      <w:lvlText w:val="%3."/>
      <w:lvlJc w:val="right"/>
      <w:pPr>
        <w:ind w:left="1985" w:hanging="180"/>
      </w:pPr>
    </w:lvl>
    <w:lvl w:ilvl="3" w:tplc="0809000F" w:tentative="1">
      <w:start w:val="1"/>
      <w:numFmt w:val="decimal"/>
      <w:lvlText w:val="%4."/>
      <w:lvlJc w:val="left"/>
      <w:pPr>
        <w:ind w:left="2705" w:hanging="360"/>
      </w:pPr>
    </w:lvl>
    <w:lvl w:ilvl="4" w:tplc="08090019" w:tentative="1">
      <w:start w:val="1"/>
      <w:numFmt w:val="lowerLetter"/>
      <w:lvlText w:val="%5."/>
      <w:lvlJc w:val="left"/>
      <w:pPr>
        <w:ind w:left="3425" w:hanging="360"/>
      </w:pPr>
    </w:lvl>
    <w:lvl w:ilvl="5" w:tplc="0809001B" w:tentative="1">
      <w:start w:val="1"/>
      <w:numFmt w:val="lowerRoman"/>
      <w:lvlText w:val="%6."/>
      <w:lvlJc w:val="right"/>
      <w:pPr>
        <w:ind w:left="4145" w:hanging="180"/>
      </w:pPr>
    </w:lvl>
    <w:lvl w:ilvl="6" w:tplc="0809000F" w:tentative="1">
      <w:start w:val="1"/>
      <w:numFmt w:val="decimal"/>
      <w:lvlText w:val="%7."/>
      <w:lvlJc w:val="left"/>
      <w:pPr>
        <w:ind w:left="4865" w:hanging="360"/>
      </w:pPr>
    </w:lvl>
    <w:lvl w:ilvl="7" w:tplc="08090019" w:tentative="1">
      <w:start w:val="1"/>
      <w:numFmt w:val="lowerLetter"/>
      <w:lvlText w:val="%8."/>
      <w:lvlJc w:val="left"/>
      <w:pPr>
        <w:ind w:left="5585" w:hanging="360"/>
      </w:pPr>
    </w:lvl>
    <w:lvl w:ilvl="8" w:tplc="0809001B" w:tentative="1">
      <w:start w:val="1"/>
      <w:numFmt w:val="lowerRoman"/>
      <w:lvlText w:val="%9."/>
      <w:lvlJc w:val="right"/>
      <w:pPr>
        <w:ind w:left="6305" w:hanging="180"/>
      </w:pPr>
    </w:lvl>
  </w:abstractNum>
  <w:abstractNum w:abstractNumId="26" w15:restartNumberingAfterBreak="0">
    <w:nsid w:val="480937F2"/>
    <w:multiLevelType w:val="multilevel"/>
    <w:tmpl w:val="07E42454"/>
    <w:lvl w:ilvl="0">
      <w:start w:val="1"/>
      <w:numFmt w:val="decimal"/>
      <w:lvlText w:val="%1"/>
      <w:lvlJc w:val="left"/>
      <w:pPr>
        <w:ind w:left="360" w:hanging="360"/>
      </w:pPr>
      <w:rPr>
        <w:rFonts w:hint="default"/>
      </w:rPr>
    </w:lvl>
    <w:lvl w:ilvl="1">
      <w:start w:val="6"/>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27" w15:restartNumberingAfterBreak="0">
    <w:nsid w:val="53F361E5"/>
    <w:multiLevelType w:val="hybridMultilevel"/>
    <w:tmpl w:val="B83A06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541E5550"/>
    <w:multiLevelType w:val="hybridMultilevel"/>
    <w:tmpl w:val="38AA5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F35A1B"/>
    <w:multiLevelType w:val="hybridMultilevel"/>
    <w:tmpl w:val="1CA8BA8E"/>
    <w:lvl w:ilvl="0" w:tplc="897026E8">
      <w:start w:val="1"/>
      <w:numFmt w:val="bullet"/>
      <w:lvlText w:val="•"/>
      <w:lvlJc w:val="left"/>
      <w:pPr>
        <w:tabs>
          <w:tab w:val="num" w:pos="720"/>
        </w:tabs>
        <w:ind w:left="720" w:hanging="360"/>
      </w:pPr>
      <w:rPr>
        <w:rFonts w:ascii="Arial" w:hAnsi="Arial" w:hint="default"/>
      </w:rPr>
    </w:lvl>
    <w:lvl w:ilvl="1" w:tplc="F6301C36" w:tentative="1">
      <w:start w:val="1"/>
      <w:numFmt w:val="bullet"/>
      <w:lvlText w:val="•"/>
      <w:lvlJc w:val="left"/>
      <w:pPr>
        <w:tabs>
          <w:tab w:val="num" w:pos="1440"/>
        </w:tabs>
        <w:ind w:left="1440" w:hanging="360"/>
      </w:pPr>
      <w:rPr>
        <w:rFonts w:ascii="Arial" w:hAnsi="Arial" w:hint="default"/>
      </w:rPr>
    </w:lvl>
    <w:lvl w:ilvl="2" w:tplc="C88A0AA8" w:tentative="1">
      <w:start w:val="1"/>
      <w:numFmt w:val="bullet"/>
      <w:lvlText w:val="•"/>
      <w:lvlJc w:val="left"/>
      <w:pPr>
        <w:tabs>
          <w:tab w:val="num" w:pos="2160"/>
        </w:tabs>
        <w:ind w:left="2160" w:hanging="360"/>
      </w:pPr>
      <w:rPr>
        <w:rFonts w:ascii="Arial" w:hAnsi="Arial" w:hint="default"/>
      </w:rPr>
    </w:lvl>
    <w:lvl w:ilvl="3" w:tplc="3B00C924" w:tentative="1">
      <w:start w:val="1"/>
      <w:numFmt w:val="bullet"/>
      <w:lvlText w:val="•"/>
      <w:lvlJc w:val="left"/>
      <w:pPr>
        <w:tabs>
          <w:tab w:val="num" w:pos="2880"/>
        </w:tabs>
        <w:ind w:left="2880" w:hanging="360"/>
      </w:pPr>
      <w:rPr>
        <w:rFonts w:ascii="Arial" w:hAnsi="Arial" w:hint="default"/>
      </w:rPr>
    </w:lvl>
    <w:lvl w:ilvl="4" w:tplc="0504B022" w:tentative="1">
      <w:start w:val="1"/>
      <w:numFmt w:val="bullet"/>
      <w:lvlText w:val="•"/>
      <w:lvlJc w:val="left"/>
      <w:pPr>
        <w:tabs>
          <w:tab w:val="num" w:pos="3600"/>
        </w:tabs>
        <w:ind w:left="3600" w:hanging="360"/>
      </w:pPr>
      <w:rPr>
        <w:rFonts w:ascii="Arial" w:hAnsi="Arial" w:hint="default"/>
      </w:rPr>
    </w:lvl>
    <w:lvl w:ilvl="5" w:tplc="7EF4E520" w:tentative="1">
      <w:start w:val="1"/>
      <w:numFmt w:val="bullet"/>
      <w:lvlText w:val="•"/>
      <w:lvlJc w:val="left"/>
      <w:pPr>
        <w:tabs>
          <w:tab w:val="num" w:pos="4320"/>
        </w:tabs>
        <w:ind w:left="4320" w:hanging="360"/>
      </w:pPr>
      <w:rPr>
        <w:rFonts w:ascii="Arial" w:hAnsi="Arial" w:hint="default"/>
      </w:rPr>
    </w:lvl>
    <w:lvl w:ilvl="6" w:tplc="B114FBFC" w:tentative="1">
      <w:start w:val="1"/>
      <w:numFmt w:val="bullet"/>
      <w:lvlText w:val="•"/>
      <w:lvlJc w:val="left"/>
      <w:pPr>
        <w:tabs>
          <w:tab w:val="num" w:pos="5040"/>
        </w:tabs>
        <w:ind w:left="5040" w:hanging="360"/>
      </w:pPr>
      <w:rPr>
        <w:rFonts w:ascii="Arial" w:hAnsi="Arial" w:hint="default"/>
      </w:rPr>
    </w:lvl>
    <w:lvl w:ilvl="7" w:tplc="C090E0D0" w:tentative="1">
      <w:start w:val="1"/>
      <w:numFmt w:val="bullet"/>
      <w:lvlText w:val="•"/>
      <w:lvlJc w:val="left"/>
      <w:pPr>
        <w:tabs>
          <w:tab w:val="num" w:pos="5760"/>
        </w:tabs>
        <w:ind w:left="5760" w:hanging="360"/>
      </w:pPr>
      <w:rPr>
        <w:rFonts w:ascii="Arial" w:hAnsi="Arial" w:hint="default"/>
      </w:rPr>
    </w:lvl>
    <w:lvl w:ilvl="8" w:tplc="4CF831A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64F3773"/>
    <w:multiLevelType w:val="multilevel"/>
    <w:tmpl w:val="04F8DA72"/>
    <w:lvl w:ilvl="0">
      <w:start w:val="1"/>
      <w:numFmt w:val="decimal"/>
      <w:lvlText w:val="%1"/>
      <w:lvlJc w:val="left"/>
      <w:pPr>
        <w:ind w:left="372" w:hanging="372"/>
      </w:pPr>
      <w:rPr>
        <w:rFonts w:hint="default"/>
      </w:rPr>
    </w:lvl>
    <w:lvl w:ilvl="1">
      <w:start w:val="1"/>
      <w:numFmt w:val="decimal"/>
      <w:lvlText w:val="%1.%2"/>
      <w:lvlJc w:val="left"/>
      <w:pPr>
        <w:ind w:left="542" w:hanging="372"/>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31" w15:restartNumberingAfterBreak="0">
    <w:nsid w:val="6D617D03"/>
    <w:multiLevelType w:val="hybridMultilevel"/>
    <w:tmpl w:val="5CB4BF5A"/>
    <w:lvl w:ilvl="0" w:tplc="8FAAF3A0">
      <w:start w:val="1"/>
      <w:numFmt w:val="bullet"/>
      <w:lvlText w:val="•"/>
      <w:lvlJc w:val="left"/>
      <w:pPr>
        <w:tabs>
          <w:tab w:val="num" w:pos="720"/>
        </w:tabs>
        <w:ind w:left="720" w:hanging="360"/>
      </w:pPr>
      <w:rPr>
        <w:rFonts w:ascii="Arial" w:hAnsi="Arial" w:hint="default"/>
      </w:rPr>
    </w:lvl>
    <w:lvl w:ilvl="1" w:tplc="CD248E32" w:tentative="1">
      <w:start w:val="1"/>
      <w:numFmt w:val="bullet"/>
      <w:lvlText w:val="•"/>
      <w:lvlJc w:val="left"/>
      <w:pPr>
        <w:tabs>
          <w:tab w:val="num" w:pos="1440"/>
        </w:tabs>
        <w:ind w:left="1440" w:hanging="360"/>
      </w:pPr>
      <w:rPr>
        <w:rFonts w:ascii="Arial" w:hAnsi="Arial" w:hint="default"/>
      </w:rPr>
    </w:lvl>
    <w:lvl w:ilvl="2" w:tplc="94DEA586" w:tentative="1">
      <w:start w:val="1"/>
      <w:numFmt w:val="bullet"/>
      <w:lvlText w:val="•"/>
      <w:lvlJc w:val="left"/>
      <w:pPr>
        <w:tabs>
          <w:tab w:val="num" w:pos="2160"/>
        </w:tabs>
        <w:ind w:left="2160" w:hanging="360"/>
      </w:pPr>
      <w:rPr>
        <w:rFonts w:ascii="Arial" w:hAnsi="Arial" w:hint="default"/>
      </w:rPr>
    </w:lvl>
    <w:lvl w:ilvl="3" w:tplc="A6EA06FC" w:tentative="1">
      <w:start w:val="1"/>
      <w:numFmt w:val="bullet"/>
      <w:lvlText w:val="•"/>
      <w:lvlJc w:val="left"/>
      <w:pPr>
        <w:tabs>
          <w:tab w:val="num" w:pos="2880"/>
        </w:tabs>
        <w:ind w:left="2880" w:hanging="360"/>
      </w:pPr>
      <w:rPr>
        <w:rFonts w:ascii="Arial" w:hAnsi="Arial" w:hint="default"/>
      </w:rPr>
    </w:lvl>
    <w:lvl w:ilvl="4" w:tplc="690A03B6" w:tentative="1">
      <w:start w:val="1"/>
      <w:numFmt w:val="bullet"/>
      <w:lvlText w:val="•"/>
      <w:lvlJc w:val="left"/>
      <w:pPr>
        <w:tabs>
          <w:tab w:val="num" w:pos="3600"/>
        </w:tabs>
        <w:ind w:left="3600" w:hanging="360"/>
      </w:pPr>
      <w:rPr>
        <w:rFonts w:ascii="Arial" w:hAnsi="Arial" w:hint="default"/>
      </w:rPr>
    </w:lvl>
    <w:lvl w:ilvl="5" w:tplc="A54286B4" w:tentative="1">
      <w:start w:val="1"/>
      <w:numFmt w:val="bullet"/>
      <w:lvlText w:val="•"/>
      <w:lvlJc w:val="left"/>
      <w:pPr>
        <w:tabs>
          <w:tab w:val="num" w:pos="4320"/>
        </w:tabs>
        <w:ind w:left="4320" w:hanging="360"/>
      </w:pPr>
      <w:rPr>
        <w:rFonts w:ascii="Arial" w:hAnsi="Arial" w:hint="default"/>
      </w:rPr>
    </w:lvl>
    <w:lvl w:ilvl="6" w:tplc="47A2A154" w:tentative="1">
      <w:start w:val="1"/>
      <w:numFmt w:val="bullet"/>
      <w:lvlText w:val="•"/>
      <w:lvlJc w:val="left"/>
      <w:pPr>
        <w:tabs>
          <w:tab w:val="num" w:pos="5040"/>
        </w:tabs>
        <w:ind w:left="5040" w:hanging="360"/>
      </w:pPr>
      <w:rPr>
        <w:rFonts w:ascii="Arial" w:hAnsi="Arial" w:hint="default"/>
      </w:rPr>
    </w:lvl>
    <w:lvl w:ilvl="7" w:tplc="BB2400E8" w:tentative="1">
      <w:start w:val="1"/>
      <w:numFmt w:val="bullet"/>
      <w:lvlText w:val="•"/>
      <w:lvlJc w:val="left"/>
      <w:pPr>
        <w:tabs>
          <w:tab w:val="num" w:pos="5760"/>
        </w:tabs>
        <w:ind w:left="5760" w:hanging="360"/>
      </w:pPr>
      <w:rPr>
        <w:rFonts w:ascii="Arial" w:hAnsi="Arial" w:hint="default"/>
      </w:rPr>
    </w:lvl>
    <w:lvl w:ilvl="8" w:tplc="210E6C2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D139FE"/>
    <w:multiLevelType w:val="hybridMultilevel"/>
    <w:tmpl w:val="0844632C"/>
    <w:lvl w:ilvl="0" w:tplc="0E648EEE">
      <w:start w:val="1"/>
      <w:numFmt w:val="decimal"/>
      <w:lvlText w:val="%1."/>
      <w:lvlJc w:val="left"/>
      <w:pPr>
        <w:ind w:left="1991"/>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1" w:tplc="B114E54E">
      <w:start w:val="1"/>
      <w:numFmt w:val="lowerLetter"/>
      <w:lvlText w:val="%2"/>
      <w:lvlJc w:val="left"/>
      <w:pPr>
        <w:ind w:left="439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2" w:tplc="7222ED9A">
      <w:start w:val="1"/>
      <w:numFmt w:val="lowerRoman"/>
      <w:lvlText w:val="%3"/>
      <w:lvlJc w:val="left"/>
      <w:pPr>
        <w:ind w:left="511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3" w:tplc="DCDA4DEA">
      <w:start w:val="1"/>
      <w:numFmt w:val="decimal"/>
      <w:lvlText w:val="%4"/>
      <w:lvlJc w:val="left"/>
      <w:pPr>
        <w:ind w:left="583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4" w:tplc="949CB318">
      <w:start w:val="1"/>
      <w:numFmt w:val="lowerLetter"/>
      <w:lvlText w:val="%5"/>
      <w:lvlJc w:val="left"/>
      <w:pPr>
        <w:ind w:left="655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5" w:tplc="36886A12">
      <w:start w:val="1"/>
      <w:numFmt w:val="lowerRoman"/>
      <w:lvlText w:val="%6"/>
      <w:lvlJc w:val="left"/>
      <w:pPr>
        <w:ind w:left="727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6" w:tplc="BDD2D3AC">
      <w:start w:val="1"/>
      <w:numFmt w:val="decimal"/>
      <w:lvlText w:val="%7"/>
      <w:lvlJc w:val="left"/>
      <w:pPr>
        <w:ind w:left="799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7" w:tplc="21C619C6">
      <w:start w:val="1"/>
      <w:numFmt w:val="lowerLetter"/>
      <w:lvlText w:val="%8"/>
      <w:lvlJc w:val="left"/>
      <w:pPr>
        <w:ind w:left="871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lvl w:ilvl="8" w:tplc="0B5E6016">
      <w:start w:val="1"/>
      <w:numFmt w:val="lowerRoman"/>
      <w:lvlText w:val="%9"/>
      <w:lvlJc w:val="left"/>
      <w:pPr>
        <w:ind w:left="9437"/>
      </w:pPr>
      <w:rPr>
        <w:rFonts w:ascii="Times New Roman" w:eastAsia="Times New Roman" w:hAnsi="Times New Roman" w:cs="Times New Roman"/>
        <w:b w:val="0"/>
        <w:i w:val="0"/>
        <w:strike w:val="0"/>
        <w:dstrike w:val="0"/>
        <w:color w:val="0563C1"/>
        <w:sz w:val="24"/>
        <w:szCs w:val="24"/>
        <w:u w:val="single" w:color="0563C1"/>
        <w:bdr w:val="none" w:sz="0" w:space="0" w:color="auto"/>
        <w:shd w:val="clear" w:color="auto" w:fill="auto"/>
        <w:vertAlign w:val="baseline"/>
      </w:rPr>
    </w:lvl>
  </w:abstractNum>
  <w:abstractNum w:abstractNumId="33" w15:restartNumberingAfterBreak="0">
    <w:nsid w:val="730A0FBA"/>
    <w:multiLevelType w:val="hybridMultilevel"/>
    <w:tmpl w:val="26A28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102AD5"/>
    <w:multiLevelType w:val="hybridMultilevel"/>
    <w:tmpl w:val="F8407C18"/>
    <w:lvl w:ilvl="0" w:tplc="50F667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F13660"/>
    <w:multiLevelType w:val="singleLevel"/>
    <w:tmpl w:val="9808E992"/>
    <w:lvl w:ilvl="0">
      <w:start w:val="1"/>
      <w:numFmt w:val="upperRoman"/>
      <w:pStyle w:val="Heading5"/>
      <w:lvlText w:val="%1."/>
      <w:lvlJc w:val="left"/>
      <w:pPr>
        <w:tabs>
          <w:tab w:val="num" w:pos="720"/>
        </w:tabs>
        <w:ind w:left="720" w:hanging="720"/>
      </w:pPr>
      <w:rPr>
        <w:rFonts w:hint="default"/>
      </w:rPr>
    </w:lvl>
  </w:abstractNum>
  <w:num w:numId="1">
    <w:abstractNumId w:val="17"/>
  </w:num>
  <w:num w:numId="2">
    <w:abstractNumId w:val="35"/>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2"/>
  </w:num>
  <w:num w:numId="15">
    <w:abstractNumId w:val="30"/>
  </w:num>
  <w:num w:numId="16">
    <w:abstractNumId w:val="27"/>
  </w:num>
  <w:num w:numId="17">
    <w:abstractNumId w:val="33"/>
  </w:num>
  <w:num w:numId="18">
    <w:abstractNumId w:val="28"/>
  </w:num>
  <w:num w:numId="19">
    <w:abstractNumId w:val="32"/>
  </w:num>
  <w:num w:numId="20">
    <w:abstractNumId w:val="24"/>
  </w:num>
  <w:num w:numId="21">
    <w:abstractNumId w:val="19"/>
  </w:num>
  <w:num w:numId="22">
    <w:abstractNumId w:val="15"/>
  </w:num>
  <w:num w:numId="23">
    <w:abstractNumId w:val="25"/>
  </w:num>
  <w:num w:numId="24">
    <w:abstractNumId w:val="11"/>
  </w:num>
  <w:num w:numId="25">
    <w:abstractNumId w:val="16"/>
  </w:num>
  <w:num w:numId="26">
    <w:abstractNumId w:val="21"/>
  </w:num>
  <w:num w:numId="27">
    <w:abstractNumId w:val="14"/>
  </w:num>
  <w:num w:numId="28">
    <w:abstractNumId w:val="13"/>
  </w:num>
  <w:num w:numId="29">
    <w:abstractNumId w:val="20"/>
  </w:num>
  <w:num w:numId="30">
    <w:abstractNumId w:val="23"/>
  </w:num>
  <w:num w:numId="31">
    <w:abstractNumId w:val="12"/>
  </w:num>
  <w:num w:numId="32">
    <w:abstractNumId w:val="29"/>
  </w:num>
  <w:num w:numId="33">
    <w:abstractNumId w:val="31"/>
  </w:num>
  <w:num w:numId="34">
    <w:abstractNumId w:val="26"/>
  </w:num>
  <w:num w:numId="35">
    <w:abstractNumId w:val="3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4A4"/>
    <w:rsid w:val="00004954"/>
    <w:rsid w:val="0001125C"/>
    <w:rsid w:val="00013847"/>
    <w:rsid w:val="000210DE"/>
    <w:rsid w:val="00035F27"/>
    <w:rsid w:val="00052C4C"/>
    <w:rsid w:val="00072CF3"/>
    <w:rsid w:val="00075201"/>
    <w:rsid w:val="000939D3"/>
    <w:rsid w:val="00094528"/>
    <w:rsid w:val="000946A7"/>
    <w:rsid w:val="000A0AAC"/>
    <w:rsid w:val="000A3423"/>
    <w:rsid w:val="000C128D"/>
    <w:rsid w:val="000C1924"/>
    <w:rsid w:val="000D1769"/>
    <w:rsid w:val="000D21C2"/>
    <w:rsid w:val="00106E14"/>
    <w:rsid w:val="00121D7B"/>
    <w:rsid w:val="00126829"/>
    <w:rsid w:val="00126DCB"/>
    <w:rsid w:val="00133E5B"/>
    <w:rsid w:val="0013542E"/>
    <w:rsid w:val="0014446A"/>
    <w:rsid w:val="0014564B"/>
    <w:rsid w:val="00147CE7"/>
    <w:rsid w:val="00172E23"/>
    <w:rsid w:val="00174B89"/>
    <w:rsid w:val="00194914"/>
    <w:rsid w:val="001979FE"/>
    <w:rsid w:val="001B29CE"/>
    <w:rsid w:val="001C7E32"/>
    <w:rsid w:val="001E3501"/>
    <w:rsid w:val="00203756"/>
    <w:rsid w:val="002056EA"/>
    <w:rsid w:val="00210C40"/>
    <w:rsid w:val="00214933"/>
    <w:rsid w:val="00214ECE"/>
    <w:rsid w:val="0021794F"/>
    <w:rsid w:val="00221A8A"/>
    <w:rsid w:val="002264E8"/>
    <w:rsid w:val="00226F98"/>
    <w:rsid w:val="002466F0"/>
    <w:rsid w:val="00247392"/>
    <w:rsid w:val="00250900"/>
    <w:rsid w:val="00263409"/>
    <w:rsid w:val="00267E36"/>
    <w:rsid w:val="002751F4"/>
    <w:rsid w:val="002865FB"/>
    <w:rsid w:val="00291AAA"/>
    <w:rsid w:val="00292AD9"/>
    <w:rsid w:val="00296F46"/>
    <w:rsid w:val="00297F1F"/>
    <w:rsid w:val="002D133C"/>
    <w:rsid w:val="002D6FBC"/>
    <w:rsid w:val="002E08DB"/>
    <w:rsid w:val="002E3B0F"/>
    <w:rsid w:val="002F1D3C"/>
    <w:rsid w:val="002F2924"/>
    <w:rsid w:val="002F6D04"/>
    <w:rsid w:val="00301390"/>
    <w:rsid w:val="003026AB"/>
    <w:rsid w:val="003070A9"/>
    <w:rsid w:val="00315C6A"/>
    <w:rsid w:val="00315ECA"/>
    <w:rsid w:val="0032001C"/>
    <w:rsid w:val="00321DF8"/>
    <w:rsid w:val="00321F10"/>
    <w:rsid w:val="003368DD"/>
    <w:rsid w:val="00350550"/>
    <w:rsid w:val="00353838"/>
    <w:rsid w:val="00360DB0"/>
    <w:rsid w:val="00372DA4"/>
    <w:rsid w:val="00381E4A"/>
    <w:rsid w:val="0039451E"/>
    <w:rsid w:val="003973EA"/>
    <w:rsid w:val="003A7689"/>
    <w:rsid w:val="003C04EB"/>
    <w:rsid w:val="003E2029"/>
    <w:rsid w:val="003F0B2C"/>
    <w:rsid w:val="003F1E85"/>
    <w:rsid w:val="00403BEA"/>
    <w:rsid w:val="00406652"/>
    <w:rsid w:val="00406AA7"/>
    <w:rsid w:val="004120A8"/>
    <w:rsid w:val="00421EF5"/>
    <w:rsid w:val="004265E0"/>
    <w:rsid w:val="004317C0"/>
    <w:rsid w:val="00436F88"/>
    <w:rsid w:val="004456D1"/>
    <w:rsid w:val="00450BB5"/>
    <w:rsid w:val="00462E70"/>
    <w:rsid w:val="004716C4"/>
    <w:rsid w:val="004727E0"/>
    <w:rsid w:val="004827E4"/>
    <w:rsid w:val="00485D2F"/>
    <w:rsid w:val="0049394C"/>
    <w:rsid w:val="00494BB1"/>
    <w:rsid w:val="004A2A97"/>
    <w:rsid w:val="004B0246"/>
    <w:rsid w:val="004B1CE0"/>
    <w:rsid w:val="004B37D8"/>
    <w:rsid w:val="004B3844"/>
    <w:rsid w:val="004C314F"/>
    <w:rsid w:val="004C33D3"/>
    <w:rsid w:val="004C526F"/>
    <w:rsid w:val="004D39F3"/>
    <w:rsid w:val="004D5B00"/>
    <w:rsid w:val="004F1719"/>
    <w:rsid w:val="004F29BF"/>
    <w:rsid w:val="00500BC8"/>
    <w:rsid w:val="005064F2"/>
    <w:rsid w:val="00512F10"/>
    <w:rsid w:val="00514E40"/>
    <w:rsid w:val="00521894"/>
    <w:rsid w:val="005349DE"/>
    <w:rsid w:val="00544513"/>
    <w:rsid w:val="00547670"/>
    <w:rsid w:val="00560263"/>
    <w:rsid w:val="00583043"/>
    <w:rsid w:val="00592758"/>
    <w:rsid w:val="005938A6"/>
    <w:rsid w:val="005977BD"/>
    <w:rsid w:val="005A01EE"/>
    <w:rsid w:val="005A0591"/>
    <w:rsid w:val="005C6309"/>
    <w:rsid w:val="005D2E4C"/>
    <w:rsid w:val="005F4382"/>
    <w:rsid w:val="005F6731"/>
    <w:rsid w:val="0061736F"/>
    <w:rsid w:val="00620503"/>
    <w:rsid w:val="006321FB"/>
    <w:rsid w:val="00636DB5"/>
    <w:rsid w:val="00644329"/>
    <w:rsid w:val="006538AE"/>
    <w:rsid w:val="0065576A"/>
    <w:rsid w:val="0065666E"/>
    <w:rsid w:val="006730F6"/>
    <w:rsid w:val="00685F5E"/>
    <w:rsid w:val="0069096F"/>
    <w:rsid w:val="00693B65"/>
    <w:rsid w:val="00697FC2"/>
    <w:rsid w:val="006A31AD"/>
    <w:rsid w:val="006C27FD"/>
    <w:rsid w:val="006D5FAA"/>
    <w:rsid w:val="006D6E31"/>
    <w:rsid w:val="006E4455"/>
    <w:rsid w:val="006F0A0A"/>
    <w:rsid w:val="00702AE0"/>
    <w:rsid w:val="00703AB5"/>
    <w:rsid w:val="00704123"/>
    <w:rsid w:val="00714CB1"/>
    <w:rsid w:val="007246CF"/>
    <w:rsid w:val="00744F26"/>
    <w:rsid w:val="00745DD4"/>
    <w:rsid w:val="00752626"/>
    <w:rsid w:val="00755200"/>
    <w:rsid w:val="007774CA"/>
    <w:rsid w:val="00780664"/>
    <w:rsid w:val="007850EB"/>
    <w:rsid w:val="00797DF6"/>
    <w:rsid w:val="007B3561"/>
    <w:rsid w:val="007C003F"/>
    <w:rsid w:val="007C1742"/>
    <w:rsid w:val="007D077D"/>
    <w:rsid w:val="007E27C3"/>
    <w:rsid w:val="007E38D8"/>
    <w:rsid w:val="007E4CBB"/>
    <w:rsid w:val="00800401"/>
    <w:rsid w:val="00803EB2"/>
    <w:rsid w:val="00806C5F"/>
    <w:rsid w:val="00810493"/>
    <w:rsid w:val="0081173B"/>
    <w:rsid w:val="00820629"/>
    <w:rsid w:val="00827D40"/>
    <w:rsid w:val="00834474"/>
    <w:rsid w:val="00840C1A"/>
    <w:rsid w:val="00841C8E"/>
    <w:rsid w:val="0086152A"/>
    <w:rsid w:val="00862777"/>
    <w:rsid w:val="008779EF"/>
    <w:rsid w:val="00877B14"/>
    <w:rsid w:val="0088074D"/>
    <w:rsid w:val="0088579A"/>
    <w:rsid w:val="00892840"/>
    <w:rsid w:val="008A25CF"/>
    <w:rsid w:val="008B5C1C"/>
    <w:rsid w:val="008C05CB"/>
    <w:rsid w:val="008E003F"/>
    <w:rsid w:val="008F736A"/>
    <w:rsid w:val="00903C4C"/>
    <w:rsid w:val="009205A0"/>
    <w:rsid w:val="0092237D"/>
    <w:rsid w:val="00934DB0"/>
    <w:rsid w:val="009606C9"/>
    <w:rsid w:val="0096126C"/>
    <w:rsid w:val="00962E32"/>
    <w:rsid w:val="009775CC"/>
    <w:rsid w:val="00993AF3"/>
    <w:rsid w:val="009A31E0"/>
    <w:rsid w:val="009A67BE"/>
    <w:rsid w:val="009B2585"/>
    <w:rsid w:val="009C12E5"/>
    <w:rsid w:val="009C1D25"/>
    <w:rsid w:val="009C7525"/>
    <w:rsid w:val="009E27F6"/>
    <w:rsid w:val="009E575E"/>
    <w:rsid w:val="009E7F38"/>
    <w:rsid w:val="009F424B"/>
    <w:rsid w:val="009F5C96"/>
    <w:rsid w:val="00A00D58"/>
    <w:rsid w:val="00A11C04"/>
    <w:rsid w:val="00A25D9C"/>
    <w:rsid w:val="00A360D5"/>
    <w:rsid w:val="00A374AB"/>
    <w:rsid w:val="00A61096"/>
    <w:rsid w:val="00A7003F"/>
    <w:rsid w:val="00A73ED6"/>
    <w:rsid w:val="00AA2487"/>
    <w:rsid w:val="00AA26AF"/>
    <w:rsid w:val="00AA2EE0"/>
    <w:rsid w:val="00AB7868"/>
    <w:rsid w:val="00AC2800"/>
    <w:rsid w:val="00AD54CB"/>
    <w:rsid w:val="00AD6088"/>
    <w:rsid w:val="00AE5A1B"/>
    <w:rsid w:val="00AF35F5"/>
    <w:rsid w:val="00B0724A"/>
    <w:rsid w:val="00B10B9C"/>
    <w:rsid w:val="00B20F56"/>
    <w:rsid w:val="00B21DA0"/>
    <w:rsid w:val="00B229A5"/>
    <w:rsid w:val="00B27CE0"/>
    <w:rsid w:val="00B47E65"/>
    <w:rsid w:val="00B74EA4"/>
    <w:rsid w:val="00B75CFF"/>
    <w:rsid w:val="00B77DD5"/>
    <w:rsid w:val="00B80853"/>
    <w:rsid w:val="00B97BE2"/>
    <w:rsid w:val="00BA14CB"/>
    <w:rsid w:val="00BB36ED"/>
    <w:rsid w:val="00BC22F7"/>
    <w:rsid w:val="00BC58B9"/>
    <w:rsid w:val="00C07327"/>
    <w:rsid w:val="00C20E0C"/>
    <w:rsid w:val="00C22E18"/>
    <w:rsid w:val="00C33CD5"/>
    <w:rsid w:val="00C408EB"/>
    <w:rsid w:val="00C41C68"/>
    <w:rsid w:val="00C42E90"/>
    <w:rsid w:val="00C518D8"/>
    <w:rsid w:val="00C7538D"/>
    <w:rsid w:val="00C756B9"/>
    <w:rsid w:val="00CA1F2A"/>
    <w:rsid w:val="00CA1FD5"/>
    <w:rsid w:val="00CA2217"/>
    <w:rsid w:val="00CA4320"/>
    <w:rsid w:val="00CB09E3"/>
    <w:rsid w:val="00CC3260"/>
    <w:rsid w:val="00CD0FE6"/>
    <w:rsid w:val="00CD303B"/>
    <w:rsid w:val="00CD536E"/>
    <w:rsid w:val="00CF3B9C"/>
    <w:rsid w:val="00D0121C"/>
    <w:rsid w:val="00D07D4B"/>
    <w:rsid w:val="00D361E0"/>
    <w:rsid w:val="00D45830"/>
    <w:rsid w:val="00D47BE6"/>
    <w:rsid w:val="00D503A0"/>
    <w:rsid w:val="00D51DED"/>
    <w:rsid w:val="00D630CB"/>
    <w:rsid w:val="00D63DB3"/>
    <w:rsid w:val="00D73415"/>
    <w:rsid w:val="00D9670F"/>
    <w:rsid w:val="00DB6407"/>
    <w:rsid w:val="00DC4517"/>
    <w:rsid w:val="00DD24A4"/>
    <w:rsid w:val="00DD3109"/>
    <w:rsid w:val="00DF16F7"/>
    <w:rsid w:val="00E14500"/>
    <w:rsid w:val="00E1483B"/>
    <w:rsid w:val="00E16580"/>
    <w:rsid w:val="00E1790C"/>
    <w:rsid w:val="00E3187C"/>
    <w:rsid w:val="00E34CBC"/>
    <w:rsid w:val="00E37ECB"/>
    <w:rsid w:val="00E45701"/>
    <w:rsid w:val="00E62254"/>
    <w:rsid w:val="00E71184"/>
    <w:rsid w:val="00E81A01"/>
    <w:rsid w:val="00E864E5"/>
    <w:rsid w:val="00E871E5"/>
    <w:rsid w:val="00E93C7A"/>
    <w:rsid w:val="00EA1CEE"/>
    <w:rsid w:val="00EA2B7F"/>
    <w:rsid w:val="00EA363B"/>
    <w:rsid w:val="00EA504A"/>
    <w:rsid w:val="00EA6B17"/>
    <w:rsid w:val="00EB0C11"/>
    <w:rsid w:val="00EB2084"/>
    <w:rsid w:val="00EB5A01"/>
    <w:rsid w:val="00ED15CF"/>
    <w:rsid w:val="00EE187E"/>
    <w:rsid w:val="00EE5584"/>
    <w:rsid w:val="00EF53E0"/>
    <w:rsid w:val="00EF78EA"/>
    <w:rsid w:val="00F01ED3"/>
    <w:rsid w:val="00F1497A"/>
    <w:rsid w:val="00F26CDA"/>
    <w:rsid w:val="00F31E9C"/>
    <w:rsid w:val="00F52FC1"/>
    <w:rsid w:val="00F52FC2"/>
    <w:rsid w:val="00F6624B"/>
    <w:rsid w:val="00F81C63"/>
    <w:rsid w:val="00F86C95"/>
    <w:rsid w:val="00F939DD"/>
    <w:rsid w:val="00FA0479"/>
    <w:rsid w:val="00FA4785"/>
    <w:rsid w:val="00FA75B6"/>
    <w:rsid w:val="00FA7DB7"/>
    <w:rsid w:val="00FE1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1A3EB"/>
  <w15:chartTrackingRefBased/>
  <w15:docId w15:val="{48F83B2F-FBD2-4C35-8D91-53BD1673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WPHeading1"/>
    <w:next w:val="WPBodyText"/>
    <w:link w:val="Heading1Char"/>
    <w:uiPriority w:val="9"/>
    <w:qFormat/>
    <w:rsid w:val="00DD24A4"/>
    <w:pPr>
      <w:keepNext/>
      <w:outlineLvl w:val="0"/>
    </w:pPr>
  </w:style>
  <w:style w:type="paragraph" w:styleId="Heading2">
    <w:name w:val="heading 2"/>
    <w:basedOn w:val="WPHeading2"/>
    <w:next w:val="WPBodyText"/>
    <w:link w:val="Heading2Char"/>
    <w:uiPriority w:val="9"/>
    <w:qFormat/>
    <w:rsid w:val="00DD24A4"/>
    <w:pPr>
      <w:keepNext/>
      <w:outlineLvl w:val="1"/>
    </w:pPr>
  </w:style>
  <w:style w:type="paragraph" w:styleId="Heading3">
    <w:name w:val="heading 3"/>
    <w:basedOn w:val="WPHeading3"/>
    <w:next w:val="WPBodyText"/>
    <w:link w:val="Heading3Char"/>
    <w:uiPriority w:val="9"/>
    <w:qFormat/>
    <w:rsid w:val="00DD24A4"/>
    <w:pPr>
      <w:keepNext/>
      <w:outlineLvl w:val="2"/>
    </w:pPr>
  </w:style>
  <w:style w:type="paragraph" w:styleId="Heading4">
    <w:name w:val="heading 4"/>
    <w:basedOn w:val="Normal"/>
    <w:next w:val="Normal"/>
    <w:link w:val="Heading4Char"/>
    <w:uiPriority w:val="9"/>
    <w:qFormat/>
    <w:rsid w:val="00DD24A4"/>
    <w:pPr>
      <w:keepNext/>
      <w:spacing w:after="0" w:line="240" w:lineRule="auto"/>
      <w:outlineLvl w:val="3"/>
    </w:pPr>
    <w:rPr>
      <w:rFonts w:ascii="Times New Roman" w:eastAsia="Times New Roman" w:hAnsi="Times New Roman" w:cs="Times New Roman"/>
      <w:i/>
      <w:sz w:val="24"/>
      <w:szCs w:val="20"/>
      <w:lang w:val="pl-PL"/>
    </w:rPr>
  </w:style>
  <w:style w:type="paragraph" w:styleId="Heading5">
    <w:name w:val="heading 5"/>
    <w:basedOn w:val="Normal"/>
    <w:next w:val="Normal"/>
    <w:link w:val="Heading5Char"/>
    <w:qFormat/>
    <w:rsid w:val="00DD24A4"/>
    <w:pPr>
      <w:keepNext/>
      <w:numPr>
        <w:numId w:val="2"/>
      </w:numPr>
      <w:spacing w:after="0" w:line="240" w:lineRule="auto"/>
      <w:jc w:val="center"/>
      <w:outlineLvl w:val="4"/>
    </w:pPr>
    <w:rPr>
      <w:rFonts w:ascii="Times New Roman" w:eastAsia="Times New Roman" w:hAnsi="Times New Roman" w:cs="Times New Roman"/>
      <w:b/>
      <w:sz w:val="24"/>
      <w:szCs w:val="20"/>
      <w:lang w:val="en-US"/>
    </w:rPr>
  </w:style>
  <w:style w:type="paragraph" w:styleId="Heading6">
    <w:name w:val="heading 6"/>
    <w:basedOn w:val="Normal"/>
    <w:next w:val="Normal"/>
    <w:link w:val="Heading6Char"/>
    <w:qFormat/>
    <w:rsid w:val="00DD24A4"/>
    <w:pPr>
      <w:keepNext/>
      <w:spacing w:after="0" w:line="240" w:lineRule="auto"/>
      <w:outlineLvl w:val="5"/>
    </w:pPr>
    <w:rPr>
      <w:rFonts w:ascii="Times New Roman" w:eastAsia="Times New Roman" w:hAnsi="Times New Roman" w:cs="Times New Roman"/>
      <w:i/>
      <w:sz w:val="26"/>
      <w:szCs w:val="20"/>
      <w:lang w:val="en-US"/>
    </w:rPr>
  </w:style>
  <w:style w:type="paragraph" w:styleId="Heading7">
    <w:name w:val="heading 7"/>
    <w:basedOn w:val="Normal"/>
    <w:next w:val="Normal"/>
    <w:link w:val="Heading7Char"/>
    <w:qFormat/>
    <w:rsid w:val="00DD24A4"/>
    <w:pPr>
      <w:keepNext/>
      <w:tabs>
        <w:tab w:val="left" w:pos="7920"/>
      </w:tabs>
      <w:spacing w:after="240" w:line="240" w:lineRule="auto"/>
      <w:ind w:left="720"/>
      <w:outlineLvl w:val="6"/>
    </w:pPr>
    <w:rPr>
      <w:rFonts w:ascii="Times New Roman" w:eastAsia="Times New Roman" w:hAnsi="Times New Roman" w:cs="Times New Roman"/>
      <w:b/>
      <w:bCs/>
      <w:sz w:val="24"/>
      <w:szCs w:val="20"/>
      <w:lang w:val="en-US"/>
    </w:rPr>
  </w:style>
  <w:style w:type="paragraph" w:styleId="Heading8">
    <w:name w:val="heading 8"/>
    <w:basedOn w:val="Normal"/>
    <w:next w:val="Normal"/>
    <w:link w:val="Heading8Char"/>
    <w:qFormat/>
    <w:rsid w:val="00DD24A4"/>
    <w:pPr>
      <w:keepNext/>
      <w:tabs>
        <w:tab w:val="left" w:pos="3600"/>
      </w:tabs>
      <w:spacing w:after="240" w:line="240" w:lineRule="auto"/>
      <w:outlineLvl w:val="7"/>
    </w:pPr>
    <w:rPr>
      <w:rFonts w:ascii="Times New Roman" w:eastAsia="Times New Roman" w:hAnsi="Times New Roman" w:cs="Times New Roman"/>
      <w:b/>
      <w:sz w:val="21"/>
      <w:szCs w:val="20"/>
      <w:lang w:val="en-US"/>
    </w:rPr>
  </w:style>
  <w:style w:type="paragraph" w:styleId="Heading9">
    <w:name w:val="heading 9"/>
    <w:basedOn w:val="Normal"/>
    <w:next w:val="Normal"/>
    <w:link w:val="Heading9Char"/>
    <w:qFormat/>
    <w:rsid w:val="00DD24A4"/>
    <w:pPr>
      <w:keepNext/>
      <w:tabs>
        <w:tab w:val="left" w:pos="3600"/>
      </w:tabs>
      <w:spacing w:after="40" w:line="240" w:lineRule="auto"/>
      <w:ind w:right="87"/>
      <w:jc w:val="right"/>
      <w:outlineLvl w:val="8"/>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Heading1">
    <w:name w:val="WP: Heading 1"/>
    <w:next w:val="WPBodyText"/>
    <w:qFormat/>
    <w:rsid w:val="00DD24A4"/>
    <w:pPr>
      <w:spacing w:after="0" w:line="240" w:lineRule="auto"/>
      <w:jc w:val="center"/>
    </w:pPr>
    <w:rPr>
      <w:rFonts w:ascii="Times New Roman" w:eastAsia="Times New Roman" w:hAnsi="Times New Roman" w:cs="Times New Roman"/>
      <w:b/>
      <w:kern w:val="28"/>
      <w:sz w:val="24"/>
      <w:szCs w:val="20"/>
      <w:lang w:val="en-US"/>
    </w:rPr>
  </w:style>
  <w:style w:type="paragraph" w:customStyle="1" w:styleId="WPBodyText">
    <w:name w:val="WP: Body Text"/>
    <w:qFormat/>
    <w:rsid w:val="00DD24A4"/>
    <w:pPr>
      <w:spacing w:after="0" w:line="240" w:lineRule="auto"/>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uiPriority w:val="9"/>
    <w:rsid w:val="00DD24A4"/>
    <w:rPr>
      <w:rFonts w:ascii="Times New Roman" w:eastAsia="Times New Roman" w:hAnsi="Times New Roman" w:cs="Times New Roman"/>
      <w:b/>
      <w:kern w:val="28"/>
      <w:sz w:val="24"/>
      <w:szCs w:val="20"/>
      <w:lang w:val="en-US"/>
    </w:rPr>
  </w:style>
  <w:style w:type="paragraph" w:customStyle="1" w:styleId="WPHeading2">
    <w:name w:val="WP: Heading 2"/>
    <w:basedOn w:val="WPHeading1"/>
    <w:next w:val="WPBodyText"/>
    <w:qFormat/>
    <w:rsid w:val="00DD24A4"/>
    <w:pPr>
      <w:jc w:val="left"/>
    </w:pPr>
  </w:style>
  <w:style w:type="character" w:customStyle="1" w:styleId="Heading2Char">
    <w:name w:val="Heading 2 Char"/>
    <w:basedOn w:val="DefaultParagraphFont"/>
    <w:link w:val="Heading2"/>
    <w:uiPriority w:val="9"/>
    <w:rsid w:val="00DD24A4"/>
    <w:rPr>
      <w:rFonts w:ascii="Times New Roman" w:eastAsia="Times New Roman" w:hAnsi="Times New Roman" w:cs="Times New Roman"/>
      <w:b/>
      <w:kern w:val="28"/>
      <w:sz w:val="24"/>
      <w:szCs w:val="20"/>
      <w:lang w:val="en-US"/>
    </w:rPr>
  </w:style>
  <w:style w:type="paragraph" w:customStyle="1" w:styleId="WPHeading3">
    <w:name w:val="WP: Heading 3"/>
    <w:basedOn w:val="WPHeading2"/>
    <w:next w:val="WPBodyText"/>
    <w:qFormat/>
    <w:rsid w:val="00DD24A4"/>
    <w:rPr>
      <w:b w:val="0"/>
      <w:u w:val="single"/>
    </w:rPr>
  </w:style>
  <w:style w:type="character" w:customStyle="1" w:styleId="Heading3Char">
    <w:name w:val="Heading 3 Char"/>
    <w:basedOn w:val="DefaultParagraphFont"/>
    <w:link w:val="Heading3"/>
    <w:uiPriority w:val="9"/>
    <w:rsid w:val="00DD24A4"/>
    <w:rPr>
      <w:rFonts w:ascii="Times New Roman" w:eastAsia="Times New Roman" w:hAnsi="Times New Roman" w:cs="Times New Roman"/>
      <w:kern w:val="28"/>
      <w:sz w:val="24"/>
      <w:szCs w:val="20"/>
      <w:u w:val="single"/>
      <w:lang w:val="en-US"/>
    </w:rPr>
  </w:style>
  <w:style w:type="character" w:customStyle="1" w:styleId="Heading4Char">
    <w:name w:val="Heading 4 Char"/>
    <w:basedOn w:val="DefaultParagraphFont"/>
    <w:link w:val="Heading4"/>
    <w:uiPriority w:val="9"/>
    <w:rsid w:val="00DD24A4"/>
    <w:rPr>
      <w:rFonts w:ascii="Times New Roman" w:eastAsia="Times New Roman" w:hAnsi="Times New Roman" w:cs="Times New Roman"/>
      <w:i/>
      <w:sz w:val="24"/>
      <w:szCs w:val="20"/>
      <w:lang w:val="pl-PL"/>
    </w:rPr>
  </w:style>
  <w:style w:type="character" w:customStyle="1" w:styleId="Heading5Char">
    <w:name w:val="Heading 5 Char"/>
    <w:basedOn w:val="DefaultParagraphFont"/>
    <w:link w:val="Heading5"/>
    <w:rsid w:val="00DD24A4"/>
    <w:rPr>
      <w:rFonts w:ascii="Times New Roman" w:eastAsia="Times New Roman" w:hAnsi="Times New Roman" w:cs="Times New Roman"/>
      <w:b/>
      <w:sz w:val="24"/>
      <w:szCs w:val="20"/>
      <w:lang w:val="en-US"/>
    </w:rPr>
  </w:style>
  <w:style w:type="character" w:customStyle="1" w:styleId="Heading6Char">
    <w:name w:val="Heading 6 Char"/>
    <w:basedOn w:val="DefaultParagraphFont"/>
    <w:link w:val="Heading6"/>
    <w:rsid w:val="00DD24A4"/>
    <w:rPr>
      <w:rFonts w:ascii="Times New Roman" w:eastAsia="Times New Roman" w:hAnsi="Times New Roman" w:cs="Times New Roman"/>
      <w:i/>
      <w:sz w:val="26"/>
      <w:szCs w:val="20"/>
      <w:lang w:val="en-US"/>
    </w:rPr>
  </w:style>
  <w:style w:type="character" w:customStyle="1" w:styleId="Heading7Char">
    <w:name w:val="Heading 7 Char"/>
    <w:basedOn w:val="DefaultParagraphFont"/>
    <w:link w:val="Heading7"/>
    <w:rsid w:val="00DD24A4"/>
    <w:rPr>
      <w:rFonts w:ascii="Times New Roman" w:eastAsia="Times New Roman" w:hAnsi="Times New Roman" w:cs="Times New Roman"/>
      <w:b/>
      <w:bCs/>
      <w:sz w:val="24"/>
      <w:szCs w:val="20"/>
      <w:lang w:val="en-US"/>
    </w:rPr>
  </w:style>
  <w:style w:type="character" w:customStyle="1" w:styleId="Heading8Char">
    <w:name w:val="Heading 8 Char"/>
    <w:basedOn w:val="DefaultParagraphFont"/>
    <w:link w:val="Heading8"/>
    <w:rsid w:val="00DD24A4"/>
    <w:rPr>
      <w:rFonts w:ascii="Times New Roman" w:eastAsia="Times New Roman" w:hAnsi="Times New Roman" w:cs="Times New Roman"/>
      <w:b/>
      <w:sz w:val="21"/>
      <w:szCs w:val="20"/>
      <w:lang w:val="en-US"/>
    </w:rPr>
  </w:style>
  <w:style w:type="character" w:customStyle="1" w:styleId="Heading9Char">
    <w:name w:val="Heading 9 Char"/>
    <w:basedOn w:val="DefaultParagraphFont"/>
    <w:link w:val="Heading9"/>
    <w:rsid w:val="00DD24A4"/>
    <w:rPr>
      <w:rFonts w:ascii="Times New Roman" w:eastAsia="Times New Roman" w:hAnsi="Times New Roman" w:cs="Times New Roman"/>
      <w:b/>
      <w:sz w:val="24"/>
      <w:szCs w:val="20"/>
      <w:lang w:val="en-US"/>
    </w:rPr>
  </w:style>
  <w:style w:type="paragraph" w:customStyle="1" w:styleId="WPFrontMatterHead">
    <w:name w:val="WP: Front Matter Head"/>
    <w:basedOn w:val="Normal"/>
    <w:next w:val="WPBodyText"/>
    <w:qFormat/>
    <w:rsid w:val="00DD24A4"/>
    <w:pPr>
      <w:spacing w:after="0" w:line="240" w:lineRule="auto"/>
      <w:jc w:val="center"/>
    </w:pPr>
    <w:rPr>
      <w:rFonts w:ascii="Times New Roman" w:eastAsia="Times New Roman" w:hAnsi="Times New Roman" w:cs="Times New Roman"/>
      <w:b/>
      <w:kern w:val="28"/>
      <w:sz w:val="24"/>
      <w:szCs w:val="20"/>
      <w:lang w:val="en-US"/>
    </w:rPr>
  </w:style>
  <w:style w:type="paragraph" w:customStyle="1" w:styleId="WorkingPaperBodyText">
    <w:name w:val="Working Paper: Body Text"/>
    <w:qFormat/>
    <w:rsid w:val="00DD24A4"/>
    <w:pPr>
      <w:spacing w:after="0" w:line="240" w:lineRule="auto"/>
    </w:pPr>
    <w:rPr>
      <w:rFonts w:ascii="Times New Roman" w:eastAsia="Times New Roman" w:hAnsi="Times New Roman" w:cs="Times New Roman"/>
      <w:sz w:val="24"/>
      <w:szCs w:val="20"/>
      <w:lang w:val="en-US"/>
    </w:rPr>
  </w:style>
  <w:style w:type="paragraph" w:customStyle="1" w:styleId="WPTitleandSubtitle">
    <w:name w:val="WP: Title and Subtitle"/>
    <w:qFormat/>
    <w:rsid w:val="00DD24A4"/>
    <w:pPr>
      <w:widowControl w:val="0"/>
      <w:tabs>
        <w:tab w:val="center" w:pos="4320"/>
      </w:tabs>
      <w:autoSpaceDE w:val="0"/>
      <w:autoSpaceDN w:val="0"/>
      <w:adjustRightInd w:val="0"/>
      <w:spacing w:after="0" w:line="240" w:lineRule="auto"/>
      <w:jc w:val="center"/>
    </w:pPr>
    <w:rPr>
      <w:rFonts w:ascii="Times New Roman" w:eastAsia="Times New Roman" w:hAnsi="Times New Roman" w:cs="TimesNewRomanPS-BoldMT"/>
      <w:b/>
      <w:bCs/>
      <w:sz w:val="24"/>
      <w:szCs w:val="24"/>
      <w:lang w:val="en-US" w:bidi="en-US"/>
    </w:rPr>
  </w:style>
  <w:style w:type="character" w:styleId="FootnoteReference">
    <w:name w:val="footnote reference"/>
    <w:uiPriority w:val="99"/>
    <w:rsid w:val="00DD24A4"/>
    <w:rPr>
      <w:sz w:val="24"/>
      <w:vertAlign w:val="superscript"/>
    </w:rPr>
  </w:style>
  <w:style w:type="paragraph" w:styleId="Title">
    <w:name w:val="Title"/>
    <w:basedOn w:val="Normal"/>
    <w:link w:val="TitleChar"/>
    <w:qFormat/>
    <w:rsid w:val="00DD24A4"/>
    <w:pPr>
      <w:spacing w:after="0" w:line="240" w:lineRule="auto"/>
      <w:jc w:val="center"/>
    </w:pPr>
    <w:rPr>
      <w:rFonts w:ascii="Times New Roman" w:eastAsia="Times New Roman" w:hAnsi="Times New Roman" w:cs="Times New Roman"/>
      <w:b/>
      <w:sz w:val="24"/>
      <w:szCs w:val="20"/>
      <w:lang w:val="pl-PL"/>
    </w:rPr>
  </w:style>
  <w:style w:type="character" w:customStyle="1" w:styleId="TitleChar">
    <w:name w:val="Title Char"/>
    <w:basedOn w:val="DefaultParagraphFont"/>
    <w:link w:val="Title"/>
    <w:rsid w:val="00DD24A4"/>
    <w:rPr>
      <w:rFonts w:ascii="Times New Roman" w:eastAsia="Times New Roman" w:hAnsi="Times New Roman" w:cs="Times New Roman"/>
      <w:b/>
      <w:sz w:val="24"/>
      <w:szCs w:val="20"/>
      <w:lang w:val="pl-PL"/>
    </w:rPr>
  </w:style>
  <w:style w:type="paragraph" w:styleId="FootnoteText">
    <w:name w:val="footnote text"/>
    <w:basedOn w:val="Normal"/>
    <w:link w:val="FootnoteTextChar"/>
    <w:uiPriority w:val="99"/>
    <w:rsid w:val="00DD24A4"/>
    <w:pPr>
      <w:spacing w:after="0" w:line="240" w:lineRule="auto"/>
    </w:pPr>
    <w:rPr>
      <w:rFonts w:ascii="Times New Roman" w:eastAsia="Times New Roman" w:hAnsi="Times New Roman" w:cs="Times New Roman"/>
      <w:szCs w:val="20"/>
      <w:lang w:val="en-US"/>
    </w:rPr>
  </w:style>
  <w:style w:type="character" w:customStyle="1" w:styleId="FootnoteTextChar">
    <w:name w:val="Footnote Text Char"/>
    <w:basedOn w:val="DefaultParagraphFont"/>
    <w:link w:val="FootnoteText"/>
    <w:uiPriority w:val="99"/>
    <w:rsid w:val="00DD24A4"/>
    <w:rPr>
      <w:rFonts w:ascii="Times New Roman" w:eastAsia="Times New Roman" w:hAnsi="Times New Roman" w:cs="Times New Roman"/>
      <w:szCs w:val="20"/>
      <w:lang w:val="en-US"/>
    </w:rPr>
  </w:style>
  <w:style w:type="character" w:customStyle="1" w:styleId="EndnoteTextChar">
    <w:name w:val="Endnote Text Char"/>
    <w:basedOn w:val="DefaultParagraphFont"/>
    <w:link w:val="EndnoteText"/>
    <w:semiHidden/>
    <w:rsid w:val="00DD24A4"/>
    <w:rPr>
      <w:rFonts w:ascii="Times New Roman" w:eastAsia="Times New Roman" w:hAnsi="Times New Roman" w:cs="Times New Roman"/>
      <w:sz w:val="24"/>
      <w:szCs w:val="20"/>
      <w:lang w:val="en-US"/>
    </w:rPr>
  </w:style>
  <w:style w:type="paragraph" w:styleId="EndnoteText">
    <w:name w:val="endnote text"/>
    <w:basedOn w:val="Normal"/>
    <w:link w:val="EndnoteTextChar"/>
    <w:semiHidden/>
    <w:rsid w:val="00DD24A4"/>
    <w:pPr>
      <w:tabs>
        <w:tab w:val="left" w:pos="216"/>
      </w:tabs>
      <w:spacing w:after="240" w:line="240" w:lineRule="auto"/>
      <w:ind w:left="216" w:hanging="216"/>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DD24A4"/>
    <w:rPr>
      <w:rFonts w:ascii="Arial" w:eastAsia="Times New Roman" w:hAnsi="Arial" w:cs="Times New Roman"/>
      <w:b/>
      <w:sz w:val="32"/>
      <w:szCs w:val="20"/>
      <w:lang w:val="en-US"/>
    </w:rPr>
  </w:style>
  <w:style w:type="paragraph" w:styleId="BodyText2">
    <w:name w:val="Body Text 2"/>
    <w:basedOn w:val="Normal"/>
    <w:link w:val="BodyText2Char"/>
    <w:rsid w:val="00DD24A4"/>
    <w:pPr>
      <w:spacing w:after="0" w:line="240" w:lineRule="auto"/>
      <w:jc w:val="center"/>
    </w:pPr>
    <w:rPr>
      <w:rFonts w:ascii="Arial" w:eastAsia="Times New Roman" w:hAnsi="Arial" w:cs="Times New Roman"/>
      <w:b/>
      <w:sz w:val="32"/>
      <w:szCs w:val="20"/>
      <w:lang w:val="en-US"/>
    </w:rPr>
  </w:style>
  <w:style w:type="character" w:customStyle="1" w:styleId="BodyTextIndentChar">
    <w:name w:val="Body Text Indent Char"/>
    <w:basedOn w:val="DefaultParagraphFont"/>
    <w:link w:val="BodyTextIndent"/>
    <w:rsid w:val="00DD24A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DD24A4"/>
    <w:pPr>
      <w:tabs>
        <w:tab w:val="left" w:pos="7920"/>
      </w:tabs>
      <w:spacing w:after="240" w:line="240" w:lineRule="auto"/>
      <w:ind w:left="720"/>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rsid w:val="00DD24A4"/>
    <w:rPr>
      <w:rFonts w:ascii="Times New Roman" w:eastAsia="Times New Roman" w:hAnsi="Times New Roman" w:cs="Times New Roman"/>
      <w:sz w:val="24"/>
      <w:szCs w:val="20"/>
      <w:lang w:val="en-US"/>
    </w:rPr>
  </w:style>
  <w:style w:type="paragraph" w:styleId="BodyTextIndent2">
    <w:name w:val="Body Text Indent 2"/>
    <w:basedOn w:val="Normal"/>
    <w:link w:val="BodyTextIndent2Char"/>
    <w:rsid w:val="00DD24A4"/>
    <w:pPr>
      <w:tabs>
        <w:tab w:val="left" w:pos="7920"/>
      </w:tabs>
      <w:spacing w:after="240" w:line="240" w:lineRule="auto"/>
      <w:ind w:left="1530" w:hanging="810"/>
    </w:pPr>
    <w:rPr>
      <w:rFonts w:ascii="Times New Roman" w:eastAsia="Times New Roman" w:hAnsi="Times New Roman" w:cs="Times New Roman"/>
      <w:sz w:val="24"/>
      <w:szCs w:val="20"/>
      <w:lang w:val="en-US"/>
    </w:rPr>
  </w:style>
  <w:style w:type="character" w:customStyle="1" w:styleId="BodyText3Char">
    <w:name w:val="Body Text 3 Char"/>
    <w:basedOn w:val="DefaultParagraphFont"/>
    <w:link w:val="BodyText3"/>
    <w:rsid w:val="00DD24A4"/>
    <w:rPr>
      <w:rFonts w:ascii="Arial" w:eastAsia="Times New Roman" w:hAnsi="Arial" w:cs="Times New Roman"/>
      <w:szCs w:val="20"/>
      <w:lang w:val="en-US"/>
    </w:rPr>
  </w:style>
  <w:style w:type="paragraph" w:styleId="BodyText3">
    <w:name w:val="Body Text 3"/>
    <w:basedOn w:val="Normal"/>
    <w:link w:val="BodyText3Char"/>
    <w:rsid w:val="00DD24A4"/>
    <w:pPr>
      <w:spacing w:after="0" w:line="480" w:lineRule="auto"/>
    </w:pPr>
    <w:rPr>
      <w:rFonts w:ascii="Arial" w:eastAsia="Times New Roman" w:hAnsi="Arial" w:cs="Times New Roman"/>
      <w:szCs w:val="20"/>
      <w:lang w:val="en-US"/>
    </w:rPr>
  </w:style>
  <w:style w:type="character" w:customStyle="1" w:styleId="HeaderChar">
    <w:name w:val="Header Char"/>
    <w:basedOn w:val="DefaultParagraphFont"/>
    <w:link w:val="Header"/>
    <w:uiPriority w:val="99"/>
    <w:rsid w:val="00DD24A4"/>
    <w:rPr>
      <w:rFonts w:ascii="Times New Roman" w:eastAsia="Times New Roman" w:hAnsi="Times New Roman" w:cs="Times New Roman"/>
      <w:sz w:val="24"/>
      <w:szCs w:val="20"/>
      <w:lang w:val="en-US"/>
    </w:rPr>
  </w:style>
  <w:style w:type="paragraph" w:styleId="Header">
    <w:name w:val="header"/>
    <w:basedOn w:val="Normal"/>
    <w:link w:val="HeaderChar"/>
    <w:uiPriority w:val="99"/>
    <w:rsid w:val="00DD24A4"/>
    <w:pPr>
      <w:tabs>
        <w:tab w:val="center" w:pos="4320"/>
        <w:tab w:val="right" w:pos="8640"/>
      </w:tabs>
      <w:spacing w:after="240" w:line="240" w:lineRule="auto"/>
    </w:pPr>
    <w:rPr>
      <w:rFonts w:ascii="Times New Roman" w:eastAsia="Times New Roman" w:hAnsi="Times New Roman" w:cs="Times New Roman"/>
      <w:sz w:val="24"/>
      <w:szCs w:val="20"/>
      <w:lang w:val="en-US"/>
    </w:rPr>
  </w:style>
  <w:style w:type="character" w:customStyle="1" w:styleId="FooterChar">
    <w:name w:val="Footer Char"/>
    <w:basedOn w:val="DefaultParagraphFont"/>
    <w:link w:val="Footer"/>
    <w:rsid w:val="00DD24A4"/>
    <w:rPr>
      <w:rFonts w:ascii="Times New Roman" w:eastAsia="Times New Roman" w:hAnsi="Times New Roman" w:cs="Times New Roman"/>
      <w:sz w:val="24"/>
      <w:szCs w:val="20"/>
      <w:lang w:val="en-US"/>
    </w:rPr>
  </w:style>
  <w:style w:type="paragraph" w:styleId="Footer">
    <w:name w:val="footer"/>
    <w:basedOn w:val="Normal"/>
    <w:link w:val="FooterChar"/>
    <w:rsid w:val="00DD24A4"/>
    <w:pPr>
      <w:tabs>
        <w:tab w:val="center" w:pos="4320"/>
        <w:tab w:val="right" w:pos="8640"/>
      </w:tabs>
      <w:spacing w:after="24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DD24A4"/>
    <w:rPr>
      <w:rFonts w:ascii="Palatino" w:eastAsia="Times" w:hAnsi="Palatino" w:cs="Times New Roman"/>
      <w:b/>
      <w:sz w:val="24"/>
      <w:szCs w:val="20"/>
      <w:lang w:val="en-US"/>
    </w:rPr>
  </w:style>
  <w:style w:type="paragraph" w:styleId="BodyText">
    <w:name w:val="Body Text"/>
    <w:basedOn w:val="Normal"/>
    <w:link w:val="BodyTextChar"/>
    <w:rsid w:val="00DD24A4"/>
    <w:pPr>
      <w:spacing w:after="0" w:line="240" w:lineRule="auto"/>
    </w:pPr>
    <w:rPr>
      <w:rFonts w:ascii="Palatino" w:eastAsia="Times" w:hAnsi="Palatino" w:cs="Times New Roman"/>
      <w:b/>
      <w:sz w:val="24"/>
      <w:szCs w:val="20"/>
      <w:lang w:val="en-US"/>
    </w:rPr>
  </w:style>
  <w:style w:type="paragraph" w:customStyle="1" w:styleId="WPCover-Authors">
    <w:name w:val="WP: Cover - Authors"/>
    <w:basedOn w:val="Normal"/>
    <w:qFormat/>
    <w:rsid w:val="00DD24A4"/>
    <w:pPr>
      <w:widowControl w:val="0"/>
      <w:autoSpaceDE w:val="0"/>
      <w:autoSpaceDN w:val="0"/>
      <w:adjustRightInd w:val="0"/>
      <w:spacing w:after="0" w:line="240" w:lineRule="auto"/>
      <w:jc w:val="center"/>
    </w:pPr>
    <w:rPr>
      <w:rFonts w:ascii="Times New Roman" w:eastAsia="Times New Roman" w:hAnsi="Times New Roman" w:cs="TimesNewRomanPS-BoldMT"/>
      <w:sz w:val="24"/>
      <w:szCs w:val="24"/>
      <w:lang w:val="en-US" w:bidi="en-US"/>
    </w:rPr>
  </w:style>
  <w:style w:type="paragraph" w:customStyle="1" w:styleId="WPCover-Thefindings">
    <w:name w:val="WP: Cover - The findings..."/>
    <w:basedOn w:val="Normal"/>
    <w:qFormat/>
    <w:rsid w:val="00DD24A4"/>
    <w:pPr>
      <w:widowControl w:val="0"/>
      <w:autoSpaceDE w:val="0"/>
      <w:autoSpaceDN w:val="0"/>
      <w:adjustRightInd w:val="0"/>
      <w:spacing w:after="0" w:line="240" w:lineRule="auto"/>
      <w:jc w:val="center"/>
    </w:pPr>
    <w:rPr>
      <w:rFonts w:ascii="Times New Roman" w:eastAsia="Times New Roman" w:hAnsi="Times New Roman" w:cs="TimesNewRomanPS-BoldMT"/>
      <w:sz w:val="24"/>
      <w:szCs w:val="24"/>
      <w:lang w:val="en-US" w:bidi="en-US"/>
    </w:rPr>
  </w:style>
  <w:style w:type="paragraph" w:customStyle="1" w:styleId="WPCover-ContactInfo">
    <w:name w:val="WP: Cover - Contact Info"/>
    <w:basedOn w:val="Normal"/>
    <w:qFormat/>
    <w:rsid w:val="00DD24A4"/>
    <w:pPr>
      <w:widowControl w:val="0"/>
      <w:autoSpaceDE w:val="0"/>
      <w:autoSpaceDN w:val="0"/>
      <w:adjustRightInd w:val="0"/>
      <w:spacing w:after="0" w:line="240" w:lineRule="auto"/>
      <w:jc w:val="center"/>
    </w:pPr>
    <w:rPr>
      <w:rFonts w:ascii="Times New Roman" w:eastAsia="Times New Roman" w:hAnsi="Times New Roman" w:cs="TimesNewRomanPS-BoldMT"/>
      <w:sz w:val="24"/>
      <w:szCs w:val="24"/>
      <w:lang w:val="en-US" w:bidi="en-US"/>
    </w:rPr>
  </w:style>
  <w:style w:type="paragraph" w:customStyle="1" w:styleId="WPCover-ProductCode">
    <w:name w:val="WP: Cover - Product Code"/>
    <w:basedOn w:val="Normal"/>
    <w:qFormat/>
    <w:rsid w:val="00DD24A4"/>
    <w:pPr>
      <w:spacing w:after="0" w:line="240" w:lineRule="auto"/>
      <w:jc w:val="center"/>
    </w:pPr>
    <w:rPr>
      <w:rFonts w:ascii="Times New Roman" w:eastAsia="Times New Roman" w:hAnsi="Times New Roman" w:cs="TimesNewRomanPS-BoldMT"/>
      <w:b/>
      <w:bCs/>
      <w:sz w:val="24"/>
      <w:szCs w:val="24"/>
      <w:lang w:val="en-US" w:bidi="en-US"/>
    </w:rPr>
  </w:style>
  <w:style w:type="paragraph" w:customStyle="1" w:styleId="WPCover-CopyrightNotice">
    <w:name w:val="WP: Cover - Copyright Notice"/>
    <w:basedOn w:val="Normal"/>
    <w:qFormat/>
    <w:rsid w:val="00DD24A4"/>
    <w:pPr>
      <w:widowControl w:val="0"/>
      <w:autoSpaceDE w:val="0"/>
      <w:autoSpaceDN w:val="0"/>
      <w:adjustRightInd w:val="0"/>
      <w:spacing w:after="0" w:line="240" w:lineRule="auto"/>
      <w:jc w:val="center"/>
    </w:pPr>
    <w:rPr>
      <w:rFonts w:ascii="Times New Roman" w:eastAsia="Times New Roman" w:hAnsi="Times New Roman" w:cs="TimesNewRomanPS-BoldMT"/>
      <w:sz w:val="24"/>
      <w:szCs w:val="24"/>
      <w:lang w:val="en-US" w:bidi="en-US"/>
    </w:rPr>
  </w:style>
  <w:style w:type="paragraph" w:customStyle="1" w:styleId="WPCover-LincolnWorkingPaper">
    <w:name w:val="WP: Cover - Lincoln Working Paper"/>
    <w:basedOn w:val="Normal"/>
    <w:qFormat/>
    <w:rsid w:val="00DD24A4"/>
    <w:pPr>
      <w:widowControl w:val="0"/>
      <w:autoSpaceDE w:val="0"/>
      <w:autoSpaceDN w:val="0"/>
      <w:adjustRightInd w:val="0"/>
      <w:spacing w:after="0" w:line="240" w:lineRule="auto"/>
      <w:jc w:val="center"/>
    </w:pPr>
    <w:rPr>
      <w:rFonts w:ascii="Times New Roman" w:eastAsia="Times New Roman" w:hAnsi="Times New Roman" w:cs="TimesNewRomanPS-BoldMT"/>
      <w:b/>
      <w:bCs/>
      <w:sz w:val="24"/>
      <w:szCs w:val="24"/>
      <w:lang w:val="en-US" w:bidi="en-US"/>
    </w:rPr>
  </w:style>
  <w:style w:type="character" w:customStyle="1" w:styleId="CommentTextChar">
    <w:name w:val="Comment Text Char"/>
    <w:basedOn w:val="DefaultParagraphFont"/>
    <w:link w:val="CommentText"/>
    <w:rsid w:val="00DD24A4"/>
    <w:rPr>
      <w:rFonts w:ascii="Times New Roman" w:eastAsia="Times New Roman" w:hAnsi="Times New Roman" w:cs="Times New Roman"/>
      <w:sz w:val="24"/>
      <w:szCs w:val="24"/>
      <w:lang w:val="en-US"/>
    </w:rPr>
  </w:style>
  <w:style w:type="paragraph" w:styleId="CommentText">
    <w:name w:val="annotation text"/>
    <w:basedOn w:val="Normal"/>
    <w:link w:val="CommentTextChar"/>
    <w:rsid w:val="00DD24A4"/>
    <w:pPr>
      <w:tabs>
        <w:tab w:val="left" w:pos="3600"/>
      </w:tabs>
      <w:spacing w:after="240" w:line="240" w:lineRule="auto"/>
    </w:pPr>
    <w:rPr>
      <w:rFonts w:ascii="Times New Roman" w:eastAsia="Times New Roman" w:hAnsi="Times New Roman" w:cs="Times New Roman"/>
      <w:sz w:val="24"/>
      <w:szCs w:val="24"/>
      <w:lang w:val="en-US"/>
    </w:rPr>
  </w:style>
  <w:style w:type="character" w:customStyle="1" w:styleId="CommentSubjectChar">
    <w:name w:val="Comment Subject Char"/>
    <w:basedOn w:val="CommentTextChar"/>
    <w:link w:val="CommentSubject"/>
    <w:rsid w:val="00DD24A4"/>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rsid w:val="00DD24A4"/>
    <w:rPr>
      <w:b/>
      <w:bCs/>
      <w:sz w:val="20"/>
      <w:szCs w:val="20"/>
    </w:rPr>
  </w:style>
  <w:style w:type="character" w:customStyle="1" w:styleId="BalloonTextChar">
    <w:name w:val="Balloon Text Char"/>
    <w:basedOn w:val="DefaultParagraphFont"/>
    <w:link w:val="BalloonText"/>
    <w:uiPriority w:val="99"/>
    <w:rsid w:val="00DD24A4"/>
    <w:rPr>
      <w:rFonts w:ascii="Lucida Grande" w:eastAsia="Times New Roman" w:hAnsi="Lucida Grande" w:cs="Lucida Grande"/>
      <w:sz w:val="18"/>
      <w:szCs w:val="18"/>
      <w:lang w:val="en-US"/>
    </w:rPr>
  </w:style>
  <w:style w:type="paragraph" w:styleId="BalloonText">
    <w:name w:val="Balloon Text"/>
    <w:basedOn w:val="Normal"/>
    <w:link w:val="BalloonTextChar"/>
    <w:uiPriority w:val="99"/>
    <w:rsid w:val="00DD24A4"/>
    <w:pPr>
      <w:tabs>
        <w:tab w:val="left" w:pos="3600"/>
      </w:tabs>
      <w:spacing w:after="0" w:line="240" w:lineRule="auto"/>
    </w:pPr>
    <w:rPr>
      <w:rFonts w:ascii="Lucida Grande" w:eastAsia="Times New Roman" w:hAnsi="Lucida Grande" w:cs="Lucida Grande"/>
      <w:sz w:val="18"/>
      <w:szCs w:val="18"/>
      <w:lang w:val="en-US"/>
    </w:rPr>
  </w:style>
  <w:style w:type="paragraph" w:customStyle="1" w:styleId="WPTOCHead1">
    <w:name w:val="WP: TOC Head 1"/>
    <w:qFormat/>
    <w:rsid w:val="00DD24A4"/>
    <w:pPr>
      <w:tabs>
        <w:tab w:val="right" w:leader="dot" w:pos="9360"/>
      </w:tabs>
      <w:spacing w:after="0" w:line="240" w:lineRule="auto"/>
    </w:pPr>
    <w:rPr>
      <w:rFonts w:ascii="Times New Roman" w:eastAsia="Times New Roman" w:hAnsi="Times New Roman" w:cs="Times New Roman"/>
      <w:b/>
      <w:sz w:val="24"/>
      <w:szCs w:val="20"/>
      <w:lang w:val="en-US"/>
    </w:rPr>
  </w:style>
  <w:style w:type="paragraph" w:customStyle="1" w:styleId="WPTOCHead2">
    <w:name w:val="WP: TOC Head 2"/>
    <w:qFormat/>
    <w:rsid w:val="00DD24A4"/>
    <w:pPr>
      <w:tabs>
        <w:tab w:val="right" w:leader="dot" w:pos="9360"/>
      </w:tabs>
      <w:spacing w:after="0" w:line="240" w:lineRule="auto"/>
      <w:ind w:left="720"/>
    </w:pPr>
    <w:rPr>
      <w:rFonts w:ascii="Times New Roman" w:eastAsia="Times New Roman" w:hAnsi="Times New Roman" w:cs="Times New Roman"/>
      <w:sz w:val="24"/>
      <w:szCs w:val="20"/>
      <w:lang w:val="en-US"/>
    </w:rPr>
  </w:style>
  <w:style w:type="paragraph" w:customStyle="1" w:styleId="WPSourceLine">
    <w:name w:val="WP: Source Line"/>
    <w:basedOn w:val="WPBodyText"/>
    <w:next w:val="WPBodyText"/>
    <w:qFormat/>
    <w:rsid w:val="00DD24A4"/>
    <w:pPr>
      <w:spacing w:before="120"/>
    </w:pPr>
    <w:rPr>
      <w:sz w:val="20"/>
      <w:szCs w:val="18"/>
    </w:rPr>
  </w:style>
  <w:style w:type="character" w:customStyle="1" w:styleId="WPAbouttheAuthors-AuthorName">
    <w:name w:val="WP: About the Authors - Author Name"/>
    <w:qFormat/>
    <w:rsid w:val="00DD24A4"/>
    <w:rPr>
      <w:b/>
    </w:rPr>
  </w:style>
  <w:style w:type="paragraph" w:customStyle="1" w:styleId="WPTableTitle">
    <w:name w:val="WP: Table Title"/>
    <w:basedOn w:val="WPBodyText"/>
    <w:next w:val="WPBodyText"/>
    <w:qFormat/>
    <w:rsid w:val="00DD24A4"/>
    <w:rPr>
      <w:b/>
    </w:rPr>
  </w:style>
  <w:style w:type="paragraph" w:customStyle="1" w:styleId="WorkingPaperHeading1">
    <w:name w:val="Working Paper: Heading 1"/>
    <w:next w:val="WorkingPaperBodyText"/>
    <w:qFormat/>
    <w:rsid w:val="00DD24A4"/>
    <w:pPr>
      <w:spacing w:after="0" w:line="240" w:lineRule="auto"/>
      <w:jc w:val="center"/>
    </w:pPr>
    <w:rPr>
      <w:rFonts w:ascii="Times New Roman" w:eastAsia="Times New Roman" w:hAnsi="Times New Roman" w:cs="Times New Roman"/>
      <w:b/>
      <w:kern w:val="28"/>
      <w:sz w:val="24"/>
      <w:szCs w:val="20"/>
      <w:lang w:val="en-US"/>
    </w:rPr>
  </w:style>
  <w:style w:type="paragraph" w:customStyle="1" w:styleId="WPBullet">
    <w:name w:val="WP: Bullet"/>
    <w:basedOn w:val="WPBodyText"/>
    <w:qFormat/>
    <w:rsid w:val="00DD24A4"/>
    <w:pPr>
      <w:numPr>
        <w:numId w:val="14"/>
      </w:numPr>
    </w:pPr>
  </w:style>
  <w:style w:type="paragraph" w:customStyle="1" w:styleId="WPFigureTitle">
    <w:name w:val="WP: Figure Title"/>
    <w:basedOn w:val="WPTableTitle"/>
    <w:next w:val="WPBodyText"/>
    <w:qFormat/>
    <w:rsid w:val="00DD24A4"/>
  </w:style>
  <w:style w:type="paragraph" w:styleId="NoSpacing">
    <w:name w:val="No Spacing"/>
    <w:uiPriority w:val="1"/>
    <w:qFormat/>
    <w:rsid w:val="00DD24A4"/>
    <w:pPr>
      <w:spacing w:after="0" w:line="240" w:lineRule="auto"/>
      <w:ind w:left="10" w:right="406" w:hanging="10"/>
      <w:jc w:val="both"/>
    </w:pPr>
    <w:rPr>
      <w:rFonts w:ascii="Times New Roman" w:eastAsia="Times New Roman" w:hAnsi="Times New Roman" w:cs="Times New Roman"/>
      <w:color w:val="000000"/>
      <w:sz w:val="24"/>
      <w:lang w:val="en-US"/>
    </w:rPr>
  </w:style>
  <w:style w:type="table" w:styleId="TableGrid">
    <w:name w:val="Table Grid"/>
    <w:basedOn w:val="TableNormal"/>
    <w:uiPriority w:val="39"/>
    <w:rsid w:val="00DD24A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D24A4"/>
    <w:pPr>
      <w:tabs>
        <w:tab w:val="left" w:pos="3600"/>
      </w:tabs>
      <w:spacing w:after="240" w:line="240" w:lineRule="auto"/>
      <w:ind w:left="720"/>
      <w:contextualSpacing/>
    </w:pPr>
    <w:rPr>
      <w:rFonts w:ascii="Times New Roman" w:eastAsia="Times New Roman" w:hAnsi="Times New Roman" w:cs="Times New Roman"/>
      <w:sz w:val="24"/>
      <w:szCs w:val="20"/>
      <w:lang w:val="en-US"/>
    </w:rPr>
  </w:style>
  <w:style w:type="paragraph" w:customStyle="1" w:styleId="footnotedescription">
    <w:name w:val="footnote description"/>
    <w:next w:val="Normal"/>
    <w:link w:val="footnotedescriptionChar"/>
    <w:hidden/>
    <w:rsid w:val="00DD24A4"/>
    <w:pPr>
      <w:spacing w:after="0" w:line="252" w:lineRule="auto"/>
      <w:ind w:left="185" w:right="44"/>
    </w:pPr>
    <w:rPr>
      <w:rFonts w:ascii="Arial" w:eastAsia="Arial" w:hAnsi="Arial" w:cs="Arial"/>
      <w:color w:val="000000"/>
      <w:sz w:val="20"/>
      <w:lang w:val="en-US"/>
    </w:rPr>
  </w:style>
  <w:style w:type="character" w:customStyle="1" w:styleId="footnotedescriptionChar">
    <w:name w:val="footnote description Char"/>
    <w:link w:val="footnotedescription"/>
    <w:rsid w:val="00DD24A4"/>
    <w:rPr>
      <w:rFonts w:ascii="Arial" w:eastAsia="Arial" w:hAnsi="Arial" w:cs="Arial"/>
      <w:color w:val="000000"/>
      <w:sz w:val="20"/>
      <w:lang w:val="en-US"/>
    </w:rPr>
  </w:style>
  <w:style w:type="character" w:styleId="Strong">
    <w:name w:val="Strong"/>
    <w:basedOn w:val="DefaultParagraphFont"/>
    <w:uiPriority w:val="22"/>
    <w:qFormat/>
    <w:rsid w:val="00DD24A4"/>
    <w:rPr>
      <w:b/>
      <w:bCs/>
    </w:rPr>
  </w:style>
  <w:style w:type="character" w:styleId="Emphasis">
    <w:name w:val="Emphasis"/>
    <w:basedOn w:val="DefaultParagraphFont"/>
    <w:uiPriority w:val="20"/>
    <w:qFormat/>
    <w:rsid w:val="00DD24A4"/>
    <w:rPr>
      <w:i/>
      <w:iCs/>
    </w:rPr>
  </w:style>
  <w:style w:type="paragraph" w:customStyle="1" w:styleId="Default">
    <w:name w:val="Default"/>
    <w:rsid w:val="005F438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77B14"/>
    <w:rPr>
      <w:color w:val="0563C1" w:themeColor="hyperlink"/>
      <w:u w:val="single"/>
    </w:rPr>
  </w:style>
  <w:style w:type="character" w:styleId="UnresolvedMention">
    <w:name w:val="Unresolved Mention"/>
    <w:basedOn w:val="DefaultParagraphFont"/>
    <w:uiPriority w:val="99"/>
    <w:semiHidden/>
    <w:unhideWhenUsed/>
    <w:rsid w:val="00877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file:///C:\Users\e10003975\AppData\Local\Microsoft\Windows\INetCache\Content.Outlook\KT9T3GXQ\" TargetMode="External"/><Relationship Id="rId1" Type="http://schemas.openxmlformats.org/officeDocument/2006/relationships/hyperlink" Target="http://www.fa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B91CAADA9CEB4E9A8B84854C8EABDE" ma:contentTypeVersion="13" ma:contentTypeDescription="Create a new document." ma:contentTypeScope="" ma:versionID="9c9095582f204e02f35b543baa67f51c">
  <xsd:schema xmlns:xsd="http://www.w3.org/2001/XMLSchema" xmlns:xs="http://www.w3.org/2001/XMLSchema" xmlns:p="http://schemas.microsoft.com/office/2006/metadata/properties" xmlns:ns3="44d45889-0cf3-4eb5-a01d-c3df6a49cff7" xmlns:ns4="94892f7a-bf0b-4538-ae45-e4bdb4d774b7" targetNamespace="http://schemas.microsoft.com/office/2006/metadata/properties" ma:root="true" ma:fieldsID="ba3e837ea825f54ffaaa4e4ee551e24b" ns3:_="" ns4:_="">
    <xsd:import namespace="44d45889-0cf3-4eb5-a01d-c3df6a49cff7"/>
    <xsd:import namespace="94892f7a-bf0b-4538-ae45-e4bdb4d774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45889-0cf3-4eb5-a01d-c3df6a49cf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892f7a-bf0b-4538-ae45-e4bdb4d774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727E5-BFC7-48BB-83B9-CAEC4EF47F60}">
  <ds:schemaRefs>
    <ds:schemaRef ds:uri="http://schemas.microsoft.com/sharepoint/v3/contenttype/forms"/>
  </ds:schemaRefs>
</ds:datastoreItem>
</file>

<file path=customXml/itemProps2.xml><?xml version="1.0" encoding="utf-8"?>
<ds:datastoreItem xmlns:ds="http://schemas.openxmlformats.org/officeDocument/2006/customXml" ds:itemID="{4C11C34C-2AAC-4FBF-8595-54879FF20E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FD3064-7EDB-4487-843A-C3CE5F799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45889-0cf3-4eb5-a01d-c3df6a49cff7"/>
    <ds:schemaRef ds:uri="94892f7a-bf0b-4538-ae45-e4bdb4d7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145EA-FDB3-4C83-9CCE-7F6F2A50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12082</Words>
  <Characters>68869</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McCord</dc:creator>
  <cp:keywords/>
  <dc:description/>
  <cp:lastModifiedBy>Michael McCord</cp:lastModifiedBy>
  <cp:revision>2</cp:revision>
  <dcterms:created xsi:type="dcterms:W3CDTF">2020-09-18T06:12:00Z</dcterms:created>
  <dcterms:modified xsi:type="dcterms:W3CDTF">2020-09-18T06:12:00Z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0x010100C0B91CAADA9CEB4E9A8B84854C8EABDE</vt:lpwstr>
  </property>
</Properties>
</file>