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03F56" w14:textId="77777777" w:rsidR="002856F2" w:rsidRDefault="00F91604" w:rsidP="005A46C1">
      <w:pPr>
        <w:spacing w:line="480" w:lineRule="auto"/>
        <w:rPr>
          <w:b/>
          <w:bCs/>
        </w:rPr>
      </w:pPr>
      <w:r w:rsidRPr="00DB4445">
        <w:rPr>
          <w:b/>
          <w:bCs/>
        </w:rPr>
        <w:t xml:space="preserve">Title: </w:t>
      </w:r>
    </w:p>
    <w:p w14:paraId="48149C24" w14:textId="50AA035F" w:rsidR="00B21C60" w:rsidRPr="00DB4445" w:rsidRDefault="00F91604" w:rsidP="005A46C1">
      <w:pPr>
        <w:spacing w:line="480" w:lineRule="auto"/>
      </w:pPr>
      <w:r w:rsidRPr="00DB4445">
        <w:t>Mild cognitive impairment and anxiety symptoms among community-dwelling older adults from low- and middle-income countries</w:t>
      </w:r>
    </w:p>
    <w:p w14:paraId="59B6E020" w14:textId="7A3561AA" w:rsidR="00C835CC" w:rsidRDefault="00C835CC" w:rsidP="005A46C1">
      <w:pPr>
        <w:spacing w:line="480" w:lineRule="auto"/>
      </w:pPr>
    </w:p>
    <w:p w14:paraId="6CF0C126" w14:textId="50C8C2A9" w:rsidR="002856F2" w:rsidRPr="002856F2" w:rsidRDefault="002856F2" w:rsidP="005A46C1">
      <w:pPr>
        <w:spacing w:line="480" w:lineRule="auto"/>
        <w:rPr>
          <w:b/>
        </w:rPr>
      </w:pPr>
      <w:r w:rsidRPr="002856F2">
        <w:rPr>
          <w:b/>
        </w:rPr>
        <w:t>Authors</w:t>
      </w:r>
    </w:p>
    <w:p w14:paraId="7A64641E" w14:textId="2F7E26E2" w:rsidR="00DB4445" w:rsidRDefault="00DB4445" w:rsidP="00DB4445">
      <w:pPr>
        <w:spacing w:line="480" w:lineRule="auto"/>
        <w:rPr>
          <w:vertAlign w:val="superscript"/>
        </w:rPr>
      </w:pPr>
      <w:r w:rsidRPr="00DB4445">
        <w:t>Lee</w:t>
      </w:r>
      <w:r>
        <w:t xml:space="preserve"> </w:t>
      </w:r>
      <w:r w:rsidRPr="00DB4445">
        <w:t>Smith</w:t>
      </w:r>
      <w:r>
        <w:t>,</w:t>
      </w:r>
      <w:r w:rsidRPr="00DB4445">
        <w:rPr>
          <w:vertAlign w:val="superscript"/>
        </w:rPr>
        <w:t>1</w:t>
      </w:r>
      <w:r>
        <w:t xml:space="preserve"> </w:t>
      </w:r>
      <w:r w:rsidRPr="00DB4445">
        <w:t>Louis</w:t>
      </w:r>
      <w:r>
        <w:t xml:space="preserve"> </w:t>
      </w:r>
      <w:r w:rsidRPr="00DB4445">
        <w:t>Jacob</w:t>
      </w:r>
      <w:r>
        <w:t>,</w:t>
      </w:r>
      <w:r w:rsidRPr="00DB4445">
        <w:rPr>
          <w:vertAlign w:val="superscript"/>
        </w:rPr>
        <w:t>2,3</w:t>
      </w:r>
      <w:r>
        <w:t xml:space="preserve"> </w:t>
      </w:r>
      <w:r w:rsidRPr="00DB4445">
        <w:t>Guillermo F.</w:t>
      </w:r>
      <w:r>
        <w:t xml:space="preserve"> </w:t>
      </w:r>
      <w:r w:rsidRPr="00DB4445">
        <w:t>López-Sánchez</w:t>
      </w:r>
      <w:r>
        <w:t>,</w:t>
      </w:r>
      <w:r w:rsidRPr="00DB4445">
        <w:rPr>
          <w:vertAlign w:val="superscript"/>
        </w:rPr>
        <w:t>4</w:t>
      </w:r>
      <w:r>
        <w:t xml:space="preserve"> </w:t>
      </w:r>
      <w:r w:rsidRPr="00DB4445">
        <w:t>Laurie</w:t>
      </w:r>
      <w:r>
        <w:t xml:space="preserve"> </w:t>
      </w:r>
      <w:r w:rsidRPr="00DB4445">
        <w:t>Butler</w:t>
      </w:r>
      <w:r>
        <w:t>,</w:t>
      </w:r>
      <w:r w:rsidRPr="00DB4445">
        <w:rPr>
          <w:vertAlign w:val="superscript"/>
        </w:rPr>
        <w:t>5</w:t>
      </w:r>
      <w:r>
        <w:t xml:space="preserve"> </w:t>
      </w:r>
      <w:r w:rsidRPr="00DB4445">
        <w:t>Yvonne</w:t>
      </w:r>
      <w:r>
        <w:t xml:space="preserve"> </w:t>
      </w:r>
      <w:r w:rsidRPr="00DB4445">
        <w:t>Barnett</w:t>
      </w:r>
      <w:r>
        <w:t>,</w:t>
      </w:r>
      <w:r w:rsidRPr="00DB4445">
        <w:rPr>
          <w:vertAlign w:val="superscript"/>
        </w:rPr>
        <w:t>6</w:t>
      </w:r>
      <w:r>
        <w:t xml:space="preserve"> </w:t>
      </w:r>
      <w:r w:rsidRPr="00DB4445">
        <w:t>Nicola</w:t>
      </w:r>
      <w:r>
        <w:t xml:space="preserve"> </w:t>
      </w:r>
      <w:r w:rsidRPr="00DB4445">
        <w:t>Veronese</w:t>
      </w:r>
      <w:r>
        <w:t>,</w:t>
      </w:r>
      <w:r w:rsidRPr="00DB4445">
        <w:rPr>
          <w:vertAlign w:val="superscript"/>
        </w:rPr>
        <w:t>7</w:t>
      </w:r>
      <w:r>
        <w:t xml:space="preserve"> </w:t>
      </w:r>
      <w:r w:rsidRPr="00DB4445">
        <w:t>Pinar</w:t>
      </w:r>
      <w:r>
        <w:t xml:space="preserve"> </w:t>
      </w:r>
      <w:r w:rsidRPr="00DB4445">
        <w:t>Soysal</w:t>
      </w:r>
      <w:r>
        <w:t>,</w:t>
      </w:r>
      <w:r w:rsidRPr="00DB4445">
        <w:rPr>
          <w:vertAlign w:val="superscript"/>
        </w:rPr>
        <w:t>8</w:t>
      </w:r>
      <w:r>
        <w:t xml:space="preserve"> </w:t>
      </w:r>
      <w:r w:rsidRPr="00DB4445">
        <w:t>Lin</w:t>
      </w:r>
      <w:r>
        <w:t xml:space="preserve"> </w:t>
      </w:r>
      <w:r w:rsidRPr="00DB4445">
        <w:t>Yang</w:t>
      </w:r>
      <w:r>
        <w:t>,</w:t>
      </w:r>
      <w:r w:rsidRPr="00DB4445">
        <w:rPr>
          <w:vertAlign w:val="superscript"/>
        </w:rPr>
        <w:t>9,10</w:t>
      </w:r>
      <w:r>
        <w:t xml:space="preserve"> </w:t>
      </w:r>
      <w:r w:rsidRPr="00DB4445">
        <w:t>Igor</w:t>
      </w:r>
      <w:r>
        <w:t xml:space="preserve"> </w:t>
      </w:r>
      <w:r w:rsidRPr="00DB4445">
        <w:t>Grabovac</w:t>
      </w:r>
      <w:r>
        <w:t>,</w:t>
      </w:r>
      <w:r w:rsidRPr="00DB4445">
        <w:rPr>
          <w:vertAlign w:val="superscript"/>
        </w:rPr>
        <w:t>11</w:t>
      </w:r>
      <w:r>
        <w:t xml:space="preserve"> </w:t>
      </w:r>
      <w:r w:rsidRPr="00DB4445">
        <w:t>Mark A</w:t>
      </w:r>
      <w:r>
        <w:t xml:space="preserve"> </w:t>
      </w:r>
      <w:r w:rsidRPr="00DB4445">
        <w:t>Tully</w:t>
      </w:r>
      <w:r>
        <w:t>,</w:t>
      </w:r>
      <w:r w:rsidRPr="00DB4445">
        <w:rPr>
          <w:vertAlign w:val="superscript"/>
        </w:rPr>
        <w:t>12</w:t>
      </w:r>
      <w:r>
        <w:t xml:space="preserve"> </w:t>
      </w:r>
      <w:r w:rsidRPr="00DB4445">
        <w:t>Jae Il</w:t>
      </w:r>
      <w:r>
        <w:t xml:space="preserve"> </w:t>
      </w:r>
      <w:bookmarkStart w:id="0" w:name="_GoBack"/>
      <w:r w:rsidRPr="00DB4445">
        <w:t>Shin</w:t>
      </w:r>
      <w:r>
        <w:t>,</w:t>
      </w:r>
      <w:r w:rsidRPr="00DB4445">
        <w:rPr>
          <w:vertAlign w:val="superscript"/>
        </w:rPr>
        <w:t>13</w:t>
      </w:r>
      <w:r>
        <w:t xml:space="preserve"> </w:t>
      </w:r>
      <w:r w:rsidRPr="00DB4445">
        <w:t>Ai</w:t>
      </w:r>
      <w:r>
        <w:t xml:space="preserve"> </w:t>
      </w:r>
      <w:r w:rsidRPr="00DB4445">
        <w:t>Koyanagi</w:t>
      </w:r>
      <w:r w:rsidRPr="00DB4445">
        <w:rPr>
          <w:vertAlign w:val="superscript"/>
        </w:rPr>
        <w:t>2,14</w:t>
      </w:r>
    </w:p>
    <w:bookmarkEnd w:id="0"/>
    <w:p w14:paraId="15A67B4E" w14:textId="0BA65774" w:rsidR="002856F2" w:rsidRPr="002856F2" w:rsidRDefault="002856F2" w:rsidP="00DB4445">
      <w:pPr>
        <w:spacing w:line="480" w:lineRule="auto"/>
        <w:rPr>
          <w:b/>
        </w:rPr>
      </w:pPr>
    </w:p>
    <w:p w14:paraId="0775C1B4" w14:textId="2BF82E66" w:rsidR="002856F2" w:rsidRPr="002856F2" w:rsidRDefault="002856F2" w:rsidP="00DB4445">
      <w:pPr>
        <w:spacing w:line="480" w:lineRule="auto"/>
        <w:rPr>
          <w:b/>
        </w:rPr>
      </w:pPr>
      <w:r w:rsidRPr="002856F2">
        <w:rPr>
          <w:b/>
        </w:rPr>
        <w:t>Affiliations</w:t>
      </w:r>
    </w:p>
    <w:p w14:paraId="10F1C9CB" w14:textId="269355BD" w:rsidR="00DB4445" w:rsidRDefault="00DB4445" w:rsidP="00DB4445">
      <w:pPr>
        <w:spacing w:line="480" w:lineRule="auto"/>
      </w:pPr>
      <w:r w:rsidRPr="00DB4445">
        <w:rPr>
          <w:vertAlign w:val="superscript"/>
        </w:rPr>
        <w:t>1</w:t>
      </w:r>
      <w:r>
        <w:t>The Cambridge Centre for Sport and Exercise Sciences, Anglia Ruskin University, Cambridge, CB1 1PT, UK</w:t>
      </w:r>
    </w:p>
    <w:p w14:paraId="284A5CB9" w14:textId="582A5898" w:rsidR="00DB4445" w:rsidRDefault="00DB4445" w:rsidP="00DB4445">
      <w:pPr>
        <w:spacing w:line="480" w:lineRule="auto"/>
      </w:pPr>
      <w:r w:rsidRPr="00DB4445">
        <w:rPr>
          <w:vertAlign w:val="superscript"/>
        </w:rPr>
        <w:t>2</w:t>
      </w:r>
      <w:r>
        <w:t>Research and Development Unit, Parc Sanitari Sant Joan de Déu, CIBERSAM, Universitat de Barcelona, Dr. Antoni Pujadas, 42, Sant Boi de Llobregat, Barcelona 08830, Spain</w:t>
      </w:r>
    </w:p>
    <w:p w14:paraId="28F81789" w14:textId="51B546DE" w:rsidR="00DB4445" w:rsidRDefault="00DB4445" w:rsidP="00DB4445">
      <w:pPr>
        <w:spacing w:line="480" w:lineRule="auto"/>
      </w:pPr>
      <w:r w:rsidRPr="00DB4445">
        <w:rPr>
          <w:vertAlign w:val="superscript"/>
        </w:rPr>
        <w:t>3</w:t>
      </w:r>
      <w:r>
        <w:t>Faculty of Medicine, University of Versailles Saint-Quentin-en-Yvelines, Montigny-le-Bretonneux 78180, France</w:t>
      </w:r>
    </w:p>
    <w:p w14:paraId="6598138D" w14:textId="6F058A2D" w:rsidR="00DB4445" w:rsidRDefault="00DB4445" w:rsidP="00DB4445">
      <w:pPr>
        <w:spacing w:line="480" w:lineRule="auto"/>
      </w:pPr>
      <w:r w:rsidRPr="00DB4445">
        <w:rPr>
          <w:vertAlign w:val="superscript"/>
        </w:rPr>
        <w:t>4</w:t>
      </w:r>
      <w:r>
        <w:t>Vision and Eye Research Institute, School of Medicine, Faculty of Health, Education, Medicine and Social Care, Anglia Ruskin University-Cambridge Campus, Cambridge, United Kingdom</w:t>
      </w:r>
    </w:p>
    <w:p w14:paraId="3C926965" w14:textId="4CCAAA99" w:rsidR="00DB4445" w:rsidRDefault="00DB4445" w:rsidP="00DB4445">
      <w:pPr>
        <w:spacing w:line="480" w:lineRule="auto"/>
      </w:pPr>
      <w:r w:rsidRPr="00DB4445">
        <w:rPr>
          <w:vertAlign w:val="superscript"/>
        </w:rPr>
        <w:t>5</w:t>
      </w:r>
      <w:r>
        <w:t>Faculty of Science and Engineering, Anglia Ruskin University, Cambridge, CB1 1PT, UK</w:t>
      </w:r>
    </w:p>
    <w:p w14:paraId="176144C6" w14:textId="6B19FFEA" w:rsidR="00DB4445" w:rsidRDefault="00DB4445" w:rsidP="00DB4445">
      <w:pPr>
        <w:spacing w:line="480" w:lineRule="auto"/>
      </w:pPr>
      <w:r w:rsidRPr="00DB4445">
        <w:rPr>
          <w:vertAlign w:val="superscript"/>
        </w:rPr>
        <w:t>6</w:t>
      </w:r>
      <w:r>
        <w:t>Anglia Ruskin University, Cambridge, CB1 1PT, UK</w:t>
      </w:r>
    </w:p>
    <w:p w14:paraId="2B3002D1" w14:textId="34D487ED" w:rsidR="00DB4445" w:rsidRPr="00DB4445" w:rsidRDefault="00DB4445" w:rsidP="00DB4445">
      <w:pPr>
        <w:spacing w:line="480" w:lineRule="auto"/>
        <w:rPr>
          <w:vertAlign w:val="superscript"/>
        </w:rPr>
      </w:pPr>
      <w:r>
        <w:rPr>
          <w:vertAlign w:val="superscript"/>
        </w:rPr>
        <w:t>7</w:t>
      </w:r>
      <w:r>
        <w:t>Department of Medicine, Geriatrics Section, University of Palermo, Palermo, Italy</w:t>
      </w:r>
    </w:p>
    <w:p w14:paraId="5CDB0EE1" w14:textId="374A4D16" w:rsidR="00DB4445" w:rsidRDefault="00DB4445" w:rsidP="00DB4445">
      <w:pPr>
        <w:spacing w:line="480" w:lineRule="auto"/>
      </w:pPr>
      <w:r w:rsidRPr="00DB4445">
        <w:rPr>
          <w:vertAlign w:val="superscript"/>
        </w:rPr>
        <w:t>8</w:t>
      </w:r>
      <w:r>
        <w:t>Department of Geriatric Medicine, Faculty of Medicine, Bezmialem Vakif University, Istanbul, Turkey</w:t>
      </w:r>
    </w:p>
    <w:p w14:paraId="7A0F919B" w14:textId="0254BBCE" w:rsidR="00DB4445" w:rsidRPr="00DB4445" w:rsidRDefault="00DB4445" w:rsidP="00DB4445">
      <w:pPr>
        <w:spacing w:line="480" w:lineRule="auto"/>
        <w:rPr>
          <w:vertAlign w:val="superscript"/>
        </w:rPr>
      </w:pPr>
      <w:r>
        <w:rPr>
          <w:vertAlign w:val="superscript"/>
        </w:rPr>
        <w:lastRenderedPageBreak/>
        <w:t>9</w:t>
      </w:r>
      <w:r>
        <w:t>Department of Cancer Epidemiology and Prevention Research, Cancer Care Alberta, Alberta Health Services, Calgary, Canada</w:t>
      </w:r>
    </w:p>
    <w:p w14:paraId="5782487F" w14:textId="2F27E080" w:rsidR="00DB4445" w:rsidRDefault="00DB4445" w:rsidP="00DB4445">
      <w:pPr>
        <w:spacing w:line="480" w:lineRule="auto"/>
      </w:pPr>
      <w:r w:rsidRPr="00DB4445">
        <w:rPr>
          <w:vertAlign w:val="superscript"/>
        </w:rPr>
        <w:t>10</w:t>
      </w:r>
      <w:r>
        <w:t>Departments of Oncology and Community Health Sciences, Cumming School of Medicine, University of Calgary, Calgary, Canada</w:t>
      </w:r>
    </w:p>
    <w:p w14:paraId="4EB660F2" w14:textId="0B761322" w:rsidR="00DB4445" w:rsidRDefault="00DB4445" w:rsidP="00DB4445">
      <w:pPr>
        <w:spacing w:line="480" w:lineRule="auto"/>
      </w:pPr>
      <w:r w:rsidRPr="00DB4445">
        <w:rPr>
          <w:vertAlign w:val="superscript"/>
        </w:rPr>
        <w:t>11</w:t>
      </w:r>
      <w:r>
        <w:t>Department of Social and Behavioural Science, Medical University of Vienna, Kinderspitalgasse 15/1, 1090 Wien, Austria</w:t>
      </w:r>
    </w:p>
    <w:p w14:paraId="5BA52126" w14:textId="44C0B395" w:rsidR="00DB4445" w:rsidRDefault="00DB4445" w:rsidP="00DB4445">
      <w:pPr>
        <w:spacing w:line="480" w:lineRule="auto"/>
      </w:pPr>
      <w:r w:rsidRPr="00DB4445">
        <w:rPr>
          <w:vertAlign w:val="superscript"/>
        </w:rPr>
        <w:t>12</w:t>
      </w:r>
      <w:r>
        <w:t>Institute of Mental Health Sciences, School of Health Sciences, Ulster University, Newtownabbey, UK</w:t>
      </w:r>
    </w:p>
    <w:p w14:paraId="32B82360" w14:textId="450B8602" w:rsidR="00DB4445" w:rsidRDefault="00DB4445" w:rsidP="00DB4445">
      <w:pPr>
        <w:spacing w:line="480" w:lineRule="auto"/>
      </w:pPr>
      <w:r w:rsidRPr="00DB4445">
        <w:rPr>
          <w:vertAlign w:val="superscript"/>
        </w:rPr>
        <w:t>13</w:t>
      </w:r>
      <w:r>
        <w:t>Department of Pediatrics, Yonsei University College of Medicine, Seoul, Republic of Korea</w:t>
      </w:r>
    </w:p>
    <w:p w14:paraId="269BEE22" w14:textId="347CA646" w:rsidR="00163AE6" w:rsidRPr="00DB4445" w:rsidRDefault="00DB4445" w:rsidP="00DB4445">
      <w:pPr>
        <w:spacing w:line="480" w:lineRule="auto"/>
      </w:pPr>
      <w:r w:rsidRPr="00DB4445">
        <w:rPr>
          <w:vertAlign w:val="superscript"/>
        </w:rPr>
        <w:t>14</w:t>
      </w:r>
      <w:r>
        <w:t>ICREA, Pg. Lluis Companys 23, 08010, Barcelona, Spain</w:t>
      </w:r>
    </w:p>
    <w:p w14:paraId="470B4CFE" w14:textId="77777777" w:rsidR="00163AE6" w:rsidRPr="00DB4445" w:rsidRDefault="00163AE6" w:rsidP="005A46C1">
      <w:pPr>
        <w:spacing w:line="480" w:lineRule="auto"/>
      </w:pPr>
    </w:p>
    <w:p w14:paraId="1795806C" w14:textId="77777777" w:rsidR="00163AE6" w:rsidRPr="00DB4445" w:rsidRDefault="00163AE6" w:rsidP="005A46C1">
      <w:pPr>
        <w:spacing w:line="480" w:lineRule="auto"/>
        <w:sectPr w:rsidR="00163AE6" w:rsidRPr="00DB4445" w:rsidSect="002207A0">
          <w:footerReference w:type="even" r:id="rId8"/>
          <w:footerReference w:type="default" r:id="rId9"/>
          <w:pgSz w:w="11900" w:h="16840"/>
          <w:pgMar w:top="1440" w:right="1440" w:bottom="1440" w:left="1440" w:header="708" w:footer="708" w:gutter="0"/>
          <w:cols w:space="708"/>
          <w:docGrid w:linePitch="360"/>
        </w:sectPr>
      </w:pPr>
    </w:p>
    <w:p w14:paraId="5D6C6209" w14:textId="77777777" w:rsidR="000D69FF" w:rsidRPr="00DB4445" w:rsidRDefault="00F91604" w:rsidP="005A46C1">
      <w:pPr>
        <w:spacing w:line="480" w:lineRule="auto"/>
        <w:rPr>
          <w:b/>
          <w:bCs/>
        </w:rPr>
      </w:pPr>
      <w:r w:rsidRPr="00DB4445">
        <w:rPr>
          <w:b/>
          <w:bCs/>
        </w:rPr>
        <w:lastRenderedPageBreak/>
        <w:t>ABSTRACT</w:t>
      </w:r>
    </w:p>
    <w:p w14:paraId="21F9D2F5" w14:textId="3ACF7EF0" w:rsidR="000D69FF" w:rsidRPr="00DB4445" w:rsidRDefault="00F91604" w:rsidP="000D69FF">
      <w:pPr>
        <w:spacing w:line="480" w:lineRule="auto"/>
      </w:pPr>
      <w:r w:rsidRPr="00DB4445">
        <w:rPr>
          <w:b/>
          <w:bCs/>
        </w:rPr>
        <w:t xml:space="preserve">Aim: </w:t>
      </w:r>
      <w:r w:rsidR="00DB4445" w:rsidRPr="00DB4445">
        <w:t>Anxiety may be a risk factor for mild cognitive impairment (MCI) but there is a scarcity of data on this association especially from low- and middle-income countries (LMICs). Thus, we investigated the association between anxiety and MCI among older adults residing in six LMICs (China, Ghana, India, Mexico, Russia, South Africa), and the mediational effect of sleep problems in this association.</w:t>
      </w:r>
    </w:p>
    <w:p w14:paraId="081EB2C3" w14:textId="2A025BDB" w:rsidR="000D69FF" w:rsidRPr="00DB4445" w:rsidRDefault="00F91604" w:rsidP="000D69FF">
      <w:pPr>
        <w:spacing w:line="480" w:lineRule="auto"/>
      </w:pPr>
      <w:r w:rsidRPr="00DB4445">
        <w:rPr>
          <w:b/>
          <w:bCs/>
        </w:rPr>
        <w:t>Methods:</w:t>
      </w:r>
      <w:r w:rsidRPr="00DB4445">
        <w:t xml:space="preserve"> </w:t>
      </w:r>
      <w:r w:rsidR="00DB4445" w:rsidRPr="00DB4445">
        <w:t>Cross-sectional, community-based, nationally representative data from the WHO Study on global AGEing and adult health (SAGE) were analyzed. The definition of MCI was based on the National Institute on Ageing-Alzheimer's Association criteria. Multivariable logistic regression analysis, meta-analysis, and mediation analysis were conducted to assess associations.</w:t>
      </w:r>
      <w:r w:rsidR="000D69FF" w:rsidRPr="00AD3BD4">
        <w:t xml:space="preserve"> </w:t>
      </w:r>
    </w:p>
    <w:p w14:paraId="1CBC8755" w14:textId="3D888817" w:rsidR="000D69FF" w:rsidRPr="00DB4445" w:rsidRDefault="00F91604" w:rsidP="000D69FF">
      <w:pPr>
        <w:spacing w:line="480" w:lineRule="auto"/>
      </w:pPr>
      <w:r w:rsidRPr="00DB4445">
        <w:rPr>
          <w:b/>
          <w:bCs/>
        </w:rPr>
        <w:t>Results:</w:t>
      </w:r>
      <w:r w:rsidRPr="00DB4445">
        <w:t xml:space="preserve"> </w:t>
      </w:r>
      <w:r w:rsidR="00DB4445" w:rsidRPr="00DB4445">
        <w:t>The final sample included 32,715 individuals aged ≥50 years with preservation in functional abilities [mean (standard deviation) age 62.1 (15.6) years; 48.3% males]. Country-wise analysis showed a positive association between anxiety and MCI in all countries (OR 1.35-14.33). The pooled estimate based on meta-analysis with random effects was OR=2.27 (95%CI=1.35-3.83). Sleep problems explained 41.1% of this association.</w:t>
      </w:r>
      <w:r w:rsidRPr="00DB4445">
        <w:rPr>
          <w:color w:val="000000" w:themeColor="text1"/>
        </w:rPr>
        <w:t xml:space="preserve"> </w:t>
      </w:r>
    </w:p>
    <w:p w14:paraId="07A08CF7" w14:textId="3E45AD2B" w:rsidR="000D69FF" w:rsidRPr="00DB4445" w:rsidRDefault="00F91604" w:rsidP="000D69FF">
      <w:pPr>
        <w:spacing w:line="480" w:lineRule="auto"/>
      </w:pPr>
      <w:r w:rsidRPr="00DB4445">
        <w:rPr>
          <w:b/>
          <w:bCs/>
        </w:rPr>
        <w:t xml:space="preserve">Conclusions: </w:t>
      </w:r>
      <w:r w:rsidR="00DB4445" w:rsidRPr="00DB4445">
        <w:t>lder adults with anxiety had higher odds for MCI in LMICs. Future studies should examine whether preventing anxiety or addressing anxiety among individuals with MCI can lead to lower risk for dementia onset in LMICs, while the role of sleep problems in this association should be investigated in detail.</w:t>
      </w:r>
    </w:p>
    <w:p w14:paraId="354CA557" w14:textId="77777777" w:rsidR="00163AE6" w:rsidRPr="00DB4445" w:rsidRDefault="00163AE6" w:rsidP="000D69FF">
      <w:pPr>
        <w:spacing w:line="480" w:lineRule="auto"/>
      </w:pPr>
    </w:p>
    <w:p w14:paraId="586FCAA1" w14:textId="77777777" w:rsidR="00163AE6" w:rsidRPr="00DB4445" w:rsidRDefault="00F91604" w:rsidP="000D69FF">
      <w:pPr>
        <w:spacing w:line="480" w:lineRule="auto"/>
      </w:pPr>
      <w:r w:rsidRPr="00DB4445">
        <w:rPr>
          <w:b/>
          <w:bCs/>
        </w:rPr>
        <w:t xml:space="preserve">Key words: </w:t>
      </w:r>
      <w:r w:rsidRPr="00DB4445">
        <w:t>anxiety, mild cognitive impairment, low- and middle-income countries, sleep problems, epidemiology</w:t>
      </w:r>
    </w:p>
    <w:p w14:paraId="53BD5C07" w14:textId="77777777" w:rsidR="00163AE6" w:rsidRPr="00DB4445" w:rsidRDefault="00163AE6" w:rsidP="000D69FF">
      <w:pPr>
        <w:spacing w:line="480" w:lineRule="auto"/>
      </w:pPr>
    </w:p>
    <w:p w14:paraId="228054B5" w14:textId="77777777" w:rsidR="00163AE6" w:rsidRPr="00DB4445" w:rsidRDefault="00163AE6" w:rsidP="005A46C1">
      <w:pPr>
        <w:spacing w:line="480" w:lineRule="auto"/>
        <w:sectPr w:rsidR="00163AE6" w:rsidRPr="00DB4445" w:rsidSect="002207A0">
          <w:pgSz w:w="11900" w:h="16840"/>
          <w:pgMar w:top="1440" w:right="1440" w:bottom="1440" w:left="1440" w:header="708" w:footer="708" w:gutter="0"/>
          <w:cols w:space="708"/>
          <w:docGrid w:linePitch="360"/>
        </w:sectPr>
      </w:pPr>
    </w:p>
    <w:p w14:paraId="303E6744" w14:textId="77777777" w:rsidR="004B7F08" w:rsidRPr="00DB4445" w:rsidRDefault="00F91604" w:rsidP="005A46C1">
      <w:pPr>
        <w:spacing w:line="480" w:lineRule="auto"/>
        <w:rPr>
          <w:b/>
          <w:bCs/>
        </w:rPr>
      </w:pPr>
      <w:r w:rsidRPr="00DB4445">
        <w:rPr>
          <w:b/>
          <w:bCs/>
        </w:rPr>
        <w:lastRenderedPageBreak/>
        <w:t>INTRODUCTION</w:t>
      </w:r>
    </w:p>
    <w:p w14:paraId="3FE7C4A0" w14:textId="77777777" w:rsidR="00DB4445" w:rsidRDefault="00DB4445" w:rsidP="00DB4445">
      <w:pPr>
        <w:spacing w:line="480" w:lineRule="auto"/>
      </w:pPr>
      <w:r>
        <w:t>Dementia is a syndrome characterized by deterioration in cognitive function beyond what might be expected from normal ageing (World Health Organization, 2020). Dementia most commonly affects older adults and the global increase in the number of adults living into older age is increasing the global prevalence of dementia. Indeed, an estimated 47.5 million people worldwide had dementia in 2020, and this figure is expected to rise to 75.6 million in 2030 and 135.5 million in 2050 (World Health Organization, 2015). Dementia is one of the main causes of disability and dependency in older adults and has profound detrimental psychological, social, physiological, and economic impact on people living with the disease, their families, other care providers, and society as a whole (Veronese, et al, 2020). However, there is currently no cure for dementia and thus preventive efforts are essential to tackle its increasing prevalence.</w:t>
      </w:r>
    </w:p>
    <w:p w14:paraId="396EFC47" w14:textId="77777777" w:rsidR="00DB4445" w:rsidRDefault="00DB4445" w:rsidP="00DB4445">
      <w:pPr>
        <w:spacing w:line="480" w:lineRule="auto"/>
      </w:pPr>
    </w:p>
    <w:p w14:paraId="71D0F493" w14:textId="77777777" w:rsidR="00DB4445" w:rsidRDefault="00DB4445" w:rsidP="00DB4445">
      <w:pPr>
        <w:spacing w:line="480" w:lineRule="auto"/>
      </w:pPr>
      <w:r>
        <w:t xml:space="preserve">Mild cognitive impairment (MCI) is a preclinical state to dementia (Morris, 2005), which is increasingly being considered an important “target” for the prevention of dementia. MCI has been defined as cognitive decline greater than what would be expected for an individual's age and education level, but not interfering notably with activities of daily life (Gauthier, et al, 2006). Several correlates of MCI have been identified including, for example, hypertension, diabetes mellitus, and cerebrovascular disease (Li, Xin, et al, 2013), as well as race (African American), low educational level, and depression (Lopez, et al, 2003). However, one understudied potential risk factor to date is anxiety. Anxiety may increase risk for cognitive decline via reductions in intellectually stimulating activities, sleep problems, or use of benzodiazepines. Indeed, literature has shown that anxiety is highly prevalent among those with MCI (Rozzini, et al, 2009). Importantly, previous studies have also shown that the co-occurrence of MCI and anxiety increases the likelihood of conversion to dementia </w:t>
      </w:r>
      <w:r>
        <w:lastRenderedPageBreak/>
        <w:t>(specifically, Alzheimer's disease) (Gallagher, et al, 2011; Palmer, et al, 2007). Moreover, studies using a more proxy measure of anxiety, Neuropsychiatric Inventory-Questionnaire (NPI-Q), have demonstrated that high NPI-Q severity scores are associated with a higher conversion from MCI to dementia (Mallo, Patten, et al, 2020; Mallo, Valladares-Rodriguez, et al, 2020). However, to date, there is a scarcity of literature on the association between anxiety and MCI particularly from LMICs.</w:t>
      </w:r>
    </w:p>
    <w:p w14:paraId="7843A1DC" w14:textId="77777777" w:rsidR="00DB4445" w:rsidRDefault="00DB4445" w:rsidP="00DB4445">
      <w:pPr>
        <w:spacing w:line="480" w:lineRule="auto"/>
      </w:pPr>
    </w:p>
    <w:p w14:paraId="55A57BDE" w14:textId="77777777" w:rsidR="00DB4445" w:rsidRDefault="00DB4445" w:rsidP="00DB4445">
      <w:pPr>
        <w:spacing w:line="480" w:lineRule="auto"/>
      </w:pPr>
      <w:r>
        <w:t>In addition, the role of sleep problems in the association between anxiety and MCI has been little investigated to date. Previous epidemiological studies have shown that psychopathology including anxiety is a very strong risk factor for insomnia onset (Soldatos, 1994). In turn, sleep problems have been identified as a risk factor for all cause cognitive decline and dementia with one recent meta-analyses identifying ten types of sleep conditions or parameters as being linked to higher risk of all-cause cognitive disorders (Xu, et al, 2020). For example, a study by Diem, et al. found that lower sleep efficiency and longer sleep latencies in older women were associated with 1.5 and 1.4 greater odds of developing MCI or dementia within five years (Diem, et al, 2016). Thus, it is possible that sleep problems are an important mediator in the association between anxiety and MCI.</w:t>
      </w:r>
    </w:p>
    <w:p w14:paraId="488DD2BB" w14:textId="77777777" w:rsidR="00DB4445" w:rsidRDefault="00DB4445" w:rsidP="00DB4445">
      <w:pPr>
        <w:spacing w:line="480" w:lineRule="auto"/>
      </w:pPr>
    </w:p>
    <w:p w14:paraId="35048144" w14:textId="03DA3D08" w:rsidR="005A46C1" w:rsidRPr="00DB4445" w:rsidRDefault="00DB4445" w:rsidP="00DB4445">
      <w:pPr>
        <w:spacing w:line="480" w:lineRule="auto"/>
      </w:pPr>
      <w:r>
        <w:t>Considering the above literature, the aim of the present study was to investigate the association between anxiety and MCI among older adults residing in six low- and middle-income countries (LMICs) (China, Ghana, India, Mexico, Russia, South Africa), and the mediational effect of sleep problems in this association. Studies from LMICs are highly relevant as almost 60% of people with dementia live in this setting (World Health Organization, 2020), and preventive strategies in these resource-limited settings are thus of vital importance.</w:t>
      </w:r>
    </w:p>
    <w:p w14:paraId="08DFE23A" w14:textId="77777777" w:rsidR="00263106" w:rsidRPr="00AD3BD4" w:rsidRDefault="00263106" w:rsidP="00263106">
      <w:pPr>
        <w:spacing w:line="480" w:lineRule="auto"/>
        <w:rPr>
          <w:b/>
        </w:rPr>
      </w:pPr>
      <w:r w:rsidRPr="00AD3BD4">
        <w:rPr>
          <w:b/>
        </w:rPr>
        <w:lastRenderedPageBreak/>
        <w:t>METHODS</w:t>
      </w:r>
    </w:p>
    <w:p w14:paraId="0FF67A5A" w14:textId="77777777" w:rsidR="00263106" w:rsidRPr="00AD3BD4" w:rsidRDefault="00F91604" w:rsidP="00263106">
      <w:pPr>
        <w:spacing w:line="480" w:lineRule="auto"/>
        <w:rPr>
          <w:b/>
          <w:i/>
        </w:rPr>
      </w:pPr>
      <w:r w:rsidRPr="00DB4445">
        <w:rPr>
          <w:b/>
          <w:i/>
        </w:rPr>
        <w:t>The survey</w:t>
      </w:r>
    </w:p>
    <w:p w14:paraId="63B86F28" w14:textId="3F78AC72" w:rsidR="00DB4445" w:rsidRPr="00DB4445" w:rsidRDefault="00DB4445" w:rsidP="00DB4445">
      <w:pPr>
        <w:spacing w:line="480" w:lineRule="auto"/>
        <w:rPr>
          <w:color w:val="000000"/>
        </w:rPr>
      </w:pPr>
      <w:r w:rsidRPr="00DB4445">
        <w:rPr>
          <w:color w:val="000000"/>
        </w:rPr>
        <w:t>Data from the Study on Global Ageing and Adult Health (SAGE) were analyzed. These data are publically available through http://www.who.int/healthinfo/sage/en/. This survey was undertaken in China, Ghana, India, Mexico, Russia, and South Africa between 2007 and 2010. These countries broadly represent different geographical locations and levels of socio-economic and demographic transition. Based on the World Bank classification at the time of the survey, Ghana was the only low-income country, and China and India were lower middle-income countries although China became an upper middle-income country in 2010. The remaining countries were upper middle-income countries.</w:t>
      </w:r>
    </w:p>
    <w:p w14:paraId="5D8D890E" w14:textId="358D37E2" w:rsidR="00DF7AB1" w:rsidRPr="00AD3BD4" w:rsidRDefault="00DB4445" w:rsidP="00DB4445">
      <w:pPr>
        <w:spacing w:line="480" w:lineRule="auto"/>
      </w:pPr>
      <w:r w:rsidRPr="00DB4445">
        <w:rPr>
          <w:color w:val="000000"/>
        </w:rPr>
        <w:t>Details of the survey methodology have been published elsewhere (Kowal, et al, 2012). Briefly, in order to obtain nationally representative samples, a multistage clustered sampling design method was used. The sample consisted of adults aged ≥18 years with oversampling of those aged ≥50 years. Trained interviewers conducted face-to-face interviews using a standard questionnaire. Standard translation procedures were undertaken to ensure comparability between countries. The survey response rates were: China 93%; Ghana 81%; India 68%; Mexico 53%; Russia 83%; and South Africa 75%. Sampling weights were constructed to adjust for the population structure as reported by the United Nations Statistical Division. Ethical approval was obtained from the WHO Ethical Review Committee and local ethics research review boards. Written informed consent was obtained from all participants.</w:t>
      </w:r>
    </w:p>
    <w:p w14:paraId="19CFB634" w14:textId="77777777" w:rsidR="00263106" w:rsidRPr="00DB4445" w:rsidRDefault="00F91604" w:rsidP="00263106">
      <w:pPr>
        <w:spacing w:line="480" w:lineRule="auto"/>
        <w:jc w:val="both"/>
        <w:rPr>
          <w:b/>
          <w:bCs/>
          <w:lang w:eastAsia="nl-BE"/>
        </w:rPr>
      </w:pPr>
      <w:r w:rsidRPr="00DB4445">
        <w:rPr>
          <w:b/>
          <w:bCs/>
          <w:i/>
          <w:lang w:eastAsia="nl-BE"/>
        </w:rPr>
        <w:t>Anxiety symptoms</w:t>
      </w:r>
    </w:p>
    <w:p w14:paraId="67356B78" w14:textId="537E2AF2" w:rsidR="00263106" w:rsidRDefault="00DB4445" w:rsidP="005A46C1">
      <w:pPr>
        <w:spacing w:line="480" w:lineRule="auto"/>
        <w:rPr>
          <w:color w:val="000000"/>
        </w:rPr>
      </w:pPr>
      <w:r w:rsidRPr="00DB4445">
        <w:rPr>
          <w:color w:val="000000"/>
        </w:rPr>
        <w:t xml:space="preserve">Anxiety symptoms were assessed by the question ‘Overall in the past 30 days, how much of a problem did you have with worry or anxiety’ with response alternatives: ‘none’, ‘mild’, ‘moderate’, ‘severe’, and ‘extreme’. In accordance with previous publications using a dataset </w:t>
      </w:r>
      <w:r w:rsidRPr="00DB4445">
        <w:rPr>
          <w:color w:val="000000"/>
        </w:rPr>
        <w:lastRenderedPageBreak/>
        <w:t>with the identical question, those who answered severe and extreme were considered to have anxiety (Stubbs, et al, 2017; Vancampfort, et al, 2017).</w:t>
      </w:r>
    </w:p>
    <w:p w14:paraId="2A427539" w14:textId="77777777" w:rsidR="00DB4445" w:rsidRPr="00AD3BD4" w:rsidRDefault="00DB4445" w:rsidP="005A46C1">
      <w:pPr>
        <w:spacing w:line="480" w:lineRule="auto"/>
        <w:rPr>
          <w:i/>
          <w:iCs/>
        </w:rPr>
      </w:pPr>
    </w:p>
    <w:p w14:paraId="0768C692" w14:textId="77777777" w:rsidR="00263106" w:rsidRPr="00DB4445" w:rsidRDefault="00F91604" w:rsidP="005A46C1">
      <w:pPr>
        <w:spacing w:line="480" w:lineRule="auto"/>
        <w:rPr>
          <w:b/>
          <w:bCs/>
          <w:i/>
          <w:iCs/>
        </w:rPr>
      </w:pPr>
      <w:r w:rsidRPr="00DB4445">
        <w:rPr>
          <w:b/>
          <w:bCs/>
          <w:i/>
          <w:iCs/>
        </w:rPr>
        <w:t>Mild cognitive impairment</w:t>
      </w:r>
    </w:p>
    <w:p w14:paraId="5FCA44D2" w14:textId="77777777" w:rsidR="00DB4445" w:rsidRDefault="00DB4445" w:rsidP="00DB4445">
      <w:pPr>
        <w:spacing w:line="480" w:lineRule="auto"/>
        <w:rPr>
          <w:lang w:eastAsia="es-ES"/>
        </w:rPr>
      </w:pPr>
      <w:r>
        <w:rPr>
          <w:lang w:eastAsia="es-ES"/>
        </w:rPr>
        <w:t>MCI was ascertained based on the recommendations of the National Institute on Aging-Alzheimer's Association (Albert, et al, 2011). We applied the identical algorithms used in previous SAGE publications to identify MCI (Koyanagi, et al, 2018; Koyanagi, et al, 2019). Briefly, individuals fulfilling all of the following conditions were considered to have MCI:</w:t>
      </w:r>
    </w:p>
    <w:p w14:paraId="2700DC99" w14:textId="77777777" w:rsidR="00DB4445" w:rsidRDefault="00DB4445" w:rsidP="00DB4445">
      <w:pPr>
        <w:pStyle w:val="ListParagraph"/>
        <w:numPr>
          <w:ilvl w:val="0"/>
          <w:numId w:val="14"/>
        </w:numPr>
        <w:spacing w:line="480" w:lineRule="auto"/>
        <w:rPr>
          <w:lang w:eastAsia="es-ES"/>
        </w:rPr>
      </w:pPr>
      <w:r>
        <w:rPr>
          <w:lang w:eastAsia="es-ES"/>
        </w:rPr>
        <w:t>Concern about a change in cognition: Individuals who replied ‘bad’ or ‘very bad’ to the question “How would you best describe your memory at present?” and/or those who answered ‘worse’ to the question “Compared to 12 months ago, would you say your memory is now better, the same or worse than it was then?” were considered to have this condition.</w:t>
      </w:r>
    </w:p>
    <w:p w14:paraId="1161EFFB" w14:textId="77777777" w:rsidR="00DB4445" w:rsidRDefault="00DB4445" w:rsidP="00DB4445">
      <w:pPr>
        <w:pStyle w:val="ListParagraph"/>
        <w:numPr>
          <w:ilvl w:val="0"/>
          <w:numId w:val="14"/>
        </w:numPr>
        <w:spacing w:line="480" w:lineRule="auto"/>
        <w:rPr>
          <w:lang w:eastAsia="es-ES"/>
        </w:rPr>
      </w:pPr>
      <w:r>
        <w:rPr>
          <w:lang w:eastAsia="es-ES"/>
        </w:rPr>
        <w:t>Objective evidence of impairment in one or more cognitive domains: was based on a &lt;-1 SD cut-off after adjustment for level of education, age, and country. Cognitive function was assessed through the following performance tests: word list immediate and delayed verbal recall from the Consortium to Establish a Registry for Alzheimer's Disease (Morris, et al, 1989), which assessed learning and episodic memory; digit span forward and backwards from the Weschler Adult Intelligence Scale (Tulsky and Ledbetter, 2000), that evaluated attention and working memory; and the animal naming task (Morris, et al, 1989), which assessed verbal fluency.</w:t>
      </w:r>
    </w:p>
    <w:p w14:paraId="34B94845" w14:textId="77777777" w:rsidR="00DB4445" w:rsidRDefault="00DB4445" w:rsidP="00DB4445">
      <w:pPr>
        <w:pStyle w:val="ListParagraph"/>
        <w:numPr>
          <w:ilvl w:val="0"/>
          <w:numId w:val="14"/>
        </w:numPr>
        <w:spacing w:line="480" w:lineRule="auto"/>
      </w:pPr>
      <w:r>
        <w:rPr>
          <w:lang w:eastAsia="es-ES"/>
        </w:rPr>
        <w:t xml:space="preserve">Preservation of independence in functional abilities: was assessed by questions on self-reported difficulties with basic activities of daily living (ADL) in the past 30 days (Katz, et al, 1963). Specific questions were: “How much difficulty did you have in getting dressed?” and “How much difficulty did you have with eating (including </w:t>
      </w:r>
      <w:r>
        <w:rPr>
          <w:lang w:eastAsia="es-ES"/>
        </w:rPr>
        <w:lastRenderedPageBreak/>
        <w:t>cutting up your food)?” The answer options were none, mild, moderate, severe, and extreme (cannot do). Those who answered either none, mild, or moderate to both of these questions were considered to have preservation of independence in functional activities. All other individuals were deleted from the analysis (935 individuals aged ≥50 years).</w:t>
      </w:r>
    </w:p>
    <w:p w14:paraId="5F7C503E" w14:textId="22701BC8" w:rsidR="00B40F1D" w:rsidRDefault="00DB4445" w:rsidP="00DB4445">
      <w:pPr>
        <w:pStyle w:val="ListParagraph"/>
        <w:numPr>
          <w:ilvl w:val="0"/>
          <w:numId w:val="14"/>
        </w:numPr>
        <w:spacing w:line="480" w:lineRule="auto"/>
      </w:pPr>
      <w:r>
        <w:rPr>
          <w:lang w:eastAsia="es-ES"/>
        </w:rPr>
        <w:t>No dementia: Individuals with a level of cognitive impairment severe enough to preclude the possibility to undertake the survey were not included in the current study.</w:t>
      </w:r>
    </w:p>
    <w:p w14:paraId="41E69A01" w14:textId="77777777" w:rsidR="00DB4445" w:rsidRPr="00AD3BD4" w:rsidRDefault="00DB4445" w:rsidP="00DB4445">
      <w:pPr>
        <w:pStyle w:val="ListParagraph"/>
        <w:spacing w:line="480" w:lineRule="auto"/>
      </w:pPr>
    </w:p>
    <w:p w14:paraId="3F1F534F" w14:textId="77777777" w:rsidR="00B40F1D" w:rsidRPr="00DB4445" w:rsidRDefault="00F91604" w:rsidP="005A46C1">
      <w:pPr>
        <w:spacing w:line="480" w:lineRule="auto"/>
        <w:rPr>
          <w:b/>
          <w:bCs/>
          <w:i/>
          <w:iCs/>
        </w:rPr>
      </w:pPr>
      <w:r w:rsidRPr="00DB4445">
        <w:rPr>
          <w:b/>
          <w:bCs/>
          <w:i/>
          <w:iCs/>
        </w:rPr>
        <w:t>Sleep problems</w:t>
      </w:r>
    </w:p>
    <w:p w14:paraId="38F927BD" w14:textId="33447B18" w:rsidR="00B40F1D" w:rsidRDefault="00DB4445" w:rsidP="005A46C1">
      <w:pPr>
        <w:spacing w:line="480" w:lineRule="auto"/>
      </w:pPr>
      <w:r w:rsidRPr="00DB4445">
        <w:t>Sleep problems were assessed by the question “Overall in the last 30 days, how much of a problem did you have with sleeping, such as falling asleep, waking up frequently during the night or waking up too early in the morning?” with answer options ‘none’, ‘mild’, ‘moderate’, ‘severe’, and ‘extreme’. This measure has been used in multiple previous publications (Koyanagi, et al, 2014; Selvamani, et al, 2018; Stickley, et al, 2019; Vancampfort, et al, 2018).</w:t>
      </w:r>
    </w:p>
    <w:p w14:paraId="65332274" w14:textId="77777777" w:rsidR="00DB4445" w:rsidRPr="00AD3BD4" w:rsidRDefault="00DB4445" w:rsidP="005A46C1">
      <w:pPr>
        <w:spacing w:line="480" w:lineRule="auto"/>
      </w:pPr>
    </w:p>
    <w:p w14:paraId="49764D29" w14:textId="77777777" w:rsidR="007319A0" w:rsidRPr="00DB4445" w:rsidRDefault="00F91604" w:rsidP="005A46C1">
      <w:pPr>
        <w:spacing w:line="480" w:lineRule="auto"/>
        <w:rPr>
          <w:b/>
          <w:bCs/>
          <w:i/>
          <w:iCs/>
        </w:rPr>
      </w:pPr>
      <w:r w:rsidRPr="00DB4445">
        <w:rPr>
          <w:b/>
          <w:bCs/>
          <w:i/>
          <w:iCs/>
        </w:rPr>
        <w:t>Control variables</w:t>
      </w:r>
    </w:p>
    <w:p w14:paraId="38E3AB77" w14:textId="4CE7E9FE" w:rsidR="000C7A11" w:rsidRDefault="00DB4445" w:rsidP="000C7A11">
      <w:pPr>
        <w:spacing w:line="480" w:lineRule="auto"/>
      </w:pPr>
      <w:r w:rsidRPr="00DB4445">
        <w:t xml:space="preserve">The control variables were selected based on past literature (Lara, et al, 2016) and included age, sex, wealth quintiles based on income, years of education received, physical activity, alcohol use in the past 30 days, smoking (never, current, former), depression, diabetes, hypertension, stroke, and obesity [body mass index (BMI) ≥30 kg/m2 based on measured weight and height]. Levels of physical activity were assessed with the Global Physical Activity Questionnaire and were classified as low, moderate, and high based on conventional cut-offs (Bull, et al, 2009). Questions based on the World Mental Health Survey version of </w:t>
      </w:r>
      <w:r w:rsidRPr="00DB4445">
        <w:lastRenderedPageBreak/>
        <w:t>the Composite International Diagnostic Interview (Kessler and Üstün, 2004) were used for the endorsement of past 12-month DSM-IV depression (American Psychiatric Association, 2013). Stroke and diabetes were based solely on self-reported lifetime diagnosis. Hypertension was defined as having at least one of: systolic blood pressure ≥140 mmHg; diastolic blood pressure ≥90 mmHg; or self-reported diagnosis.</w:t>
      </w:r>
    </w:p>
    <w:p w14:paraId="780893C1" w14:textId="77777777" w:rsidR="00DB4445" w:rsidRPr="00AD3BD4" w:rsidRDefault="00DB4445" w:rsidP="000C7A11">
      <w:pPr>
        <w:spacing w:line="480" w:lineRule="auto"/>
      </w:pPr>
    </w:p>
    <w:p w14:paraId="1135B51F" w14:textId="77777777" w:rsidR="00F715F6" w:rsidRPr="00DB4445" w:rsidRDefault="00F91604" w:rsidP="000C7A11">
      <w:pPr>
        <w:spacing w:line="480" w:lineRule="auto"/>
        <w:rPr>
          <w:b/>
          <w:bCs/>
          <w:i/>
          <w:iCs/>
        </w:rPr>
      </w:pPr>
      <w:r w:rsidRPr="00DB4445">
        <w:rPr>
          <w:b/>
          <w:bCs/>
          <w:i/>
          <w:iCs/>
        </w:rPr>
        <w:t>Statistical analysis</w:t>
      </w:r>
    </w:p>
    <w:p w14:paraId="59EDDA43" w14:textId="77777777" w:rsidR="00DB4445" w:rsidRDefault="00DB4445" w:rsidP="00DB4445">
      <w:pPr>
        <w:spacing w:line="480" w:lineRule="auto"/>
      </w:pPr>
      <w:r>
        <w:t xml:space="preserve">The statistical analysis was performed with Stata 14.1 (Stata Corp LP, College station, Texas). The analysis was restricted to those aged ≥50 years as MCI is an age-related condition. The difference in sample characteristics by the presence or absence of anxiety was tested by Chi-squared tests and Student's t-tests for categorical and continuous variables, respectively. Multivariable logistic regression analysis was conducted to assess the association between anxiety (exposure) and MCI (outcome). First, using the pooled sample including all countries, we constructed three models with different blocks of control variables to assess their influence in the anxiety-MCI association: Model 1 - adjusted for sociodemographic factors (age, sex, wealth, education, country): Model 2 - adjusted for factors in Model 1 and behavioral factors (physical activity, alcohol consumption, smoking); Model 3 (fully-adjusted model) - adjusted for factors in Model 2 and health conditions (depression, diabetes, hypertension, stroke, obesity). Second, based on the fully adjusted model, we conducted interaction analysis to assess whether the association between anxiety and MCI differs by age groups (50-64 and ≥65 years) and sex by including an interaction term (age groups X anxiety or sex X anxiety) in the model. Third, in order to assess the mediating effect of sleep problems in the association between anxiety and MCI, we conducted mediation analysis (Breen, et al, 2013). Specifically, we used the khb (Karlson Holm Breen) command in Stata for this purpose. This method can be applied in logistic </w:t>
      </w:r>
      <w:r>
        <w:lastRenderedPageBreak/>
        <w:t>regression models and decomposes the total effect [i.e., unadjusted for the mediator (i.e., sleep problems)] of a variable into direct (i.e., the effect of anxiety on MCI adjusted for the mediator) and indirect effects (i.e., the mediational effect). Using this method, the percentage of the main association explained by the mediator can also be calculated (mediated percentage). The mediation analysis adjusted for all factors in Model 3 (fully-adjusted model) mentioned above. Finally, we conducted country-wise analysis for the association between anxiety and MCI, and calculated the Higgins's I2 based on estimates from each country order to assess between-country heterogeneity. The Higgins's I2 represents the degree of heterogeneity that is not explained by sampling error with a value of &lt;40% often considered as negligible and 40-60% as moderate heterogeneity (Higgins &amp; Thompson, 2002). A pooled estimate was obtained by random-effects meta-analysis. The country-wise analysis was also adjusted for all factors in Model 3 (fully-adjusted model) with the exception of country.</w:t>
      </w:r>
    </w:p>
    <w:p w14:paraId="14DB0F70" w14:textId="77777777" w:rsidR="00DB4445" w:rsidRDefault="00DB4445" w:rsidP="00DB4445">
      <w:pPr>
        <w:spacing w:line="480" w:lineRule="auto"/>
      </w:pPr>
    </w:p>
    <w:p w14:paraId="2F32A385" w14:textId="1DAD6F24" w:rsidR="00445BD9" w:rsidRDefault="00DB4445" w:rsidP="00DB4445">
      <w:pPr>
        <w:spacing w:line="480" w:lineRule="auto"/>
      </w:pPr>
      <w:r>
        <w:t>In the regression analyses using the overall sample and the mediation analysis, adjustment for country was done by including dummy variables for each country in the model as in previous SAGE publications (Koyanagi, et al, 2014; Koyanagi, et al, 2018). The sample weighting and the complex study design were taken into account in the analyses. Results from the regression analyses are presented as odds ratios (ORs) with 95% confidence intervals (CIs). The level of statistical significance was set at P&lt;0.05.</w:t>
      </w:r>
    </w:p>
    <w:p w14:paraId="218D85A2" w14:textId="77777777" w:rsidR="00DB4445" w:rsidRPr="00DB4445" w:rsidRDefault="00DB4445" w:rsidP="00DB4445">
      <w:pPr>
        <w:spacing w:line="480" w:lineRule="auto"/>
        <w:rPr>
          <w:b/>
          <w:bCs/>
        </w:rPr>
      </w:pPr>
    </w:p>
    <w:p w14:paraId="44B7EBD3" w14:textId="77777777" w:rsidR="00445BD9" w:rsidRPr="00DB4445" w:rsidRDefault="00F91604" w:rsidP="000C7A11">
      <w:pPr>
        <w:spacing w:line="480" w:lineRule="auto"/>
        <w:rPr>
          <w:b/>
          <w:bCs/>
        </w:rPr>
      </w:pPr>
      <w:r w:rsidRPr="00DB4445">
        <w:rPr>
          <w:b/>
          <w:bCs/>
        </w:rPr>
        <w:t>RESULTS</w:t>
      </w:r>
    </w:p>
    <w:p w14:paraId="482BA311" w14:textId="06B9E1DC" w:rsidR="00D47E07" w:rsidRDefault="00DB4445" w:rsidP="000C7A11">
      <w:pPr>
        <w:spacing w:line="480" w:lineRule="auto"/>
      </w:pPr>
      <w:r w:rsidRPr="00DB4445">
        <w:t xml:space="preserve">The final sample included 32,715 individuals (China n=12815; Ghana n=4201; India n=6191; Mexico n=2070; Russia n=3766; South Africa n=3672) aged ≥50 years with preservation in functional abilities [mean (standard deviation) age 62.1 (15.6) years; 48.3% males]. The sample characteristics overall are shown in Table 1 and those by country are shown in Table </w:t>
      </w:r>
      <w:r w:rsidRPr="00DB4445">
        <w:lastRenderedPageBreak/>
        <w:t>S1 of the Appendix. The overall prevalence of anxiety and MCI were 7.0% and 15.3%, respectively, although there was a wide range between countries with the range for anxiety being 0.6% (China) to 16.0% (India) and that for MCI being 7.4% (Ghana) to 24.3% (China). The prevalence of MCI was higher among those with anxiety than in those without anxiety in all countries (Figure 1), especially in Russia (46.5% vs. 8.5%). The prevalence of anxiety among those with and without MCI is shown in Figure 2. The association between anxiety and MCI estimated by multivariable logistic regression using the overall sample is shown in Table 2. Anxiety was associated with a 1.91 (1.37-2.66) times higher odds for MCI in the fully-adjusted model (Model 3), and behavioral factors and health status had very little influence in this association as evidenced by the minimal attenuation in the ORs compared to Model 1 and 2. Interaction analysis showed that sex and age are not significant effect modifiers in this association. Next, the mediation analysis showed that 41.1% of the association between anxiety and MCI was mediated by sleep problems: total effect (OR=1.90; 95%CI=1.35-2.69; p&lt;0.001); direct effect (OR=1.46; 95%CI=1.03-2.06; p=0.031); indirect effect (OR=1.30; 95%CI=1.22-1.39; p&lt;0.001) (data only shown in text).</w:t>
      </w:r>
    </w:p>
    <w:p w14:paraId="36FCCFBD" w14:textId="77777777" w:rsidR="00DB4445" w:rsidRDefault="00DB4445" w:rsidP="000C7A11">
      <w:pPr>
        <w:spacing w:line="480" w:lineRule="auto"/>
      </w:pPr>
    </w:p>
    <w:p w14:paraId="241A6D32" w14:textId="74E6028D" w:rsidR="00DB4445" w:rsidRDefault="00DB4445" w:rsidP="000C7A11">
      <w:pPr>
        <w:spacing w:line="480" w:lineRule="auto"/>
      </w:pPr>
      <w:r w:rsidRPr="00DB4445">
        <w:t>Finally, the country-wise association between anxiety and MCI is shown in Figure 3. Anxiety was associated with higher odds for MCI (OR&gt;1) in all countries with the association being particularly strong in Russia. Based on a meta-analysis with random effects, the overall OR (95%CI) was 2.27 (1.35-3.83) with a high level of heterogeneity (I2=81.0%). When Russia was omitted from the analysis, the I2 was reduced to 40.1%.</w:t>
      </w:r>
    </w:p>
    <w:p w14:paraId="2F48AEF2" w14:textId="77777777" w:rsidR="00DB4445" w:rsidRPr="00DB4445" w:rsidRDefault="00DB4445" w:rsidP="000C7A11">
      <w:pPr>
        <w:spacing w:line="480" w:lineRule="auto"/>
      </w:pPr>
    </w:p>
    <w:p w14:paraId="4D1BA927" w14:textId="77777777" w:rsidR="00445BD9" w:rsidRPr="00DB4445" w:rsidRDefault="00F91604" w:rsidP="000C7A11">
      <w:pPr>
        <w:spacing w:line="480" w:lineRule="auto"/>
        <w:rPr>
          <w:b/>
          <w:bCs/>
        </w:rPr>
      </w:pPr>
      <w:r w:rsidRPr="00DB4445">
        <w:rPr>
          <w:b/>
          <w:bCs/>
        </w:rPr>
        <w:t>DISCUSSION</w:t>
      </w:r>
    </w:p>
    <w:p w14:paraId="39351F2D" w14:textId="77777777" w:rsidR="00D47E07" w:rsidRPr="00DB4445" w:rsidRDefault="00F91604" w:rsidP="00D47E07">
      <w:pPr>
        <w:spacing w:line="480" w:lineRule="auto"/>
        <w:rPr>
          <w:b/>
          <w:bCs/>
          <w:i/>
          <w:iCs/>
        </w:rPr>
      </w:pPr>
      <w:r w:rsidRPr="00DB4445">
        <w:rPr>
          <w:b/>
          <w:bCs/>
          <w:i/>
          <w:iCs/>
        </w:rPr>
        <w:t>Main findings</w:t>
      </w:r>
    </w:p>
    <w:p w14:paraId="45F9CB4D" w14:textId="3D9AA511" w:rsidR="00D47E07" w:rsidRPr="00DB4445" w:rsidRDefault="00DB4445" w:rsidP="00D47E07">
      <w:pPr>
        <w:spacing w:line="480" w:lineRule="auto"/>
      </w:pPr>
      <w:r w:rsidRPr="00DB4445">
        <w:lastRenderedPageBreak/>
        <w:t>The results of our study show that older people from LMICs with anxiety symptoms are at an approximately 2 times higher odds for MCI. Age and sex were not significant effect modifiers in this association. Furthermore, behavior factors and health status had very little influence in this association. Based on the mediation analysis, 41% of the association between anxiety and MCI was explained by sleep problems. Country-wise analysis showed that there is high level of between-country heterogeneity but this was mainly explained by the particularly strong association observed in Russia. To the best of our knowledge, this is the largest study on this topic to date, and one of the few from LMICs.</w:t>
      </w:r>
    </w:p>
    <w:p w14:paraId="1AF92D87" w14:textId="77777777" w:rsidR="00F91108" w:rsidRPr="00DB4445" w:rsidRDefault="00F91108" w:rsidP="00D47E07">
      <w:pPr>
        <w:spacing w:line="480" w:lineRule="auto"/>
      </w:pPr>
    </w:p>
    <w:p w14:paraId="645464BD" w14:textId="77777777" w:rsidR="00D47E07" w:rsidRPr="00DB4445" w:rsidRDefault="00F91604" w:rsidP="00D47E07">
      <w:pPr>
        <w:spacing w:line="480" w:lineRule="auto"/>
        <w:rPr>
          <w:b/>
          <w:bCs/>
          <w:i/>
          <w:iCs/>
        </w:rPr>
      </w:pPr>
      <w:r w:rsidRPr="00DB4445">
        <w:rPr>
          <w:b/>
          <w:bCs/>
          <w:i/>
          <w:iCs/>
        </w:rPr>
        <w:t>Interpretation of the findings</w:t>
      </w:r>
    </w:p>
    <w:p w14:paraId="4FE8F182" w14:textId="77777777" w:rsidR="00DB4445" w:rsidRDefault="00DB4445" w:rsidP="00DB4445">
      <w:pPr>
        <w:spacing w:line="480" w:lineRule="auto"/>
      </w:pPr>
      <w:r>
        <w:t>Findings from the present study support and add to previous literature on this topic which have found a higher prevalence of anxiety among those with MCI (Chen, et al, 2018). To date, we are aware of five studies which were conducted in LMICs (Baiyewu, et al, 2012; Muangpaisan, et al, 2008; Paddick, et al, 2015; Tatsch, et al, 2006; Zhang, et al, 2012), although all of them were of very small sample size. For example, one previous study found a high prevalence of anxiety among those with MCI compared to those without in one LMIC (Nigeria) (Baiyewu, et al, 2012), identifying a prevalence of almost 19% in the MCI group compared to 10% in the normal cognition group. Recently, two longitudinal studies on the relationship between anxiety and MCI have been conducted and these identified no significant associations (Kassem, et al, 2018; Paddick, et al, 2015). However, these studies have important limitations, they were both carried out in single high-income countries, consisted of very small sample sizes, and one study focused on females only (Kassem, et al, 2018). Further studies of a longitudinal design investigating the association between anxiety and MCI are required in multi-country studies, studies in LMICs, and consisting of representative samples.</w:t>
      </w:r>
    </w:p>
    <w:p w14:paraId="3685E630" w14:textId="77777777" w:rsidR="00DB4445" w:rsidRDefault="00DB4445" w:rsidP="00DB4445">
      <w:pPr>
        <w:spacing w:line="480" w:lineRule="auto"/>
      </w:pPr>
    </w:p>
    <w:p w14:paraId="49DC90BC" w14:textId="77777777" w:rsidR="00DB4445" w:rsidRDefault="00DB4445" w:rsidP="00DB4445">
      <w:pPr>
        <w:spacing w:line="480" w:lineRule="auto"/>
      </w:pPr>
      <w:r>
        <w:t>There are several plausible mechanisms that may explain the positive association between anxiety and MCI found in our study. First, the presence of anxiety has been shown to be significantly associated with reduced functional status in performing activities of daily living in older adults (Schultz, et al, 2004). A reduction in activities of daily living may be associated with an increase in risk of MCI owing to reduced brain stimulation. Second, studies have reported that use of benzodiazepines, a class of anxiolytic medications, is associated with elevated risk of cognitive decline or impairment (Kassem, et al, 2018). Finally, sleep problems may be an important mediator in the anxiety-MCI association. Indeed, the present study found that 41% of the association between anxiety and MCI was explained by sleep problems. Anxiety can increase the risk of sleep problems via rumination when attempting to sleep and it has been shown that a state of mental hyperarousal, frequently marked by worry, is a key risk factor for insomnia (Kalmbach, et al, 2018). Sleep problems in turn may increase the risk of MCI because the consolidation of memories is made when one sleeps (da Silva, Renata Alves Pachota Chaves, 2015). Indeed, literature has demonstrated a strong correlation between sleep disturbance and neuropsychological impairments in memory, processing speed and executive functioning (Naismith, et al, 2009; Naismith, et al, 2011).</w:t>
      </w:r>
    </w:p>
    <w:p w14:paraId="2DA95936" w14:textId="77777777" w:rsidR="00DB4445" w:rsidRDefault="00DB4445" w:rsidP="00DB4445">
      <w:pPr>
        <w:spacing w:line="480" w:lineRule="auto"/>
      </w:pPr>
    </w:p>
    <w:p w14:paraId="1B68FBD9" w14:textId="77777777" w:rsidR="00DB4445" w:rsidRDefault="00DB4445" w:rsidP="00DB4445">
      <w:pPr>
        <w:spacing w:line="480" w:lineRule="auto"/>
      </w:pPr>
      <w:r>
        <w:t xml:space="preserve">Finally, we also found a high level of between-country heterogeneity in terms of the association between anxiety and MCI, which was mainly explained by the particularly strong association found in Russia. Although the reason for the particularly strong association in Russia is not known, this country had a particularly high level of education, high percentage of females, as well as high rates of alcohol consumption, and stroke, compared to other countries included in our study (see Table S1 of the Appendix), and it is possible that these </w:t>
      </w:r>
      <w:r>
        <w:lastRenderedPageBreak/>
        <w:t>factors are playing a role (Curran, et al, 2020; Koch, et al, 2019; Vadikolias, et al, 2012). Future studies are necessary to understand why anxiety is more strongly associated with MCI in some settings.</w:t>
      </w:r>
    </w:p>
    <w:p w14:paraId="28149280" w14:textId="77777777" w:rsidR="00DB4445" w:rsidRDefault="00DB4445" w:rsidP="00D47E07">
      <w:pPr>
        <w:spacing w:line="480" w:lineRule="auto"/>
        <w:rPr>
          <w:b/>
          <w:bCs/>
          <w:i/>
          <w:iCs/>
        </w:rPr>
      </w:pPr>
    </w:p>
    <w:p w14:paraId="4549862B" w14:textId="414C52E2" w:rsidR="00D47E07" w:rsidRPr="00DB4445" w:rsidRDefault="00F91604" w:rsidP="00D47E07">
      <w:pPr>
        <w:spacing w:line="480" w:lineRule="auto"/>
        <w:rPr>
          <w:b/>
          <w:bCs/>
          <w:i/>
          <w:iCs/>
        </w:rPr>
      </w:pPr>
      <w:r w:rsidRPr="00DB4445">
        <w:rPr>
          <w:b/>
          <w:bCs/>
          <w:i/>
          <w:iCs/>
        </w:rPr>
        <w:t>Clinical implications</w:t>
      </w:r>
    </w:p>
    <w:p w14:paraId="781E87B3" w14:textId="170F3732" w:rsidR="00433295" w:rsidRDefault="00DB4445" w:rsidP="00D47E07">
      <w:pPr>
        <w:spacing w:line="480" w:lineRule="auto"/>
      </w:pPr>
      <w:r w:rsidRPr="00DB4445">
        <w:t>The observed associations in this study and others highlights the importance in addressing anxiety and sleep problems in order to aid in the prevention of MCI and ultimately dementia. There are several existing strategies that could be utilized to address these risk factors in older adults but lifestyle interventions may be most appropriate, especially in the context of LMICs. For example, physical activity can aid in the prevention of anxiety and result in better sleeping behaviors in older adults (Anderson and Shivakumar, 2013; Kline, 2014). In addition to physical activity, a healthy diet is also associated with lower levels of anxiety and better sleep (Nguyen, et al, 2017; Noorwali, et al, 2018). Finally, cessation of tobacco smoking has been found to be associated with a reduction in anxiety and improved sleep (McDermott, et al, 2013; Peters, et al, 2011). Since levels of physical activity are low, and the prevalence of malnutrition and smoking high in LMICs (Action on Smoking and Health, 2019; Perez-Escamilla, et al, 2018; World Health Organization, 2018), intervening to improve these parameters may reduce levels of MCI and ultimately dementia in this population.</w:t>
      </w:r>
    </w:p>
    <w:p w14:paraId="3DC52765" w14:textId="77777777" w:rsidR="00DB4445" w:rsidRPr="00DB4445" w:rsidRDefault="00DB4445" w:rsidP="00D47E07">
      <w:pPr>
        <w:spacing w:line="480" w:lineRule="auto"/>
      </w:pPr>
    </w:p>
    <w:p w14:paraId="4648CAD3" w14:textId="77777777" w:rsidR="00D47E07" w:rsidRPr="00DB4445" w:rsidRDefault="00F91604" w:rsidP="00D47E07">
      <w:pPr>
        <w:spacing w:line="480" w:lineRule="auto"/>
        <w:rPr>
          <w:b/>
          <w:bCs/>
          <w:i/>
          <w:iCs/>
        </w:rPr>
      </w:pPr>
      <w:r w:rsidRPr="00DB4445">
        <w:rPr>
          <w:b/>
          <w:bCs/>
          <w:i/>
          <w:iCs/>
        </w:rPr>
        <w:t>Strengths and limitations</w:t>
      </w:r>
    </w:p>
    <w:p w14:paraId="34E47684" w14:textId="588800B5" w:rsidR="000D69FF" w:rsidRDefault="00DB4445" w:rsidP="00D47E07">
      <w:pPr>
        <w:spacing w:line="480" w:lineRule="auto"/>
      </w:pPr>
      <w:r w:rsidRPr="00DB4445">
        <w:t xml:space="preserve">The strengths of the study include the large sample size and use of nationally representative data from six LMICs which together comprise nearly half of the worldwide population (Kowal, et al, 2012). However, the study results should be interpreted in the light of several limitations. First, anxiety symptoms were assessed with a single question and this question </w:t>
      </w:r>
      <w:r w:rsidRPr="00DB4445">
        <w:lastRenderedPageBreak/>
        <w:t>has not been validated. However, the use of extreme categories to define anxiety symptoms is likely to have improved specificity. Moreover, it should be noted that the present measures of MCI and sleep problems were not validated and thus, a certain degree of bias may have been introduced into the present findings. Second, given that there were no data on clinical diagnoses of dementia available in the study, we cannot preclude the possibility that some people with mild dementia were included in our analytical sample. However, the prevalence of MCI in our study was within previously reported figures (Petersen, 2016). Finally, given the cross-sectional nature of the study, causality or temporal associations cannot be established. As mentioned above, the association between anxiety and MCI is likely to be bidirectional.</w:t>
      </w:r>
    </w:p>
    <w:p w14:paraId="7490098D" w14:textId="77777777" w:rsidR="00DB4445" w:rsidRPr="00DB4445" w:rsidRDefault="00DB4445" w:rsidP="00D47E07">
      <w:pPr>
        <w:spacing w:line="480" w:lineRule="auto"/>
        <w:rPr>
          <w:b/>
          <w:bCs/>
        </w:rPr>
      </w:pPr>
    </w:p>
    <w:p w14:paraId="3BA38663" w14:textId="77777777" w:rsidR="00D47E07" w:rsidRPr="00DB4445" w:rsidRDefault="00F91604" w:rsidP="00D47E07">
      <w:pPr>
        <w:spacing w:line="480" w:lineRule="auto"/>
        <w:rPr>
          <w:b/>
          <w:bCs/>
          <w:i/>
          <w:iCs/>
        </w:rPr>
      </w:pPr>
      <w:r w:rsidRPr="00DB4445">
        <w:rPr>
          <w:b/>
          <w:bCs/>
          <w:i/>
          <w:iCs/>
        </w:rPr>
        <w:t>Conclusion</w:t>
      </w:r>
    </w:p>
    <w:p w14:paraId="163628A4" w14:textId="0A376FDD" w:rsidR="00445BD9" w:rsidRDefault="00DB4445" w:rsidP="000C7A11">
      <w:pPr>
        <w:spacing w:line="480" w:lineRule="auto"/>
      </w:pPr>
      <w:r w:rsidRPr="00DB4445">
        <w:t>We found an approximately two-fold increased odds for MCI among older people in LMICs with anxiety. Future longitudinal studies are warranted to determine direction of associations and whether anxiety is a risk factor for MCI, especially in LMICs. Although the direction of the association could not be determined due to the cross-sectional nature of our study, it is important to note that previous studies have shown that anxiety-MCI comorbidity is associated with a particularly high risk for conversion to dementia (Li, Xiao‐Xue and Li, 2018). The higher prevalence of anxiety among people with MCI compared to those without MCI in all countries included in our study is thus a concern. Future interventional studies are needed to assess the impact of preventing or addressing anxiety in people with MCI in terms of risk for conversion to dementia, especially in LMICs. Finally, the role of sleep problems in the association between anxiety and MCI should be investigated in detail.</w:t>
      </w:r>
    </w:p>
    <w:p w14:paraId="0BCB2D28" w14:textId="77777777" w:rsidR="00DB4445" w:rsidRPr="00DB4445" w:rsidRDefault="00DB4445" w:rsidP="000C7A11">
      <w:pPr>
        <w:spacing w:line="480" w:lineRule="auto"/>
        <w:rPr>
          <w:b/>
          <w:bCs/>
        </w:rPr>
      </w:pPr>
    </w:p>
    <w:p w14:paraId="36C1E469" w14:textId="77777777" w:rsidR="00445BD9" w:rsidRPr="00DB4445" w:rsidRDefault="00F91604" w:rsidP="00445BD9">
      <w:pPr>
        <w:pStyle w:val="p"/>
        <w:spacing w:before="0" w:beforeAutospacing="0" w:after="0" w:afterAutospacing="0" w:line="480" w:lineRule="auto"/>
        <w:rPr>
          <w:rFonts w:ascii="Times New Roman" w:hAnsi="Times New Roman" w:cs="Times New Roman"/>
          <w:b/>
          <w:bCs/>
          <w:sz w:val="24"/>
          <w:szCs w:val="24"/>
          <w:lang w:val="en-GB"/>
        </w:rPr>
      </w:pPr>
      <w:r w:rsidRPr="00DB4445">
        <w:rPr>
          <w:rFonts w:ascii="Times New Roman" w:hAnsi="Times New Roman" w:cs="Times New Roman"/>
          <w:b/>
          <w:bCs/>
          <w:sz w:val="24"/>
          <w:szCs w:val="24"/>
          <w:lang w:val="en-GB"/>
        </w:rPr>
        <w:t>ACKNOWLEDGEMENTS</w:t>
      </w:r>
    </w:p>
    <w:p w14:paraId="476458E6" w14:textId="77777777" w:rsidR="00445BD9" w:rsidRPr="00DB4445" w:rsidRDefault="00F91604" w:rsidP="00445BD9">
      <w:pPr>
        <w:pStyle w:val="p"/>
        <w:spacing w:before="0" w:beforeAutospacing="0" w:after="0" w:afterAutospacing="0" w:line="480" w:lineRule="auto"/>
        <w:rPr>
          <w:rFonts w:ascii="Times New Roman" w:hAnsi="Times New Roman" w:cs="Times New Roman"/>
          <w:sz w:val="24"/>
          <w:szCs w:val="24"/>
          <w:lang w:val="en-GB"/>
        </w:rPr>
      </w:pPr>
      <w:r w:rsidRPr="00DB4445">
        <w:rPr>
          <w:rFonts w:ascii="Times New Roman" w:hAnsi="Times New Roman" w:cs="Times New Roman"/>
          <w:sz w:val="24"/>
          <w:szCs w:val="24"/>
          <w:lang w:val="en-GB"/>
        </w:rPr>
        <w:lastRenderedPageBreak/>
        <w:t xml:space="preserve">This paper uses data from WHO’s Study on Global Ageing and Adult Health (SAGE). SAGE is supported by the U.S. National Institute on Aging through Interagency Agreements OGHA 04034785, YA1323–08-CN-0020, Y1-AG-1005–01 and through research grants R01-AG034479 and R21-AG034263. </w:t>
      </w:r>
    </w:p>
    <w:p w14:paraId="6FB357B4" w14:textId="166B44DD" w:rsidR="00040D64" w:rsidRDefault="00040D64" w:rsidP="00445BD9">
      <w:pPr>
        <w:pStyle w:val="p"/>
        <w:spacing w:before="0" w:beforeAutospacing="0" w:after="0" w:afterAutospacing="0" w:line="480" w:lineRule="auto"/>
        <w:rPr>
          <w:rFonts w:ascii="Times New Roman" w:hAnsi="Times New Roman" w:cs="Times New Roman"/>
          <w:sz w:val="24"/>
          <w:szCs w:val="24"/>
          <w:lang w:val="en-GB"/>
        </w:rPr>
      </w:pPr>
    </w:p>
    <w:p w14:paraId="2C3D8550" w14:textId="1621422B" w:rsidR="00B917BD" w:rsidRPr="00B917BD" w:rsidRDefault="00B917BD" w:rsidP="00445BD9">
      <w:pPr>
        <w:pStyle w:val="p"/>
        <w:spacing w:before="0" w:beforeAutospacing="0" w:after="0" w:afterAutospacing="0" w:line="480" w:lineRule="auto"/>
        <w:rPr>
          <w:rFonts w:ascii="Times New Roman" w:hAnsi="Times New Roman" w:cs="Times New Roman"/>
          <w:b/>
          <w:sz w:val="24"/>
          <w:szCs w:val="24"/>
          <w:lang w:val="en-GB"/>
        </w:rPr>
      </w:pPr>
      <w:r w:rsidRPr="00B917BD">
        <w:rPr>
          <w:rFonts w:ascii="Times New Roman" w:hAnsi="Times New Roman" w:cs="Times New Roman"/>
          <w:b/>
          <w:sz w:val="24"/>
          <w:szCs w:val="24"/>
          <w:lang w:val="en-GB"/>
        </w:rPr>
        <w:t>References</w:t>
      </w:r>
    </w:p>
    <w:p w14:paraId="04AFF54B" w14:textId="33DAAEC9" w:rsidR="00B917BD" w:rsidRPr="00B917BD" w:rsidRDefault="00B917BD" w:rsidP="00B917BD">
      <w:pPr>
        <w:pStyle w:val="p"/>
        <w:spacing w:line="480" w:lineRule="auto"/>
        <w:rPr>
          <w:rFonts w:ascii="Times New Roman" w:hAnsi="Times New Roman" w:cs="Times New Roman"/>
          <w:sz w:val="24"/>
          <w:szCs w:val="24"/>
          <w:lang w:val="en-GB"/>
        </w:rPr>
      </w:pPr>
      <w:r w:rsidRPr="00B917BD">
        <w:rPr>
          <w:rFonts w:ascii="Times New Roman" w:hAnsi="Times New Roman" w:cs="Times New Roman"/>
          <w:sz w:val="24"/>
          <w:szCs w:val="24"/>
          <w:lang w:val="en-GB"/>
        </w:rPr>
        <w:t>Action on Smoking and Health, 2019. ASH Fact sheet: Tobacco and the Developing World. 2020.</w:t>
      </w:r>
    </w:p>
    <w:p w14:paraId="25226BAE" w14:textId="380D01DB" w:rsidR="00B917BD" w:rsidRPr="00B917BD" w:rsidRDefault="00B917BD" w:rsidP="00B917BD">
      <w:pPr>
        <w:pStyle w:val="p"/>
        <w:spacing w:line="480" w:lineRule="auto"/>
        <w:rPr>
          <w:rFonts w:ascii="Times New Roman" w:hAnsi="Times New Roman" w:cs="Times New Roman"/>
          <w:sz w:val="24"/>
          <w:szCs w:val="24"/>
          <w:lang w:val="en-GB"/>
        </w:rPr>
      </w:pPr>
      <w:r w:rsidRPr="00B917BD">
        <w:rPr>
          <w:rFonts w:ascii="Times New Roman" w:hAnsi="Times New Roman" w:cs="Times New Roman"/>
          <w:sz w:val="24"/>
          <w:szCs w:val="24"/>
          <w:lang w:val="en-GB"/>
        </w:rPr>
        <w:t>M.S. Albert, S.T. DeKosky, D. Dickson, B. Dubois, H.H. Feldman, N.C. Fox, A. Gamst, D.M. Holtzman, W.J. Jagust, R.C. Petersen</w:t>
      </w:r>
      <w:r>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The diagnosis of mild cognitive impairment due to Alzheimer's disease: recommendations from the National Institute on Aging-Alzheimer's Association workgroups on diagnostic guidelines for Alzheimer's disease</w:t>
      </w:r>
      <w:r>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Alzheimer's &amp; dementia, 7 (2011), pp. 270-279</w:t>
      </w:r>
    </w:p>
    <w:p w14:paraId="36CAC219" w14:textId="62D381D0" w:rsidR="00B917BD" w:rsidRPr="00B917BD" w:rsidRDefault="00B917BD" w:rsidP="00B917BD">
      <w:pPr>
        <w:pStyle w:val="p"/>
        <w:spacing w:line="480" w:lineRule="auto"/>
        <w:rPr>
          <w:rFonts w:ascii="Times New Roman" w:hAnsi="Times New Roman" w:cs="Times New Roman"/>
          <w:sz w:val="24"/>
          <w:szCs w:val="24"/>
          <w:lang w:val="en-GB"/>
        </w:rPr>
      </w:pPr>
      <w:r w:rsidRPr="00B917BD">
        <w:rPr>
          <w:rFonts w:ascii="Times New Roman" w:hAnsi="Times New Roman" w:cs="Times New Roman"/>
          <w:sz w:val="24"/>
          <w:szCs w:val="24"/>
          <w:lang w:val="en-GB"/>
        </w:rPr>
        <w:t>American Psychiatric Association</w:t>
      </w:r>
      <w:r>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Diagnostic and Statistical Manual of Mental Disorders (DSM-5®)</w:t>
      </w:r>
      <w:r>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American Psychiatric Pub (2013)</w:t>
      </w:r>
    </w:p>
    <w:p w14:paraId="51288745" w14:textId="3D0F7036" w:rsidR="00B917BD" w:rsidRPr="00B917BD" w:rsidRDefault="00B917BD" w:rsidP="00B917BD">
      <w:pPr>
        <w:pStyle w:val="p"/>
        <w:spacing w:line="480" w:lineRule="auto"/>
        <w:rPr>
          <w:rFonts w:ascii="Times New Roman" w:hAnsi="Times New Roman" w:cs="Times New Roman"/>
          <w:sz w:val="24"/>
          <w:szCs w:val="24"/>
          <w:lang w:val="en-GB"/>
        </w:rPr>
      </w:pPr>
      <w:r w:rsidRPr="00B917BD">
        <w:rPr>
          <w:rFonts w:ascii="Times New Roman" w:hAnsi="Times New Roman" w:cs="Times New Roman"/>
          <w:sz w:val="24"/>
          <w:szCs w:val="24"/>
          <w:lang w:val="en-GB"/>
        </w:rPr>
        <w:t>E.H. Anderson, G. Shivakumar</w:t>
      </w:r>
      <w:r>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Effects of exercise and physical activity on anxiety</w:t>
      </w:r>
      <w:r>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Frontiers in psychiatry, 4 (2013), p. 27</w:t>
      </w:r>
    </w:p>
    <w:p w14:paraId="0918BFCB" w14:textId="4EBB9687" w:rsidR="00B917BD" w:rsidRPr="00B917BD" w:rsidRDefault="00B917BD" w:rsidP="00B917BD">
      <w:pPr>
        <w:pStyle w:val="p"/>
        <w:spacing w:line="480" w:lineRule="auto"/>
        <w:rPr>
          <w:rFonts w:ascii="Times New Roman" w:hAnsi="Times New Roman" w:cs="Times New Roman"/>
          <w:sz w:val="24"/>
          <w:szCs w:val="24"/>
          <w:lang w:val="en-GB"/>
        </w:rPr>
      </w:pPr>
      <w:r w:rsidRPr="00B917BD">
        <w:rPr>
          <w:rFonts w:ascii="Times New Roman" w:hAnsi="Times New Roman" w:cs="Times New Roman"/>
          <w:sz w:val="24"/>
          <w:szCs w:val="24"/>
          <w:lang w:val="en-GB"/>
        </w:rPr>
        <w:t>O. Baiyewu, F.W. Unverzagt, A. Ogunniyi, V. Smith-Gamble, O. Gureje, K.A. Lane, S. Gao, K.S. Hall, H.C. Hendrie</w:t>
      </w:r>
      <w:r>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Behavioral symptoms in community-dwelling elderly Nigerians with dementia, mild cognitive impairment, and normal cognition</w:t>
      </w:r>
      <w:r>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Int. J. Geriatr. Psychiatry., 27 (2012), pp. 931-939</w:t>
      </w:r>
      <w:r>
        <w:rPr>
          <w:rFonts w:ascii="Times New Roman" w:hAnsi="Times New Roman" w:cs="Times New Roman"/>
          <w:sz w:val="24"/>
          <w:szCs w:val="24"/>
          <w:lang w:val="en-GB"/>
        </w:rPr>
        <w:t>.</w:t>
      </w:r>
    </w:p>
    <w:p w14:paraId="2FF80696" w14:textId="644A687C" w:rsidR="00B917BD" w:rsidRPr="00B917BD" w:rsidRDefault="00B917BD" w:rsidP="00B917BD">
      <w:pPr>
        <w:pStyle w:val="p"/>
        <w:spacing w:line="480" w:lineRule="auto"/>
        <w:rPr>
          <w:rFonts w:ascii="Times New Roman" w:hAnsi="Times New Roman" w:cs="Times New Roman"/>
          <w:sz w:val="24"/>
          <w:szCs w:val="24"/>
          <w:lang w:val="en-GB"/>
        </w:rPr>
      </w:pPr>
      <w:r w:rsidRPr="00B917BD">
        <w:rPr>
          <w:rFonts w:ascii="Times New Roman" w:hAnsi="Times New Roman" w:cs="Times New Roman"/>
          <w:sz w:val="24"/>
          <w:szCs w:val="24"/>
          <w:lang w:val="en-GB"/>
        </w:rPr>
        <w:t>R. Breen, K.B. Karlson, A. Holm</w:t>
      </w:r>
      <w:r>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Total, direct, and indirect effects in logit and probit models</w:t>
      </w:r>
    </w:p>
    <w:p w14:paraId="59217152" w14:textId="79DEDF2D" w:rsidR="00B917BD" w:rsidRPr="00B917BD" w:rsidRDefault="00B917BD" w:rsidP="00B917BD">
      <w:pPr>
        <w:pStyle w:val="p"/>
        <w:spacing w:line="480" w:lineRule="auto"/>
        <w:rPr>
          <w:rFonts w:ascii="Times New Roman" w:hAnsi="Times New Roman" w:cs="Times New Roman"/>
          <w:sz w:val="24"/>
          <w:szCs w:val="24"/>
          <w:lang w:val="en-GB"/>
        </w:rPr>
      </w:pPr>
      <w:r w:rsidRPr="00B917BD">
        <w:rPr>
          <w:rFonts w:ascii="Times New Roman" w:hAnsi="Times New Roman" w:cs="Times New Roman"/>
          <w:sz w:val="24"/>
          <w:szCs w:val="24"/>
          <w:lang w:val="en-GB"/>
        </w:rPr>
        <w:lastRenderedPageBreak/>
        <w:t>Sociological Methods &amp; Research, 42 (2013), pp. 164-191</w:t>
      </w:r>
      <w:r>
        <w:rPr>
          <w:rFonts w:ascii="Times New Roman" w:hAnsi="Times New Roman" w:cs="Times New Roman"/>
          <w:sz w:val="24"/>
          <w:szCs w:val="24"/>
          <w:lang w:val="en-GB"/>
        </w:rPr>
        <w:t>.</w:t>
      </w:r>
    </w:p>
    <w:p w14:paraId="51BD89B7" w14:textId="5E3DE391" w:rsidR="00B917BD" w:rsidRPr="00B917BD" w:rsidRDefault="00B917BD" w:rsidP="00B917BD">
      <w:pPr>
        <w:pStyle w:val="p"/>
        <w:spacing w:line="480" w:lineRule="auto"/>
        <w:rPr>
          <w:rFonts w:ascii="Times New Roman" w:hAnsi="Times New Roman" w:cs="Times New Roman"/>
          <w:sz w:val="24"/>
          <w:szCs w:val="24"/>
          <w:lang w:val="en-GB"/>
        </w:rPr>
      </w:pPr>
      <w:r w:rsidRPr="00B917BD">
        <w:rPr>
          <w:rFonts w:ascii="Times New Roman" w:hAnsi="Times New Roman" w:cs="Times New Roman"/>
          <w:sz w:val="24"/>
          <w:szCs w:val="24"/>
          <w:lang w:val="en-GB"/>
        </w:rPr>
        <w:t>F.C. Bull, T.S. Maslin, T. Armstrong</w:t>
      </w:r>
      <w:r>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Global physical activity questionnaire (GPAQ): nine country reliability and validity study</w:t>
      </w:r>
      <w:r>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Journal of Physical Activity and health, 6 (2009), pp. 790-804</w:t>
      </w:r>
      <w:r>
        <w:rPr>
          <w:rFonts w:ascii="Times New Roman" w:hAnsi="Times New Roman" w:cs="Times New Roman"/>
          <w:sz w:val="24"/>
          <w:szCs w:val="24"/>
          <w:lang w:val="en-GB"/>
        </w:rPr>
        <w:t>.</w:t>
      </w:r>
    </w:p>
    <w:p w14:paraId="39C8B386" w14:textId="6B971699" w:rsidR="00B917BD" w:rsidRPr="00B917BD" w:rsidRDefault="00B917BD" w:rsidP="00B917BD">
      <w:pPr>
        <w:pStyle w:val="p"/>
        <w:spacing w:line="480" w:lineRule="auto"/>
        <w:rPr>
          <w:rFonts w:ascii="Times New Roman" w:hAnsi="Times New Roman" w:cs="Times New Roman"/>
          <w:sz w:val="24"/>
          <w:szCs w:val="24"/>
          <w:lang w:val="en-GB"/>
        </w:rPr>
      </w:pPr>
      <w:r w:rsidRPr="00B917BD">
        <w:rPr>
          <w:rFonts w:ascii="Times New Roman" w:hAnsi="Times New Roman" w:cs="Times New Roman"/>
          <w:sz w:val="24"/>
          <w:szCs w:val="24"/>
          <w:lang w:val="en-GB"/>
        </w:rPr>
        <w:t>C. Chen, Z. Hu, Z. Jiang, F. Zhou</w:t>
      </w:r>
      <w:r>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Prevalence of anxiety in patients with mild cognitive impairment: a systematic review and meta-analysis</w:t>
      </w:r>
      <w:r>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J. Affect. Disord., 236 (2018), pp. 211-221</w:t>
      </w:r>
      <w:r>
        <w:rPr>
          <w:rFonts w:ascii="Times New Roman" w:hAnsi="Times New Roman" w:cs="Times New Roman"/>
          <w:sz w:val="24"/>
          <w:szCs w:val="24"/>
          <w:lang w:val="en-GB"/>
        </w:rPr>
        <w:t>.</w:t>
      </w:r>
    </w:p>
    <w:p w14:paraId="5698D101" w14:textId="30E79AE8" w:rsidR="00B917BD" w:rsidRPr="00B917BD" w:rsidRDefault="00B917BD" w:rsidP="00B917BD">
      <w:pPr>
        <w:pStyle w:val="p"/>
        <w:spacing w:line="480" w:lineRule="auto"/>
        <w:rPr>
          <w:rFonts w:ascii="Times New Roman" w:hAnsi="Times New Roman" w:cs="Times New Roman"/>
          <w:sz w:val="24"/>
          <w:szCs w:val="24"/>
          <w:lang w:val="en-GB"/>
        </w:rPr>
      </w:pPr>
      <w:r w:rsidRPr="00B917BD">
        <w:rPr>
          <w:rFonts w:ascii="Times New Roman" w:hAnsi="Times New Roman" w:cs="Times New Roman"/>
          <w:sz w:val="24"/>
          <w:szCs w:val="24"/>
          <w:lang w:val="en-GB"/>
        </w:rPr>
        <w:t>E. Curran, M. Rosato, F. Ferry, G. Le</w:t>
      </w:r>
      <w:r>
        <w:rPr>
          <w:rFonts w:ascii="Times New Roman" w:hAnsi="Times New Roman" w:cs="Times New Roman"/>
          <w:sz w:val="24"/>
          <w:szCs w:val="24"/>
          <w:lang w:val="en-GB"/>
        </w:rPr>
        <w:t xml:space="preserve">avey, </w:t>
      </w:r>
      <w:r w:rsidRPr="00B917BD">
        <w:rPr>
          <w:rFonts w:ascii="Times New Roman" w:hAnsi="Times New Roman" w:cs="Times New Roman"/>
          <w:sz w:val="24"/>
          <w:szCs w:val="24"/>
          <w:lang w:val="en-GB"/>
        </w:rPr>
        <w:t>Prevalence and factors associated with anxiety and depression in older adults: gender differences in psychosocial indicators</w:t>
      </w:r>
      <w:r>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J. Affect. Disord., 267 (2020), pp. 114-122</w:t>
      </w:r>
      <w:r>
        <w:rPr>
          <w:rFonts w:ascii="Times New Roman" w:hAnsi="Times New Roman" w:cs="Times New Roman"/>
          <w:sz w:val="24"/>
          <w:szCs w:val="24"/>
          <w:lang w:val="en-GB"/>
        </w:rPr>
        <w:t>.</w:t>
      </w:r>
    </w:p>
    <w:p w14:paraId="7B032CAA" w14:textId="11EEF4F0" w:rsidR="00B917BD" w:rsidRPr="00B917BD" w:rsidRDefault="00B917BD" w:rsidP="00B917BD">
      <w:pPr>
        <w:pStyle w:val="p"/>
        <w:spacing w:line="480" w:lineRule="auto"/>
        <w:rPr>
          <w:rFonts w:ascii="Times New Roman" w:hAnsi="Times New Roman" w:cs="Times New Roman"/>
          <w:sz w:val="24"/>
          <w:szCs w:val="24"/>
          <w:lang w:val="en-GB"/>
        </w:rPr>
      </w:pPr>
      <w:r w:rsidRPr="00B917BD">
        <w:rPr>
          <w:rFonts w:ascii="Times New Roman" w:hAnsi="Times New Roman" w:cs="Times New Roman"/>
          <w:sz w:val="24"/>
          <w:szCs w:val="24"/>
          <w:lang w:val="en-GB"/>
        </w:rPr>
        <w:t>da Sil</w:t>
      </w:r>
      <w:r>
        <w:rPr>
          <w:rFonts w:ascii="Times New Roman" w:hAnsi="Times New Roman" w:cs="Times New Roman"/>
          <w:sz w:val="24"/>
          <w:szCs w:val="24"/>
          <w:lang w:val="en-GB"/>
        </w:rPr>
        <w:t xml:space="preserve">va, Renata Alves Pachota Chaves. </w:t>
      </w:r>
      <w:r w:rsidRPr="00B917BD">
        <w:rPr>
          <w:rFonts w:ascii="Times New Roman" w:hAnsi="Times New Roman" w:cs="Times New Roman"/>
          <w:sz w:val="24"/>
          <w:szCs w:val="24"/>
          <w:lang w:val="en-GB"/>
        </w:rPr>
        <w:t>Sleep disturbances and mild cognitive impairment: a review</w:t>
      </w:r>
      <w:r>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Sleep science, 8 (2015), pp. 36-41</w:t>
      </w:r>
    </w:p>
    <w:p w14:paraId="3ED4209E" w14:textId="71EA64A3" w:rsidR="00B917BD" w:rsidRPr="00B917BD" w:rsidRDefault="00B917BD" w:rsidP="00B917BD">
      <w:pPr>
        <w:pStyle w:val="p"/>
        <w:spacing w:line="480" w:lineRule="auto"/>
        <w:rPr>
          <w:rFonts w:ascii="Times New Roman" w:hAnsi="Times New Roman" w:cs="Times New Roman"/>
          <w:sz w:val="24"/>
          <w:szCs w:val="24"/>
          <w:lang w:val="en-GB"/>
        </w:rPr>
      </w:pPr>
      <w:r w:rsidRPr="00B917BD">
        <w:rPr>
          <w:rFonts w:ascii="Times New Roman" w:hAnsi="Times New Roman" w:cs="Times New Roman"/>
          <w:sz w:val="24"/>
          <w:szCs w:val="24"/>
          <w:lang w:val="en-GB"/>
        </w:rPr>
        <w:t>S.J. Diem, T.L. Blackwell, K.L. Stone, K. Yaffe, G. Tranah, J.A. Cauley, S. Ancoli-Israel, S. Redline, A.P. Spira, T.A. Hillier</w:t>
      </w:r>
      <w:r>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Measures of sleep–wake patterns and risk of mild cognitive impairment or dementia in older women</w:t>
      </w:r>
      <w:r>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The American Journal of Geriatric Psychiatry, 24 (2016), pp. 248-258</w:t>
      </w:r>
      <w:r>
        <w:rPr>
          <w:rFonts w:ascii="Times New Roman" w:hAnsi="Times New Roman" w:cs="Times New Roman"/>
          <w:sz w:val="24"/>
          <w:szCs w:val="24"/>
          <w:lang w:val="en-GB"/>
        </w:rPr>
        <w:t>.</w:t>
      </w:r>
    </w:p>
    <w:p w14:paraId="517F506C" w14:textId="71BAE560" w:rsidR="00B917BD" w:rsidRPr="00B917BD" w:rsidRDefault="00B917BD" w:rsidP="00B917BD">
      <w:pPr>
        <w:pStyle w:val="p"/>
        <w:spacing w:line="480" w:lineRule="auto"/>
        <w:rPr>
          <w:rFonts w:ascii="Times New Roman" w:hAnsi="Times New Roman" w:cs="Times New Roman"/>
          <w:sz w:val="24"/>
          <w:szCs w:val="24"/>
          <w:lang w:val="en-GB"/>
        </w:rPr>
      </w:pPr>
      <w:r w:rsidRPr="00B917BD">
        <w:rPr>
          <w:rFonts w:ascii="Times New Roman" w:hAnsi="Times New Roman" w:cs="Times New Roman"/>
          <w:sz w:val="24"/>
          <w:szCs w:val="24"/>
          <w:lang w:val="en-GB"/>
        </w:rPr>
        <w:t>D. Gallagher, R. Coen, D. Kilroy, K. Belinski, I. Bruce, D. Coakley, B. Walsh, C. Cunningham, B.A. Lawlor</w:t>
      </w:r>
      <w:r>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Anxiety and behavioural disturbance as markers of prodromal Alzheimer's disease in patients with mild cognitive impairment</w:t>
      </w:r>
      <w:r>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Int. J. Geriatr. Psychiatry., 26 (2011), pp. 166-172</w:t>
      </w:r>
      <w:r>
        <w:rPr>
          <w:rFonts w:ascii="Times New Roman" w:hAnsi="Times New Roman" w:cs="Times New Roman"/>
          <w:sz w:val="24"/>
          <w:szCs w:val="24"/>
          <w:lang w:val="en-GB"/>
        </w:rPr>
        <w:t>.</w:t>
      </w:r>
    </w:p>
    <w:p w14:paraId="216396E0" w14:textId="403484B8" w:rsidR="00B917BD" w:rsidRPr="00B917BD" w:rsidRDefault="00B917BD" w:rsidP="00B917BD">
      <w:pPr>
        <w:pStyle w:val="p"/>
        <w:spacing w:line="480" w:lineRule="auto"/>
        <w:rPr>
          <w:rFonts w:ascii="Times New Roman" w:hAnsi="Times New Roman" w:cs="Times New Roman"/>
          <w:sz w:val="24"/>
          <w:szCs w:val="24"/>
          <w:lang w:val="en-GB"/>
        </w:rPr>
      </w:pPr>
      <w:r w:rsidRPr="00B917BD">
        <w:rPr>
          <w:rFonts w:ascii="Times New Roman" w:hAnsi="Times New Roman" w:cs="Times New Roman"/>
          <w:sz w:val="24"/>
          <w:szCs w:val="24"/>
          <w:lang w:val="en-GB"/>
        </w:rPr>
        <w:lastRenderedPageBreak/>
        <w:t>S. Gauthier, B. Reisberg, M. Zaudig, R.C. Petersen, K. Ritchie, K. Broich, S. Belleville, H. Brodaty, D. Bennett, H. Chertkow</w:t>
      </w:r>
      <w:r>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Mild cognitive impairment</w:t>
      </w:r>
      <w:r>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The lancet, 367 (2006), pp. 1262-1270</w:t>
      </w:r>
      <w:r>
        <w:rPr>
          <w:rFonts w:ascii="Times New Roman" w:hAnsi="Times New Roman" w:cs="Times New Roman"/>
          <w:sz w:val="24"/>
          <w:szCs w:val="24"/>
          <w:lang w:val="en-GB"/>
        </w:rPr>
        <w:t>.</w:t>
      </w:r>
    </w:p>
    <w:p w14:paraId="581BF1EB" w14:textId="3B9F8F9E" w:rsidR="00B917BD" w:rsidRPr="00B917BD" w:rsidRDefault="00B917BD" w:rsidP="00B917BD">
      <w:pPr>
        <w:pStyle w:val="p"/>
        <w:spacing w:line="480" w:lineRule="auto"/>
        <w:rPr>
          <w:rFonts w:ascii="Times New Roman" w:hAnsi="Times New Roman" w:cs="Times New Roman"/>
          <w:sz w:val="24"/>
          <w:szCs w:val="24"/>
          <w:lang w:val="en-GB"/>
        </w:rPr>
      </w:pPr>
      <w:r w:rsidRPr="00B917BD">
        <w:rPr>
          <w:rFonts w:ascii="Times New Roman" w:hAnsi="Times New Roman" w:cs="Times New Roman"/>
          <w:sz w:val="24"/>
          <w:szCs w:val="24"/>
          <w:lang w:val="en-GB"/>
        </w:rPr>
        <w:t>D.A. Kalmbach, A.S. Cuamatzi-Castelan, C.V. Tonnu, K.M. Tran, J.R. Anderson, T. Roth, C.L. Drake</w:t>
      </w:r>
      <w:r>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Hyperarousal and sleep reactivity in insomnia: current insights</w:t>
      </w:r>
      <w:r>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Nature and science of sleep, 10 (2018), p. 193</w:t>
      </w:r>
      <w:r>
        <w:rPr>
          <w:rFonts w:ascii="Times New Roman" w:hAnsi="Times New Roman" w:cs="Times New Roman"/>
          <w:sz w:val="24"/>
          <w:szCs w:val="24"/>
          <w:lang w:val="en-GB"/>
        </w:rPr>
        <w:t>.</w:t>
      </w:r>
    </w:p>
    <w:p w14:paraId="52FB7924" w14:textId="458608DF" w:rsidR="00B917BD" w:rsidRPr="00B917BD" w:rsidRDefault="00B917BD" w:rsidP="00B917BD">
      <w:pPr>
        <w:pStyle w:val="p"/>
        <w:spacing w:line="480" w:lineRule="auto"/>
        <w:rPr>
          <w:rFonts w:ascii="Times New Roman" w:hAnsi="Times New Roman" w:cs="Times New Roman"/>
          <w:sz w:val="24"/>
          <w:szCs w:val="24"/>
          <w:lang w:val="en-GB"/>
        </w:rPr>
      </w:pPr>
      <w:r w:rsidRPr="00B917BD">
        <w:rPr>
          <w:rFonts w:ascii="Times New Roman" w:hAnsi="Times New Roman" w:cs="Times New Roman"/>
          <w:sz w:val="24"/>
          <w:szCs w:val="24"/>
          <w:lang w:val="en-GB"/>
        </w:rPr>
        <w:t>A.M. Kassem, M. Ganguli, K. Yaffe, J.T. Hanlon, O.L. Lopez, J.W. Wilson, K. Ensrud, J.A. Cauley, Study of Osteoporotic</w:t>
      </w:r>
      <w:r>
        <w:rPr>
          <w:rFonts w:ascii="Times New Roman" w:hAnsi="Times New Roman" w:cs="Times New Roman"/>
          <w:sz w:val="24"/>
          <w:szCs w:val="24"/>
          <w:lang w:val="en-GB"/>
        </w:rPr>
        <w:t xml:space="preserve"> Fractures (SOF) Research Group. </w:t>
      </w:r>
      <w:r w:rsidRPr="00B917BD">
        <w:rPr>
          <w:rFonts w:ascii="Times New Roman" w:hAnsi="Times New Roman" w:cs="Times New Roman"/>
          <w:sz w:val="24"/>
          <w:szCs w:val="24"/>
          <w:lang w:val="en-GB"/>
        </w:rPr>
        <w:t>Anxiety symptoms and risk of dementia and mild cognitive impairment in the oldest old women</w:t>
      </w:r>
      <w:r>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Aging &amp; mental health., 22 (2018), pp. 474-482</w:t>
      </w:r>
      <w:r>
        <w:rPr>
          <w:rFonts w:ascii="Times New Roman" w:hAnsi="Times New Roman" w:cs="Times New Roman"/>
          <w:sz w:val="24"/>
          <w:szCs w:val="24"/>
          <w:lang w:val="en-GB"/>
        </w:rPr>
        <w:t>.</w:t>
      </w:r>
    </w:p>
    <w:p w14:paraId="34D61DFA" w14:textId="411E6C48" w:rsidR="00B917BD" w:rsidRPr="00B917BD" w:rsidRDefault="00B917BD" w:rsidP="00B917BD">
      <w:pPr>
        <w:pStyle w:val="p"/>
        <w:spacing w:line="480" w:lineRule="auto"/>
        <w:rPr>
          <w:rFonts w:ascii="Times New Roman" w:hAnsi="Times New Roman" w:cs="Times New Roman"/>
          <w:sz w:val="24"/>
          <w:szCs w:val="24"/>
          <w:lang w:val="en-GB"/>
        </w:rPr>
      </w:pPr>
      <w:r w:rsidRPr="00B917BD">
        <w:rPr>
          <w:rFonts w:ascii="Times New Roman" w:hAnsi="Times New Roman" w:cs="Times New Roman"/>
          <w:sz w:val="24"/>
          <w:szCs w:val="24"/>
          <w:lang w:val="en-GB"/>
        </w:rPr>
        <w:t>S. Katz, A.B. Ford, R.W. Mosk</w:t>
      </w:r>
      <w:r>
        <w:rPr>
          <w:rFonts w:ascii="Times New Roman" w:hAnsi="Times New Roman" w:cs="Times New Roman"/>
          <w:sz w:val="24"/>
          <w:szCs w:val="24"/>
          <w:lang w:val="en-GB"/>
        </w:rPr>
        <w:t xml:space="preserve">owitz, B.A. Jackson, M.W. Jaffe. </w:t>
      </w:r>
      <w:r w:rsidRPr="00B917BD">
        <w:rPr>
          <w:rFonts w:ascii="Times New Roman" w:hAnsi="Times New Roman" w:cs="Times New Roman"/>
          <w:sz w:val="24"/>
          <w:szCs w:val="24"/>
          <w:lang w:val="en-GB"/>
        </w:rPr>
        <w:t>Studies of illness in the aged: the index of ADL: a standardized measure of biological and psychosocial function</w:t>
      </w:r>
      <w:r>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JAMA, 185 (1963), pp. 914-919</w:t>
      </w:r>
      <w:r>
        <w:rPr>
          <w:rFonts w:ascii="Times New Roman" w:hAnsi="Times New Roman" w:cs="Times New Roman"/>
          <w:sz w:val="24"/>
          <w:szCs w:val="24"/>
          <w:lang w:val="en-GB"/>
        </w:rPr>
        <w:t>.</w:t>
      </w:r>
    </w:p>
    <w:p w14:paraId="215CEBBE" w14:textId="543478A4" w:rsidR="00B917BD" w:rsidRPr="00B917BD" w:rsidRDefault="00B917BD" w:rsidP="00B917BD">
      <w:pPr>
        <w:pStyle w:val="p"/>
        <w:spacing w:line="480" w:lineRule="auto"/>
        <w:rPr>
          <w:rFonts w:ascii="Times New Roman" w:hAnsi="Times New Roman" w:cs="Times New Roman"/>
          <w:sz w:val="24"/>
          <w:szCs w:val="24"/>
          <w:lang w:val="en-GB"/>
        </w:rPr>
      </w:pPr>
      <w:r w:rsidRPr="00B917BD">
        <w:rPr>
          <w:rFonts w:ascii="Times New Roman" w:hAnsi="Times New Roman" w:cs="Times New Roman"/>
          <w:sz w:val="24"/>
          <w:szCs w:val="24"/>
          <w:lang w:val="en-GB"/>
        </w:rPr>
        <w:t>R.C. Kessler, T.B. Üstün</w:t>
      </w:r>
      <w:r>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The world mental health (WMH) survey initiative version of the world health organization (WHO) composite international diagnostic interview (CIDI)</w:t>
      </w:r>
      <w:r>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International journal of methods in psychiatric research, 13 (2004), pp. 93-121</w:t>
      </w:r>
      <w:r>
        <w:rPr>
          <w:rFonts w:ascii="Times New Roman" w:hAnsi="Times New Roman" w:cs="Times New Roman"/>
          <w:sz w:val="24"/>
          <w:szCs w:val="24"/>
          <w:lang w:val="en-GB"/>
        </w:rPr>
        <w:t>.</w:t>
      </w:r>
    </w:p>
    <w:p w14:paraId="1D653C4C" w14:textId="3AF45088" w:rsidR="00B917BD" w:rsidRPr="00B917BD" w:rsidRDefault="00B917BD" w:rsidP="00B917BD">
      <w:pPr>
        <w:pStyle w:val="p"/>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C.E. Kline. </w:t>
      </w:r>
      <w:r w:rsidRPr="00B917BD">
        <w:rPr>
          <w:rFonts w:ascii="Times New Roman" w:hAnsi="Times New Roman" w:cs="Times New Roman"/>
          <w:sz w:val="24"/>
          <w:szCs w:val="24"/>
          <w:lang w:val="en-GB"/>
        </w:rPr>
        <w:t>The bidirectional relationship between exercise and sleep: implications for exercise adherence and sleep improvement</w:t>
      </w:r>
      <w:r>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American journal of lifestyle medicine, 8 (2014), pp. 375-379</w:t>
      </w:r>
      <w:r>
        <w:rPr>
          <w:rFonts w:ascii="Times New Roman" w:hAnsi="Times New Roman" w:cs="Times New Roman"/>
          <w:sz w:val="24"/>
          <w:szCs w:val="24"/>
          <w:lang w:val="en-GB"/>
        </w:rPr>
        <w:t>.</w:t>
      </w:r>
    </w:p>
    <w:p w14:paraId="4AFAF6B7" w14:textId="59706D23" w:rsidR="00B917BD" w:rsidRPr="00B917BD" w:rsidRDefault="00B917BD" w:rsidP="00B917BD">
      <w:pPr>
        <w:pStyle w:val="p"/>
        <w:spacing w:line="480" w:lineRule="auto"/>
        <w:rPr>
          <w:rFonts w:ascii="Times New Roman" w:hAnsi="Times New Roman" w:cs="Times New Roman"/>
          <w:sz w:val="24"/>
          <w:szCs w:val="24"/>
          <w:lang w:val="en-GB"/>
        </w:rPr>
      </w:pPr>
      <w:r w:rsidRPr="00B917BD">
        <w:rPr>
          <w:rFonts w:ascii="Times New Roman" w:hAnsi="Times New Roman" w:cs="Times New Roman"/>
          <w:sz w:val="24"/>
          <w:szCs w:val="24"/>
          <w:lang w:val="en-GB"/>
        </w:rPr>
        <w:t>M. Koch, A.L. Fitzpatrick, S.R. Rapp, R.L. Nahin, J.D. Williamson, O.L. Lopez, S.T. DeKosky, L.H. Kuller, R.H. Mackey, K.J. Mukamal</w:t>
      </w:r>
      <w:r>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 xml:space="preserve">Alcohol Consumption and risk of </w:t>
      </w:r>
      <w:r w:rsidRPr="00B917BD">
        <w:rPr>
          <w:rFonts w:ascii="Times New Roman" w:hAnsi="Times New Roman" w:cs="Times New Roman"/>
          <w:sz w:val="24"/>
          <w:szCs w:val="24"/>
          <w:lang w:val="en-GB"/>
        </w:rPr>
        <w:lastRenderedPageBreak/>
        <w:t>dementia and cognitive decline among older adults with or without mild cognitive impairment</w:t>
      </w:r>
      <w:r>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 xml:space="preserve">JAMA </w:t>
      </w:r>
      <w:r>
        <w:rPr>
          <w:rFonts w:ascii="Times New Roman" w:hAnsi="Times New Roman" w:cs="Times New Roman"/>
          <w:sz w:val="24"/>
          <w:szCs w:val="24"/>
          <w:lang w:val="en-GB"/>
        </w:rPr>
        <w:t xml:space="preserve">network open, 2 (2019), </w:t>
      </w:r>
      <w:r w:rsidRPr="00B917BD">
        <w:rPr>
          <w:rFonts w:ascii="Times New Roman" w:hAnsi="Times New Roman" w:cs="Times New Roman"/>
          <w:sz w:val="24"/>
          <w:szCs w:val="24"/>
          <w:lang w:val="en-GB"/>
        </w:rPr>
        <w:t>e1910319</w:t>
      </w:r>
      <w:r>
        <w:rPr>
          <w:rFonts w:ascii="Times New Roman" w:hAnsi="Times New Roman" w:cs="Times New Roman"/>
          <w:sz w:val="24"/>
          <w:szCs w:val="24"/>
          <w:lang w:val="en-GB"/>
        </w:rPr>
        <w:t>.</w:t>
      </w:r>
    </w:p>
    <w:p w14:paraId="26503654" w14:textId="1DD73468" w:rsidR="00B917BD" w:rsidRPr="00B917BD" w:rsidRDefault="00B917BD" w:rsidP="00B917BD">
      <w:pPr>
        <w:pStyle w:val="p"/>
        <w:spacing w:line="480" w:lineRule="auto"/>
        <w:rPr>
          <w:rFonts w:ascii="Times New Roman" w:hAnsi="Times New Roman" w:cs="Times New Roman"/>
          <w:sz w:val="24"/>
          <w:szCs w:val="24"/>
          <w:lang w:val="en-GB"/>
        </w:rPr>
      </w:pPr>
      <w:r w:rsidRPr="00B917BD">
        <w:rPr>
          <w:rFonts w:ascii="Times New Roman" w:hAnsi="Times New Roman" w:cs="Times New Roman"/>
          <w:sz w:val="24"/>
          <w:szCs w:val="24"/>
          <w:lang w:val="en-GB"/>
        </w:rPr>
        <w:t xml:space="preserve">P. Kowal, S. Chatterji, N. Naidoo, R. Biritwum, W. Fan, R. Lopez Ridaura, T. Maximova, P. Arokiasamy, </w:t>
      </w:r>
      <w:r>
        <w:rPr>
          <w:rFonts w:ascii="Times New Roman" w:hAnsi="Times New Roman" w:cs="Times New Roman"/>
          <w:sz w:val="24"/>
          <w:szCs w:val="24"/>
          <w:lang w:val="en-GB"/>
        </w:rPr>
        <w:t xml:space="preserve">N. Phaswana-Mafuya, S. Williams. </w:t>
      </w:r>
      <w:r w:rsidRPr="00B917BD">
        <w:rPr>
          <w:rFonts w:ascii="Times New Roman" w:hAnsi="Times New Roman" w:cs="Times New Roman"/>
          <w:sz w:val="24"/>
          <w:szCs w:val="24"/>
          <w:lang w:val="en-GB"/>
        </w:rPr>
        <w:t>Data resource profile: the World Health Organization Study on global AGEing and adult health (SAGE)</w:t>
      </w:r>
      <w:r>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Int. J. Epidemiol., 41 (2012), pp. 1639-1649</w:t>
      </w:r>
      <w:r>
        <w:rPr>
          <w:rFonts w:ascii="Times New Roman" w:hAnsi="Times New Roman" w:cs="Times New Roman"/>
          <w:sz w:val="24"/>
          <w:szCs w:val="24"/>
          <w:lang w:val="en-GB"/>
        </w:rPr>
        <w:t>.</w:t>
      </w:r>
    </w:p>
    <w:p w14:paraId="6126F8A6" w14:textId="4B774568" w:rsidR="00B917BD" w:rsidRPr="00B917BD" w:rsidRDefault="00B917BD" w:rsidP="00B917BD">
      <w:pPr>
        <w:pStyle w:val="p"/>
        <w:spacing w:line="480" w:lineRule="auto"/>
        <w:rPr>
          <w:rFonts w:ascii="Times New Roman" w:hAnsi="Times New Roman" w:cs="Times New Roman"/>
          <w:sz w:val="24"/>
          <w:szCs w:val="24"/>
          <w:lang w:val="en-GB"/>
        </w:rPr>
      </w:pPr>
      <w:r w:rsidRPr="00B917BD">
        <w:rPr>
          <w:rFonts w:ascii="Times New Roman" w:hAnsi="Times New Roman" w:cs="Times New Roman"/>
          <w:sz w:val="24"/>
          <w:szCs w:val="24"/>
          <w:lang w:val="en-GB"/>
        </w:rPr>
        <w:t>A. Koyanagi, N. Garin, B. Olaya, J.L. Ayuso-Mateos, S. Chatterji, M. Leonardi, S. Koskinen,</w:t>
      </w:r>
      <w:r>
        <w:rPr>
          <w:rFonts w:ascii="Times New Roman" w:hAnsi="Times New Roman" w:cs="Times New Roman"/>
          <w:sz w:val="24"/>
          <w:szCs w:val="24"/>
          <w:lang w:val="en-GB"/>
        </w:rPr>
        <w:t xml:space="preserve"> B. Tobiasz-Adamczyk, J.M. Haro. </w:t>
      </w:r>
      <w:r w:rsidRPr="00B917BD">
        <w:rPr>
          <w:rFonts w:ascii="Times New Roman" w:hAnsi="Times New Roman" w:cs="Times New Roman"/>
          <w:sz w:val="24"/>
          <w:szCs w:val="24"/>
          <w:lang w:val="en-GB"/>
        </w:rPr>
        <w:t>Chronic conditions and sleep problems among adults aged 50 years or over in nine countries: a multi-country study</w:t>
      </w:r>
      <w:r>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PloS one, 9 (2014), e114742</w:t>
      </w:r>
      <w:r>
        <w:rPr>
          <w:rFonts w:ascii="Times New Roman" w:hAnsi="Times New Roman" w:cs="Times New Roman"/>
          <w:sz w:val="24"/>
          <w:szCs w:val="24"/>
          <w:lang w:val="en-GB"/>
        </w:rPr>
        <w:t>.</w:t>
      </w:r>
    </w:p>
    <w:p w14:paraId="70102915" w14:textId="75AC2770" w:rsidR="00B917BD" w:rsidRPr="00B917BD" w:rsidRDefault="00B917BD" w:rsidP="00B917BD">
      <w:pPr>
        <w:pStyle w:val="p"/>
        <w:spacing w:line="480" w:lineRule="auto"/>
        <w:rPr>
          <w:rFonts w:ascii="Times New Roman" w:hAnsi="Times New Roman" w:cs="Times New Roman"/>
          <w:sz w:val="24"/>
          <w:szCs w:val="24"/>
          <w:lang w:val="en-GB"/>
        </w:rPr>
      </w:pPr>
      <w:r w:rsidRPr="00B917BD">
        <w:rPr>
          <w:rFonts w:ascii="Times New Roman" w:hAnsi="Times New Roman" w:cs="Times New Roman"/>
          <w:sz w:val="24"/>
          <w:szCs w:val="24"/>
          <w:lang w:val="en-GB"/>
        </w:rPr>
        <w:t>A. Koyanagi, E. Lara, B. Stubbs, A.F. Carvalho, H. Oh, A. Stickl</w:t>
      </w:r>
      <w:r>
        <w:rPr>
          <w:rFonts w:ascii="Times New Roman" w:hAnsi="Times New Roman" w:cs="Times New Roman"/>
          <w:sz w:val="24"/>
          <w:szCs w:val="24"/>
          <w:lang w:val="en-GB"/>
        </w:rPr>
        <w:t xml:space="preserve">ey, N. Veronese, D. Vancampfort. </w:t>
      </w:r>
      <w:r w:rsidRPr="00B917BD">
        <w:rPr>
          <w:rFonts w:ascii="Times New Roman" w:hAnsi="Times New Roman" w:cs="Times New Roman"/>
          <w:sz w:val="24"/>
          <w:szCs w:val="24"/>
          <w:lang w:val="en-GB"/>
        </w:rPr>
        <w:t>Chronic physical conditions, multimorbidity, and mild cognitive impairment in low-and middle-income countries</w:t>
      </w:r>
      <w:r>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J. Am. Geriatr. Soc., 66 (2018), pp. 721-727</w:t>
      </w:r>
      <w:r>
        <w:rPr>
          <w:rFonts w:ascii="Times New Roman" w:hAnsi="Times New Roman" w:cs="Times New Roman"/>
          <w:sz w:val="24"/>
          <w:szCs w:val="24"/>
          <w:lang w:val="en-GB"/>
        </w:rPr>
        <w:t>.</w:t>
      </w:r>
    </w:p>
    <w:p w14:paraId="4A894E70" w14:textId="10AF78D1" w:rsidR="00B917BD" w:rsidRPr="00B917BD" w:rsidRDefault="00B917BD" w:rsidP="00B917BD">
      <w:pPr>
        <w:pStyle w:val="p"/>
        <w:spacing w:line="480" w:lineRule="auto"/>
        <w:rPr>
          <w:rFonts w:ascii="Times New Roman" w:hAnsi="Times New Roman" w:cs="Times New Roman"/>
          <w:sz w:val="24"/>
          <w:szCs w:val="24"/>
          <w:lang w:val="en-GB"/>
        </w:rPr>
      </w:pPr>
      <w:r w:rsidRPr="00B917BD">
        <w:rPr>
          <w:rFonts w:ascii="Times New Roman" w:hAnsi="Times New Roman" w:cs="Times New Roman"/>
          <w:sz w:val="24"/>
          <w:szCs w:val="24"/>
          <w:lang w:val="en-GB"/>
        </w:rPr>
        <w:t xml:space="preserve">A. Koyanagi, H. Oh, D. Vancampfort, A.F. Carvalho, N. Veronese, B. </w:t>
      </w:r>
      <w:r>
        <w:rPr>
          <w:rFonts w:ascii="Times New Roman" w:hAnsi="Times New Roman" w:cs="Times New Roman"/>
          <w:sz w:val="24"/>
          <w:szCs w:val="24"/>
          <w:lang w:val="en-GB"/>
        </w:rPr>
        <w:t xml:space="preserve">Stubbs, E. Lara. </w:t>
      </w:r>
      <w:r w:rsidRPr="00B917BD">
        <w:rPr>
          <w:rFonts w:ascii="Times New Roman" w:hAnsi="Times New Roman" w:cs="Times New Roman"/>
          <w:sz w:val="24"/>
          <w:szCs w:val="24"/>
          <w:lang w:val="en-GB"/>
        </w:rPr>
        <w:t xml:space="preserve">Perceived stress and mild cognitive impairment among 32,715 community-dwelling older adults across six </w:t>
      </w:r>
      <w:r>
        <w:rPr>
          <w:rFonts w:ascii="Times New Roman" w:hAnsi="Times New Roman" w:cs="Times New Roman"/>
          <w:sz w:val="24"/>
          <w:szCs w:val="24"/>
          <w:lang w:val="en-GB"/>
        </w:rPr>
        <w:t xml:space="preserve">low-and middle-income countries. </w:t>
      </w:r>
      <w:r w:rsidRPr="00B917BD">
        <w:rPr>
          <w:rFonts w:ascii="Times New Roman" w:hAnsi="Times New Roman" w:cs="Times New Roman"/>
          <w:sz w:val="24"/>
          <w:szCs w:val="24"/>
          <w:lang w:val="en-GB"/>
        </w:rPr>
        <w:t>Gerontology, 65 (2019), pp. 155-163</w:t>
      </w:r>
      <w:r>
        <w:rPr>
          <w:rFonts w:ascii="Times New Roman" w:hAnsi="Times New Roman" w:cs="Times New Roman"/>
          <w:sz w:val="24"/>
          <w:szCs w:val="24"/>
          <w:lang w:val="en-GB"/>
        </w:rPr>
        <w:t>.</w:t>
      </w:r>
    </w:p>
    <w:p w14:paraId="38FFEBA5" w14:textId="1E01FC28" w:rsidR="00B917BD" w:rsidRPr="00B917BD" w:rsidRDefault="00B917BD" w:rsidP="00B917BD">
      <w:pPr>
        <w:pStyle w:val="p"/>
        <w:spacing w:line="480" w:lineRule="auto"/>
        <w:rPr>
          <w:rFonts w:ascii="Times New Roman" w:hAnsi="Times New Roman" w:cs="Times New Roman"/>
          <w:sz w:val="24"/>
          <w:szCs w:val="24"/>
          <w:lang w:val="en-GB"/>
        </w:rPr>
      </w:pPr>
      <w:r w:rsidRPr="00B917BD">
        <w:rPr>
          <w:rFonts w:ascii="Times New Roman" w:hAnsi="Times New Roman" w:cs="Times New Roman"/>
          <w:sz w:val="24"/>
          <w:szCs w:val="24"/>
          <w:lang w:val="en-GB"/>
        </w:rPr>
        <w:t>E. Lara, A. Koyanagi, B. Olaya, A. Lobo, M. Miret, S. Tyrovolas, J.L. Ayuso-Mateos, J.M. Haro</w:t>
      </w:r>
      <w:r>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Mild cognitive impairment in a Spanish representative sample: prevalence and associated factors</w:t>
      </w:r>
      <w:r>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Int. J. Geriatr. Psychiatry., 31 (2016), pp. 858-867</w:t>
      </w:r>
      <w:r>
        <w:rPr>
          <w:rFonts w:ascii="Times New Roman" w:hAnsi="Times New Roman" w:cs="Times New Roman"/>
          <w:sz w:val="24"/>
          <w:szCs w:val="24"/>
          <w:lang w:val="en-GB"/>
        </w:rPr>
        <w:t>.</w:t>
      </w:r>
    </w:p>
    <w:p w14:paraId="3F0FAA39" w14:textId="41F510BE" w:rsidR="00B917BD" w:rsidRPr="00B917BD" w:rsidRDefault="00B917BD" w:rsidP="00B917BD">
      <w:pPr>
        <w:pStyle w:val="p"/>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X. Li, Z. Li. </w:t>
      </w:r>
      <w:r w:rsidRPr="00B917BD">
        <w:rPr>
          <w:rFonts w:ascii="Times New Roman" w:hAnsi="Times New Roman" w:cs="Times New Roman"/>
          <w:sz w:val="24"/>
          <w:szCs w:val="24"/>
          <w:lang w:val="en-GB"/>
        </w:rPr>
        <w:t>The impact of anxiety on the progression of mild cognitive impairment to dementia in Chinese and English data bases: a systematic review and meta-analysis</w:t>
      </w:r>
      <w:r>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Int. J. Geriatr. Psychiatry., 33 (2018), pp. 131-140</w:t>
      </w:r>
      <w:r>
        <w:rPr>
          <w:rFonts w:ascii="Times New Roman" w:hAnsi="Times New Roman" w:cs="Times New Roman"/>
          <w:sz w:val="24"/>
          <w:szCs w:val="24"/>
          <w:lang w:val="en-GB"/>
        </w:rPr>
        <w:t>.</w:t>
      </w:r>
    </w:p>
    <w:p w14:paraId="6D5F9561" w14:textId="31DA4B94" w:rsidR="00B917BD" w:rsidRPr="00B917BD" w:rsidRDefault="00B917BD" w:rsidP="00B917BD">
      <w:pPr>
        <w:pStyle w:val="p"/>
        <w:spacing w:line="480" w:lineRule="auto"/>
        <w:rPr>
          <w:rFonts w:ascii="Times New Roman" w:hAnsi="Times New Roman" w:cs="Times New Roman"/>
          <w:sz w:val="24"/>
          <w:szCs w:val="24"/>
          <w:lang w:val="en-GB"/>
        </w:rPr>
      </w:pPr>
      <w:r w:rsidRPr="00B917BD">
        <w:rPr>
          <w:rFonts w:ascii="Times New Roman" w:hAnsi="Times New Roman" w:cs="Times New Roman"/>
          <w:sz w:val="24"/>
          <w:szCs w:val="24"/>
          <w:lang w:val="en-GB"/>
        </w:rPr>
        <w:lastRenderedPageBreak/>
        <w:t>X. Li, C. Ma, J. Zhang, Y. Liang, Y. Chen, K. Chen, J. W</w:t>
      </w:r>
      <w:r>
        <w:rPr>
          <w:rFonts w:ascii="Times New Roman" w:hAnsi="Times New Roman" w:cs="Times New Roman"/>
          <w:sz w:val="24"/>
          <w:szCs w:val="24"/>
          <w:lang w:val="en-GB"/>
        </w:rPr>
        <w:t xml:space="preserve">ang, Z. Zhang, Y. Wang, Beijing. </w:t>
      </w:r>
      <w:r w:rsidRPr="00B917BD">
        <w:rPr>
          <w:rFonts w:ascii="Times New Roman" w:hAnsi="Times New Roman" w:cs="Times New Roman"/>
          <w:sz w:val="24"/>
          <w:szCs w:val="24"/>
          <w:lang w:val="en-GB"/>
        </w:rPr>
        <w:t>Agein</w:t>
      </w:r>
      <w:r>
        <w:rPr>
          <w:rFonts w:ascii="Times New Roman" w:hAnsi="Times New Roman" w:cs="Times New Roman"/>
          <w:sz w:val="24"/>
          <w:szCs w:val="24"/>
          <w:lang w:val="en-GB"/>
        </w:rPr>
        <w:t xml:space="preserve">g Brain Rejuvenation Initiative. </w:t>
      </w:r>
      <w:r w:rsidRPr="00B917BD">
        <w:rPr>
          <w:rFonts w:ascii="Times New Roman" w:hAnsi="Times New Roman" w:cs="Times New Roman"/>
          <w:sz w:val="24"/>
          <w:szCs w:val="24"/>
          <w:lang w:val="en-GB"/>
        </w:rPr>
        <w:t>Prevalence of and potential risk factors for mild cognitive impairment in community-dwelling residents of Beijing</w:t>
      </w:r>
      <w:r>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J. Am. Geriatr. Soc., 61 (2013), pp. 2111-2119</w:t>
      </w:r>
      <w:r>
        <w:rPr>
          <w:rFonts w:ascii="Times New Roman" w:hAnsi="Times New Roman" w:cs="Times New Roman"/>
          <w:sz w:val="24"/>
          <w:szCs w:val="24"/>
          <w:lang w:val="en-GB"/>
        </w:rPr>
        <w:t>.</w:t>
      </w:r>
    </w:p>
    <w:p w14:paraId="6BF9D5B6" w14:textId="0E9A8FB3" w:rsidR="00B917BD" w:rsidRPr="00B917BD" w:rsidRDefault="00B917BD" w:rsidP="00B917BD">
      <w:pPr>
        <w:pStyle w:val="p"/>
        <w:spacing w:line="480" w:lineRule="auto"/>
        <w:rPr>
          <w:rFonts w:ascii="Times New Roman" w:hAnsi="Times New Roman" w:cs="Times New Roman"/>
          <w:sz w:val="24"/>
          <w:szCs w:val="24"/>
          <w:lang w:val="en-GB"/>
        </w:rPr>
      </w:pPr>
      <w:r w:rsidRPr="00B917BD">
        <w:rPr>
          <w:rFonts w:ascii="Times New Roman" w:hAnsi="Times New Roman" w:cs="Times New Roman"/>
          <w:sz w:val="24"/>
          <w:szCs w:val="24"/>
          <w:lang w:val="en-GB"/>
        </w:rPr>
        <w:t xml:space="preserve">O.L. Lopez, W.J. Jagust, C. Dulberg, J.T. Becker, S.T. DeKosky, A. Fitzpatrick, J. Breitner, </w:t>
      </w:r>
      <w:r>
        <w:rPr>
          <w:rFonts w:ascii="Times New Roman" w:hAnsi="Times New Roman" w:cs="Times New Roman"/>
          <w:sz w:val="24"/>
          <w:szCs w:val="24"/>
          <w:lang w:val="en-GB"/>
        </w:rPr>
        <w:t xml:space="preserve">C. Lyketsos, B. Jones, C. Kawas. </w:t>
      </w:r>
      <w:r w:rsidRPr="00B917BD">
        <w:rPr>
          <w:rFonts w:ascii="Times New Roman" w:hAnsi="Times New Roman" w:cs="Times New Roman"/>
          <w:sz w:val="24"/>
          <w:szCs w:val="24"/>
          <w:lang w:val="en-GB"/>
        </w:rPr>
        <w:t>Risk factors for mild cognitive impairment in the Cardiovascular Health Study Cognition Study: part 2</w:t>
      </w:r>
      <w:r>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Arch. Neurol., 60 (2003), pp. 1394-1399</w:t>
      </w:r>
      <w:r>
        <w:rPr>
          <w:rFonts w:ascii="Times New Roman" w:hAnsi="Times New Roman" w:cs="Times New Roman"/>
          <w:sz w:val="24"/>
          <w:szCs w:val="24"/>
          <w:lang w:val="en-GB"/>
        </w:rPr>
        <w:t>.</w:t>
      </w:r>
    </w:p>
    <w:p w14:paraId="18286AF4" w14:textId="5E522755" w:rsidR="00B917BD" w:rsidRPr="00B917BD" w:rsidRDefault="00B917BD" w:rsidP="00B917BD">
      <w:pPr>
        <w:pStyle w:val="p"/>
        <w:spacing w:line="480" w:lineRule="auto"/>
        <w:rPr>
          <w:rFonts w:ascii="Times New Roman" w:hAnsi="Times New Roman" w:cs="Times New Roman"/>
          <w:sz w:val="24"/>
          <w:szCs w:val="24"/>
          <w:lang w:val="en-GB"/>
        </w:rPr>
      </w:pPr>
      <w:r w:rsidRPr="00B917BD">
        <w:rPr>
          <w:rFonts w:ascii="Times New Roman" w:hAnsi="Times New Roman" w:cs="Times New Roman"/>
          <w:sz w:val="24"/>
          <w:szCs w:val="24"/>
          <w:lang w:val="en-GB"/>
        </w:rPr>
        <w:t>S.C. Mallo, S.B. Patten, Z. Ismail, A.X. Pereiro, D. Fac</w:t>
      </w:r>
      <w:r>
        <w:rPr>
          <w:rFonts w:ascii="Times New Roman" w:hAnsi="Times New Roman" w:cs="Times New Roman"/>
          <w:sz w:val="24"/>
          <w:szCs w:val="24"/>
          <w:lang w:val="en-GB"/>
        </w:rPr>
        <w:t xml:space="preserve">al, C. Otero, O. Juncos-Rabadán. </w:t>
      </w:r>
      <w:r w:rsidRPr="00B917BD">
        <w:rPr>
          <w:rFonts w:ascii="Times New Roman" w:hAnsi="Times New Roman" w:cs="Times New Roman"/>
          <w:sz w:val="24"/>
          <w:szCs w:val="24"/>
          <w:lang w:val="en-GB"/>
        </w:rPr>
        <w:t>Does the neuropsychiatric inventory predict progression from mild cognitive impairment to dementia? A syst</w:t>
      </w:r>
      <w:r>
        <w:rPr>
          <w:rFonts w:ascii="Times New Roman" w:hAnsi="Times New Roman" w:cs="Times New Roman"/>
          <w:sz w:val="24"/>
          <w:szCs w:val="24"/>
          <w:lang w:val="en-GB"/>
        </w:rPr>
        <w:t xml:space="preserve">ematic review and meta-analysis. </w:t>
      </w:r>
      <w:r w:rsidRPr="00B917BD">
        <w:rPr>
          <w:rFonts w:ascii="Times New Roman" w:hAnsi="Times New Roman" w:cs="Times New Roman"/>
          <w:sz w:val="24"/>
          <w:szCs w:val="24"/>
          <w:lang w:val="en-GB"/>
        </w:rPr>
        <w:t>Agei</w:t>
      </w:r>
      <w:r>
        <w:rPr>
          <w:rFonts w:ascii="Times New Roman" w:hAnsi="Times New Roman" w:cs="Times New Roman"/>
          <w:sz w:val="24"/>
          <w:szCs w:val="24"/>
          <w:lang w:val="en-GB"/>
        </w:rPr>
        <w:t xml:space="preserve">ng research reviews, 58 (2020), </w:t>
      </w:r>
      <w:r w:rsidRPr="00B917BD">
        <w:rPr>
          <w:rFonts w:ascii="Times New Roman" w:hAnsi="Times New Roman" w:cs="Times New Roman"/>
          <w:sz w:val="24"/>
          <w:szCs w:val="24"/>
          <w:lang w:val="en-GB"/>
        </w:rPr>
        <w:t>101004</w:t>
      </w:r>
      <w:r>
        <w:rPr>
          <w:rFonts w:ascii="Times New Roman" w:hAnsi="Times New Roman" w:cs="Times New Roman"/>
          <w:sz w:val="24"/>
          <w:szCs w:val="24"/>
          <w:lang w:val="en-GB"/>
        </w:rPr>
        <w:t>.</w:t>
      </w:r>
    </w:p>
    <w:p w14:paraId="1898A60A" w14:textId="25928B6F" w:rsidR="00B917BD" w:rsidRPr="00B917BD" w:rsidRDefault="00B917BD" w:rsidP="00B917BD">
      <w:pPr>
        <w:pStyle w:val="p"/>
        <w:spacing w:line="480" w:lineRule="auto"/>
        <w:rPr>
          <w:rFonts w:ascii="Times New Roman" w:hAnsi="Times New Roman" w:cs="Times New Roman"/>
          <w:sz w:val="24"/>
          <w:szCs w:val="24"/>
          <w:lang w:val="en-GB"/>
        </w:rPr>
      </w:pPr>
      <w:r w:rsidRPr="00B917BD">
        <w:rPr>
          <w:rFonts w:ascii="Times New Roman" w:hAnsi="Times New Roman" w:cs="Times New Roman"/>
          <w:sz w:val="24"/>
          <w:szCs w:val="24"/>
          <w:lang w:val="en-GB"/>
        </w:rPr>
        <w:t>S.C. Mallo, S. Valladares-Rodriguez, D. Facal, C. Lojo-Seoane, M.J. Fernández-Iglesias, A.X. Pereiro</w:t>
      </w:r>
      <w:r>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Neuropsychiatric symptoms as predictors of conversion from MCI to dementia: a machine learning approach</w:t>
      </w:r>
      <w:r>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International psychogeriatrics, 32 (2020), pp. 381-392</w:t>
      </w:r>
      <w:r>
        <w:rPr>
          <w:rFonts w:ascii="Times New Roman" w:hAnsi="Times New Roman" w:cs="Times New Roman"/>
          <w:sz w:val="24"/>
          <w:szCs w:val="24"/>
          <w:lang w:val="en-GB"/>
        </w:rPr>
        <w:t>.</w:t>
      </w:r>
    </w:p>
    <w:p w14:paraId="01733C9B" w14:textId="5DACCB7C" w:rsidR="00B917BD" w:rsidRPr="00B917BD" w:rsidRDefault="00B917BD" w:rsidP="00B917BD">
      <w:pPr>
        <w:pStyle w:val="p"/>
        <w:spacing w:line="480" w:lineRule="auto"/>
        <w:rPr>
          <w:rFonts w:ascii="Times New Roman" w:hAnsi="Times New Roman" w:cs="Times New Roman"/>
          <w:sz w:val="24"/>
          <w:szCs w:val="24"/>
          <w:lang w:val="en-GB"/>
        </w:rPr>
      </w:pPr>
      <w:r w:rsidRPr="00B917BD">
        <w:rPr>
          <w:rFonts w:ascii="Times New Roman" w:hAnsi="Times New Roman" w:cs="Times New Roman"/>
          <w:sz w:val="24"/>
          <w:szCs w:val="24"/>
          <w:lang w:val="en-GB"/>
        </w:rPr>
        <w:t>M.S. McDermott, T.M. Marteau, G.J. H</w:t>
      </w:r>
      <w:r>
        <w:rPr>
          <w:rFonts w:ascii="Times New Roman" w:hAnsi="Times New Roman" w:cs="Times New Roman"/>
          <w:sz w:val="24"/>
          <w:szCs w:val="24"/>
          <w:lang w:val="en-GB"/>
        </w:rPr>
        <w:t xml:space="preserve">ollands, M. Hankins, P. Aveyard. </w:t>
      </w:r>
      <w:r w:rsidRPr="00B917BD">
        <w:rPr>
          <w:rFonts w:ascii="Times New Roman" w:hAnsi="Times New Roman" w:cs="Times New Roman"/>
          <w:sz w:val="24"/>
          <w:szCs w:val="24"/>
          <w:lang w:val="en-GB"/>
        </w:rPr>
        <w:t>Change in anxiety following successful and unsuccessful attempts at smoking cessation: cohort study</w:t>
      </w:r>
      <w:r>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The British Journal of Psychiatry, 202 (2013), pp. 62-67</w:t>
      </w:r>
      <w:r>
        <w:rPr>
          <w:rFonts w:ascii="Times New Roman" w:hAnsi="Times New Roman" w:cs="Times New Roman"/>
          <w:sz w:val="24"/>
          <w:szCs w:val="24"/>
          <w:lang w:val="en-GB"/>
        </w:rPr>
        <w:t>.</w:t>
      </w:r>
    </w:p>
    <w:p w14:paraId="60AC59A7" w14:textId="72094F5B" w:rsidR="00B917BD" w:rsidRPr="00B917BD" w:rsidRDefault="00B917BD" w:rsidP="00B917BD">
      <w:pPr>
        <w:pStyle w:val="p"/>
        <w:spacing w:line="480" w:lineRule="auto"/>
        <w:rPr>
          <w:rFonts w:ascii="Times New Roman" w:hAnsi="Times New Roman" w:cs="Times New Roman"/>
          <w:sz w:val="24"/>
          <w:szCs w:val="24"/>
          <w:lang w:val="en-GB"/>
        </w:rPr>
      </w:pPr>
      <w:r w:rsidRPr="00B917BD">
        <w:rPr>
          <w:rFonts w:ascii="Times New Roman" w:hAnsi="Times New Roman" w:cs="Times New Roman"/>
          <w:sz w:val="24"/>
          <w:szCs w:val="24"/>
          <w:lang w:val="en-GB"/>
        </w:rPr>
        <w:t>J.C. Morris, A. Heyman, R.C. Mohs, J.P. Hughes, G. van Belle, G. Fil</w:t>
      </w:r>
      <w:r>
        <w:rPr>
          <w:rFonts w:ascii="Times New Roman" w:hAnsi="Times New Roman" w:cs="Times New Roman"/>
          <w:sz w:val="24"/>
          <w:szCs w:val="24"/>
          <w:lang w:val="en-GB"/>
        </w:rPr>
        <w:t xml:space="preserve">lenbaum, E.D. Mellits, C. Clark. </w:t>
      </w:r>
      <w:r w:rsidRPr="00B917BD">
        <w:rPr>
          <w:rFonts w:ascii="Times New Roman" w:hAnsi="Times New Roman" w:cs="Times New Roman"/>
          <w:sz w:val="24"/>
          <w:szCs w:val="24"/>
          <w:lang w:val="en-GB"/>
        </w:rPr>
        <w:t>The consortium to establish a registry for Alzheimer's disease (CERAD): I. Clinical and neuropsychological assessment of Alzheimer's disease</w:t>
      </w:r>
      <w:r>
        <w:rPr>
          <w:rFonts w:ascii="Times New Roman" w:hAnsi="Times New Roman" w:cs="Times New Roman"/>
          <w:sz w:val="24"/>
          <w:szCs w:val="24"/>
          <w:lang w:val="en-GB"/>
        </w:rPr>
        <w:t>. Neurology.</w:t>
      </w:r>
      <w:r w:rsidRPr="00B917BD">
        <w:t xml:space="preserve"> </w:t>
      </w:r>
      <w:r w:rsidRPr="00B917BD">
        <w:rPr>
          <w:rFonts w:ascii="Times New Roman" w:hAnsi="Times New Roman" w:cs="Times New Roman"/>
          <w:sz w:val="24"/>
          <w:szCs w:val="24"/>
          <w:lang w:val="en-GB"/>
        </w:rPr>
        <w:t>39</w:t>
      </w:r>
      <w:r>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w:t>
      </w:r>
      <w:r>
        <w:rPr>
          <w:rFonts w:ascii="Times New Roman" w:hAnsi="Times New Roman" w:cs="Times New Roman"/>
          <w:sz w:val="24"/>
          <w:szCs w:val="24"/>
          <w:lang w:val="en-GB"/>
        </w:rPr>
        <w:t xml:space="preserve">1989), pp. </w:t>
      </w:r>
      <w:r w:rsidRPr="00B917BD">
        <w:rPr>
          <w:rFonts w:ascii="Times New Roman" w:hAnsi="Times New Roman" w:cs="Times New Roman"/>
          <w:sz w:val="24"/>
          <w:szCs w:val="24"/>
          <w:lang w:val="en-GB"/>
        </w:rPr>
        <w:t>1159-65.</w:t>
      </w:r>
    </w:p>
    <w:p w14:paraId="0CD73040" w14:textId="6D8636F2" w:rsidR="00B917BD" w:rsidRPr="00B917BD" w:rsidRDefault="00B917BD" w:rsidP="00B917BD">
      <w:pPr>
        <w:pStyle w:val="p"/>
        <w:spacing w:line="480" w:lineRule="auto"/>
        <w:rPr>
          <w:rFonts w:ascii="Times New Roman" w:hAnsi="Times New Roman" w:cs="Times New Roman"/>
          <w:sz w:val="24"/>
          <w:szCs w:val="24"/>
          <w:lang w:val="en-GB"/>
        </w:rPr>
      </w:pPr>
      <w:r w:rsidRPr="00B917BD">
        <w:rPr>
          <w:rFonts w:ascii="Times New Roman" w:hAnsi="Times New Roman" w:cs="Times New Roman"/>
          <w:sz w:val="24"/>
          <w:szCs w:val="24"/>
          <w:lang w:val="en-GB"/>
        </w:rPr>
        <w:lastRenderedPageBreak/>
        <w:t>J.C. Morris</w:t>
      </w:r>
      <w:r>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Mild cognitive impairment and preclinical Alzheimer's disease</w:t>
      </w:r>
      <w:r>
        <w:rPr>
          <w:rFonts w:ascii="Times New Roman" w:hAnsi="Times New Roman" w:cs="Times New Roman"/>
          <w:sz w:val="24"/>
          <w:szCs w:val="24"/>
          <w:lang w:val="en-GB"/>
        </w:rPr>
        <w:t>. (2005), pp 9-14.</w:t>
      </w:r>
    </w:p>
    <w:p w14:paraId="3D6CF549" w14:textId="5DBCCE55" w:rsidR="00B917BD" w:rsidRPr="00B917BD" w:rsidRDefault="00B917BD" w:rsidP="00B917BD">
      <w:pPr>
        <w:pStyle w:val="p"/>
        <w:spacing w:line="480" w:lineRule="auto"/>
        <w:rPr>
          <w:rFonts w:ascii="Times New Roman" w:hAnsi="Times New Roman" w:cs="Times New Roman"/>
          <w:sz w:val="24"/>
          <w:szCs w:val="24"/>
          <w:lang w:val="en-GB"/>
        </w:rPr>
      </w:pPr>
      <w:r w:rsidRPr="00B917BD">
        <w:rPr>
          <w:rFonts w:ascii="Times New Roman" w:hAnsi="Times New Roman" w:cs="Times New Roman"/>
          <w:sz w:val="24"/>
          <w:szCs w:val="24"/>
          <w:lang w:val="en-GB"/>
        </w:rPr>
        <w:t>W. Muangpaisan, S. Intalapaporn, P. Assantachai</w:t>
      </w:r>
      <w:r>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Neuropsychiatric symptoms in the community-based patients with mild cognitive impairment and the influence of demographic factors</w:t>
      </w:r>
      <w:r>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International Journal of Geriatric Psychiatry: A journal of the psychiatry of late life and allied sciences, 23 (2008), pp. 699-703</w:t>
      </w:r>
      <w:r>
        <w:rPr>
          <w:rFonts w:ascii="Times New Roman" w:hAnsi="Times New Roman" w:cs="Times New Roman"/>
          <w:sz w:val="24"/>
          <w:szCs w:val="24"/>
          <w:lang w:val="en-GB"/>
        </w:rPr>
        <w:t>.</w:t>
      </w:r>
    </w:p>
    <w:p w14:paraId="056D0FC6" w14:textId="67E2EC2B" w:rsidR="00B917BD" w:rsidRPr="00B917BD" w:rsidRDefault="00B917BD" w:rsidP="00B917BD">
      <w:pPr>
        <w:pStyle w:val="p"/>
        <w:spacing w:line="480" w:lineRule="auto"/>
        <w:rPr>
          <w:rFonts w:ascii="Times New Roman" w:hAnsi="Times New Roman" w:cs="Times New Roman"/>
          <w:sz w:val="24"/>
          <w:szCs w:val="24"/>
          <w:lang w:val="en-GB"/>
        </w:rPr>
      </w:pPr>
      <w:r w:rsidRPr="00B917BD">
        <w:rPr>
          <w:rFonts w:ascii="Times New Roman" w:hAnsi="Times New Roman" w:cs="Times New Roman"/>
          <w:sz w:val="24"/>
          <w:szCs w:val="24"/>
          <w:lang w:val="en-GB"/>
        </w:rPr>
        <w:t>S.L. Naismith, L. Norrie, S.J. Lewis, N.L. Rogers, E.M. Scott, I.B. Hickie</w:t>
      </w:r>
      <w:r>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Does sleep disturbance mediate neuropsychological functioning in older people with depression?</w:t>
      </w:r>
      <w:r>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J. Affect. Disord., 116 (2009), pp. 139-143</w:t>
      </w:r>
      <w:r>
        <w:rPr>
          <w:rFonts w:ascii="Times New Roman" w:hAnsi="Times New Roman" w:cs="Times New Roman"/>
          <w:sz w:val="24"/>
          <w:szCs w:val="24"/>
          <w:lang w:val="en-GB"/>
        </w:rPr>
        <w:t>.</w:t>
      </w:r>
    </w:p>
    <w:p w14:paraId="55050E06" w14:textId="489386F8" w:rsidR="00B917BD" w:rsidRPr="00B917BD" w:rsidRDefault="00B917BD" w:rsidP="00B917BD">
      <w:pPr>
        <w:pStyle w:val="p"/>
        <w:spacing w:line="480" w:lineRule="auto"/>
        <w:rPr>
          <w:rFonts w:ascii="Times New Roman" w:hAnsi="Times New Roman" w:cs="Times New Roman"/>
          <w:sz w:val="24"/>
          <w:szCs w:val="24"/>
          <w:lang w:val="en-GB"/>
        </w:rPr>
      </w:pPr>
      <w:r w:rsidRPr="00B917BD">
        <w:rPr>
          <w:rFonts w:ascii="Times New Roman" w:hAnsi="Times New Roman" w:cs="Times New Roman"/>
          <w:sz w:val="24"/>
          <w:szCs w:val="24"/>
          <w:lang w:val="en-GB"/>
        </w:rPr>
        <w:t xml:space="preserve">S.L. Naismith, N.L. Rogers, S.J. Lewis, Z. Terpening, T. Ip, K. </w:t>
      </w:r>
      <w:r>
        <w:rPr>
          <w:rFonts w:ascii="Times New Roman" w:hAnsi="Times New Roman" w:cs="Times New Roman"/>
          <w:sz w:val="24"/>
          <w:szCs w:val="24"/>
          <w:lang w:val="en-GB"/>
        </w:rPr>
        <w:t xml:space="preserve">Diamond, L. Norrie, I.B. Hickie. </w:t>
      </w:r>
      <w:r w:rsidRPr="00B917BD">
        <w:rPr>
          <w:rFonts w:ascii="Times New Roman" w:hAnsi="Times New Roman" w:cs="Times New Roman"/>
          <w:sz w:val="24"/>
          <w:szCs w:val="24"/>
          <w:lang w:val="en-GB"/>
        </w:rPr>
        <w:t>Sleep disturbance relates to neuropsychological functioning in late-life depression</w:t>
      </w:r>
      <w:r>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J. Affect. Disord., 132 (2011), pp. 139-145</w:t>
      </w:r>
      <w:r>
        <w:rPr>
          <w:rFonts w:ascii="Times New Roman" w:hAnsi="Times New Roman" w:cs="Times New Roman"/>
          <w:sz w:val="24"/>
          <w:szCs w:val="24"/>
          <w:lang w:val="en-GB"/>
        </w:rPr>
        <w:t>.</w:t>
      </w:r>
    </w:p>
    <w:p w14:paraId="4F9B1402" w14:textId="67C50E94" w:rsidR="00B917BD" w:rsidRPr="00B917BD" w:rsidRDefault="00B917BD" w:rsidP="00B917BD">
      <w:pPr>
        <w:pStyle w:val="p"/>
        <w:spacing w:line="480" w:lineRule="auto"/>
        <w:rPr>
          <w:rFonts w:ascii="Times New Roman" w:hAnsi="Times New Roman" w:cs="Times New Roman"/>
          <w:sz w:val="24"/>
          <w:szCs w:val="24"/>
          <w:lang w:val="en-GB"/>
        </w:rPr>
      </w:pPr>
      <w:r w:rsidRPr="00B917BD">
        <w:rPr>
          <w:rFonts w:ascii="Times New Roman" w:hAnsi="Times New Roman" w:cs="Times New Roman"/>
          <w:sz w:val="24"/>
          <w:szCs w:val="24"/>
          <w:lang w:val="en-GB"/>
        </w:rPr>
        <w:t>B</w:t>
      </w:r>
      <w:r>
        <w:rPr>
          <w:rFonts w:ascii="Times New Roman" w:hAnsi="Times New Roman" w:cs="Times New Roman"/>
          <w:sz w:val="24"/>
          <w:szCs w:val="24"/>
          <w:lang w:val="en-GB"/>
        </w:rPr>
        <w:t xml:space="preserve">. Nguyen, D. Ding, S. Mihrshahi. </w:t>
      </w:r>
      <w:r w:rsidRPr="00B917BD">
        <w:rPr>
          <w:rFonts w:ascii="Times New Roman" w:hAnsi="Times New Roman" w:cs="Times New Roman"/>
          <w:sz w:val="24"/>
          <w:szCs w:val="24"/>
          <w:lang w:val="en-GB"/>
        </w:rPr>
        <w:t>Fruit and vegetable consumption and psychological distress: cross-sectional and longitudinal analyses based on a large Australian sample</w:t>
      </w:r>
      <w:r>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BMJ open, 7 (2017)</w:t>
      </w:r>
      <w:r>
        <w:rPr>
          <w:rFonts w:ascii="Times New Roman" w:hAnsi="Times New Roman" w:cs="Times New Roman"/>
          <w:sz w:val="24"/>
          <w:szCs w:val="24"/>
          <w:lang w:val="en-GB"/>
        </w:rPr>
        <w:t>.</w:t>
      </w:r>
    </w:p>
    <w:p w14:paraId="5D850B48" w14:textId="62B5D9C2" w:rsidR="00B917BD" w:rsidRPr="00B917BD" w:rsidRDefault="00B917BD" w:rsidP="00B917BD">
      <w:pPr>
        <w:pStyle w:val="p"/>
        <w:spacing w:line="480" w:lineRule="auto"/>
        <w:rPr>
          <w:rFonts w:ascii="Times New Roman" w:hAnsi="Times New Roman" w:cs="Times New Roman"/>
          <w:sz w:val="24"/>
          <w:szCs w:val="24"/>
          <w:lang w:val="en-GB"/>
        </w:rPr>
      </w:pPr>
      <w:r w:rsidRPr="00B917BD">
        <w:rPr>
          <w:rFonts w:ascii="Times New Roman" w:hAnsi="Times New Roman" w:cs="Times New Roman"/>
          <w:sz w:val="24"/>
          <w:szCs w:val="24"/>
          <w:lang w:val="en-GB"/>
        </w:rPr>
        <w:t>E.A. N</w:t>
      </w:r>
      <w:r>
        <w:rPr>
          <w:rFonts w:ascii="Times New Roman" w:hAnsi="Times New Roman" w:cs="Times New Roman"/>
          <w:sz w:val="24"/>
          <w:szCs w:val="24"/>
          <w:lang w:val="en-GB"/>
        </w:rPr>
        <w:t xml:space="preserve">oorwali, L.J. Hardie, J.E. Cade. </w:t>
      </w:r>
      <w:r w:rsidRPr="00B917BD">
        <w:rPr>
          <w:rFonts w:ascii="Times New Roman" w:hAnsi="Times New Roman" w:cs="Times New Roman"/>
          <w:sz w:val="24"/>
          <w:szCs w:val="24"/>
          <w:lang w:val="en-GB"/>
        </w:rPr>
        <w:t>Recommended sleep duration is associated with higher consumption of fruits and vegetables; cross-sectional and prospective analyses from the UK Women's Cohort Study</w:t>
      </w:r>
      <w:r>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Sleep Science and Practice, 2 (2018), p. 13</w:t>
      </w:r>
      <w:r>
        <w:rPr>
          <w:rFonts w:ascii="Times New Roman" w:hAnsi="Times New Roman" w:cs="Times New Roman"/>
          <w:sz w:val="24"/>
          <w:szCs w:val="24"/>
          <w:lang w:val="en-GB"/>
        </w:rPr>
        <w:t>.</w:t>
      </w:r>
    </w:p>
    <w:p w14:paraId="34B9FB5D" w14:textId="76A4AA6F" w:rsidR="00B917BD" w:rsidRPr="00B917BD" w:rsidRDefault="00B917BD" w:rsidP="00B917BD">
      <w:pPr>
        <w:pStyle w:val="p"/>
        <w:spacing w:line="480" w:lineRule="auto"/>
        <w:rPr>
          <w:rFonts w:ascii="Times New Roman" w:hAnsi="Times New Roman" w:cs="Times New Roman"/>
          <w:sz w:val="24"/>
          <w:szCs w:val="24"/>
          <w:lang w:val="en-GB"/>
        </w:rPr>
      </w:pPr>
      <w:r w:rsidRPr="00B917BD">
        <w:rPr>
          <w:rFonts w:ascii="Times New Roman" w:hAnsi="Times New Roman" w:cs="Times New Roman"/>
          <w:sz w:val="24"/>
          <w:szCs w:val="24"/>
          <w:lang w:val="en-GB"/>
        </w:rPr>
        <w:t>S. Paddick, A. Kisoli, A. Longdon, C. Dotchin, W.K. Gray, P. C</w:t>
      </w:r>
      <w:r>
        <w:rPr>
          <w:rFonts w:ascii="Times New Roman" w:hAnsi="Times New Roman" w:cs="Times New Roman"/>
          <w:sz w:val="24"/>
          <w:szCs w:val="24"/>
          <w:lang w:val="en-GB"/>
        </w:rPr>
        <w:t xml:space="preserve">haote, A. Teodorczuk, R. Walker. </w:t>
      </w:r>
      <w:r w:rsidRPr="00B917BD">
        <w:rPr>
          <w:rFonts w:ascii="Times New Roman" w:hAnsi="Times New Roman" w:cs="Times New Roman"/>
          <w:sz w:val="24"/>
          <w:szCs w:val="24"/>
          <w:lang w:val="en-GB"/>
        </w:rPr>
        <w:t>The prevalence and burden of behavioural and psychological symptoms of dementia in rural Tanzania</w:t>
      </w:r>
      <w:r>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Int. J. Geriatr. Psychiatry., 30 (2015), pp. 815-823</w:t>
      </w:r>
      <w:r>
        <w:rPr>
          <w:rFonts w:ascii="Times New Roman" w:hAnsi="Times New Roman" w:cs="Times New Roman"/>
          <w:sz w:val="24"/>
          <w:szCs w:val="24"/>
          <w:lang w:val="en-GB"/>
        </w:rPr>
        <w:t>.</w:t>
      </w:r>
    </w:p>
    <w:p w14:paraId="63CC3EF7" w14:textId="25280FED" w:rsidR="00B917BD" w:rsidRPr="00B917BD" w:rsidRDefault="00B917BD" w:rsidP="00B917BD">
      <w:pPr>
        <w:pStyle w:val="p"/>
        <w:spacing w:line="480" w:lineRule="auto"/>
        <w:rPr>
          <w:rFonts w:ascii="Times New Roman" w:hAnsi="Times New Roman" w:cs="Times New Roman"/>
          <w:sz w:val="24"/>
          <w:szCs w:val="24"/>
          <w:lang w:val="en-GB"/>
        </w:rPr>
      </w:pPr>
      <w:r w:rsidRPr="00B917BD">
        <w:rPr>
          <w:rFonts w:ascii="Times New Roman" w:hAnsi="Times New Roman" w:cs="Times New Roman"/>
          <w:sz w:val="24"/>
          <w:szCs w:val="24"/>
          <w:lang w:val="en-GB"/>
        </w:rPr>
        <w:lastRenderedPageBreak/>
        <w:t>K. Palmer, A.K. Berger, R. Monastero, B. Winblad, L. Bäckman, L. Fratiglioni</w:t>
      </w:r>
      <w:r>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Predictors of progression from mild cognitive impairment to Alzheimer disease</w:t>
      </w:r>
      <w:r>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Neurology, 68 (2007), pp. 1596-1602</w:t>
      </w:r>
      <w:r>
        <w:rPr>
          <w:rFonts w:ascii="Times New Roman" w:hAnsi="Times New Roman" w:cs="Times New Roman"/>
          <w:sz w:val="24"/>
          <w:szCs w:val="24"/>
          <w:lang w:val="en-GB"/>
        </w:rPr>
        <w:t>.</w:t>
      </w:r>
    </w:p>
    <w:p w14:paraId="6DDD0B19" w14:textId="2C91F949" w:rsidR="00B917BD" w:rsidRPr="00B917BD" w:rsidRDefault="00B917BD" w:rsidP="00B917BD">
      <w:pPr>
        <w:pStyle w:val="p"/>
        <w:spacing w:line="480" w:lineRule="auto"/>
        <w:rPr>
          <w:rFonts w:ascii="Times New Roman" w:hAnsi="Times New Roman" w:cs="Times New Roman"/>
          <w:sz w:val="24"/>
          <w:szCs w:val="24"/>
          <w:lang w:val="en-GB"/>
        </w:rPr>
      </w:pPr>
      <w:r w:rsidRPr="00B917BD">
        <w:rPr>
          <w:rFonts w:ascii="Times New Roman" w:hAnsi="Times New Roman" w:cs="Times New Roman"/>
          <w:sz w:val="24"/>
          <w:szCs w:val="24"/>
          <w:lang w:val="en-GB"/>
        </w:rPr>
        <w:t>R. Perez-Escamilla, O. Bermudez, G.S. Buccini, S. Kumanyika, C.K. L</w:t>
      </w:r>
      <w:r>
        <w:rPr>
          <w:rFonts w:ascii="Times New Roman" w:hAnsi="Times New Roman" w:cs="Times New Roman"/>
          <w:sz w:val="24"/>
          <w:szCs w:val="24"/>
          <w:lang w:val="en-GB"/>
        </w:rPr>
        <w:t xml:space="preserve">utter, P. Monsivais, C. Victora. </w:t>
      </w:r>
      <w:r w:rsidRPr="00B917BD">
        <w:rPr>
          <w:rFonts w:ascii="Times New Roman" w:hAnsi="Times New Roman" w:cs="Times New Roman"/>
          <w:sz w:val="24"/>
          <w:szCs w:val="24"/>
          <w:lang w:val="en-GB"/>
        </w:rPr>
        <w:t>Nutrition disparities and the global burden of malnutrition</w:t>
      </w:r>
      <w:r>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BMJ (2018), p. 361</w:t>
      </w:r>
      <w:r>
        <w:rPr>
          <w:rFonts w:ascii="Times New Roman" w:hAnsi="Times New Roman" w:cs="Times New Roman"/>
          <w:sz w:val="24"/>
          <w:szCs w:val="24"/>
          <w:lang w:val="en-GB"/>
        </w:rPr>
        <w:t>.</w:t>
      </w:r>
    </w:p>
    <w:p w14:paraId="77AB4ACA" w14:textId="7690B581" w:rsidR="00B917BD" w:rsidRPr="00B917BD" w:rsidRDefault="00B917BD" w:rsidP="00B917BD">
      <w:pPr>
        <w:pStyle w:val="p"/>
        <w:spacing w:line="480" w:lineRule="auto"/>
        <w:rPr>
          <w:rFonts w:ascii="Times New Roman" w:hAnsi="Times New Roman" w:cs="Times New Roman"/>
          <w:sz w:val="24"/>
          <w:szCs w:val="24"/>
          <w:lang w:val="en-GB"/>
        </w:rPr>
      </w:pPr>
      <w:r w:rsidRPr="00B917BD">
        <w:rPr>
          <w:rFonts w:ascii="Times New Roman" w:hAnsi="Times New Roman" w:cs="Times New Roman"/>
          <w:sz w:val="24"/>
          <w:szCs w:val="24"/>
          <w:lang w:val="en-GB"/>
        </w:rPr>
        <w:t>E.N. Peters, L.M. Fucito, C. No</w:t>
      </w:r>
      <w:r>
        <w:rPr>
          <w:rFonts w:ascii="Times New Roman" w:hAnsi="Times New Roman" w:cs="Times New Roman"/>
          <w:sz w:val="24"/>
          <w:szCs w:val="24"/>
          <w:lang w:val="en-GB"/>
        </w:rPr>
        <w:t xml:space="preserve">vosad, B.A. Toll, S.S. O'Malley. </w:t>
      </w:r>
      <w:r w:rsidRPr="00B917BD">
        <w:rPr>
          <w:rFonts w:ascii="Times New Roman" w:hAnsi="Times New Roman" w:cs="Times New Roman"/>
          <w:sz w:val="24"/>
          <w:szCs w:val="24"/>
          <w:lang w:val="en-GB"/>
        </w:rPr>
        <w:t>Effect of night smoking, sleep disturbance, and their co-occurrence on smoking outcomes</w:t>
      </w:r>
      <w:r>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Psychology of Addictive Behaviors, 25 (2011), p. 312</w:t>
      </w:r>
      <w:r>
        <w:rPr>
          <w:rFonts w:ascii="Times New Roman" w:hAnsi="Times New Roman" w:cs="Times New Roman"/>
          <w:sz w:val="24"/>
          <w:szCs w:val="24"/>
          <w:lang w:val="en-GB"/>
        </w:rPr>
        <w:t>.</w:t>
      </w:r>
    </w:p>
    <w:p w14:paraId="4FE96BBF" w14:textId="0EBDE011" w:rsidR="00B917BD" w:rsidRPr="00B917BD" w:rsidRDefault="00B917BD" w:rsidP="00B917BD">
      <w:pPr>
        <w:pStyle w:val="p"/>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R.C. Petersen. </w:t>
      </w:r>
      <w:r w:rsidRPr="00B917BD">
        <w:rPr>
          <w:rFonts w:ascii="Times New Roman" w:hAnsi="Times New Roman" w:cs="Times New Roman"/>
          <w:sz w:val="24"/>
          <w:szCs w:val="24"/>
          <w:lang w:val="en-GB"/>
        </w:rPr>
        <w:t>Mild cognitive impairment</w:t>
      </w:r>
      <w:r>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CONTINUUM: Lifelong Learning in Neurology, 22 (2016), p. 404</w:t>
      </w:r>
      <w:r>
        <w:rPr>
          <w:rFonts w:ascii="Times New Roman" w:hAnsi="Times New Roman" w:cs="Times New Roman"/>
          <w:sz w:val="24"/>
          <w:szCs w:val="24"/>
          <w:lang w:val="en-GB"/>
        </w:rPr>
        <w:t>.</w:t>
      </w:r>
    </w:p>
    <w:p w14:paraId="7067A84E" w14:textId="2BA0C0C8" w:rsidR="00B917BD" w:rsidRPr="00B917BD" w:rsidRDefault="00B917BD" w:rsidP="00B917BD">
      <w:pPr>
        <w:pStyle w:val="p"/>
        <w:spacing w:line="480" w:lineRule="auto"/>
        <w:rPr>
          <w:rFonts w:ascii="Times New Roman" w:hAnsi="Times New Roman" w:cs="Times New Roman"/>
          <w:sz w:val="24"/>
          <w:szCs w:val="24"/>
          <w:lang w:val="en-GB"/>
        </w:rPr>
      </w:pPr>
      <w:r w:rsidRPr="00B917BD">
        <w:rPr>
          <w:rFonts w:ascii="Times New Roman" w:hAnsi="Times New Roman" w:cs="Times New Roman"/>
          <w:sz w:val="24"/>
          <w:szCs w:val="24"/>
          <w:lang w:val="en-GB"/>
        </w:rPr>
        <w:t>L. Rozzini, B.V. Chilovi, M. Peli, M. Conti, R. Roz</w:t>
      </w:r>
      <w:r>
        <w:rPr>
          <w:rFonts w:ascii="Times New Roman" w:hAnsi="Times New Roman" w:cs="Times New Roman"/>
          <w:sz w:val="24"/>
          <w:szCs w:val="24"/>
          <w:lang w:val="en-GB"/>
        </w:rPr>
        <w:t xml:space="preserve">zini, M. Trabucchi, A. Padovani. </w:t>
      </w:r>
      <w:r w:rsidRPr="00B917BD">
        <w:rPr>
          <w:rFonts w:ascii="Times New Roman" w:hAnsi="Times New Roman" w:cs="Times New Roman"/>
          <w:sz w:val="24"/>
          <w:szCs w:val="24"/>
          <w:lang w:val="en-GB"/>
        </w:rPr>
        <w:t>Anxiety symptoms in mild cognitive impairment</w:t>
      </w:r>
      <w:r>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International Journal of Geriatric Psychiatry: A journal of the psychiatry of late life and allied sciences, 24 (2009), pp. 300-305</w:t>
      </w:r>
      <w:r>
        <w:rPr>
          <w:rFonts w:ascii="Times New Roman" w:hAnsi="Times New Roman" w:cs="Times New Roman"/>
          <w:sz w:val="24"/>
          <w:szCs w:val="24"/>
          <w:lang w:val="en-GB"/>
        </w:rPr>
        <w:t>.</w:t>
      </w:r>
    </w:p>
    <w:p w14:paraId="01F97F8E" w14:textId="76D4B14B" w:rsidR="00B917BD" w:rsidRPr="00B917BD" w:rsidRDefault="00B917BD" w:rsidP="00B917BD">
      <w:pPr>
        <w:pStyle w:val="p"/>
        <w:spacing w:line="480" w:lineRule="auto"/>
        <w:rPr>
          <w:rFonts w:ascii="Times New Roman" w:hAnsi="Times New Roman" w:cs="Times New Roman"/>
          <w:sz w:val="24"/>
          <w:szCs w:val="24"/>
          <w:lang w:val="en-GB"/>
        </w:rPr>
      </w:pPr>
      <w:r w:rsidRPr="00B917BD">
        <w:rPr>
          <w:rFonts w:ascii="Times New Roman" w:hAnsi="Times New Roman" w:cs="Times New Roman"/>
          <w:sz w:val="24"/>
          <w:szCs w:val="24"/>
          <w:lang w:val="en-GB"/>
        </w:rPr>
        <w:t xml:space="preserve">S.K. </w:t>
      </w:r>
      <w:r>
        <w:rPr>
          <w:rFonts w:ascii="Times New Roman" w:hAnsi="Times New Roman" w:cs="Times New Roman"/>
          <w:sz w:val="24"/>
          <w:szCs w:val="24"/>
          <w:lang w:val="en-GB"/>
        </w:rPr>
        <w:t xml:space="preserve">Schultz, A. Hoth, K. Buckwalter. </w:t>
      </w:r>
      <w:r w:rsidRPr="00B917BD">
        <w:rPr>
          <w:rFonts w:ascii="Times New Roman" w:hAnsi="Times New Roman" w:cs="Times New Roman"/>
          <w:sz w:val="24"/>
          <w:szCs w:val="24"/>
          <w:lang w:val="en-GB"/>
        </w:rPr>
        <w:t>Anxiety and impaired social function in the elderly</w:t>
      </w:r>
      <w:r>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Annals of Clinical Psychiatry, 16 (2004), pp. 47-51</w:t>
      </w:r>
      <w:r>
        <w:rPr>
          <w:rFonts w:ascii="Times New Roman" w:hAnsi="Times New Roman" w:cs="Times New Roman"/>
          <w:sz w:val="24"/>
          <w:szCs w:val="24"/>
          <w:lang w:val="en-GB"/>
        </w:rPr>
        <w:t>.</w:t>
      </w:r>
    </w:p>
    <w:p w14:paraId="0457B85C" w14:textId="4299D906" w:rsidR="00B917BD" w:rsidRPr="00B917BD" w:rsidRDefault="00B917BD" w:rsidP="00B917BD">
      <w:pPr>
        <w:pStyle w:val="p"/>
        <w:spacing w:line="480" w:lineRule="auto"/>
        <w:rPr>
          <w:rFonts w:ascii="Times New Roman" w:hAnsi="Times New Roman" w:cs="Times New Roman"/>
          <w:sz w:val="24"/>
          <w:szCs w:val="24"/>
          <w:lang w:val="en-GB"/>
        </w:rPr>
      </w:pPr>
      <w:r w:rsidRPr="00B917BD">
        <w:rPr>
          <w:rFonts w:ascii="Times New Roman" w:hAnsi="Times New Roman" w:cs="Times New Roman"/>
          <w:sz w:val="24"/>
          <w:szCs w:val="24"/>
          <w:lang w:val="en-GB"/>
        </w:rPr>
        <w:t>Y. Selvama</w:t>
      </w:r>
      <w:r>
        <w:rPr>
          <w:rFonts w:ascii="Times New Roman" w:hAnsi="Times New Roman" w:cs="Times New Roman"/>
          <w:sz w:val="24"/>
          <w:szCs w:val="24"/>
          <w:lang w:val="en-GB"/>
        </w:rPr>
        <w:t xml:space="preserve">ni, P. Arokiasamy, M. Chaudhary. </w:t>
      </w:r>
      <w:r w:rsidRPr="00B917BD">
        <w:rPr>
          <w:rFonts w:ascii="Times New Roman" w:hAnsi="Times New Roman" w:cs="Times New Roman"/>
          <w:sz w:val="24"/>
          <w:szCs w:val="24"/>
          <w:lang w:val="en-GB"/>
        </w:rPr>
        <w:t>Association of sleep problems and sleep duration with self-rated health and grip strength among older adults in India and China: Results from the study on global aging and adult health (SAGE)</w:t>
      </w:r>
      <w:r>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Journal of Public Health, 26 (2018), pp. 697-707</w:t>
      </w:r>
      <w:r>
        <w:rPr>
          <w:rFonts w:ascii="Times New Roman" w:hAnsi="Times New Roman" w:cs="Times New Roman"/>
          <w:sz w:val="24"/>
          <w:szCs w:val="24"/>
          <w:lang w:val="en-GB"/>
        </w:rPr>
        <w:t>.</w:t>
      </w:r>
    </w:p>
    <w:p w14:paraId="094A287A" w14:textId="14D59961" w:rsidR="00B917BD" w:rsidRPr="00B917BD" w:rsidRDefault="00B917BD" w:rsidP="00B917BD">
      <w:pPr>
        <w:pStyle w:val="p"/>
        <w:spacing w:line="480" w:lineRule="auto"/>
        <w:rPr>
          <w:rFonts w:ascii="Times New Roman" w:hAnsi="Times New Roman" w:cs="Times New Roman"/>
          <w:sz w:val="24"/>
          <w:szCs w:val="24"/>
          <w:lang w:val="en-GB"/>
        </w:rPr>
      </w:pPr>
      <w:r w:rsidRPr="00B917BD">
        <w:rPr>
          <w:rFonts w:ascii="Times New Roman" w:hAnsi="Times New Roman" w:cs="Times New Roman"/>
          <w:sz w:val="24"/>
          <w:szCs w:val="24"/>
          <w:lang w:val="en-GB"/>
        </w:rPr>
        <w:t>C.R. Soldatos</w:t>
      </w:r>
      <w:r>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Insomnia in relation to depression and anxiety: epidemiologic considerations</w:t>
      </w:r>
      <w:r>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J. Psychosom. Res., 38 (1994), pp. 3-8</w:t>
      </w:r>
      <w:r>
        <w:rPr>
          <w:rFonts w:ascii="Times New Roman" w:hAnsi="Times New Roman" w:cs="Times New Roman"/>
          <w:sz w:val="24"/>
          <w:szCs w:val="24"/>
          <w:lang w:val="en-GB"/>
        </w:rPr>
        <w:t>.</w:t>
      </w:r>
    </w:p>
    <w:p w14:paraId="1E83A2BF" w14:textId="3CADA33B" w:rsidR="00B917BD" w:rsidRPr="00B917BD" w:rsidRDefault="00B917BD" w:rsidP="00B917BD">
      <w:pPr>
        <w:pStyle w:val="p"/>
        <w:spacing w:line="480" w:lineRule="auto"/>
        <w:rPr>
          <w:rFonts w:ascii="Times New Roman" w:hAnsi="Times New Roman" w:cs="Times New Roman"/>
          <w:sz w:val="24"/>
          <w:szCs w:val="24"/>
          <w:lang w:val="en-GB"/>
        </w:rPr>
      </w:pPr>
      <w:r w:rsidRPr="00B917BD">
        <w:rPr>
          <w:rFonts w:ascii="Times New Roman" w:hAnsi="Times New Roman" w:cs="Times New Roman"/>
          <w:sz w:val="24"/>
          <w:szCs w:val="24"/>
          <w:lang w:val="en-GB"/>
        </w:rPr>
        <w:lastRenderedPageBreak/>
        <w:t>A. Stickley, M. Leinsalu, J.E. DeVylder, Y. Inoue, A. Koyanagi</w:t>
      </w:r>
      <w:r w:rsidR="002856F2">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Sleep problems and depression among 237 023 community-dwelling adults in 46 low-and middle-income countries</w:t>
      </w:r>
      <w:r w:rsidR="002856F2">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Scientific reports, 9 (2019), pp. 1-10</w:t>
      </w:r>
      <w:r w:rsidR="002856F2">
        <w:rPr>
          <w:rFonts w:ascii="Times New Roman" w:hAnsi="Times New Roman" w:cs="Times New Roman"/>
          <w:sz w:val="24"/>
          <w:szCs w:val="24"/>
          <w:lang w:val="en-GB"/>
        </w:rPr>
        <w:t>.</w:t>
      </w:r>
    </w:p>
    <w:p w14:paraId="3834786A" w14:textId="1EA66B88" w:rsidR="00B917BD" w:rsidRPr="00B917BD" w:rsidRDefault="00B917BD" w:rsidP="00B917BD">
      <w:pPr>
        <w:pStyle w:val="p"/>
        <w:spacing w:line="480" w:lineRule="auto"/>
        <w:rPr>
          <w:rFonts w:ascii="Times New Roman" w:hAnsi="Times New Roman" w:cs="Times New Roman"/>
          <w:sz w:val="24"/>
          <w:szCs w:val="24"/>
          <w:lang w:val="en-GB"/>
        </w:rPr>
      </w:pPr>
      <w:r w:rsidRPr="00B917BD">
        <w:rPr>
          <w:rFonts w:ascii="Times New Roman" w:hAnsi="Times New Roman" w:cs="Times New Roman"/>
          <w:sz w:val="24"/>
          <w:szCs w:val="24"/>
          <w:lang w:val="en-GB"/>
        </w:rPr>
        <w:t>B. Stubbs, A. Koyanagi, M. Hallgren, J. Firth, J. Richards, F. Schuch, S. Rosenbaum, J. Mugisha, N. Veronese, J. Lahti</w:t>
      </w:r>
      <w:r w:rsidR="002856F2">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Physical activity and anxiety: A perspective from the World Health Survey</w:t>
      </w:r>
      <w:r w:rsidR="002856F2">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J. Affect. Disord., 208 (2017), pp. 545-552</w:t>
      </w:r>
      <w:r w:rsidR="002856F2">
        <w:rPr>
          <w:rFonts w:ascii="Times New Roman" w:hAnsi="Times New Roman" w:cs="Times New Roman"/>
          <w:sz w:val="24"/>
          <w:szCs w:val="24"/>
          <w:lang w:val="en-GB"/>
        </w:rPr>
        <w:t>.</w:t>
      </w:r>
    </w:p>
    <w:p w14:paraId="524B1DC4" w14:textId="73C10D30" w:rsidR="00B917BD" w:rsidRPr="00B917BD" w:rsidRDefault="00B917BD" w:rsidP="00B917BD">
      <w:pPr>
        <w:pStyle w:val="p"/>
        <w:spacing w:line="480" w:lineRule="auto"/>
        <w:rPr>
          <w:rFonts w:ascii="Times New Roman" w:hAnsi="Times New Roman" w:cs="Times New Roman"/>
          <w:sz w:val="24"/>
          <w:szCs w:val="24"/>
          <w:lang w:val="en-GB"/>
        </w:rPr>
      </w:pPr>
      <w:r w:rsidRPr="00B917BD">
        <w:rPr>
          <w:rFonts w:ascii="Times New Roman" w:hAnsi="Times New Roman" w:cs="Times New Roman"/>
          <w:sz w:val="24"/>
          <w:szCs w:val="24"/>
          <w:lang w:val="en-GB"/>
        </w:rPr>
        <w:t>M.F. Tatsch, Cássio Machado de Campos Bottino, D. Azevedo, S.R. Hototian, M.A. Moscoso, J.C. Folquitto, A.Z. Scalco, M.R. Louzã</w:t>
      </w:r>
      <w:r w:rsidR="002856F2">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Neuropsychiatric symptoms in Alzheimer disease and cognitively impaired, nondemented elderly from a community-based sample in Brazil: prevalence and relationship with dementia severity</w:t>
      </w:r>
      <w:r w:rsidR="002856F2">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The American journal of geriatric psychiatry, 14 (2006), pp. 438-445</w:t>
      </w:r>
      <w:r w:rsidR="002856F2">
        <w:rPr>
          <w:rFonts w:ascii="Times New Roman" w:hAnsi="Times New Roman" w:cs="Times New Roman"/>
          <w:sz w:val="24"/>
          <w:szCs w:val="24"/>
          <w:lang w:val="en-GB"/>
        </w:rPr>
        <w:t>.</w:t>
      </w:r>
    </w:p>
    <w:p w14:paraId="27FE02CF" w14:textId="40454446" w:rsidR="00B917BD" w:rsidRPr="00B917BD" w:rsidRDefault="00B917BD" w:rsidP="00B917BD">
      <w:pPr>
        <w:pStyle w:val="p"/>
        <w:spacing w:line="480" w:lineRule="auto"/>
        <w:rPr>
          <w:rFonts w:ascii="Times New Roman" w:hAnsi="Times New Roman" w:cs="Times New Roman"/>
          <w:sz w:val="24"/>
          <w:szCs w:val="24"/>
          <w:lang w:val="en-GB"/>
        </w:rPr>
      </w:pPr>
      <w:r w:rsidRPr="00B917BD">
        <w:rPr>
          <w:rFonts w:ascii="Times New Roman" w:hAnsi="Times New Roman" w:cs="Times New Roman"/>
          <w:sz w:val="24"/>
          <w:szCs w:val="24"/>
          <w:lang w:val="en-GB"/>
        </w:rPr>
        <w:t>D.S. Tulsky, M.F. Ledbetter</w:t>
      </w:r>
      <w:r w:rsidR="002856F2">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Updating to the WAIS–III and WMS–III: Considerations for research and clinical practice</w:t>
      </w:r>
      <w:r w:rsidR="002856F2">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Psychol. Assess., 12 (2000), p. 253</w:t>
      </w:r>
      <w:r w:rsidR="002856F2">
        <w:rPr>
          <w:rFonts w:ascii="Times New Roman" w:hAnsi="Times New Roman" w:cs="Times New Roman"/>
          <w:sz w:val="24"/>
          <w:szCs w:val="24"/>
          <w:lang w:val="en-GB"/>
        </w:rPr>
        <w:t>.</w:t>
      </w:r>
    </w:p>
    <w:p w14:paraId="7C6789EB" w14:textId="37A6CC15" w:rsidR="00B917BD" w:rsidRPr="00B917BD" w:rsidRDefault="00B917BD" w:rsidP="00B917BD">
      <w:pPr>
        <w:pStyle w:val="p"/>
        <w:spacing w:line="480" w:lineRule="auto"/>
        <w:rPr>
          <w:rFonts w:ascii="Times New Roman" w:hAnsi="Times New Roman" w:cs="Times New Roman"/>
          <w:sz w:val="24"/>
          <w:szCs w:val="24"/>
          <w:lang w:val="en-GB"/>
        </w:rPr>
      </w:pPr>
      <w:r w:rsidRPr="00B917BD">
        <w:rPr>
          <w:rFonts w:ascii="Times New Roman" w:hAnsi="Times New Roman" w:cs="Times New Roman"/>
          <w:sz w:val="24"/>
          <w:szCs w:val="24"/>
          <w:lang w:val="en-GB"/>
        </w:rPr>
        <w:t>K. Vadikolias, A. Tsiakiri-Vatamidis, G. Tripsianis, G. Tsivgoulis, P. Ioannidis, A. Serdari, J. Heliopoulos, M. Livaditis, C. Piperidou</w:t>
      </w:r>
      <w:r w:rsidR="002856F2">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Mild cognitive impairment: effect of education on the verbal and nonverbal tasks performance decline</w:t>
      </w:r>
      <w:r w:rsidR="002856F2">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Brain and behavior, 2 (2012), pp. 620-627</w:t>
      </w:r>
      <w:r w:rsidR="002856F2">
        <w:rPr>
          <w:rFonts w:ascii="Times New Roman" w:hAnsi="Times New Roman" w:cs="Times New Roman"/>
          <w:sz w:val="24"/>
          <w:szCs w:val="24"/>
          <w:lang w:val="en-GB"/>
        </w:rPr>
        <w:t>.</w:t>
      </w:r>
    </w:p>
    <w:p w14:paraId="645DB319" w14:textId="4F88D4B2" w:rsidR="00B917BD" w:rsidRPr="00B917BD" w:rsidRDefault="00B917BD" w:rsidP="00B917BD">
      <w:pPr>
        <w:pStyle w:val="p"/>
        <w:spacing w:line="480" w:lineRule="auto"/>
        <w:rPr>
          <w:rFonts w:ascii="Times New Roman" w:hAnsi="Times New Roman" w:cs="Times New Roman"/>
          <w:sz w:val="24"/>
          <w:szCs w:val="24"/>
          <w:lang w:val="en-GB"/>
        </w:rPr>
      </w:pPr>
      <w:r w:rsidRPr="00B917BD">
        <w:rPr>
          <w:rFonts w:ascii="Times New Roman" w:hAnsi="Times New Roman" w:cs="Times New Roman"/>
          <w:sz w:val="24"/>
          <w:szCs w:val="24"/>
          <w:lang w:val="en-GB"/>
        </w:rPr>
        <w:t>D. Vancampfort, A. Koyanagi, M. Hallgren, M. Probst, B. Stubbs</w:t>
      </w:r>
      <w:r w:rsidR="002856F2">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The relationship between chronic physical conditions, multimorbidity and anxiety in the general population: a global perspective across 42 countries</w:t>
      </w:r>
      <w:r w:rsidR="002856F2">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Gen. Hosp. Psychiatry., 45 (2017), pp. 1-6</w:t>
      </w:r>
      <w:r w:rsidR="002856F2">
        <w:rPr>
          <w:rFonts w:ascii="Times New Roman" w:hAnsi="Times New Roman" w:cs="Times New Roman"/>
          <w:sz w:val="24"/>
          <w:szCs w:val="24"/>
          <w:lang w:val="en-GB"/>
        </w:rPr>
        <w:t>.</w:t>
      </w:r>
    </w:p>
    <w:p w14:paraId="45D8861D" w14:textId="06F05C15" w:rsidR="00B917BD" w:rsidRPr="00B917BD" w:rsidRDefault="00B917BD" w:rsidP="00B917BD">
      <w:pPr>
        <w:pStyle w:val="p"/>
        <w:spacing w:line="480" w:lineRule="auto"/>
        <w:rPr>
          <w:rFonts w:ascii="Times New Roman" w:hAnsi="Times New Roman" w:cs="Times New Roman"/>
          <w:sz w:val="24"/>
          <w:szCs w:val="24"/>
          <w:lang w:val="en-GB"/>
        </w:rPr>
      </w:pPr>
      <w:r w:rsidRPr="00B917BD">
        <w:rPr>
          <w:rFonts w:ascii="Times New Roman" w:hAnsi="Times New Roman" w:cs="Times New Roman"/>
          <w:sz w:val="24"/>
          <w:szCs w:val="24"/>
          <w:lang w:val="en-GB"/>
        </w:rPr>
        <w:t>D. Vancampfort, B. Stubbs, J. Firth, N. Hagemann, I. Myin-Germeys, A. Rintala, M. Probst, N. Veronese, A. Koyanagi</w:t>
      </w:r>
      <w:r w:rsidR="002856F2">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 xml:space="preserve">Sedentary behaviour and sleep problems among 42,489 </w:t>
      </w:r>
      <w:r w:rsidRPr="00B917BD">
        <w:rPr>
          <w:rFonts w:ascii="Times New Roman" w:hAnsi="Times New Roman" w:cs="Times New Roman"/>
          <w:sz w:val="24"/>
          <w:szCs w:val="24"/>
          <w:lang w:val="en-GB"/>
        </w:rPr>
        <w:lastRenderedPageBreak/>
        <w:t>community-dwelling adults in six low-and middle-income countries</w:t>
      </w:r>
      <w:r w:rsidR="002856F2">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J. Sleep Res., 27 (2018), p. e12714</w:t>
      </w:r>
      <w:r w:rsidR="002856F2">
        <w:rPr>
          <w:rFonts w:ascii="Times New Roman" w:hAnsi="Times New Roman" w:cs="Times New Roman"/>
          <w:sz w:val="24"/>
          <w:szCs w:val="24"/>
          <w:lang w:val="en-GB"/>
        </w:rPr>
        <w:t>.</w:t>
      </w:r>
    </w:p>
    <w:p w14:paraId="60EFE879" w14:textId="52E5B771" w:rsidR="00B917BD" w:rsidRPr="00B917BD" w:rsidRDefault="00B917BD" w:rsidP="00B917BD">
      <w:pPr>
        <w:pStyle w:val="p"/>
        <w:spacing w:line="480" w:lineRule="auto"/>
        <w:rPr>
          <w:rFonts w:ascii="Times New Roman" w:hAnsi="Times New Roman" w:cs="Times New Roman"/>
          <w:sz w:val="24"/>
          <w:szCs w:val="24"/>
          <w:lang w:val="en-GB"/>
        </w:rPr>
      </w:pPr>
      <w:r w:rsidRPr="00B917BD">
        <w:rPr>
          <w:rFonts w:ascii="Times New Roman" w:hAnsi="Times New Roman" w:cs="Times New Roman"/>
          <w:sz w:val="24"/>
          <w:szCs w:val="24"/>
          <w:lang w:val="en-GB"/>
        </w:rPr>
        <w:t>N. Veronese, L. Smith, P.D. Sloane, S. Zimmerman</w:t>
      </w:r>
      <w:r w:rsidR="002856F2">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Impact of Physical Activity and Nutrition on Dementia: A Growing Consensus</w:t>
      </w:r>
      <w:r w:rsidR="002856F2">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Journal of the American Medical Directors Association, 21 (2020), pp. 1392-1393</w:t>
      </w:r>
      <w:r w:rsidR="002856F2">
        <w:rPr>
          <w:rFonts w:ascii="Times New Roman" w:hAnsi="Times New Roman" w:cs="Times New Roman"/>
          <w:sz w:val="24"/>
          <w:szCs w:val="24"/>
          <w:lang w:val="en-GB"/>
        </w:rPr>
        <w:t>.</w:t>
      </w:r>
    </w:p>
    <w:p w14:paraId="0DF50DC9" w14:textId="4FA4FA59" w:rsidR="00B917BD" w:rsidRPr="00B917BD" w:rsidRDefault="00B917BD" w:rsidP="00B917BD">
      <w:pPr>
        <w:pStyle w:val="p"/>
        <w:spacing w:line="480" w:lineRule="auto"/>
        <w:rPr>
          <w:rFonts w:ascii="Times New Roman" w:hAnsi="Times New Roman" w:cs="Times New Roman"/>
          <w:sz w:val="24"/>
          <w:szCs w:val="24"/>
          <w:lang w:val="en-GB"/>
        </w:rPr>
      </w:pPr>
      <w:r w:rsidRPr="00B917BD">
        <w:rPr>
          <w:rFonts w:ascii="Times New Roman" w:hAnsi="Times New Roman" w:cs="Times New Roman"/>
          <w:sz w:val="24"/>
          <w:szCs w:val="24"/>
          <w:lang w:val="en-GB"/>
        </w:rPr>
        <w:t xml:space="preserve">World Health Organization, 2015. The epidemiology and impact of dementia. </w:t>
      </w:r>
      <w:r w:rsidR="002856F2">
        <w:rPr>
          <w:rFonts w:ascii="Times New Roman" w:hAnsi="Times New Roman" w:cs="Times New Roman"/>
          <w:sz w:val="24"/>
          <w:szCs w:val="24"/>
          <w:lang w:val="en-GB"/>
        </w:rPr>
        <w:t>Current state and future trends</w:t>
      </w:r>
      <w:r w:rsidRPr="00B917BD">
        <w:rPr>
          <w:rFonts w:ascii="Times New Roman" w:hAnsi="Times New Roman" w:cs="Times New Roman"/>
          <w:sz w:val="24"/>
          <w:szCs w:val="24"/>
          <w:lang w:val="en-GB"/>
        </w:rPr>
        <w:t>.</w:t>
      </w:r>
      <w:r w:rsidR="002856F2">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World Health Organization</w:t>
      </w:r>
      <w:r w:rsidR="002856F2">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Prevalence of insufficient physical activity among adults, 2020, Data by World Bank income groups (2018)</w:t>
      </w:r>
      <w:r w:rsidR="002856F2">
        <w:rPr>
          <w:rFonts w:ascii="Times New Roman" w:hAnsi="Times New Roman" w:cs="Times New Roman"/>
          <w:sz w:val="24"/>
          <w:szCs w:val="24"/>
          <w:lang w:val="en-GB"/>
        </w:rPr>
        <w:t>.</w:t>
      </w:r>
    </w:p>
    <w:p w14:paraId="6883F12D" w14:textId="58675376" w:rsidR="00B917BD" w:rsidRPr="00B917BD" w:rsidRDefault="00B917BD" w:rsidP="00B917BD">
      <w:pPr>
        <w:pStyle w:val="p"/>
        <w:spacing w:line="480" w:lineRule="auto"/>
        <w:rPr>
          <w:rFonts w:ascii="Times New Roman" w:hAnsi="Times New Roman" w:cs="Times New Roman"/>
          <w:sz w:val="24"/>
          <w:szCs w:val="24"/>
          <w:lang w:val="en-GB"/>
        </w:rPr>
      </w:pPr>
      <w:r w:rsidRPr="00B917BD">
        <w:rPr>
          <w:rFonts w:ascii="Times New Roman" w:hAnsi="Times New Roman" w:cs="Times New Roman"/>
          <w:sz w:val="24"/>
          <w:szCs w:val="24"/>
          <w:lang w:val="en-GB"/>
        </w:rPr>
        <w:t>World Health Organization 2020</w:t>
      </w:r>
      <w:r w:rsidR="002856F2">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World Health Organization, 2020. Dementia. 2020.</w:t>
      </w:r>
    </w:p>
    <w:p w14:paraId="4FE920C3" w14:textId="08F4DA7F" w:rsidR="00B917BD" w:rsidRPr="00B917BD" w:rsidRDefault="00B917BD" w:rsidP="00B917BD">
      <w:pPr>
        <w:pStyle w:val="p"/>
        <w:spacing w:line="480" w:lineRule="auto"/>
        <w:rPr>
          <w:rFonts w:ascii="Times New Roman" w:hAnsi="Times New Roman" w:cs="Times New Roman"/>
          <w:sz w:val="24"/>
          <w:szCs w:val="24"/>
          <w:lang w:val="en-GB"/>
        </w:rPr>
      </w:pPr>
      <w:r w:rsidRPr="00B917BD">
        <w:rPr>
          <w:rFonts w:ascii="Times New Roman" w:hAnsi="Times New Roman" w:cs="Times New Roman"/>
          <w:sz w:val="24"/>
          <w:szCs w:val="24"/>
          <w:lang w:val="en-GB"/>
        </w:rPr>
        <w:t>W. Xu, C. Tan, J. Zou, X. Cao, L. Tan</w:t>
      </w:r>
      <w:r w:rsidR="002856F2">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Sleep problems and risk of all-cause cognitive decline or dementia: an updated systematic review and meta-analysis</w:t>
      </w:r>
      <w:r w:rsidR="002856F2">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Journal of Neurology, Neurosurgery &amp; Psychiatry, 91 (2020), pp. 236-244</w:t>
      </w:r>
      <w:r w:rsidR="002856F2">
        <w:rPr>
          <w:rFonts w:ascii="Times New Roman" w:hAnsi="Times New Roman" w:cs="Times New Roman"/>
          <w:sz w:val="24"/>
          <w:szCs w:val="24"/>
          <w:lang w:val="en-GB"/>
        </w:rPr>
        <w:t>.</w:t>
      </w:r>
    </w:p>
    <w:p w14:paraId="14F42492" w14:textId="59AE628F" w:rsidR="00B917BD" w:rsidRPr="00DB4445" w:rsidRDefault="00B917BD" w:rsidP="002856F2">
      <w:pPr>
        <w:pStyle w:val="p"/>
        <w:spacing w:line="480" w:lineRule="auto"/>
        <w:rPr>
          <w:rFonts w:ascii="Times New Roman" w:hAnsi="Times New Roman" w:cs="Times New Roman"/>
          <w:sz w:val="24"/>
          <w:szCs w:val="24"/>
          <w:lang w:val="en-GB"/>
        </w:rPr>
      </w:pPr>
      <w:r w:rsidRPr="00B917BD">
        <w:rPr>
          <w:rFonts w:ascii="Times New Roman" w:hAnsi="Times New Roman" w:cs="Times New Roman"/>
          <w:sz w:val="24"/>
          <w:szCs w:val="24"/>
          <w:lang w:val="en-GB"/>
        </w:rPr>
        <w:t>M. Zhang, H. Wang, T. Li, X. Yu</w:t>
      </w:r>
      <w:r w:rsidR="002856F2">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Prevalence of neuropsychiatric symptoms across the declining memory continuum: an observational study in a memory clinic setting</w:t>
      </w:r>
      <w:r w:rsidR="002856F2">
        <w:rPr>
          <w:rFonts w:ascii="Times New Roman" w:hAnsi="Times New Roman" w:cs="Times New Roman"/>
          <w:sz w:val="24"/>
          <w:szCs w:val="24"/>
          <w:lang w:val="en-GB"/>
        </w:rPr>
        <w:t xml:space="preserve">. </w:t>
      </w:r>
      <w:r w:rsidRPr="00B917BD">
        <w:rPr>
          <w:rFonts w:ascii="Times New Roman" w:hAnsi="Times New Roman" w:cs="Times New Roman"/>
          <w:sz w:val="24"/>
          <w:szCs w:val="24"/>
          <w:lang w:val="en-GB"/>
        </w:rPr>
        <w:t>Dementia and geriatric cognitive disorde</w:t>
      </w:r>
      <w:r w:rsidR="002856F2">
        <w:rPr>
          <w:rFonts w:ascii="Times New Roman" w:hAnsi="Times New Roman" w:cs="Times New Roman"/>
          <w:sz w:val="24"/>
          <w:szCs w:val="24"/>
          <w:lang w:val="en-GB"/>
        </w:rPr>
        <w:t>rs extra, 2 (2012), pp. 200-208.</w:t>
      </w:r>
    </w:p>
    <w:p w14:paraId="52F2D1CA" w14:textId="77777777" w:rsidR="00DB4445" w:rsidRDefault="00DB4445">
      <w:r>
        <w:br w:type="page"/>
      </w:r>
    </w:p>
    <w:tbl>
      <w:tblPr>
        <w:tblW w:w="5000" w:type="pct"/>
        <w:tblLook w:val="04A0" w:firstRow="1" w:lastRow="0" w:firstColumn="1" w:lastColumn="0" w:noHBand="0" w:noVBand="1"/>
      </w:tblPr>
      <w:tblGrid>
        <w:gridCol w:w="2763"/>
        <w:gridCol w:w="1432"/>
        <w:gridCol w:w="1292"/>
        <w:gridCol w:w="1189"/>
        <w:gridCol w:w="1263"/>
        <w:gridCol w:w="1081"/>
      </w:tblGrid>
      <w:tr w:rsidR="008847E1" w:rsidRPr="00AD3BD4" w14:paraId="23F4F135" w14:textId="77777777" w:rsidTr="008847E1">
        <w:trPr>
          <w:trHeight w:val="340"/>
        </w:trPr>
        <w:tc>
          <w:tcPr>
            <w:tcW w:w="5000" w:type="pct"/>
            <w:gridSpan w:val="6"/>
            <w:tcBorders>
              <w:top w:val="nil"/>
              <w:left w:val="nil"/>
              <w:bottom w:val="nil"/>
              <w:right w:val="nil"/>
            </w:tcBorders>
            <w:shd w:val="clear" w:color="auto" w:fill="auto"/>
            <w:noWrap/>
            <w:vAlign w:val="center"/>
            <w:hideMark/>
          </w:tcPr>
          <w:p w14:paraId="65D127E9" w14:textId="51C37881" w:rsidR="008847E1" w:rsidRPr="00AD3BD4" w:rsidRDefault="008847E1" w:rsidP="008847E1">
            <w:pPr>
              <w:rPr>
                <w:color w:val="000000"/>
              </w:rPr>
            </w:pPr>
            <w:r w:rsidRPr="00AD3BD4">
              <w:rPr>
                <w:b/>
                <w:bCs/>
                <w:color w:val="000000"/>
              </w:rPr>
              <w:lastRenderedPageBreak/>
              <w:t xml:space="preserve">Table 1 </w:t>
            </w:r>
            <w:r w:rsidRPr="00AD3BD4">
              <w:rPr>
                <w:color w:val="000000"/>
              </w:rPr>
              <w:t>Sample characteristics (overall and by anxiety)</w:t>
            </w:r>
          </w:p>
        </w:tc>
      </w:tr>
      <w:tr w:rsidR="008847E1" w:rsidRPr="00AD3BD4" w14:paraId="7B9C6EFB" w14:textId="77777777" w:rsidTr="00DB4445">
        <w:trPr>
          <w:trHeight w:val="340"/>
        </w:trPr>
        <w:tc>
          <w:tcPr>
            <w:tcW w:w="1532" w:type="pct"/>
            <w:tcBorders>
              <w:top w:val="single" w:sz="4" w:space="0" w:color="auto"/>
              <w:left w:val="nil"/>
              <w:bottom w:val="nil"/>
              <w:right w:val="nil"/>
            </w:tcBorders>
            <w:shd w:val="clear" w:color="auto" w:fill="auto"/>
            <w:noWrap/>
            <w:vAlign w:val="center"/>
            <w:hideMark/>
          </w:tcPr>
          <w:p w14:paraId="06D656BF" w14:textId="77777777" w:rsidR="008847E1" w:rsidRPr="00AD3BD4" w:rsidRDefault="00F91604" w:rsidP="008847E1">
            <w:pPr>
              <w:rPr>
                <w:color w:val="000000"/>
              </w:rPr>
            </w:pPr>
            <w:r w:rsidRPr="00DB4445">
              <w:rPr>
                <w:color w:val="000000"/>
              </w:rPr>
              <w:t> </w:t>
            </w:r>
          </w:p>
        </w:tc>
        <w:tc>
          <w:tcPr>
            <w:tcW w:w="794" w:type="pct"/>
            <w:tcBorders>
              <w:top w:val="single" w:sz="4" w:space="0" w:color="auto"/>
              <w:left w:val="nil"/>
              <w:bottom w:val="nil"/>
              <w:right w:val="nil"/>
            </w:tcBorders>
            <w:shd w:val="clear" w:color="auto" w:fill="auto"/>
            <w:noWrap/>
            <w:vAlign w:val="center"/>
            <w:hideMark/>
          </w:tcPr>
          <w:p w14:paraId="67CAA4B7" w14:textId="77777777" w:rsidR="008847E1" w:rsidRPr="00AD3BD4" w:rsidRDefault="00F91604" w:rsidP="008847E1">
            <w:pPr>
              <w:rPr>
                <w:color w:val="000000"/>
              </w:rPr>
            </w:pPr>
            <w:r w:rsidRPr="00DB4445">
              <w:rPr>
                <w:color w:val="000000"/>
              </w:rPr>
              <w:t> </w:t>
            </w:r>
          </w:p>
        </w:tc>
        <w:tc>
          <w:tcPr>
            <w:tcW w:w="716" w:type="pct"/>
            <w:tcBorders>
              <w:top w:val="single" w:sz="4" w:space="0" w:color="auto"/>
              <w:left w:val="nil"/>
              <w:bottom w:val="nil"/>
              <w:right w:val="nil"/>
            </w:tcBorders>
            <w:shd w:val="clear" w:color="auto" w:fill="auto"/>
            <w:noWrap/>
            <w:vAlign w:val="center"/>
            <w:hideMark/>
          </w:tcPr>
          <w:p w14:paraId="641DFDAF" w14:textId="77777777" w:rsidR="008847E1" w:rsidRPr="00AD3BD4" w:rsidRDefault="00F91604" w:rsidP="008847E1">
            <w:pPr>
              <w:rPr>
                <w:color w:val="000000"/>
              </w:rPr>
            </w:pPr>
            <w:r w:rsidRPr="00DB4445">
              <w:rPr>
                <w:color w:val="000000"/>
              </w:rPr>
              <w:t> </w:t>
            </w:r>
          </w:p>
        </w:tc>
        <w:tc>
          <w:tcPr>
            <w:tcW w:w="1359" w:type="pct"/>
            <w:gridSpan w:val="2"/>
            <w:tcBorders>
              <w:top w:val="single" w:sz="4" w:space="0" w:color="auto"/>
              <w:left w:val="nil"/>
              <w:bottom w:val="nil"/>
              <w:right w:val="nil"/>
            </w:tcBorders>
            <w:shd w:val="clear" w:color="auto" w:fill="auto"/>
            <w:noWrap/>
            <w:vAlign w:val="center"/>
            <w:hideMark/>
          </w:tcPr>
          <w:p w14:paraId="6D9A106B" w14:textId="77777777" w:rsidR="008847E1" w:rsidRPr="00AD3BD4" w:rsidRDefault="00F91604" w:rsidP="008847E1">
            <w:pPr>
              <w:rPr>
                <w:color w:val="000000"/>
              </w:rPr>
            </w:pPr>
            <w:r w:rsidRPr="00DB4445">
              <w:rPr>
                <w:color w:val="000000"/>
              </w:rPr>
              <w:t>Anxiety</w:t>
            </w:r>
          </w:p>
        </w:tc>
        <w:tc>
          <w:tcPr>
            <w:tcW w:w="599" w:type="pct"/>
            <w:tcBorders>
              <w:top w:val="single" w:sz="4" w:space="0" w:color="auto"/>
              <w:left w:val="nil"/>
              <w:bottom w:val="nil"/>
              <w:right w:val="nil"/>
            </w:tcBorders>
            <w:shd w:val="clear" w:color="auto" w:fill="auto"/>
            <w:noWrap/>
            <w:vAlign w:val="center"/>
            <w:hideMark/>
          </w:tcPr>
          <w:p w14:paraId="4A74BDA6" w14:textId="77777777" w:rsidR="008847E1" w:rsidRPr="00AD3BD4" w:rsidRDefault="00F91604" w:rsidP="008847E1">
            <w:pPr>
              <w:rPr>
                <w:color w:val="000000"/>
                <w:sz w:val="22"/>
                <w:szCs w:val="22"/>
              </w:rPr>
            </w:pPr>
            <w:r w:rsidRPr="00DB4445">
              <w:rPr>
                <w:color w:val="000000"/>
                <w:sz w:val="22"/>
                <w:szCs w:val="22"/>
              </w:rPr>
              <w:t> </w:t>
            </w:r>
          </w:p>
        </w:tc>
      </w:tr>
      <w:tr w:rsidR="008847E1" w:rsidRPr="00AD3BD4" w14:paraId="1389744B" w14:textId="77777777" w:rsidTr="00DB4445">
        <w:trPr>
          <w:trHeight w:val="360"/>
        </w:trPr>
        <w:tc>
          <w:tcPr>
            <w:tcW w:w="1532" w:type="pct"/>
            <w:tcBorders>
              <w:top w:val="nil"/>
              <w:left w:val="nil"/>
              <w:bottom w:val="double" w:sz="6" w:space="0" w:color="auto"/>
              <w:right w:val="nil"/>
            </w:tcBorders>
            <w:shd w:val="clear" w:color="auto" w:fill="auto"/>
            <w:noWrap/>
            <w:vAlign w:val="center"/>
            <w:hideMark/>
          </w:tcPr>
          <w:p w14:paraId="3B5A7FAE" w14:textId="77777777" w:rsidR="008847E1" w:rsidRPr="00AD3BD4" w:rsidRDefault="00F91604" w:rsidP="008847E1">
            <w:pPr>
              <w:rPr>
                <w:color w:val="000000"/>
                <w:sz w:val="22"/>
                <w:szCs w:val="22"/>
              </w:rPr>
            </w:pPr>
            <w:r w:rsidRPr="00DB4445">
              <w:rPr>
                <w:color w:val="000000"/>
                <w:sz w:val="22"/>
                <w:szCs w:val="22"/>
              </w:rPr>
              <w:t>Characteristic</w:t>
            </w:r>
          </w:p>
        </w:tc>
        <w:tc>
          <w:tcPr>
            <w:tcW w:w="794" w:type="pct"/>
            <w:tcBorders>
              <w:top w:val="nil"/>
              <w:left w:val="nil"/>
              <w:bottom w:val="double" w:sz="6" w:space="0" w:color="auto"/>
              <w:right w:val="nil"/>
            </w:tcBorders>
            <w:shd w:val="clear" w:color="auto" w:fill="auto"/>
            <w:noWrap/>
            <w:vAlign w:val="center"/>
            <w:hideMark/>
          </w:tcPr>
          <w:p w14:paraId="19E110A7" w14:textId="77777777" w:rsidR="008847E1" w:rsidRPr="00AD3BD4" w:rsidRDefault="00F91604" w:rsidP="008847E1">
            <w:pPr>
              <w:rPr>
                <w:color w:val="000000"/>
                <w:sz w:val="22"/>
                <w:szCs w:val="22"/>
              </w:rPr>
            </w:pPr>
            <w:r w:rsidRPr="00DB4445">
              <w:rPr>
                <w:color w:val="000000"/>
                <w:sz w:val="22"/>
                <w:szCs w:val="22"/>
              </w:rPr>
              <w:t> </w:t>
            </w:r>
          </w:p>
        </w:tc>
        <w:tc>
          <w:tcPr>
            <w:tcW w:w="716" w:type="pct"/>
            <w:tcBorders>
              <w:top w:val="nil"/>
              <w:left w:val="nil"/>
              <w:bottom w:val="double" w:sz="6" w:space="0" w:color="auto"/>
              <w:right w:val="nil"/>
            </w:tcBorders>
            <w:shd w:val="clear" w:color="auto" w:fill="auto"/>
            <w:noWrap/>
            <w:vAlign w:val="center"/>
            <w:hideMark/>
          </w:tcPr>
          <w:p w14:paraId="6A48935C" w14:textId="77777777" w:rsidR="008847E1" w:rsidRPr="00AD3BD4" w:rsidRDefault="00F91604" w:rsidP="008847E1">
            <w:pPr>
              <w:rPr>
                <w:color w:val="000000"/>
                <w:sz w:val="22"/>
                <w:szCs w:val="22"/>
              </w:rPr>
            </w:pPr>
            <w:r w:rsidRPr="00DB4445">
              <w:rPr>
                <w:color w:val="000000"/>
                <w:sz w:val="22"/>
                <w:szCs w:val="22"/>
              </w:rPr>
              <w:t>Overall</w:t>
            </w:r>
          </w:p>
        </w:tc>
        <w:tc>
          <w:tcPr>
            <w:tcW w:w="659" w:type="pct"/>
            <w:tcBorders>
              <w:top w:val="nil"/>
              <w:left w:val="nil"/>
              <w:bottom w:val="double" w:sz="6" w:space="0" w:color="auto"/>
              <w:right w:val="nil"/>
            </w:tcBorders>
            <w:shd w:val="clear" w:color="auto" w:fill="auto"/>
            <w:noWrap/>
            <w:vAlign w:val="center"/>
            <w:hideMark/>
          </w:tcPr>
          <w:p w14:paraId="7D4A0F34" w14:textId="77777777" w:rsidR="008847E1" w:rsidRPr="00AD3BD4" w:rsidRDefault="00F91604" w:rsidP="008847E1">
            <w:pPr>
              <w:rPr>
                <w:color w:val="000000"/>
                <w:sz w:val="22"/>
                <w:szCs w:val="22"/>
              </w:rPr>
            </w:pPr>
            <w:r w:rsidRPr="00DB4445">
              <w:rPr>
                <w:color w:val="000000"/>
                <w:sz w:val="22"/>
                <w:szCs w:val="22"/>
              </w:rPr>
              <w:t>No</w:t>
            </w:r>
          </w:p>
        </w:tc>
        <w:tc>
          <w:tcPr>
            <w:tcW w:w="700" w:type="pct"/>
            <w:tcBorders>
              <w:top w:val="nil"/>
              <w:left w:val="nil"/>
              <w:bottom w:val="double" w:sz="6" w:space="0" w:color="auto"/>
              <w:right w:val="nil"/>
            </w:tcBorders>
            <w:shd w:val="clear" w:color="auto" w:fill="auto"/>
            <w:noWrap/>
            <w:vAlign w:val="center"/>
            <w:hideMark/>
          </w:tcPr>
          <w:p w14:paraId="1D36357B" w14:textId="77777777" w:rsidR="008847E1" w:rsidRPr="00AD3BD4" w:rsidRDefault="00F91604" w:rsidP="008847E1">
            <w:pPr>
              <w:rPr>
                <w:color w:val="000000"/>
                <w:sz w:val="22"/>
                <w:szCs w:val="22"/>
              </w:rPr>
            </w:pPr>
            <w:r w:rsidRPr="00DB4445">
              <w:rPr>
                <w:color w:val="000000"/>
                <w:sz w:val="22"/>
                <w:szCs w:val="22"/>
              </w:rPr>
              <w:t>Yes</w:t>
            </w:r>
          </w:p>
        </w:tc>
        <w:tc>
          <w:tcPr>
            <w:tcW w:w="599" w:type="pct"/>
            <w:tcBorders>
              <w:top w:val="nil"/>
              <w:left w:val="nil"/>
              <w:bottom w:val="double" w:sz="6" w:space="0" w:color="auto"/>
              <w:right w:val="nil"/>
            </w:tcBorders>
            <w:shd w:val="clear" w:color="auto" w:fill="auto"/>
            <w:noWrap/>
            <w:vAlign w:val="center"/>
            <w:hideMark/>
          </w:tcPr>
          <w:p w14:paraId="43AE5F43" w14:textId="77777777" w:rsidR="008847E1" w:rsidRPr="00DB4445" w:rsidRDefault="00F91604" w:rsidP="008847E1">
            <w:pPr>
              <w:rPr>
                <w:color w:val="000000"/>
                <w:sz w:val="22"/>
                <w:szCs w:val="22"/>
              </w:rPr>
            </w:pPr>
            <w:r w:rsidRPr="00DB4445">
              <w:rPr>
                <w:color w:val="000000"/>
                <w:sz w:val="22"/>
                <w:szCs w:val="22"/>
              </w:rPr>
              <w:t>P-value</w:t>
            </w:r>
            <w:r w:rsidRPr="00DB4445">
              <w:rPr>
                <w:color w:val="000000"/>
                <w:sz w:val="22"/>
                <w:szCs w:val="22"/>
                <w:vertAlign w:val="superscript"/>
              </w:rPr>
              <w:t>a</w:t>
            </w:r>
          </w:p>
        </w:tc>
      </w:tr>
      <w:tr w:rsidR="008847E1" w:rsidRPr="00AD3BD4" w14:paraId="1FC40BBA" w14:textId="77777777" w:rsidTr="00DB4445">
        <w:trPr>
          <w:trHeight w:val="360"/>
        </w:trPr>
        <w:tc>
          <w:tcPr>
            <w:tcW w:w="1532" w:type="pct"/>
            <w:tcBorders>
              <w:top w:val="nil"/>
              <w:left w:val="nil"/>
              <w:bottom w:val="nil"/>
              <w:right w:val="nil"/>
            </w:tcBorders>
            <w:shd w:val="clear" w:color="auto" w:fill="auto"/>
            <w:noWrap/>
            <w:vAlign w:val="center"/>
            <w:hideMark/>
          </w:tcPr>
          <w:p w14:paraId="1B3F2AC1" w14:textId="77777777" w:rsidR="008847E1" w:rsidRPr="00AD3BD4" w:rsidRDefault="00F91604" w:rsidP="008847E1">
            <w:pPr>
              <w:rPr>
                <w:color w:val="000000"/>
                <w:sz w:val="22"/>
                <w:szCs w:val="22"/>
              </w:rPr>
            </w:pPr>
            <w:r w:rsidRPr="00DB4445">
              <w:rPr>
                <w:color w:val="000000"/>
                <w:sz w:val="22"/>
                <w:szCs w:val="22"/>
              </w:rPr>
              <w:t>Age (years)</w:t>
            </w:r>
          </w:p>
        </w:tc>
        <w:tc>
          <w:tcPr>
            <w:tcW w:w="794" w:type="pct"/>
            <w:tcBorders>
              <w:top w:val="nil"/>
              <w:left w:val="nil"/>
              <w:bottom w:val="nil"/>
              <w:right w:val="nil"/>
            </w:tcBorders>
            <w:shd w:val="clear" w:color="auto" w:fill="auto"/>
            <w:noWrap/>
            <w:vAlign w:val="center"/>
            <w:hideMark/>
          </w:tcPr>
          <w:p w14:paraId="6157E8DB" w14:textId="77777777" w:rsidR="008847E1" w:rsidRPr="00AD3BD4" w:rsidRDefault="00F91604" w:rsidP="008847E1">
            <w:pPr>
              <w:rPr>
                <w:color w:val="000000"/>
                <w:sz w:val="22"/>
                <w:szCs w:val="22"/>
              </w:rPr>
            </w:pPr>
            <w:r w:rsidRPr="00DB4445">
              <w:rPr>
                <w:color w:val="000000"/>
                <w:sz w:val="22"/>
                <w:szCs w:val="22"/>
              </w:rPr>
              <w:t>Mean (SD)</w:t>
            </w:r>
          </w:p>
        </w:tc>
        <w:tc>
          <w:tcPr>
            <w:tcW w:w="716" w:type="pct"/>
            <w:tcBorders>
              <w:top w:val="nil"/>
              <w:left w:val="nil"/>
              <w:bottom w:val="nil"/>
              <w:right w:val="nil"/>
            </w:tcBorders>
            <w:shd w:val="clear" w:color="auto" w:fill="auto"/>
            <w:noWrap/>
            <w:vAlign w:val="center"/>
            <w:hideMark/>
          </w:tcPr>
          <w:p w14:paraId="048D02FD" w14:textId="77777777" w:rsidR="008847E1" w:rsidRPr="00AD3BD4" w:rsidRDefault="00F91604" w:rsidP="008847E1">
            <w:pPr>
              <w:rPr>
                <w:color w:val="000000"/>
                <w:sz w:val="22"/>
                <w:szCs w:val="22"/>
              </w:rPr>
            </w:pPr>
            <w:r w:rsidRPr="00DB4445">
              <w:rPr>
                <w:color w:val="000000"/>
                <w:sz w:val="22"/>
                <w:szCs w:val="22"/>
              </w:rPr>
              <w:t>62.1 (15.6)</w:t>
            </w:r>
          </w:p>
        </w:tc>
        <w:tc>
          <w:tcPr>
            <w:tcW w:w="659" w:type="pct"/>
            <w:tcBorders>
              <w:top w:val="nil"/>
              <w:left w:val="nil"/>
              <w:bottom w:val="nil"/>
              <w:right w:val="nil"/>
            </w:tcBorders>
            <w:shd w:val="clear" w:color="auto" w:fill="auto"/>
            <w:noWrap/>
            <w:vAlign w:val="center"/>
            <w:hideMark/>
          </w:tcPr>
          <w:p w14:paraId="30B846D4" w14:textId="77777777" w:rsidR="008847E1" w:rsidRPr="00AD3BD4" w:rsidRDefault="00F91604" w:rsidP="008847E1">
            <w:pPr>
              <w:rPr>
                <w:color w:val="000000"/>
                <w:sz w:val="22"/>
                <w:szCs w:val="22"/>
              </w:rPr>
            </w:pPr>
            <w:r w:rsidRPr="00DB4445">
              <w:rPr>
                <w:color w:val="000000"/>
                <w:sz w:val="22"/>
                <w:szCs w:val="22"/>
              </w:rPr>
              <w:t>62.1 (15.7)</w:t>
            </w:r>
          </w:p>
        </w:tc>
        <w:tc>
          <w:tcPr>
            <w:tcW w:w="700" w:type="pct"/>
            <w:tcBorders>
              <w:top w:val="nil"/>
              <w:left w:val="nil"/>
              <w:bottom w:val="nil"/>
              <w:right w:val="nil"/>
            </w:tcBorders>
            <w:shd w:val="clear" w:color="auto" w:fill="auto"/>
            <w:vAlign w:val="center"/>
          </w:tcPr>
          <w:p w14:paraId="2881FF38" w14:textId="77777777" w:rsidR="008847E1" w:rsidRPr="00DB4445" w:rsidRDefault="00F91604" w:rsidP="008847E1">
            <w:pPr>
              <w:rPr>
                <w:color w:val="000000"/>
                <w:sz w:val="22"/>
                <w:szCs w:val="22"/>
              </w:rPr>
            </w:pPr>
            <w:r w:rsidRPr="00DB4445">
              <w:rPr>
                <w:color w:val="000000"/>
                <w:sz w:val="22"/>
                <w:szCs w:val="22"/>
              </w:rPr>
              <w:t>62.7 (13.7)</w:t>
            </w:r>
          </w:p>
        </w:tc>
        <w:tc>
          <w:tcPr>
            <w:tcW w:w="599" w:type="pct"/>
            <w:tcBorders>
              <w:top w:val="nil"/>
              <w:left w:val="nil"/>
              <w:bottom w:val="nil"/>
              <w:right w:val="nil"/>
            </w:tcBorders>
            <w:shd w:val="clear" w:color="auto" w:fill="auto"/>
            <w:noWrap/>
            <w:vAlign w:val="center"/>
            <w:hideMark/>
          </w:tcPr>
          <w:p w14:paraId="1E28D6C5" w14:textId="77777777" w:rsidR="008847E1" w:rsidRPr="00AD3BD4" w:rsidRDefault="008847E1" w:rsidP="008847E1">
            <w:pPr>
              <w:rPr>
                <w:color w:val="000000"/>
                <w:sz w:val="22"/>
                <w:szCs w:val="22"/>
              </w:rPr>
            </w:pPr>
            <w:r w:rsidRPr="00AD3BD4">
              <w:rPr>
                <w:color w:val="000000"/>
                <w:sz w:val="22"/>
                <w:szCs w:val="22"/>
              </w:rPr>
              <w:t>0.084</w:t>
            </w:r>
          </w:p>
        </w:tc>
      </w:tr>
      <w:tr w:rsidR="008847E1" w:rsidRPr="00AD3BD4" w14:paraId="23AC04E7" w14:textId="77777777" w:rsidTr="00DB4445">
        <w:trPr>
          <w:trHeight w:val="340"/>
        </w:trPr>
        <w:tc>
          <w:tcPr>
            <w:tcW w:w="1532" w:type="pct"/>
            <w:tcBorders>
              <w:top w:val="nil"/>
              <w:left w:val="nil"/>
              <w:bottom w:val="nil"/>
              <w:right w:val="nil"/>
            </w:tcBorders>
            <w:shd w:val="clear" w:color="auto" w:fill="auto"/>
            <w:noWrap/>
            <w:vAlign w:val="center"/>
            <w:hideMark/>
          </w:tcPr>
          <w:p w14:paraId="3F028EF9" w14:textId="77777777" w:rsidR="008847E1" w:rsidRPr="00AD3BD4" w:rsidRDefault="00F91604" w:rsidP="008847E1">
            <w:pPr>
              <w:rPr>
                <w:color w:val="000000"/>
                <w:sz w:val="22"/>
                <w:szCs w:val="22"/>
              </w:rPr>
            </w:pPr>
            <w:r w:rsidRPr="00DB4445">
              <w:rPr>
                <w:color w:val="000000"/>
                <w:sz w:val="22"/>
                <w:szCs w:val="22"/>
              </w:rPr>
              <w:t>Sex</w:t>
            </w:r>
          </w:p>
        </w:tc>
        <w:tc>
          <w:tcPr>
            <w:tcW w:w="794" w:type="pct"/>
            <w:tcBorders>
              <w:top w:val="nil"/>
              <w:left w:val="nil"/>
              <w:bottom w:val="nil"/>
              <w:right w:val="nil"/>
            </w:tcBorders>
            <w:shd w:val="clear" w:color="auto" w:fill="auto"/>
            <w:noWrap/>
            <w:vAlign w:val="center"/>
            <w:hideMark/>
          </w:tcPr>
          <w:p w14:paraId="6033CD55" w14:textId="77777777" w:rsidR="008847E1" w:rsidRPr="00AD3BD4" w:rsidRDefault="00F91604" w:rsidP="008847E1">
            <w:pPr>
              <w:rPr>
                <w:color w:val="000000"/>
                <w:sz w:val="22"/>
                <w:szCs w:val="22"/>
              </w:rPr>
            </w:pPr>
            <w:r w:rsidRPr="00DB4445">
              <w:rPr>
                <w:color w:val="000000"/>
                <w:sz w:val="22"/>
                <w:szCs w:val="22"/>
              </w:rPr>
              <w:t>Male</w:t>
            </w:r>
          </w:p>
        </w:tc>
        <w:tc>
          <w:tcPr>
            <w:tcW w:w="716" w:type="pct"/>
            <w:tcBorders>
              <w:top w:val="nil"/>
              <w:left w:val="nil"/>
              <w:bottom w:val="nil"/>
              <w:right w:val="nil"/>
            </w:tcBorders>
            <w:shd w:val="clear" w:color="auto" w:fill="auto"/>
            <w:noWrap/>
            <w:vAlign w:val="center"/>
            <w:hideMark/>
          </w:tcPr>
          <w:p w14:paraId="3E591EC7" w14:textId="77777777" w:rsidR="008847E1" w:rsidRPr="00AD3BD4" w:rsidRDefault="00F91604" w:rsidP="008847E1">
            <w:pPr>
              <w:rPr>
                <w:color w:val="000000"/>
                <w:sz w:val="22"/>
                <w:szCs w:val="22"/>
              </w:rPr>
            </w:pPr>
            <w:r w:rsidRPr="00DB4445">
              <w:rPr>
                <w:color w:val="000000"/>
                <w:sz w:val="22"/>
                <w:szCs w:val="22"/>
              </w:rPr>
              <w:t>48.3</w:t>
            </w:r>
          </w:p>
        </w:tc>
        <w:tc>
          <w:tcPr>
            <w:tcW w:w="659" w:type="pct"/>
            <w:tcBorders>
              <w:top w:val="nil"/>
              <w:left w:val="nil"/>
              <w:bottom w:val="nil"/>
              <w:right w:val="nil"/>
            </w:tcBorders>
            <w:shd w:val="clear" w:color="auto" w:fill="auto"/>
            <w:noWrap/>
            <w:vAlign w:val="center"/>
            <w:hideMark/>
          </w:tcPr>
          <w:p w14:paraId="7BFE9D85" w14:textId="77777777" w:rsidR="008847E1" w:rsidRPr="00AD3BD4" w:rsidRDefault="00F91604" w:rsidP="008847E1">
            <w:pPr>
              <w:rPr>
                <w:color w:val="000000"/>
                <w:sz w:val="22"/>
                <w:szCs w:val="22"/>
              </w:rPr>
            </w:pPr>
            <w:r w:rsidRPr="00DB4445">
              <w:rPr>
                <w:color w:val="000000"/>
                <w:sz w:val="22"/>
                <w:szCs w:val="22"/>
              </w:rPr>
              <w:t>49.0</w:t>
            </w:r>
          </w:p>
        </w:tc>
        <w:tc>
          <w:tcPr>
            <w:tcW w:w="700" w:type="pct"/>
            <w:tcBorders>
              <w:top w:val="nil"/>
              <w:left w:val="nil"/>
              <w:bottom w:val="nil"/>
              <w:right w:val="nil"/>
            </w:tcBorders>
            <w:shd w:val="clear" w:color="auto" w:fill="auto"/>
            <w:noWrap/>
            <w:vAlign w:val="center"/>
            <w:hideMark/>
          </w:tcPr>
          <w:p w14:paraId="71EDE05D" w14:textId="77777777" w:rsidR="008847E1" w:rsidRPr="00AD3BD4" w:rsidRDefault="00F91604" w:rsidP="008847E1">
            <w:pPr>
              <w:rPr>
                <w:color w:val="000000"/>
                <w:sz w:val="22"/>
                <w:szCs w:val="22"/>
              </w:rPr>
            </w:pPr>
            <w:r w:rsidRPr="00DB4445">
              <w:rPr>
                <w:color w:val="000000"/>
                <w:sz w:val="22"/>
                <w:szCs w:val="22"/>
              </w:rPr>
              <w:t>38.5</w:t>
            </w:r>
          </w:p>
        </w:tc>
        <w:tc>
          <w:tcPr>
            <w:tcW w:w="599" w:type="pct"/>
            <w:tcBorders>
              <w:top w:val="nil"/>
              <w:left w:val="nil"/>
              <w:bottom w:val="nil"/>
              <w:right w:val="nil"/>
            </w:tcBorders>
            <w:shd w:val="clear" w:color="auto" w:fill="auto"/>
            <w:noWrap/>
            <w:vAlign w:val="center"/>
            <w:hideMark/>
          </w:tcPr>
          <w:p w14:paraId="4DC54319" w14:textId="77777777" w:rsidR="008847E1" w:rsidRPr="00AD3BD4" w:rsidRDefault="00F91604" w:rsidP="008847E1">
            <w:pPr>
              <w:rPr>
                <w:color w:val="000000"/>
                <w:sz w:val="22"/>
                <w:szCs w:val="22"/>
              </w:rPr>
            </w:pPr>
            <w:r w:rsidRPr="00DB4445">
              <w:rPr>
                <w:color w:val="000000"/>
                <w:sz w:val="22"/>
                <w:szCs w:val="22"/>
              </w:rPr>
              <w:t>&lt;0.001</w:t>
            </w:r>
          </w:p>
        </w:tc>
      </w:tr>
      <w:tr w:rsidR="008847E1" w:rsidRPr="00AD3BD4" w14:paraId="6FAACEAA" w14:textId="77777777" w:rsidTr="00DB4445">
        <w:trPr>
          <w:trHeight w:val="340"/>
        </w:trPr>
        <w:tc>
          <w:tcPr>
            <w:tcW w:w="1532" w:type="pct"/>
            <w:tcBorders>
              <w:top w:val="nil"/>
              <w:left w:val="nil"/>
              <w:bottom w:val="nil"/>
              <w:right w:val="nil"/>
            </w:tcBorders>
            <w:shd w:val="clear" w:color="auto" w:fill="auto"/>
            <w:noWrap/>
            <w:vAlign w:val="center"/>
            <w:hideMark/>
          </w:tcPr>
          <w:p w14:paraId="1944DE33" w14:textId="77777777" w:rsidR="008847E1" w:rsidRPr="00AD3BD4" w:rsidRDefault="008847E1" w:rsidP="008847E1">
            <w:pPr>
              <w:rPr>
                <w:color w:val="000000"/>
                <w:sz w:val="22"/>
                <w:szCs w:val="22"/>
              </w:rPr>
            </w:pPr>
          </w:p>
        </w:tc>
        <w:tc>
          <w:tcPr>
            <w:tcW w:w="794" w:type="pct"/>
            <w:tcBorders>
              <w:top w:val="nil"/>
              <w:left w:val="nil"/>
              <w:bottom w:val="nil"/>
              <w:right w:val="nil"/>
            </w:tcBorders>
            <w:shd w:val="clear" w:color="auto" w:fill="auto"/>
            <w:noWrap/>
            <w:vAlign w:val="center"/>
            <w:hideMark/>
          </w:tcPr>
          <w:p w14:paraId="020CFA8F" w14:textId="77777777" w:rsidR="008847E1" w:rsidRPr="00AD3BD4" w:rsidRDefault="00F91604" w:rsidP="008847E1">
            <w:pPr>
              <w:rPr>
                <w:color w:val="000000"/>
                <w:sz w:val="22"/>
                <w:szCs w:val="22"/>
              </w:rPr>
            </w:pPr>
            <w:r w:rsidRPr="00DB4445">
              <w:rPr>
                <w:color w:val="000000"/>
                <w:sz w:val="22"/>
                <w:szCs w:val="22"/>
              </w:rPr>
              <w:t>Female</w:t>
            </w:r>
          </w:p>
        </w:tc>
        <w:tc>
          <w:tcPr>
            <w:tcW w:w="716" w:type="pct"/>
            <w:tcBorders>
              <w:top w:val="nil"/>
              <w:left w:val="nil"/>
              <w:bottom w:val="nil"/>
              <w:right w:val="nil"/>
            </w:tcBorders>
            <w:shd w:val="clear" w:color="auto" w:fill="auto"/>
            <w:noWrap/>
            <w:vAlign w:val="center"/>
            <w:hideMark/>
          </w:tcPr>
          <w:p w14:paraId="46F503FC" w14:textId="77777777" w:rsidR="008847E1" w:rsidRPr="00AD3BD4" w:rsidRDefault="00F91604" w:rsidP="008847E1">
            <w:pPr>
              <w:rPr>
                <w:color w:val="000000"/>
                <w:sz w:val="22"/>
                <w:szCs w:val="22"/>
              </w:rPr>
            </w:pPr>
            <w:r w:rsidRPr="00DB4445">
              <w:rPr>
                <w:color w:val="000000"/>
                <w:sz w:val="22"/>
                <w:szCs w:val="22"/>
              </w:rPr>
              <w:t>51.7</w:t>
            </w:r>
          </w:p>
        </w:tc>
        <w:tc>
          <w:tcPr>
            <w:tcW w:w="659" w:type="pct"/>
            <w:tcBorders>
              <w:top w:val="nil"/>
              <w:left w:val="nil"/>
              <w:bottom w:val="nil"/>
              <w:right w:val="nil"/>
            </w:tcBorders>
            <w:shd w:val="clear" w:color="auto" w:fill="auto"/>
            <w:noWrap/>
            <w:vAlign w:val="center"/>
            <w:hideMark/>
          </w:tcPr>
          <w:p w14:paraId="40A6B1B1" w14:textId="77777777" w:rsidR="008847E1" w:rsidRPr="00AD3BD4" w:rsidRDefault="00F91604" w:rsidP="008847E1">
            <w:pPr>
              <w:rPr>
                <w:color w:val="000000"/>
                <w:sz w:val="22"/>
                <w:szCs w:val="22"/>
              </w:rPr>
            </w:pPr>
            <w:r w:rsidRPr="00DB4445">
              <w:rPr>
                <w:color w:val="000000"/>
                <w:sz w:val="22"/>
                <w:szCs w:val="22"/>
              </w:rPr>
              <w:t>51.0</w:t>
            </w:r>
          </w:p>
        </w:tc>
        <w:tc>
          <w:tcPr>
            <w:tcW w:w="700" w:type="pct"/>
            <w:tcBorders>
              <w:top w:val="nil"/>
              <w:left w:val="nil"/>
              <w:bottom w:val="nil"/>
              <w:right w:val="nil"/>
            </w:tcBorders>
            <w:shd w:val="clear" w:color="auto" w:fill="auto"/>
            <w:noWrap/>
            <w:vAlign w:val="center"/>
            <w:hideMark/>
          </w:tcPr>
          <w:p w14:paraId="55FBA74B" w14:textId="77777777" w:rsidR="008847E1" w:rsidRPr="00AD3BD4" w:rsidRDefault="00F91604" w:rsidP="008847E1">
            <w:pPr>
              <w:rPr>
                <w:color w:val="000000"/>
                <w:sz w:val="22"/>
                <w:szCs w:val="22"/>
              </w:rPr>
            </w:pPr>
            <w:r w:rsidRPr="00DB4445">
              <w:rPr>
                <w:color w:val="000000"/>
                <w:sz w:val="22"/>
                <w:szCs w:val="22"/>
              </w:rPr>
              <w:t>61.5</w:t>
            </w:r>
          </w:p>
        </w:tc>
        <w:tc>
          <w:tcPr>
            <w:tcW w:w="599" w:type="pct"/>
            <w:tcBorders>
              <w:top w:val="nil"/>
              <w:left w:val="nil"/>
              <w:bottom w:val="nil"/>
              <w:right w:val="nil"/>
            </w:tcBorders>
            <w:shd w:val="clear" w:color="auto" w:fill="auto"/>
            <w:noWrap/>
            <w:vAlign w:val="center"/>
            <w:hideMark/>
          </w:tcPr>
          <w:p w14:paraId="324DD9D7" w14:textId="77777777" w:rsidR="008847E1" w:rsidRPr="00AD3BD4" w:rsidRDefault="008847E1" w:rsidP="008847E1">
            <w:pPr>
              <w:rPr>
                <w:color w:val="000000"/>
                <w:sz w:val="22"/>
                <w:szCs w:val="22"/>
              </w:rPr>
            </w:pPr>
          </w:p>
        </w:tc>
      </w:tr>
      <w:tr w:rsidR="008847E1" w:rsidRPr="00AD3BD4" w14:paraId="0C2F77FD" w14:textId="77777777" w:rsidTr="00DB4445">
        <w:trPr>
          <w:trHeight w:val="340"/>
        </w:trPr>
        <w:tc>
          <w:tcPr>
            <w:tcW w:w="1532" w:type="pct"/>
            <w:tcBorders>
              <w:top w:val="nil"/>
              <w:left w:val="nil"/>
              <w:bottom w:val="nil"/>
              <w:right w:val="nil"/>
            </w:tcBorders>
            <w:shd w:val="clear" w:color="auto" w:fill="auto"/>
            <w:noWrap/>
            <w:vAlign w:val="center"/>
            <w:hideMark/>
          </w:tcPr>
          <w:p w14:paraId="06C74D7E" w14:textId="77777777" w:rsidR="008847E1" w:rsidRPr="00AD3BD4" w:rsidRDefault="00F91604" w:rsidP="008847E1">
            <w:pPr>
              <w:rPr>
                <w:color w:val="000000"/>
                <w:sz w:val="22"/>
                <w:szCs w:val="22"/>
              </w:rPr>
            </w:pPr>
            <w:r w:rsidRPr="00DB4445">
              <w:rPr>
                <w:color w:val="000000"/>
                <w:sz w:val="22"/>
                <w:szCs w:val="22"/>
              </w:rPr>
              <w:t>Education (years)</w:t>
            </w:r>
          </w:p>
        </w:tc>
        <w:tc>
          <w:tcPr>
            <w:tcW w:w="794" w:type="pct"/>
            <w:tcBorders>
              <w:top w:val="nil"/>
              <w:left w:val="nil"/>
              <w:bottom w:val="nil"/>
              <w:right w:val="nil"/>
            </w:tcBorders>
            <w:shd w:val="clear" w:color="auto" w:fill="auto"/>
            <w:noWrap/>
            <w:vAlign w:val="center"/>
            <w:hideMark/>
          </w:tcPr>
          <w:p w14:paraId="26F48675" w14:textId="77777777" w:rsidR="008847E1" w:rsidRPr="00AD3BD4" w:rsidRDefault="00F91604" w:rsidP="008847E1">
            <w:pPr>
              <w:rPr>
                <w:color w:val="000000"/>
                <w:sz w:val="22"/>
                <w:szCs w:val="22"/>
              </w:rPr>
            </w:pPr>
            <w:r w:rsidRPr="00DB4445">
              <w:rPr>
                <w:color w:val="000000"/>
                <w:sz w:val="22"/>
                <w:szCs w:val="22"/>
              </w:rPr>
              <w:t>Mean (SD)</w:t>
            </w:r>
          </w:p>
        </w:tc>
        <w:tc>
          <w:tcPr>
            <w:tcW w:w="716" w:type="pct"/>
            <w:tcBorders>
              <w:top w:val="nil"/>
              <w:left w:val="nil"/>
              <w:bottom w:val="nil"/>
              <w:right w:val="nil"/>
            </w:tcBorders>
            <w:shd w:val="clear" w:color="auto" w:fill="auto"/>
            <w:noWrap/>
            <w:vAlign w:val="center"/>
            <w:hideMark/>
          </w:tcPr>
          <w:p w14:paraId="0DD70C60" w14:textId="77777777" w:rsidR="008847E1" w:rsidRPr="00AD3BD4" w:rsidRDefault="00F91604" w:rsidP="008847E1">
            <w:pPr>
              <w:rPr>
                <w:color w:val="000000"/>
                <w:sz w:val="22"/>
                <w:szCs w:val="22"/>
              </w:rPr>
            </w:pPr>
            <w:r w:rsidRPr="00DB4445">
              <w:rPr>
                <w:color w:val="000000"/>
                <w:sz w:val="22"/>
                <w:szCs w:val="22"/>
              </w:rPr>
              <w:t>6.1 (8.9)</w:t>
            </w:r>
          </w:p>
        </w:tc>
        <w:tc>
          <w:tcPr>
            <w:tcW w:w="659" w:type="pct"/>
            <w:tcBorders>
              <w:top w:val="nil"/>
              <w:left w:val="nil"/>
              <w:bottom w:val="nil"/>
              <w:right w:val="nil"/>
            </w:tcBorders>
            <w:shd w:val="clear" w:color="auto" w:fill="auto"/>
            <w:noWrap/>
            <w:vAlign w:val="center"/>
            <w:hideMark/>
          </w:tcPr>
          <w:p w14:paraId="0E027880" w14:textId="77777777" w:rsidR="008847E1" w:rsidRPr="00AD3BD4" w:rsidRDefault="00F91604" w:rsidP="008847E1">
            <w:pPr>
              <w:rPr>
                <w:color w:val="000000"/>
                <w:sz w:val="22"/>
                <w:szCs w:val="22"/>
              </w:rPr>
            </w:pPr>
            <w:r w:rsidRPr="00DB4445">
              <w:rPr>
                <w:color w:val="000000"/>
                <w:sz w:val="22"/>
                <w:szCs w:val="22"/>
              </w:rPr>
              <w:t>6.3 (8.9)</w:t>
            </w:r>
          </w:p>
        </w:tc>
        <w:tc>
          <w:tcPr>
            <w:tcW w:w="700" w:type="pct"/>
            <w:tcBorders>
              <w:top w:val="nil"/>
              <w:left w:val="nil"/>
              <w:bottom w:val="nil"/>
              <w:right w:val="nil"/>
            </w:tcBorders>
            <w:shd w:val="clear" w:color="auto" w:fill="auto"/>
            <w:noWrap/>
            <w:vAlign w:val="center"/>
            <w:hideMark/>
          </w:tcPr>
          <w:p w14:paraId="0FD56DC4" w14:textId="77777777" w:rsidR="008847E1" w:rsidRPr="00AD3BD4" w:rsidRDefault="00F91604" w:rsidP="008847E1">
            <w:pPr>
              <w:rPr>
                <w:color w:val="000000"/>
                <w:sz w:val="22"/>
                <w:szCs w:val="22"/>
              </w:rPr>
            </w:pPr>
            <w:r w:rsidRPr="00DB4445">
              <w:rPr>
                <w:color w:val="000000"/>
                <w:sz w:val="22"/>
                <w:szCs w:val="22"/>
              </w:rPr>
              <w:t>3.3 (6.7)</w:t>
            </w:r>
          </w:p>
        </w:tc>
        <w:tc>
          <w:tcPr>
            <w:tcW w:w="599" w:type="pct"/>
            <w:tcBorders>
              <w:top w:val="nil"/>
              <w:left w:val="nil"/>
              <w:bottom w:val="nil"/>
              <w:right w:val="nil"/>
            </w:tcBorders>
            <w:shd w:val="clear" w:color="auto" w:fill="auto"/>
            <w:noWrap/>
            <w:vAlign w:val="center"/>
            <w:hideMark/>
          </w:tcPr>
          <w:p w14:paraId="09E0B293" w14:textId="77777777" w:rsidR="008847E1" w:rsidRPr="00AD3BD4" w:rsidRDefault="00F91604" w:rsidP="008847E1">
            <w:pPr>
              <w:rPr>
                <w:color w:val="000000"/>
                <w:sz w:val="22"/>
                <w:szCs w:val="22"/>
              </w:rPr>
            </w:pPr>
            <w:r w:rsidRPr="00DB4445">
              <w:rPr>
                <w:color w:val="000000"/>
                <w:sz w:val="22"/>
                <w:szCs w:val="22"/>
              </w:rPr>
              <w:t>&lt;0.001</w:t>
            </w:r>
          </w:p>
        </w:tc>
      </w:tr>
      <w:tr w:rsidR="008847E1" w:rsidRPr="00AD3BD4" w14:paraId="38122241" w14:textId="77777777" w:rsidTr="00DB4445">
        <w:trPr>
          <w:trHeight w:val="340"/>
        </w:trPr>
        <w:tc>
          <w:tcPr>
            <w:tcW w:w="1532" w:type="pct"/>
            <w:tcBorders>
              <w:top w:val="nil"/>
              <w:left w:val="nil"/>
              <w:bottom w:val="nil"/>
              <w:right w:val="nil"/>
            </w:tcBorders>
            <w:shd w:val="clear" w:color="auto" w:fill="auto"/>
            <w:noWrap/>
            <w:vAlign w:val="center"/>
            <w:hideMark/>
          </w:tcPr>
          <w:p w14:paraId="141ADC6F" w14:textId="77777777" w:rsidR="008847E1" w:rsidRPr="00AD3BD4" w:rsidRDefault="00F91604" w:rsidP="008847E1">
            <w:pPr>
              <w:rPr>
                <w:color w:val="000000"/>
                <w:sz w:val="22"/>
                <w:szCs w:val="22"/>
              </w:rPr>
            </w:pPr>
            <w:r w:rsidRPr="00DB4445">
              <w:rPr>
                <w:color w:val="000000"/>
                <w:sz w:val="22"/>
                <w:szCs w:val="22"/>
              </w:rPr>
              <w:t>Physical activity</w:t>
            </w:r>
          </w:p>
        </w:tc>
        <w:tc>
          <w:tcPr>
            <w:tcW w:w="794" w:type="pct"/>
            <w:tcBorders>
              <w:top w:val="nil"/>
              <w:left w:val="nil"/>
              <w:bottom w:val="nil"/>
              <w:right w:val="nil"/>
            </w:tcBorders>
            <w:shd w:val="clear" w:color="auto" w:fill="auto"/>
            <w:noWrap/>
            <w:vAlign w:val="center"/>
            <w:hideMark/>
          </w:tcPr>
          <w:p w14:paraId="658758A7" w14:textId="77777777" w:rsidR="008847E1" w:rsidRPr="00AD3BD4" w:rsidRDefault="00F91604" w:rsidP="008847E1">
            <w:pPr>
              <w:rPr>
                <w:color w:val="000000"/>
                <w:sz w:val="22"/>
                <w:szCs w:val="22"/>
              </w:rPr>
            </w:pPr>
            <w:r w:rsidRPr="00DB4445">
              <w:rPr>
                <w:color w:val="000000"/>
                <w:sz w:val="22"/>
                <w:szCs w:val="22"/>
              </w:rPr>
              <w:t>High</w:t>
            </w:r>
          </w:p>
        </w:tc>
        <w:tc>
          <w:tcPr>
            <w:tcW w:w="716" w:type="pct"/>
            <w:tcBorders>
              <w:top w:val="nil"/>
              <w:left w:val="nil"/>
              <w:bottom w:val="nil"/>
              <w:right w:val="nil"/>
            </w:tcBorders>
            <w:shd w:val="clear" w:color="auto" w:fill="auto"/>
            <w:noWrap/>
            <w:vAlign w:val="center"/>
            <w:hideMark/>
          </w:tcPr>
          <w:p w14:paraId="1460DFB4" w14:textId="77777777" w:rsidR="008847E1" w:rsidRPr="00AD3BD4" w:rsidRDefault="00F91604" w:rsidP="008847E1">
            <w:pPr>
              <w:rPr>
                <w:color w:val="000000"/>
                <w:sz w:val="22"/>
                <w:szCs w:val="22"/>
              </w:rPr>
            </w:pPr>
            <w:r w:rsidRPr="00DB4445">
              <w:rPr>
                <w:color w:val="000000"/>
                <w:sz w:val="22"/>
                <w:szCs w:val="22"/>
              </w:rPr>
              <w:t>50.0</w:t>
            </w:r>
          </w:p>
        </w:tc>
        <w:tc>
          <w:tcPr>
            <w:tcW w:w="659" w:type="pct"/>
            <w:tcBorders>
              <w:top w:val="nil"/>
              <w:left w:val="nil"/>
              <w:bottom w:val="nil"/>
              <w:right w:val="nil"/>
            </w:tcBorders>
            <w:shd w:val="clear" w:color="auto" w:fill="auto"/>
            <w:noWrap/>
            <w:vAlign w:val="center"/>
            <w:hideMark/>
          </w:tcPr>
          <w:p w14:paraId="6372B87B" w14:textId="77777777" w:rsidR="008847E1" w:rsidRPr="00AD3BD4" w:rsidRDefault="00F91604" w:rsidP="008847E1">
            <w:pPr>
              <w:rPr>
                <w:color w:val="000000"/>
                <w:sz w:val="22"/>
                <w:szCs w:val="22"/>
              </w:rPr>
            </w:pPr>
            <w:r w:rsidRPr="00DB4445">
              <w:rPr>
                <w:color w:val="000000"/>
                <w:sz w:val="22"/>
                <w:szCs w:val="22"/>
              </w:rPr>
              <w:t>50.1</w:t>
            </w:r>
          </w:p>
        </w:tc>
        <w:tc>
          <w:tcPr>
            <w:tcW w:w="700" w:type="pct"/>
            <w:tcBorders>
              <w:top w:val="nil"/>
              <w:left w:val="nil"/>
              <w:bottom w:val="nil"/>
              <w:right w:val="nil"/>
            </w:tcBorders>
            <w:shd w:val="clear" w:color="auto" w:fill="auto"/>
            <w:noWrap/>
            <w:vAlign w:val="center"/>
            <w:hideMark/>
          </w:tcPr>
          <w:p w14:paraId="431C3A73" w14:textId="77777777" w:rsidR="008847E1" w:rsidRPr="00AD3BD4" w:rsidRDefault="00F91604" w:rsidP="008847E1">
            <w:pPr>
              <w:rPr>
                <w:color w:val="000000"/>
                <w:sz w:val="22"/>
                <w:szCs w:val="22"/>
              </w:rPr>
            </w:pPr>
            <w:r w:rsidRPr="00DB4445">
              <w:rPr>
                <w:color w:val="000000"/>
                <w:sz w:val="22"/>
                <w:szCs w:val="22"/>
              </w:rPr>
              <w:t>48.4</w:t>
            </w:r>
          </w:p>
        </w:tc>
        <w:tc>
          <w:tcPr>
            <w:tcW w:w="599" w:type="pct"/>
            <w:tcBorders>
              <w:top w:val="nil"/>
              <w:left w:val="nil"/>
              <w:bottom w:val="nil"/>
              <w:right w:val="nil"/>
            </w:tcBorders>
            <w:shd w:val="clear" w:color="auto" w:fill="auto"/>
            <w:noWrap/>
            <w:vAlign w:val="center"/>
            <w:hideMark/>
          </w:tcPr>
          <w:p w14:paraId="2CFB199B" w14:textId="77777777" w:rsidR="008847E1" w:rsidRPr="00AD3BD4" w:rsidRDefault="00F91604" w:rsidP="008847E1">
            <w:pPr>
              <w:rPr>
                <w:color w:val="000000"/>
                <w:sz w:val="22"/>
                <w:szCs w:val="22"/>
              </w:rPr>
            </w:pPr>
            <w:r w:rsidRPr="00DB4445">
              <w:rPr>
                <w:color w:val="000000"/>
                <w:sz w:val="22"/>
                <w:szCs w:val="22"/>
              </w:rPr>
              <w:t>0.805</w:t>
            </w:r>
          </w:p>
        </w:tc>
      </w:tr>
      <w:tr w:rsidR="008847E1" w:rsidRPr="00AD3BD4" w14:paraId="3D7E2299" w14:textId="77777777" w:rsidTr="00DB4445">
        <w:trPr>
          <w:trHeight w:val="340"/>
        </w:trPr>
        <w:tc>
          <w:tcPr>
            <w:tcW w:w="1532" w:type="pct"/>
            <w:tcBorders>
              <w:top w:val="nil"/>
              <w:left w:val="nil"/>
              <w:bottom w:val="nil"/>
              <w:right w:val="nil"/>
            </w:tcBorders>
            <w:shd w:val="clear" w:color="auto" w:fill="auto"/>
            <w:noWrap/>
            <w:vAlign w:val="center"/>
            <w:hideMark/>
          </w:tcPr>
          <w:p w14:paraId="2AB8F460" w14:textId="77777777" w:rsidR="008847E1" w:rsidRPr="00AD3BD4" w:rsidRDefault="008847E1" w:rsidP="008847E1">
            <w:pPr>
              <w:rPr>
                <w:color w:val="000000"/>
                <w:sz w:val="22"/>
                <w:szCs w:val="22"/>
              </w:rPr>
            </w:pPr>
          </w:p>
        </w:tc>
        <w:tc>
          <w:tcPr>
            <w:tcW w:w="794" w:type="pct"/>
            <w:tcBorders>
              <w:top w:val="nil"/>
              <w:left w:val="nil"/>
              <w:bottom w:val="nil"/>
              <w:right w:val="nil"/>
            </w:tcBorders>
            <w:shd w:val="clear" w:color="auto" w:fill="auto"/>
            <w:noWrap/>
            <w:vAlign w:val="center"/>
            <w:hideMark/>
          </w:tcPr>
          <w:p w14:paraId="1483DBC6" w14:textId="77777777" w:rsidR="008847E1" w:rsidRPr="00AD3BD4" w:rsidRDefault="00F91604" w:rsidP="008847E1">
            <w:pPr>
              <w:rPr>
                <w:color w:val="000000"/>
                <w:sz w:val="22"/>
                <w:szCs w:val="22"/>
              </w:rPr>
            </w:pPr>
            <w:r w:rsidRPr="00DB4445">
              <w:rPr>
                <w:color w:val="000000"/>
                <w:sz w:val="22"/>
                <w:szCs w:val="22"/>
              </w:rPr>
              <w:t xml:space="preserve">Moderate </w:t>
            </w:r>
          </w:p>
        </w:tc>
        <w:tc>
          <w:tcPr>
            <w:tcW w:w="716" w:type="pct"/>
            <w:tcBorders>
              <w:top w:val="nil"/>
              <w:left w:val="nil"/>
              <w:bottom w:val="nil"/>
              <w:right w:val="nil"/>
            </w:tcBorders>
            <w:shd w:val="clear" w:color="auto" w:fill="auto"/>
            <w:noWrap/>
            <w:vAlign w:val="center"/>
            <w:hideMark/>
          </w:tcPr>
          <w:p w14:paraId="2192E6B1" w14:textId="77777777" w:rsidR="008847E1" w:rsidRPr="00AD3BD4" w:rsidRDefault="00F91604" w:rsidP="008847E1">
            <w:pPr>
              <w:rPr>
                <w:color w:val="000000"/>
                <w:sz w:val="22"/>
                <w:szCs w:val="22"/>
              </w:rPr>
            </w:pPr>
            <w:r w:rsidRPr="00DB4445">
              <w:rPr>
                <w:color w:val="000000"/>
                <w:sz w:val="22"/>
                <w:szCs w:val="22"/>
              </w:rPr>
              <w:t>23.0</w:t>
            </w:r>
          </w:p>
        </w:tc>
        <w:tc>
          <w:tcPr>
            <w:tcW w:w="659" w:type="pct"/>
            <w:tcBorders>
              <w:top w:val="nil"/>
              <w:left w:val="nil"/>
              <w:bottom w:val="nil"/>
              <w:right w:val="nil"/>
            </w:tcBorders>
            <w:shd w:val="clear" w:color="auto" w:fill="auto"/>
            <w:noWrap/>
            <w:vAlign w:val="center"/>
            <w:hideMark/>
          </w:tcPr>
          <w:p w14:paraId="1BA8CAC7" w14:textId="77777777" w:rsidR="008847E1" w:rsidRPr="00AD3BD4" w:rsidRDefault="00F91604" w:rsidP="008847E1">
            <w:pPr>
              <w:rPr>
                <w:color w:val="000000"/>
                <w:sz w:val="22"/>
                <w:szCs w:val="22"/>
              </w:rPr>
            </w:pPr>
            <w:r w:rsidRPr="00DB4445">
              <w:rPr>
                <w:color w:val="000000"/>
                <w:sz w:val="22"/>
                <w:szCs w:val="22"/>
              </w:rPr>
              <w:t>22.9</w:t>
            </w:r>
          </w:p>
        </w:tc>
        <w:tc>
          <w:tcPr>
            <w:tcW w:w="700" w:type="pct"/>
            <w:tcBorders>
              <w:top w:val="nil"/>
              <w:left w:val="nil"/>
              <w:bottom w:val="nil"/>
              <w:right w:val="nil"/>
            </w:tcBorders>
            <w:shd w:val="clear" w:color="auto" w:fill="auto"/>
            <w:noWrap/>
            <w:vAlign w:val="center"/>
            <w:hideMark/>
          </w:tcPr>
          <w:p w14:paraId="3577E9CB" w14:textId="77777777" w:rsidR="008847E1" w:rsidRPr="00AD3BD4" w:rsidRDefault="00F91604" w:rsidP="008847E1">
            <w:pPr>
              <w:rPr>
                <w:color w:val="000000"/>
                <w:sz w:val="22"/>
                <w:szCs w:val="22"/>
              </w:rPr>
            </w:pPr>
            <w:r w:rsidRPr="00DB4445">
              <w:rPr>
                <w:color w:val="000000"/>
                <w:sz w:val="22"/>
                <w:szCs w:val="22"/>
              </w:rPr>
              <w:t>23.8</w:t>
            </w:r>
          </w:p>
        </w:tc>
        <w:tc>
          <w:tcPr>
            <w:tcW w:w="599" w:type="pct"/>
            <w:tcBorders>
              <w:top w:val="nil"/>
              <w:left w:val="nil"/>
              <w:bottom w:val="nil"/>
              <w:right w:val="nil"/>
            </w:tcBorders>
            <w:shd w:val="clear" w:color="auto" w:fill="auto"/>
            <w:noWrap/>
            <w:vAlign w:val="center"/>
            <w:hideMark/>
          </w:tcPr>
          <w:p w14:paraId="5450DEBF" w14:textId="77777777" w:rsidR="008847E1" w:rsidRPr="00AD3BD4" w:rsidRDefault="008847E1" w:rsidP="008847E1">
            <w:pPr>
              <w:rPr>
                <w:color w:val="000000"/>
                <w:sz w:val="22"/>
                <w:szCs w:val="22"/>
              </w:rPr>
            </w:pPr>
          </w:p>
        </w:tc>
      </w:tr>
      <w:tr w:rsidR="008847E1" w:rsidRPr="00AD3BD4" w14:paraId="69AD08B3" w14:textId="77777777" w:rsidTr="00DB4445">
        <w:trPr>
          <w:trHeight w:val="340"/>
        </w:trPr>
        <w:tc>
          <w:tcPr>
            <w:tcW w:w="1532" w:type="pct"/>
            <w:tcBorders>
              <w:top w:val="nil"/>
              <w:left w:val="nil"/>
              <w:bottom w:val="nil"/>
              <w:right w:val="nil"/>
            </w:tcBorders>
            <w:shd w:val="clear" w:color="auto" w:fill="auto"/>
            <w:noWrap/>
            <w:vAlign w:val="center"/>
            <w:hideMark/>
          </w:tcPr>
          <w:p w14:paraId="2B021FED" w14:textId="77777777" w:rsidR="008847E1" w:rsidRPr="00AD3BD4" w:rsidRDefault="008847E1" w:rsidP="008847E1">
            <w:pPr>
              <w:rPr>
                <w:sz w:val="20"/>
                <w:szCs w:val="20"/>
              </w:rPr>
            </w:pPr>
          </w:p>
        </w:tc>
        <w:tc>
          <w:tcPr>
            <w:tcW w:w="794" w:type="pct"/>
            <w:tcBorders>
              <w:top w:val="nil"/>
              <w:left w:val="nil"/>
              <w:bottom w:val="nil"/>
              <w:right w:val="nil"/>
            </w:tcBorders>
            <w:shd w:val="clear" w:color="auto" w:fill="auto"/>
            <w:noWrap/>
            <w:vAlign w:val="center"/>
            <w:hideMark/>
          </w:tcPr>
          <w:p w14:paraId="0B8F807F" w14:textId="77777777" w:rsidR="008847E1" w:rsidRPr="00AD3BD4" w:rsidRDefault="00F91604" w:rsidP="008847E1">
            <w:pPr>
              <w:rPr>
                <w:color w:val="000000"/>
                <w:sz w:val="22"/>
                <w:szCs w:val="22"/>
              </w:rPr>
            </w:pPr>
            <w:r w:rsidRPr="00DB4445">
              <w:rPr>
                <w:color w:val="000000"/>
                <w:sz w:val="22"/>
                <w:szCs w:val="22"/>
              </w:rPr>
              <w:t>Low</w:t>
            </w:r>
          </w:p>
        </w:tc>
        <w:tc>
          <w:tcPr>
            <w:tcW w:w="716" w:type="pct"/>
            <w:tcBorders>
              <w:top w:val="nil"/>
              <w:left w:val="nil"/>
              <w:bottom w:val="nil"/>
              <w:right w:val="nil"/>
            </w:tcBorders>
            <w:shd w:val="clear" w:color="auto" w:fill="auto"/>
            <w:noWrap/>
            <w:vAlign w:val="center"/>
            <w:hideMark/>
          </w:tcPr>
          <w:p w14:paraId="1B4140DC" w14:textId="77777777" w:rsidR="008847E1" w:rsidRPr="00AD3BD4" w:rsidRDefault="00F91604" w:rsidP="008847E1">
            <w:pPr>
              <w:rPr>
                <w:color w:val="000000"/>
                <w:sz w:val="22"/>
                <w:szCs w:val="22"/>
              </w:rPr>
            </w:pPr>
            <w:r w:rsidRPr="00DB4445">
              <w:rPr>
                <w:color w:val="000000"/>
                <w:sz w:val="22"/>
                <w:szCs w:val="22"/>
              </w:rPr>
              <w:t>27.1</w:t>
            </w:r>
          </w:p>
        </w:tc>
        <w:tc>
          <w:tcPr>
            <w:tcW w:w="659" w:type="pct"/>
            <w:tcBorders>
              <w:top w:val="nil"/>
              <w:left w:val="nil"/>
              <w:bottom w:val="nil"/>
              <w:right w:val="nil"/>
            </w:tcBorders>
            <w:shd w:val="clear" w:color="auto" w:fill="auto"/>
            <w:noWrap/>
            <w:vAlign w:val="center"/>
            <w:hideMark/>
          </w:tcPr>
          <w:p w14:paraId="3161FEA8" w14:textId="77777777" w:rsidR="008847E1" w:rsidRPr="00AD3BD4" w:rsidRDefault="00F91604" w:rsidP="008847E1">
            <w:pPr>
              <w:rPr>
                <w:color w:val="000000"/>
                <w:sz w:val="22"/>
                <w:szCs w:val="22"/>
              </w:rPr>
            </w:pPr>
            <w:r w:rsidRPr="00DB4445">
              <w:rPr>
                <w:color w:val="000000"/>
                <w:sz w:val="22"/>
                <w:szCs w:val="22"/>
              </w:rPr>
              <w:t>27.0</w:t>
            </w:r>
          </w:p>
        </w:tc>
        <w:tc>
          <w:tcPr>
            <w:tcW w:w="700" w:type="pct"/>
            <w:tcBorders>
              <w:top w:val="nil"/>
              <w:left w:val="nil"/>
              <w:bottom w:val="nil"/>
              <w:right w:val="nil"/>
            </w:tcBorders>
            <w:shd w:val="clear" w:color="auto" w:fill="auto"/>
            <w:noWrap/>
            <w:vAlign w:val="center"/>
            <w:hideMark/>
          </w:tcPr>
          <w:p w14:paraId="1773387E" w14:textId="77777777" w:rsidR="008847E1" w:rsidRPr="00AD3BD4" w:rsidRDefault="00F91604" w:rsidP="008847E1">
            <w:pPr>
              <w:rPr>
                <w:color w:val="000000"/>
                <w:sz w:val="22"/>
                <w:szCs w:val="22"/>
              </w:rPr>
            </w:pPr>
            <w:r w:rsidRPr="00DB4445">
              <w:rPr>
                <w:color w:val="000000"/>
                <w:sz w:val="22"/>
                <w:szCs w:val="22"/>
              </w:rPr>
              <w:t>27.7</w:t>
            </w:r>
          </w:p>
        </w:tc>
        <w:tc>
          <w:tcPr>
            <w:tcW w:w="599" w:type="pct"/>
            <w:tcBorders>
              <w:top w:val="nil"/>
              <w:left w:val="nil"/>
              <w:bottom w:val="nil"/>
              <w:right w:val="nil"/>
            </w:tcBorders>
            <w:shd w:val="clear" w:color="auto" w:fill="auto"/>
            <w:noWrap/>
            <w:vAlign w:val="center"/>
            <w:hideMark/>
          </w:tcPr>
          <w:p w14:paraId="3A4AFBDC" w14:textId="77777777" w:rsidR="008847E1" w:rsidRPr="00AD3BD4" w:rsidRDefault="008847E1" w:rsidP="008847E1">
            <w:pPr>
              <w:rPr>
                <w:color w:val="000000"/>
                <w:sz w:val="22"/>
                <w:szCs w:val="22"/>
              </w:rPr>
            </w:pPr>
          </w:p>
        </w:tc>
      </w:tr>
      <w:tr w:rsidR="008847E1" w:rsidRPr="00AD3BD4" w14:paraId="195B1B42" w14:textId="77777777" w:rsidTr="00DB4445">
        <w:trPr>
          <w:trHeight w:val="340"/>
        </w:trPr>
        <w:tc>
          <w:tcPr>
            <w:tcW w:w="1532" w:type="pct"/>
            <w:tcBorders>
              <w:top w:val="nil"/>
              <w:left w:val="nil"/>
              <w:bottom w:val="nil"/>
              <w:right w:val="nil"/>
            </w:tcBorders>
            <w:shd w:val="clear" w:color="auto" w:fill="auto"/>
            <w:noWrap/>
            <w:vAlign w:val="center"/>
            <w:hideMark/>
          </w:tcPr>
          <w:p w14:paraId="2E33BCCE" w14:textId="77777777" w:rsidR="008847E1" w:rsidRPr="00AD3BD4" w:rsidRDefault="00F91604" w:rsidP="008847E1">
            <w:pPr>
              <w:rPr>
                <w:color w:val="000000"/>
                <w:sz w:val="22"/>
                <w:szCs w:val="22"/>
              </w:rPr>
            </w:pPr>
            <w:r w:rsidRPr="00DB4445">
              <w:rPr>
                <w:color w:val="000000"/>
                <w:sz w:val="22"/>
                <w:szCs w:val="22"/>
              </w:rPr>
              <w:t>Alcohol consumption</w:t>
            </w:r>
          </w:p>
        </w:tc>
        <w:tc>
          <w:tcPr>
            <w:tcW w:w="794" w:type="pct"/>
            <w:tcBorders>
              <w:top w:val="nil"/>
              <w:left w:val="nil"/>
              <w:bottom w:val="nil"/>
              <w:right w:val="nil"/>
            </w:tcBorders>
            <w:shd w:val="clear" w:color="auto" w:fill="auto"/>
            <w:noWrap/>
            <w:vAlign w:val="center"/>
            <w:hideMark/>
          </w:tcPr>
          <w:p w14:paraId="11DEF565" w14:textId="77777777" w:rsidR="008847E1" w:rsidRPr="00AD3BD4" w:rsidRDefault="00F91604" w:rsidP="008847E1">
            <w:pPr>
              <w:rPr>
                <w:color w:val="000000"/>
                <w:sz w:val="22"/>
                <w:szCs w:val="22"/>
              </w:rPr>
            </w:pPr>
            <w:r w:rsidRPr="00DB4445">
              <w:rPr>
                <w:color w:val="000000"/>
                <w:sz w:val="22"/>
                <w:szCs w:val="22"/>
              </w:rPr>
              <w:t>No</w:t>
            </w:r>
          </w:p>
        </w:tc>
        <w:tc>
          <w:tcPr>
            <w:tcW w:w="716" w:type="pct"/>
            <w:tcBorders>
              <w:top w:val="nil"/>
              <w:left w:val="nil"/>
              <w:bottom w:val="nil"/>
              <w:right w:val="nil"/>
            </w:tcBorders>
            <w:shd w:val="clear" w:color="auto" w:fill="auto"/>
            <w:noWrap/>
            <w:vAlign w:val="center"/>
            <w:hideMark/>
          </w:tcPr>
          <w:p w14:paraId="3178CCE7" w14:textId="77777777" w:rsidR="008847E1" w:rsidRPr="00AD3BD4" w:rsidRDefault="00F91604" w:rsidP="008847E1">
            <w:pPr>
              <w:rPr>
                <w:color w:val="000000"/>
                <w:sz w:val="22"/>
                <w:szCs w:val="22"/>
              </w:rPr>
            </w:pPr>
            <w:r w:rsidRPr="00DB4445">
              <w:rPr>
                <w:color w:val="000000"/>
                <w:sz w:val="22"/>
                <w:szCs w:val="22"/>
              </w:rPr>
              <w:t>80.9</w:t>
            </w:r>
          </w:p>
        </w:tc>
        <w:tc>
          <w:tcPr>
            <w:tcW w:w="659" w:type="pct"/>
            <w:tcBorders>
              <w:top w:val="nil"/>
              <w:left w:val="nil"/>
              <w:bottom w:val="nil"/>
              <w:right w:val="nil"/>
            </w:tcBorders>
            <w:shd w:val="clear" w:color="auto" w:fill="auto"/>
            <w:noWrap/>
            <w:vAlign w:val="center"/>
            <w:hideMark/>
          </w:tcPr>
          <w:p w14:paraId="02599004" w14:textId="77777777" w:rsidR="008847E1" w:rsidRPr="00AD3BD4" w:rsidRDefault="00F91604" w:rsidP="008847E1">
            <w:pPr>
              <w:rPr>
                <w:color w:val="000000"/>
                <w:sz w:val="22"/>
                <w:szCs w:val="22"/>
              </w:rPr>
            </w:pPr>
            <w:r w:rsidRPr="00DB4445">
              <w:rPr>
                <w:color w:val="000000"/>
                <w:sz w:val="22"/>
                <w:szCs w:val="22"/>
              </w:rPr>
              <w:t>80.1</w:t>
            </w:r>
          </w:p>
        </w:tc>
        <w:tc>
          <w:tcPr>
            <w:tcW w:w="700" w:type="pct"/>
            <w:tcBorders>
              <w:top w:val="nil"/>
              <w:left w:val="nil"/>
              <w:bottom w:val="nil"/>
              <w:right w:val="nil"/>
            </w:tcBorders>
            <w:shd w:val="clear" w:color="auto" w:fill="auto"/>
            <w:noWrap/>
            <w:vAlign w:val="center"/>
            <w:hideMark/>
          </w:tcPr>
          <w:p w14:paraId="40F6919D" w14:textId="77777777" w:rsidR="008847E1" w:rsidRPr="00AD3BD4" w:rsidRDefault="00F91604" w:rsidP="008847E1">
            <w:pPr>
              <w:rPr>
                <w:color w:val="000000"/>
                <w:sz w:val="22"/>
                <w:szCs w:val="22"/>
              </w:rPr>
            </w:pPr>
            <w:r w:rsidRPr="00DB4445">
              <w:rPr>
                <w:color w:val="000000"/>
                <w:sz w:val="22"/>
                <w:szCs w:val="22"/>
              </w:rPr>
              <w:t>90.6</w:t>
            </w:r>
          </w:p>
        </w:tc>
        <w:tc>
          <w:tcPr>
            <w:tcW w:w="599" w:type="pct"/>
            <w:tcBorders>
              <w:top w:val="nil"/>
              <w:left w:val="nil"/>
              <w:bottom w:val="nil"/>
              <w:right w:val="nil"/>
            </w:tcBorders>
            <w:shd w:val="clear" w:color="auto" w:fill="auto"/>
            <w:noWrap/>
            <w:vAlign w:val="center"/>
            <w:hideMark/>
          </w:tcPr>
          <w:p w14:paraId="4E3D1BAA" w14:textId="77777777" w:rsidR="008847E1" w:rsidRPr="00AD3BD4" w:rsidRDefault="00F91604" w:rsidP="008847E1">
            <w:pPr>
              <w:rPr>
                <w:color w:val="000000"/>
                <w:sz w:val="22"/>
                <w:szCs w:val="22"/>
              </w:rPr>
            </w:pPr>
            <w:r w:rsidRPr="00DB4445">
              <w:rPr>
                <w:color w:val="000000"/>
                <w:sz w:val="22"/>
                <w:szCs w:val="22"/>
              </w:rPr>
              <w:t>&lt;0.001</w:t>
            </w:r>
          </w:p>
        </w:tc>
      </w:tr>
      <w:tr w:rsidR="008847E1" w:rsidRPr="00AD3BD4" w14:paraId="0DE05242" w14:textId="77777777" w:rsidTr="00DB4445">
        <w:trPr>
          <w:trHeight w:val="340"/>
        </w:trPr>
        <w:tc>
          <w:tcPr>
            <w:tcW w:w="1532" w:type="pct"/>
            <w:tcBorders>
              <w:top w:val="nil"/>
              <w:left w:val="nil"/>
              <w:bottom w:val="nil"/>
              <w:right w:val="nil"/>
            </w:tcBorders>
            <w:shd w:val="clear" w:color="auto" w:fill="auto"/>
            <w:noWrap/>
            <w:vAlign w:val="center"/>
            <w:hideMark/>
          </w:tcPr>
          <w:p w14:paraId="573165ED" w14:textId="77777777" w:rsidR="008847E1" w:rsidRPr="00AD3BD4" w:rsidRDefault="008847E1" w:rsidP="008847E1">
            <w:pPr>
              <w:rPr>
                <w:color w:val="000000"/>
                <w:sz w:val="22"/>
                <w:szCs w:val="22"/>
              </w:rPr>
            </w:pPr>
          </w:p>
        </w:tc>
        <w:tc>
          <w:tcPr>
            <w:tcW w:w="794" w:type="pct"/>
            <w:tcBorders>
              <w:top w:val="nil"/>
              <w:left w:val="nil"/>
              <w:bottom w:val="nil"/>
              <w:right w:val="nil"/>
            </w:tcBorders>
            <w:shd w:val="clear" w:color="auto" w:fill="auto"/>
            <w:noWrap/>
            <w:vAlign w:val="center"/>
            <w:hideMark/>
          </w:tcPr>
          <w:p w14:paraId="1D2022B8" w14:textId="77777777" w:rsidR="008847E1" w:rsidRPr="00AD3BD4" w:rsidRDefault="00F91604" w:rsidP="008847E1">
            <w:pPr>
              <w:rPr>
                <w:color w:val="000000"/>
                <w:sz w:val="22"/>
                <w:szCs w:val="22"/>
              </w:rPr>
            </w:pPr>
            <w:r w:rsidRPr="00DB4445">
              <w:rPr>
                <w:color w:val="000000"/>
                <w:sz w:val="22"/>
                <w:szCs w:val="22"/>
              </w:rPr>
              <w:t>Yes</w:t>
            </w:r>
          </w:p>
        </w:tc>
        <w:tc>
          <w:tcPr>
            <w:tcW w:w="716" w:type="pct"/>
            <w:tcBorders>
              <w:top w:val="nil"/>
              <w:left w:val="nil"/>
              <w:bottom w:val="nil"/>
              <w:right w:val="nil"/>
            </w:tcBorders>
            <w:shd w:val="clear" w:color="auto" w:fill="auto"/>
            <w:noWrap/>
            <w:vAlign w:val="center"/>
            <w:hideMark/>
          </w:tcPr>
          <w:p w14:paraId="74E0BCB7" w14:textId="77777777" w:rsidR="008847E1" w:rsidRPr="00AD3BD4" w:rsidRDefault="00F91604" w:rsidP="008847E1">
            <w:pPr>
              <w:rPr>
                <w:color w:val="000000"/>
                <w:sz w:val="22"/>
                <w:szCs w:val="22"/>
              </w:rPr>
            </w:pPr>
            <w:r w:rsidRPr="00DB4445">
              <w:rPr>
                <w:color w:val="000000"/>
                <w:sz w:val="22"/>
                <w:szCs w:val="22"/>
              </w:rPr>
              <w:t>19.1</w:t>
            </w:r>
          </w:p>
        </w:tc>
        <w:tc>
          <w:tcPr>
            <w:tcW w:w="659" w:type="pct"/>
            <w:tcBorders>
              <w:top w:val="nil"/>
              <w:left w:val="nil"/>
              <w:bottom w:val="nil"/>
              <w:right w:val="nil"/>
            </w:tcBorders>
            <w:shd w:val="clear" w:color="auto" w:fill="auto"/>
            <w:noWrap/>
            <w:vAlign w:val="center"/>
            <w:hideMark/>
          </w:tcPr>
          <w:p w14:paraId="6CB4AA72" w14:textId="77777777" w:rsidR="008847E1" w:rsidRPr="00AD3BD4" w:rsidRDefault="00F91604" w:rsidP="008847E1">
            <w:pPr>
              <w:rPr>
                <w:color w:val="000000"/>
                <w:sz w:val="22"/>
                <w:szCs w:val="22"/>
              </w:rPr>
            </w:pPr>
            <w:r w:rsidRPr="00DB4445">
              <w:rPr>
                <w:color w:val="000000"/>
                <w:sz w:val="22"/>
                <w:szCs w:val="22"/>
              </w:rPr>
              <w:t>19.9</w:t>
            </w:r>
          </w:p>
        </w:tc>
        <w:tc>
          <w:tcPr>
            <w:tcW w:w="700" w:type="pct"/>
            <w:tcBorders>
              <w:top w:val="nil"/>
              <w:left w:val="nil"/>
              <w:bottom w:val="nil"/>
              <w:right w:val="nil"/>
            </w:tcBorders>
            <w:shd w:val="clear" w:color="auto" w:fill="auto"/>
            <w:noWrap/>
            <w:vAlign w:val="center"/>
            <w:hideMark/>
          </w:tcPr>
          <w:p w14:paraId="69FBBBE4" w14:textId="77777777" w:rsidR="008847E1" w:rsidRPr="00AD3BD4" w:rsidRDefault="00F91604" w:rsidP="008847E1">
            <w:pPr>
              <w:rPr>
                <w:color w:val="000000"/>
                <w:sz w:val="22"/>
                <w:szCs w:val="22"/>
              </w:rPr>
            </w:pPr>
            <w:r w:rsidRPr="00DB4445">
              <w:rPr>
                <w:color w:val="000000"/>
                <w:sz w:val="22"/>
                <w:szCs w:val="22"/>
              </w:rPr>
              <w:t>9.4</w:t>
            </w:r>
          </w:p>
        </w:tc>
        <w:tc>
          <w:tcPr>
            <w:tcW w:w="599" w:type="pct"/>
            <w:tcBorders>
              <w:top w:val="nil"/>
              <w:left w:val="nil"/>
              <w:bottom w:val="nil"/>
              <w:right w:val="nil"/>
            </w:tcBorders>
            <w:shd w:val="clear" w:color="auto" w:fill="auto"/>
            <w:noWrap/>
            <w:vAlign w:val="center"/>
            <w:hideMark/>
          </w:tcPr>
          <w:p w14:paraId="796409FE" w14:textId="77777777" w:rsidR="008847E1" w:rsidRPr="00AD3BD4" w:rsidRDefault="008847E1" w:rsidP="008847E1">
            <w:pPr>
              <w:rPr>
                <w:color w:val="000000"/>
                <w:sz w:val="22"/>
                <w:szCs w:val="22"/>
              </w:rPr>
            </w:pPr>
          </w:p>
        </w:tc>
      </w:tr>
      <w:tr w:rsidR="008847E1" w:rsidRPr="00AD3BD4" w14:paraId="61ED136C" w14:textId="77777777" w:rsidTr="00DB4445">
        <w:trPr>
          <w:trHeight w:val="340"/>
        </w:trPr>
        <w:tc>
          <w:tcPr>
            <w:tcW w:w="1532" w:type="pct"/>
            <w:tcBorders>
              <w:top w:val="nil"/>
              <w:left w:val="nil"/>
              <w:bottom w:val="nil"/>
              <w:right w:val="nil"/>
            </w:tcBorders>
            <w:shd w:val="clear" w:color="auto" w:fill="auto"/>
            <w:noWrap/>
            <w:vAlign w:val="center"/>
            <w:hideMark/>
          </w:tcPr>
          <w:p w14:paraId="71C0608D" w14:textId="77777777" w:rsidR="008847E1" w:rsidRPr="00AD3BD4" w:rsidRDefault="00F91604" w:rsidP="008847E1">
            <w:pPr>
              <w:rPr>
                <w:color w:val="000000"/>
                <w:sz w:val="22"/>
                <w:szCs w:val="22"/>
              </w:rPr>
            </w:pPr>
            <w:r w:rsidRPr="00DB4445">
              <w:rPr>
                <w:color w:val="000000"/>
                <w:sz w:val="22"/>
                <w:szCs w:val="22"/>
              </w:rPr>
              <w:t>Smoking</w:t>
            </w:r>
          </w:p>
        </w:tc>
        <w:tc>
          <w:tcPr>
            <w:tcW w:w="794" w:type="pct"/>
            <w:tcBorders>
              <w:top w:val="nil"/>
              <w:left w:val="nil"/>
              <w:bottom w:val="nil"/>
              <w:right w:val="nil"/>
            </w:tcBorders>
            <w:shd w:val="clear" w:color="auto" w:fill="auto"/>
            <w:noWrap/>
            <w:vAlign w:val="center"/>
            <w:hideMark/>
          </w:tcPr>
          <w:p w14:paraId="7C44F25C" w14:textId="77777777" w:rsidR="008847E1" w:rsidRPr="00AD3BD4" w:rsidRDefault="00F91604" w:rsidP="008847E1">
            <w:pPr>
              <w:rPr>
                <w:color w:val="000000"/>
                <w:sz w:val="22"/>
                <w:szCs w:val="22"/>
              </w:rPr>
            </w:pPr>
            <w:r w:rsidRPr="00DB4445">
              <w:rPr>
                <w:color w:val="000000"/>
                <w:sz w:val="22"/>
                <w:szCs w:val="22"/>
              </w:rPr>
              <w:t>Never</w:t>
            </w:r>
          </w:p>
        </w:tc>
        <w:tc>
          <w:tcPr>
            <w:tcW w:w="716" w:type="pct"/>
            <w:tcBorders>
              <w:top w:val="nil"/>
              <w:left w:val="nil"/>
              <w:bottom w:val="nil"/>
              <w:right w:val="nil"/>
            </w:tcBorders>
            <w:shd w:val="clear" w:color="auto" w:fill="auto"/>
            <w:noWrap/>
            <w:vAlign w:val="center"/>
            <w:hideMark/>
          </w:tcPr>
          <w:p w14:paraId="7C12BE69" w14:textId="77777777" w:rsidR="008847E1" w:rsidRPr="00AD3BD4" w:rsidRDefault="00F91604" w:rsidP="008847E1">
            <w:pPr>
              <w:rPr>
                <w:color w:val="000000"/>
                <w:sz w:val="22"/>
                <w:szCs w:val="22"/>
              </w:rPr>
            </w:pPr>
            <w:r w:rsidRPr="00DB4445">
              <w:rPr>
                <w:color w:val="000000"/>
                <w:sz w:val="22"/>
                <w:szCs w:val="22"/>
              </w:rPr>
              <w:t>58.7</w:t>
            </w:r>
          </w:p>
        </w:tc>
        <w:tc>
          <w:tcPr>
            <w:tcW w:w="659" w:type="pct"/>
            <w:tcBorders>
              <w:top w:val="nil"/>
              <w:left w:val="nil"/>
              <w:bottom w:val="nil"/>
              <w:right w:val="nil"/>
            </w:tcBorders>
            <w:shd w:val="clear" w:color="auto" w:fill="auto"/>
            <w:noWrap/>
            <w:vAlign w:val="center"/>
            <w:hideMark/>
          </w:tcPr>
          <w:p w14:paraId="761FC03F" w14:textId="77777777" w:rsidR="008847E1" w:rsidRPr="00AD3BD4" w:rsidRDefault="00F91604" w:rsidP="008847E1">
            <w:pPr>
              <w:rPr>
                <w:color w:val="000000"/>
                <w:sz w:val="22"/>
                <w:szCs w:val="22"/>
              </w:rPr>
            </w:pPr>
            <w:r w:rsidRPr="00DB4445">
              <w:rPr>
                <w:color w:val="000000"/>
                <w:sz w:val="22"/>
                <w:szCs w:val="22"/>
              </w:rPr>
              <w:t>59.5</w:t>
            </w:r>
          </w:p>
        </w:tc>
        <w:tc>
          <w:tcPr>
            <w:tcW w:w="700" w:type="pct"/>
            <w:tcBorders>
              <w:top w:val="nil"/>
              <w:left w:val="nil"/>
              <w:bottom w:val="nil"/>
              <w:right w:val="nil"/>
            </w:tcBorders>
            <w:shd w:val="clear" w:color="auto" w:fill="auto"/>
            <w:noWrap/>
            <w:vAlign w:val="center"/>
            <w:hideMark/>
          </w:tcPr>
          <w:p w14:paraId="3B1F25B3" w14:textId="77777777" w:rsidR="008847E1" w:rsidRPr="00AD3BD4" w:rsidRDefault="00F91604" w:rsidP="008847E1">
            <w:pPr>
              <w:rPr>
                <w:color w:val="000000"/>
                <w:sz w:val="22"/>
                <w:szCs w:val="22"/>
              </w:rPr>
            </w:pPr>
            <w:r w:rsidRPr="00DB4445">
              <w:rPr>
                <w:color w:val="000000"/>
                <w:sz w:val="22"/>
                <w:szCs w:val="22"/>
              </w:rPr>
              <w:t>47.1</w:t>
            </w:r>
          </w:p>
        </w:tc>
        <w:tc>
          <w:tcPr>
            <w:tcW w:w="599" w:type="pct"/>
            <w:tcBorders>
              <w:top w:val="nil"/>
              <w:left w:val="nil"/>
              <w:bottom w:val="nil"/>
              <w:right w:val="nil"/>
            </w:tcBorders>
            <w:shd w:val="clear" w:color="auto" w:fill="auto"/>
            <w:noWrap/>
            <w:vAlign w:val="center"/>
            <w:hideMark/>
          </w:tcPr>
          <w:p w14:paraId="34F624C3" w14:textId="77777777" w:rsidR="008847E1" w:rsidRPr="00AD3BD4" w:rsidRDefault="00F91604" w:rsidP="008847E1">
            <w:pPr>
              <w:rPr>
                <w:color w:val="000000"/>
                <w:sz w:val="22"/>
                <w:szCs w:val="22"/>
              </w:rPr>
            </w:pPr>
            <w:r w:rsidRPr="00DB4445">
              <w:rPr>
                <w:color w:val="000000"/>
                <w:sz w:val="22"/>
                <w:szCs w:val="22"/>
              </w:rPr>
              <w:t>&lt;0.001</w:t>
            </w:r>
          </w:p>
        </w:tc>
      </w:tr>
      <w:tr w:rsidR="008847E1" w:rsidRPr="00AD3BD4" w14:paraId="6B977270" w14:textId="77777777" w:rsidTr="00DB4445">
        <w:trPr>
          <w:trHeight w:val="340"/>
        </w:trPr>
        <w:tc>
          <w:tcPr>
            <w:tcW w:w="1532" w:type="pct"/>
            <w:tcBorders>
              <w:top w:val="nil"/>
              <w:left w:val="nil"/>
              <w:bottom w:val="nil"/>
              <w:right w:val="nil"/>
            </w:tcBorders>
            <w:shd w:val="clear" w:color="auto" w:fill="auto"/>
            <w:noWrap/>
            <w:vAlign w:val="center"/>
            <w:hideMark/>
          </w:tcPr>
          <w:p w14:paraId="5F0EF41E" w14:textId="77777777" w:rsidR="008847E1" w:rsidRPr="00AD3BD4" w:rsidRDefault="008847E1" w:rsidP="008847E1">
            <w:pPr>
              <w:rPr>
                <w:color w:val="000000"/>
                <w:sz w:val="22"/>
                <w:szCs w:val="22"/>
              </w:rPr>
            </w:pPr>
          </w:p>
        </w:tc>
        <w:tc>
          <w:tcPr>
            <w:tcW w:w="794" w:type="pct"/>
            <w:tcBorders>
              <w:top w:val="nil"/>
              <w:left w:val="nil"/>
              <w:bottom w:val="nil"/>
              <w:right w:val="nil"/>
            </w:tcBorders>
            <w:shd w:val="clear" w:color="auto" w:fill="auto"/>
            <w:noWrap/>
            <w:vAlign w:val="center"/>
            <w:hideMark/>
          </w:tcPr>
          <w:p w14:paraId="5BB81397" w14:textId="77777777" w:rsidR="008847E1" w:rsidRPr="00AD3BD4" w:rsidRDefault="00F91604" w:rsidP="008847E1">
            <w:pPr>
              <w:rPr>
                <w:color w:val="000000"/>
                <w:sz w:val="22"/>
                <w:szCs w:val="22"/>
              </w:rPr>
            </w:pPr>
            <w:r w:rsidRPr="00DB4445">
              <w:rPr>
                <w:color w:val="000000"/>
                <w:sz w:val="22"/>
                <w:szCs w:val="22"/>
              </w:rPr>
              <w:t>Current</w:t>
            </w:r>
          </w:p>
        </w:tc>
        <w:tc>
          <w:tcPr>
            <w:tcW w:w="716" w:type="pct"/>
            <w:tcBorders>
              <w:top w:val="nil"/>
              <w:left w:val="nil"/>
              <w:bottom w:val="nil"/>
              <w:right w:val="nil"/>
            </w:tcBorders>
            <w:shd w:val="clear" w:color="auto" w:fill="auto"/>
            <w:noWrap/>
            <w:vAlign w:val="center"/>
            <w:hideMark/>
          </w:tcPr>
          <w:p w14:paraId="3FD468E3" w14:textId="77777777" w:rsidR="008847E1" w:rsidRPr="00AD3BD4" w:rsidRDefault="00F91604" w:rsidP="008847E1">
            <w:pPr>
              <w:rPr>
                <w:color w:val="000000"/>
                <w:sz w:val="22"/>
                <w:szCs w:val="22"/>
              </w:rPr>
            </w:pPr>
            <w:r w:rsidRPr="00DB4445">
              <w:rPr>
                <w:color w:val="000000"/>
                <w:sz w:val="22"/>
                <w:szCs w:val="22"/>
              </w:rPr>
              <w:t>34.9</w:t>
            </w:r>
          </w:p>
        </w:tc>
        <w:tc>
          <w:tcPr>
            <w:tcW w:w="659" w:type="pct"/>
            <w:tcBorders>
              <w:top w:val="nil"/>
              <w:left w:val="nil"/>
              <w:bottom w:val="nil"/>
              <w:right w:val="nil"/>
            </w:tcBorders>
            <w:shd w:val="clear" w:color="auto" w:fill="auto"/>
            <w:noWrap/>
            <w:vAlign w:val="center"/>
            <w:hideMark/>
          </w:tcPr>
          <w:p w14:paraId="52C8AEEB" w14:textId="77777777" w:rsidR="008847E1" w:rsidRPr="00AD3BD4" w:rsidRDefault="00F91604" w:rsidP="008847E1">
            <w:pPr>
              <w:rPr>
                <w:color w:val="000000"/>
                <w:sz w:val="22"/>
                <w:szCs w:val="22"/>
              </w:rPr>
            </w:pPr>
            <w:r w:rsidRPr="00DB4445">
              <w:rPr>
                <w:color w:val="000000"/>
                <w:sz w:val="22"/>
                <w:szCs w:val="22"/>
              </w:rPr>
              <w:t>34.2</w:t>
            </w:r>
          </w:p>
        </w:tc>
        <w:tc>
          <w:tcPr>
            <w:tcW w:w="700" w:type="pct"/>
            <w:tcBorders>
              <w:top w:val="nil"/>
              <w:left w:val="nil"/>
              <w:bottom w:val="nil"/>
              <w:right w:val="nil"/>
            </w:tcBorders>
            <w:shd w:val="clear" w:color="auto" w:fill="auto"/>
            <w:noWrap/>
            <w:vAlign w:val="center"/>
            <w:hideMark/>
          </w:tcPr>
          <w:p w14:paraId="77EB6122" w14:textId="77777777" w:rsidR="008847E1" w:rsidRPr="00AD3BD4" w:rsidRDefault="00F91604" w:rsidP="008847E1">
            <w:pPr>
              <w:rPr>
                <w:color w:val="000000"/>
                <w:sz w:val="22"/>
                <w:szCs w:val="22"/>
              </w:rPr>
            </w:pPr>
            <w:r w:rsidRPr="00DB4445">
              <w:rPr>
                <w:color w:val="000000"/>
                <w:sz w:val="22"/>
                <w:szCs w:val="22"/>
              </w:rPr>
              <w:t>44.9</w:t>
            </w:r>
          </w:p>
        </w:tc>
        <w:tc>
          <w:tcPr>
            <w:tcW w:w="599" w:type="pct"/>
            <w:tcBorders>
              <w:top w:val="nil"/>
              <w:left w:val="nil"/>
              <w:bottom w:val="nil"/>
              <w:right w:val="nil"/>
            </w:tcBorders>
            <w:shd w:val="clear" w:color="auto" w:fill="auto"/>
            <w:noWrap/>
            <w:vAlign w:val="center"/>
            <w:hideMark/>
          </w:tcPr>
          <w:p w14:paraId="1BFA478B" w14:textId="77777777" w:rsidR="008847E1" w:rsidRPr="00AD3BD4" w:rsidRDefault="008847E1" w:rsidP="008847E1">
            <w:pPr>
              <w:rPr>
                <w:color w:val="000000"/>
                <w:sz w:val="22"/>
                <w:szCs w:val="22"/>
              </w:rPr>
            </w:pPr>
          </w:p>
        </w:tc>
      </w:tr>
      <w:tr w:rsidR="008847E1" w:rsidRPr="00AD3BD4" w14:paraId="73F90C58" w14:textId="77777777" w:rsidTr="00DB4445">
        <w:trPr>
          <w:trHeight w:val="340"/>
        </w:trPr>
        <w:tc>
          <w:tcPr>
            <w:tcW w:w="1532" w:type="pct"/>
            <w:tcBorders>
              <w:top w:val="nil"/>
              <w:left w:val="nil"/>
              <w:bottom w:val="nil"/>
              <w:right w:val="nil"/>
            </w:tcBorders>
            <w:shd w:val="clear" w:color="auto" w:fill="auto"/>
            <w:noWrap/>
            <w:vAlign w:val="center"/>
            <w:hideMark/>
          </w:tcPr>
          <w:p w14:paraId="2C0E35D0" w14:textId="77777777" w:rsidR="008847E1" w:rsidRPr="00AD3BD4" w:rsidRDefault="008847E1" w:rsidP="008847E1">
            <w:pPr>
              <w:rPr>
                <w:sz w:val="20"/>
                <w:szCs w:val="20"/>
              </w:rPr>
            </w:pPr>
          </w:p>
        </w:tc>
        <w:tc>
          <w:tcPr>
            <w:tcW w:w="794" w:type="pct"/>
            <w:tcBorders>
              <w:top w:val="nil"/>
              <w:left w:val="nil"/>
              <w:bottom w:val="nil"/>
              <w:right w:val="nil"/>
            </w:tcBorders>
            <w:shd w:val="clear" w:color="auto" w:fill="auto"/>
            <w:noWrap/>
            <w:vAlign w:val="center"/>
            <w:hideMark/>
          </w:tcPr>
          <w:p w14:paraId="3833419B" w14:textId="77777777" w:rsidR="008847E1" w:rsidRPr="00AD3BD4" w:rsidRDefault="00F91604" w:rsidP="008847E1">
            <w:pPr>
              <w:rPr>
                <w:color w:val="000000"/>
                <w:sz w:val="22"/>
                <w:szCs w:val="22"/>
              </w:rPr>
            </w:pPr>
            <w:r w:rsidRPr="00DB4445">
              <w:rPr>
                <w:color w:val="000000"/>
                <w:sz w:val="22"/>
                <w:szCs w:val="22"/>
              </w:rPr>
              <w:t>Former</w:t>
            </w:r>
          </w:p>
        </w:tc>
        <w:tc>
          <w:tcPr>
            <w:tcW w:w="716" w:type="pct"/>
            <w:tcBorders>
              <w:top w:val="nil"/>
              <w:left w:val="nil"/>
              <w:bottom w:val="nil"/>
              <w:right w:val="nil"/>
            </w:tcBorders>
            <w:shd w:val="clear" w:color="auto" w:fill="auto"/>
            <w:noWrap/>
            <w:vAlign w:val="center"/>
            <w:hideMark/>
          </w:tcPr>
          <w:p w14:paraId="2168B75E" w14:textId="77777777" w:rsidR="008847E1" w:rsidRPr="00AD3BD4" w:rsidRDefault="00F91604" w:rsidP="008847E1">
            <w:pPr>
              <w:rPr>
                <w:color w:val="000000"/>
                <w:sz w:val="22"/>
                <w:szCs w:val="22"/>
              </w:rPr>
            </w:pPr>
            <w:r w:rsidRPr="00DB4445">
              <w:rPr>
                <w:color w:val="000000"/>
                <w:sz w:val="22"/>
                <w:szCs w:val="22"/>
              </w:rPr>
              <w:t>6.4</w:t>
            </w:r>
          </w:p>
        </w:tc>
        <w:tc>
          <w:tcPr>
            <w:tcW w:w="659" w:type="pct"/>
            <w:tcBorders>
              <w:top w:val="nil"/>
              <w:left w:val="nil"/>
              <w:bottom w:val="nil"/>
              <w:right w:val="nil"/>
            </w:tcBorders>
            <w:shd w:val="clear" w:color="auto" w:fill="auto"/>
            <w:noWrap/>
            <w:vAlign w:val="center"/>
            <w:hideMark/>
          </w:tcPr>
          <w:p w14:paraId="494F65BE" w14:textId="77777777" w:rsidR="008847E1" w:rsidRPr="00AD3BD4" w:rsidRDefault="00F91604" w:rsidP="008847E1">
            <w:pPr>
              <w:rPr>
                <w:color w:val="000000"/>
                <w:sz w:val="22"/>
                <w:szCs w:val="22"/>
              </w:rPr>
            </w:pPr>
            <w:r w:rsidRPr="00DB4445">
              <w:rPr>
                <w:color w:val="000000"/>
                <w:sz w:val="22"/>
                <w:szCs w:val="22"/>
              </w:rPr>
              <w:t>6.3</w:t>
            </w:r>
          </w:p>
        </w:tc>
        <w:tc>
          <w:tcPr>
            <w:tcW w:w="700" w:type="pct"/>
            <w:tcBorders>
              <w:top w:val="nil"/>
              <w:left w:val="nil"/>
              <w:bottom w:val="nil"/>
              <w:right w:val="nil"/>
            </w:tcBorders>
            <w:shd w:val="clear" w:color="auto" w:fill="auto"/>
            <w:noWrap/>
            <w:vAlign w:val="center"/>
            <w:hideMark/>
          </w:tcPr>
          <w:p w14:paraId="05FF06A4" w14:textId="77777777" w:rsidR="008847E1" w:rsidRPr="00AD3BD4" w:rsidRDefault="00F91604" w:rsidP="008847E1">
            <w:pPr>
              <w:rPr>
                <w:color w:val="000000"/>
                <w:sz w:val="22"/>
                <w:szCs w:val="22"/>
              </w:rPr>
            </w:pPr>
            <w:r w:rsidRPr="00DB4445">
              <w:rPr>
                <w:color w:val="000000"/>
                <w:sz w:val="22"/>
                <w:szCs w:val="22"/>
              </w:rPr>
              <w:t>8.0</w:t>
            </w:r>
          </w:p>
        </w:tc>
        <w:tc>
          <w:tcPr>
            <w:tcW w:w="599" w:type="pct"/>
            <w:tcBorders>
              <w:top w:val="nil"/>
              <w:left w:val="nil"/>
              <w:bottom w:val="nil"/>
              <w:right w:val="nil"/>
            </w:tcBorders>
            <w:shd w:val="clear" w:color="auto" w:fill="auto"/>
            <w:noWrap/>
            <w:vAlign w:val="center"/>
            <w:hideMark/>
          </w:tcPr>
          <w:p w14:paraId="23AE622D" w14:textId="77777777" w:rsidR="008847E1" w:rsidRPr="00AD3BD4" w:rsidRDefault="008847E1" w:rsidP="008847E1">
            <w:pPr>
              <w:rPr>
                <w:color w:val="000000"/>
                <w:sz w:val="22"/>
                <w:szCs w:val="22"/>
              </w:rPr>
            </w:pPr>
          </w:p>
        </w:tc>
      </w:tr>
      <w:tr w:rsidR="008847E1" w:rsidRPr="00AD3BD4" w14:paraId="42584015" w14:textId="77777777" w:rsidTr="00DB4445">
        <w:trPr>
          <w:trHeight w:val="340"/>
        </w:trPr>
        <w:tc>
          <w:tcPr>
            <w:tcW w:w="1532" w:type="pct"/>
            <w:tcBorders>
              <w:top w:val="nil"/>
              <w:left w:val="nil"/>
              <w:bottom w:val="nil"/>
              <w:right w:val="nil"/>
            </w:tcBorders>
            <w:shd w:val="clear" w:color="auto" w:fill="auto"/>
            <w:noWrap/>
            <w:vAlign w:val="center"/>
            <w:hideMark/>
          </w:tcPr>
          <w:p w14:paraId="345B8E6C" w14:textId="77777777" w:rsidR="008847E1" w:rsidRPr="00AD3BD4" w:rsidRDefault="00F91604" w:rsidP="008847E1">
            <w:pPr>
              <w:rPr>
                <w:color w:val="000000"/>
                <w:sz w:val="22"/>
                <w:szCs w:val="22"/>
              </w:rPr>
            </w:pPr>
            <w:r w:rsidRPr="00DB4445">
              <w:rPr>
                <w:color w:val="000000"/>
                <w:sz w:val="22"/>
                <w:szCs w:val="22"/>
              </w:rPr>
              <w:t>Depression</w:t>
            </w:r>
          </w:p>
        </w:tc>
        <w:tc>
          <w:tcPr>
            <w:tcW w:w="794" w:type="pct"/>
            <w:tcBorders>
              <w:top w:val="nil"/>
              <w:left w:val="nil"/>
              <w:bottom w:val="nil"/>
              <w:right w:val="nil"/>
            </w:tcBorders>
            <w:shd w:val="clear" w:color="auto" w:fill="auto"/>
            <w:noWrap/>
            <w:vAlign w:val="center"/>
            <w:hideMark/>
          </w:tcPr>
          <w:p w14:paraId="377381DA" w14:textId="77777777" w:rsidR="008847E1" w:rsidRPr="00AD3BD4" w:rsidRDefault="00F91604" w:rsidP="008847E1">
            <w:pPr>
              <w:rPr>
                <w:color w:val="000000"/>
                <w:sz w:val="22"/>
                <w:szCs w:val="22"/>
              </w:rPr>
            </w:pPr>
            <w:r w:rsidRPr="00DB4445">
              <w:rPr>
                <w:color w:val="000000"/>
                <w:sz w:val="22"/>
                <w:szCs w:val="22"/>
              </w:rPr>
              <w:t>No</w:t>
            </w:r>
          </w:p>
        </w:tc>
        <w:tc>
          <w:tcPr>
            <w:tcW w:w="716" w:type="pct"/>
            <w:tcBorders>
              <w:top w:val="nil"/>
              <w:left w:val="nil"/>
              <w:bottom w:val="nil"/>
              <w:right w:val="nil"/>
            </w:tcBorders>
            <w:shd w:val="clear" w:color="auto" w:fill="auto"/>
            <w:noWrap/>
            <w:vAlign w:val="center"/>
            <w:hideMark/>
          </w:tcPr>
          <w:p w14:paraId="65496002" w14:textId="77777777" w:rsidR="008847E1" w:rsidRPr="00AD3BD4" w:rsidRDefault="00F91604" w:rsidP="008847E1">
            <w:pPr>
              <w:rPr>
                <w:color w:val="000000"/>
                <w:sz w:val="22"/>
                <w:szCs w:val="22"/>
              </w:rPr>
            </w:pPr>
            <w:r w:rsidRPr="00DB4445">
              <w:rPr>
                <w:color w:val="000000"/>
                <w:sz w:val="22"/>
                <w:szCs w:val="22"/>
              </w:rPr>
              <w:t>94.5</w:t>
            </w:r>
          </w:p>
        </w:tc>
        <w:tc>
          <w:tcPr>
            <w:tcW w:w="659" w:type="pct"/>
            <w:tcBorders>
              <w:top w:val="nil"/>
              <w:left w:val="nil"/>
              <w:bottom w:val="nil"/>
              <w:right w:val="nil"/>
            </w:tcBorders>
            <w:shd w:val="clear" w:color="auto" w:fill="auto"/>
            <w:noWrap/>
            <w:vAlign w:val="center"/>
            <w:hideMark/>
          </w:tcPr>
          <w:p w14:paraId="4AF5286F" w14:textId="77777777" w:rsidR="008847E1" w:rsidRPr="00AD3BD4" w:rsidRDefault="00F91604" w:rsidP="008847E1">
            <w:pPr>
              <w:rPr>
                <w:color w:val="000000"/>
                <w:sz w:val="22"/>
                <w:szCs w:val="22"/>
              </w:rPr>
            </w:pPr>
            <w:r w:rsidRPr="00DB4445">
              <w:rPr>
                <w:color w:val="000000"/>
                <w:sz w:val="22"/>
                <w:szCs w:val="22"/>
              </w:rPr>
              <w:t>96.4</w:t>
            </w:r>
          </w:p>
        </w:tc>
        <w:tc>
          <w:tcPr>
            <w:tcW w:w="700" w:type="pct"/>
            <w:tcBorders>
              <w:top w:val="nil"/>
              <w:left w:val="nil"/>
              <w:bottom w:val="nil"/>
              <w:right w:val="nil"/>
            </w:tcBorders>
            <w:shd w:val="clear" w:color="auto" w:fill="auto"/>
            <w:noWrap/>
            <w:vAlign w:val="center"/>
            <w:hideMark/>
          </w:tcPr>
          <w:p w14:paraId="3A1CFFE5" w14:textId="77777777" w:rsidR="008847E1" w:rsidRPr="00AD3BD4" w:rsidRDefault="00F91604" w:rsidP="008847E1">
            <w:pPr>
              <w:rPr>
                <w:color w:val="000000"/>
                <w:sz w:val="22"/>
                <w:szCs w:val="22"/>
              </w:rPr>
            </w:pPr>
            <w:r w:rsidRPr="00DB4445">
              <w:rPr>
                <w:color w:val="000000"/>
                <w:sz w:val="22"/>
                <w:szCs w:val="22"/>
              </w:rPr>
              <w:t>69.1</w:t>
            </w:r>
          </w:p>
        </w:tc>
        <w:tc>
          <w:tcPr>
            <w:tcW w:w="599" w:type="pct"/>
            <w:tcBorders>
              <w:top w:val="nil"/>
              <w:left w:val="nil"/>
              <w:bottom w:val="nil"/>
              <w:right w:val="nil"/>
            </w:tcBorders>
            <w:shd w:val="clear" w:color="auto" w:fill="auto"/>
            <w:noWrap/>
            <w:vAlign w:val="center"/>
            <w:hideMark/>
          </w:tcPr>
          <w:p w14:paraId="0591B84E" w14:textId="77777777" w:rsidR="008847E1" w:rsidRPr="00AD3BD4" w:rsidRDefault="00F91604" w:rsidP="008847E1">
            <w:pPr>
              <w:rPr>
                <w:color w:val="000000"/>
                <w:sz w:val="22"/>
                <w:szCs w:val="22"/>
              </w:rPr>
            </w:pPr>
            <w:r w:rsidRPr="00DB4445">
              <w:rPr>
                <w:color w:val="000000"/>
                <w:sz w:val="22"/>
                <w:szCs w:val="22"/>
              </w:rPr>
              <w:t>&lt;0.001</w:t>
            </w:r>
          </w:p>
        </w:tc>
      </w:tr>
      <w:tr w:rsidR="008847E1" w:rsidRPr="00AD3BD4" w14:paraId="741FC615" w14:textId="77777777" w:rsidTr="00DB4445">
        <w:trPr>
          <w:trHeight w:val="340"/>
        </w:trPr>
        <w:tc>
          <w:tcPr>
            <w:tcW w:w="1532" w:type="pct"/>
            <w:tcBorders>
              <w:top w:val="nil"/>
              <w:left w:val="nil"/>
              <w:bottom w:val="nil"/>
              <w:right w:val="nil"/>
            </w:tcBorders>
            <w:shd w:val="clear" w:color="auto" w:fill="auto"/>
            <w:noWrap/>
            <w:vAlign w:val="center"/>
            <w:hideMark/>
          </w:tcPr>
          <w:p w14:paraId="4E9F44DD" w14:textId="77777777" w:rsidR="008847E1" w:rsidRPr="00AD3BD4" w:rsidRDefault="008847E1" w:rsidP="008847E1">
            <w:pPr>
              <w:rPr>
                <w:color w:val="000000"/>
                <w:sz w:val="22"/>
                <w:szCs w:val="22"/>
              </w:rPr>
            </w:pPr>
          </w:p>
        </w:tc>
        <w:tc>
          <w:tcPr>
            <w:tcW w:w="794" w:type="pct"/>
            <w:tcBorders>
              <w:top w:val="nil"/>
              <w:left w:val="nil"/>
              <w:bottom w:val="nil"/>
              <w:right w:val="nil"/>
            </w:tcBorders>
            <w:shd w:val="clear" w:color="auto" w:fill="auto"/>
            <w:noWrap/>
            <w:vAlign w:val="center"/>
            <w:hideMark/>
          </w:tcPr>
          <w:p w14:paraId="4F21A6F4" w14:textId="77777777" w:rsidR="008847E1" w:rsidRPr="00AD3BD4" w:rsidRDefault="00F91604" w:rsidP="008847E1">
            <w:pPr>
              <w:rPr>
                <w:color w:val="000000"/>
                <w:sz w:val="22"/>
                <w:szCs w:val="22"/>
              </w:rPr>
            </w:pPr>
            <w:r w:rsidRPr="00DB4445">
              <w:rPr>
                <w:color w:val="000000"/>
                <w:sz w:val="22"/>
                <w:szCs w:val="22"/>
              </w:rPr>
              <w:t>Yes</w:t>
            </w:r>
          </w:p>
        </w:tc>
        <w:tc>
          <w:tcPr>
            <w:tcW w:w="716" w:type="pct"/>
            <w:tcBorders>
              <w:top w:val="nil"/>
              <w:left w:val="nil"/>
              <w:bottom w:val="nil"/>
              <w:right w:val="nil"/>
            </w:tcBorders>
            <w:shd w:val="clear" w:color="auto" w:fill="auto"/>
            <w:noWrap/>
            <w:vAlign w:val="center"/>
            <w:hideMark/>
          </w:tcPr>
          <w:p w14:paraId="590EC238" w14:textId="77777777" w:rsidR="008847E1" w:rsidRPr="00AD3BD4" w:rsidRDefault="00F91604" w:rsidP="008847E1">
            <w:pPr>
              <w:rPr>
                <w:color w:val="000000"/>
                <w:sz w:val="22"/>
                <w:szCs w:val="22"/>
              </w:rPr>
            </w:pPr>
            <w:r w:rsidRPr="00DB4445">
              <w:rPr>
                <w:color w:val="000000"/>
                <w:sz w:val="22"/>
                <w:szCs w:val="22"/>
              </w:rPr>
              <w:t>5.5</w:t>
            </w:r>
          </w:p>
        </w:tc>
        <w:tc>
          <w:tcPr>
            <w:tcW w:w="659" w:type="pct"/>
            <w:tcBorders>
              <w:top w:val="nil"/>
              <w:left w:val="nil"/>
              <w:bottom w:val="nil"/>
              <w:right w:val="nil"/>
            </w:tcBorders>
            <w:shd w:val="clear" w:color="auto" w:fill="auto"/>
            <w:noWrap/>
            <w:vAlign w:val="center"/>
            <w:hideMark/>
          </w:tcPr>
          <w:p w14:paraId="263DC78C" w14:textId="77777777" w:rsidR="008847E1" w:rsidRPr="00AD3BD4" w:rsidRDefault="00F91604" w:rsidP="008847E1">
            <w:pPr>
              <w:rPr>
                <w:color w:val="000000"/>
                <w:sz w:val="22"/>
                <w:szCs w:val="22"/>
              </w:rPr>
            </w:pPr>
            <w:r w:rsidRPr="00DB4445">
              <w:rPr>
                <w:color w:val="000000"/>
                <w:sz w:val="22"/>
                <w:szCs w:val="22"/>
              </w:rPr>
              <w:t>3.6</w:t>
            </w:r>
          </w:p>
        </w:tc>
        <w:tc>
          <w:tcPr>
            <w:tcW w:w="700" w:type="pct"/>
            <w:tcBorders>
              <w:top w:val="nil"/>
              <w:left w:val="nil"/>
              <w:bottom w:val="nil"/>
              <w:right w:val="nil"/>
            </w:tcBorders>
            <w:shd w:val="clear" w:color="auto" w:fill="auto"/>
            <w:noWrap/>
            <w:vAlign w:val="center"/>
            <w:hideMark/>
          </w:tcPr>
          <w:p w14:paraId="2B1CFA3C" w14:textId="77777777" w:rsidR="008847E1" w:rsidRPr="00AD3BD4" w:rsidRDefault="00F91604" w:rsidP="008847E1">
            <w:pPr>
              <w:rPr>
                <w:color w:val="000000"/>
                <w:sz w:val="22"/>
                <w:szCs w:val="22"/>
              </w:rPr>
            </w:pPr>
            <w:r w:rsidRPr="00DB4445">
              <w:rPr>
                <w:color w:val="000000"/>
                <w:sz w:val="22"/>
                <w:szCs w:val="22"/>
              </w:rPr>
              <w:t>30.9</w:t>
            </w:r>
          </w:p>
        </w:tc>
        <w:tc>
          <w:tcPr>
            <w:tcW w:w="599" w:type="pct"/>
            <w:tcBorders>
              <w:top w:val="nil"/>
              <w:left w:val="nil"/>
              <w:bottom w:val="nil"/>
              <w:right w:val="nil"/>
            </w:tcBorders>
            <w:shd w:val="clear" w:color="auto" w:fill="auto"/>
            <w:noWrap/>
            <w:vAlign w:val="center"/>
            <w:hideMark/>
          </w:tcPr>
          <w:p w14:paraId="11B8A85E" w14:textId="77777777" w:rsidR="008847E1" w:rsidRPr="00AD3BD4" w:rsidRDefault="008847E1" w:rsidP="008847E1">
            <w:pPr>
              <w:rPr>
                <w:color w:val="000000"/>
                <w:sz w:val="22"/>
                <w:szCs w:val="22"/>
              </w:rPr>
            </w:pPr>
          </w:p>
        </w:tc>
      </w:tr>
      <w:tr w:rsidR="008847E1" w:rsidRPr="00AD3BD4" w14:paraId="6F52E79F" w14:textId="77777777" w:rsidTr="00DB4445">
        <w:trPr>
          <w:trHeight w:val="340"/>
        </w:trPr>
        <w:tc>
          <w:tcPr>
            <w:tcW w:w="1532" w:type="pct"/>
            <w:tcBorders>
              <w:top w:val="nil"/>
              <w:left w:val="nil"/>
              <w:bottom w:val="nil"/>
              <w:right w:val="nil"/>
            </w:tcBorders>
            <w:shd w:val="clear" w:color="auto" w:fill="auto"/>
            <w:noWrap/>
            <w:vAlign w:val="center"/>
            <w:hideMark/>
          </w:tcPr>
          <w:p w14:paraId="01FF0CB8" w14:textId="77777777" w:rsidR="008847E1" w:rsidRPr="00AD3BD4" w:rsidRDefault="00F91604" w:rsidP="008847E1">
            <w:pPr>
              <w:rPr>
                <w:color w:val="000000"/>
                <w:sz w:val="22"/>
                <w:szCs w:val="22"/>
              </w:rPr>
            </w:pPr>
            <w:r w:rsidRPr="00DB4445">
              <w:rPr>
                <w:color w:val="000000"/>
                <w:sz w:val="22"/>
                <w:szCs w:val="22"/>
              </w:rPr>
              <w:t>Diabetes</w:t>
            </w:r>
          </w:p>
        </w:tc>
        <w:tc>
          <w:tcPr>
            <w:tcW w:w="794" w:type="pct"/>
            <w:tcBorders>
              <w:top w:val="nil"/>
              <w:left w:val="nil"/>
              <w:bottom w:val="nil"/>
              <w:right w:val="nil"/>
            </w:tcBorders>
            <w:shd w:val="clear" w:color="auto" w:fill="auto"/>
            <w:noWrap/>
            <w:vAlign w:val="center"/>
            <w:hideMark/>
          </w:tcPr>
          <w:p w14:paraId="30979057" w14:textId="77777777" w:rsidR="008847E1" w:rsidRPr="00AD3BD4" w:rsidRDefault="00F91604" w:rsidP="008847E1">
            <w:pPr>
              <w:rPr>
                <w:color w:val="000000"/>
                <w:sz w:val="22"/>
                <w:szCs w:val="22"/>
              </w:rPr>
            </w:pPr>
            <w:r w:rsidRPr="00DB4445">
              <w:rPr>
                <w:color w:val="000000"/>
                <w:sz w:val="22"/>
                <w:szCs w:val="22"/>
              </w:rPr>
              <w:t>No</w:t>
            </w:r>
          </w:p>
        </w:tc>
        <w:tc>
          <w:tcPr>
            <w:tcW w:w="716" w:type="pct"/>
            <w:tcBorders>
              <w:top w:val="nil"/>
              <w:left w:val="nil"/>
              <w:bottom w:val="nil"/>
              <w:right w:val="nil"/>
            </w:tcBorders>
            <w:shd w:val="clear" w:color="auto" w:fill="auto"/>
            <w:noWrap/>
            <w:vAlign w:val="center"/>
            <w:hideMark/>
          </w:tcPr>
          <w:p w14:paraId="41891480" w14:textId="77777777" w:rsidR="008847E1" w:rsidRPr="00AD3BD4" w:rsidRDefault="00F91604" w:rsidP="008847E1">
            <w:pPr>
              <w:rPr>
                <w:color w:val="000000"/>
                <w:sz w:val="22"/>
                <w:szCs w:val="22"/>
              </w:rPr>
            </w:pPr>
            <w:r w:rsidRPr="00DB4445">
              <w:rPr>
                <w:color w:val="000000"/>
                <w:sz w:val="22"/>
                <w:szCs w:val="22"/>
              </w:rPr>
              <w:t>93.2</w:t>
            </w:r>
          </w:p>
        </w:tc>
        <w:tc>
          <w:tcPr>
            <w:tcW w:w="659" w:type="pct"/>
            <w:tcBorders>
              <w:top w:val="nil"/>
              <w:left w:val="nil"/>
              <w:bottom w:val="nil"/>
              <w:right w:val="nil"/>
            </w:tcBorders>
            <w:shd w:val="clear" w:color="auto" w:fill="auto"/>
            <w:noWrap/>
            <w:vAlign w:val="center"/>
            <w:hideMark/>
          </w:tcPr>
          <w:p w14:paraId="42E45A80" w14:textId="77777777" w:rsidR="008847E1" w:rsidRPr="00AD3BD4" w:rsidRDefault="00F91604" w:rsidP="008847E1">
            <w:pPr>
              <w:rPr>
                <w:color w:val="000000"/>
                <w:sz w:val="22"/>
                <w:szCs w:val="22"/>
              </w:rPr>
            </w:pPr>
            <w:r w:rsidRPr="00DB4445">
              <w:rPr>
                <w:color w:val="000000"/>
                <w:sz w:val="22"/>
                <w:szCs w:val="22"/>
              </w:rPr>
              <w:t>93.5</w:t>
            </w:r>
          </w:p>
        </w:tc>
        <w:tc>
          <w:tcPr>
            <w:tcW w:w="700" w:type="pct"/>
            <w:tcBorders>
              <w:top w:val="nil"/>
              <w:left w:val="nil"/>
              <w:bottom w:val="nil"/>
              <w:right w:val="nil"/>
            </w:tcBorders>
            <w:shd w:val="clear" w:color="auto" w:fill="auto"/>
            <w:noWrap/>
            <w:vAlign w:val="center"/>
            <w:hideMark/>
          </w:tcPr>
          <w:p w14:paraId="4D70BED6" w14:textId="77777777" w:rsidR="008847E1" w:rsidRPr="00AD3BD4" w:rsidRDefault="00F91604" w:rsidP="008847E1">
            <w:pPr>
              <w:rPr>
                <w:color w:val="000000"/>
                <w:sz w:val="22"/>
                <w:szCs w:val="22"/>
              </w:rPr>
            </w:pPr>
            <w:r w:rsidRPr="00DB4445">
              <w:rPr>
                <w:color w:val="000000"/>
                <w:sz w:val="22"/>
                <w:szCs w:val="22"/>
              </w:rPr>
              <w:t>90.0</w:t>
            </w:r>
          </w:p>
        </w:tc>
        <w:tc>
          <w:tcPr>
            <w:tcW w:w="599" w:type="pct"/>
            <w:tcBorders>
              <w:top w:val="nil"/>
              <w:left w:val="nil"/>
              <w:bottom w:val="nil"/>
              <w:right w:val="nil"/>
            </w:tcBorders>
            <w:shd w:val="clear" w:color="auto" w:fill="auto"/>
            <w:noWrap/>
            <w:vAlign w:val="center"/>
            <w:hideMark/>
          </w:tcPr>
          <w:p w14:paraId="7955E584" w14:textId="77777777" w:rsidR="008847E1" w:rsidRPr="00AD3BD4" w:rsidRDefault="00F91604" w:rsidP="008847E1">
            <w:pPr>
              <w:rPr>
                <w:color w:val="000000"/>
                <w:sz w:val="22"/>
                <w:szCs w:val="22"/>
              </w:rPr>
            </w:pPr>
            <w:r w:rsidRPr="00DB4445">
              <w:rPr>
                <w:color w:val="000000"/>
                <w:sz w:val="22"/>
                <w:szCs w:val="22"/>
              </w:rPr>
              <w:t>0.002</w:t>
            </w:r>
          </w:p>
        </w:tc>
      </w:tr>
      <w:tr w:rsidR="008847E1" w:rsidRPr="00AD3BD4" w14:paraId="280F52A2" w14:textId="77777777" w:rsidTr="00DB4445">
        <w:trPr>
          <w:trHeight w:val="340"/>
        </w:trPr>
        <w:tc>
          <w:tcPr>
            <w:tcW w:w="1532" w:type="pct"/>
            <w:tcBorders>
              <w:top w:val="nil"/>
              <w:left w:val="nil"/>
              <w:bottom w:val="nil"/>
              <w:right w:val="nil"/>
            </w:tcBorders>
            <w:shd w:val="clear" w:color="auto" w:fill="auto"/>
            <w:noWrap/>
            <w:vAlign w:val="center"/>
            <w:hideMark/>
          </w:tcPr>
          <w:p w14:paraId="5A8CA38A" w14:textId="77777777" w:rsidR="008847E1" w:rsidRPr="00AD3BD4" w:rsidRDefault="008847E1" w:rsidP="008847E1">
            <w:pPr>
              <w:rPr>
                <w:color w:val="000000"/>
                <w:sz w:val="22"/>
                <w:szCs w:val="22"/>
              </w:rPr>
            </w:pPr>
          </w:p>
        </w:tc>
        <w:tc>
          <w:tcPr>
            <w:tcW w:w="794" w:type="pct"/>
            <w:tcBorders>
              <w:top w:val="nil"/>
              <w:left w:val="nil"/>
              <w:bottom w:val="nil"/>
              <w:right w:val="nil"/>
            </w:tcBorders>
            <w:shd w:val="clear" w:color="auto" w:fill="auto"/>
            <w:noWrap/>
            <w:vAlign w:val="center"/>
            <w:hideMark/>
          </w:tcPr>
          <w:p w14:paraId="606ACACF" w14:textId="77777777" w:rsidR="008847E1" w:rsidRPr="00AD3BD4" w:rsidRDefault="00F91604" w:rsidP="008847E1">
            <w:pPr>
              <w:rPr>
                <w:color w:val="000000"/>
                <w:sz w:val="22"/>
                <w:szCs w:val="22"/>
              </w:rPr>
            </w:pPr>
            <w:r w:rsidRPr="00DB4445">
              <w:rPr>
                <w:color w:val="000000"/>
                <w:sz w:val="22"/>
                <w:szCs w:val="22"/>
              </w:rPr>
              <w:t>Yes</w:t>
            </w:r>
          </w:p>
        </w:tc>
        <w:tc>
          <w:tcPr>
            <w:tcW w:w="716" w:type="pct"/>
            <w:tcBorders>
              <w:top w:val="nil"/>
              <w:left w:val="nil"/>
              <w:bottom w:val="nil"/>
              <w:right w:val="nil"/>
            </w:tcBorders>
            <w:shd w:val="clear" w:color="auto" w:fill="auto"/>
            <w:noWrap/>
            <w:vAlign w:val="center"/>
            <w:hideMark/>
          </w:tcPr>
          <w:p w14:paraId="7BF353B1" w14:textId="77777777" w:rsidR="008847E1" w:rsidRPr="00AD3BD4" w:rsidRDefault="00F91604" w:rsidP="008847E1">
            <w:pPr>
              <w:rPr>
                <w:color w:val="000000"/>
                <w:sz w:val="22"/>
                <w:szCs w:val="22"/>
              </w:rPr>
            </w:pPr>
            <w:r w:rsidRPr="00DB4445">
              <w:rPr>
                <w:color w:val="000000"/>
                <w:sz w:val="22"/>
                <w:szCs w:val="22"/>
              </w:rPr>
              <w:t>6.8</w:t>
            </w:r>
          </w:p>
        </w:tc>
        <w:tc>
          <w:tcPr>
            <w:tcW w:w="659" w:type="pct"/>
            <w:tcBorders>
              <w:top w:val="nil"/>
              <w:left w:val="nil"/>
              <w:bottom w:val="nil"/>
              <w:right w:val="nil"/>
            </w:tcBorders>
            <w:shd w:val="clear" w:color="auto" w:fill="auto"/>
            <w:noWrap/>
            <w:vAlign w:val="center"/>
            <w:hideMark/>
          </w:tcPr>
          <w:p w14:paraId="40DEAE1A" w14:textId="77777777" w:rsidR="008847E1" w:rsidRPr="00AD3BD4" w:rsidRDefault="00F91604" w:rsidP="008847E1">
            <w:pPr>
              <w:rPr>
                <w:color w:val="000000"/>
                <w:sz w:val="22"/>
                <w:szCs w:val="22"/>
              </w:rPr>
            </w:pPr>
            <w:r w:rsidRPr="00DB4445">
              <w:rPr>
                <w:color w:val="000000"/>
                <w:sz w:val="22"/>
                <w:szCs w:val="22"/>
              </w:rPr>
              <w:t>6.5</w:t>
            </w:r>
          </w:p>
        </w:tc>
        <w:tc>
          <w:tcPr>
            <w:tcW w:w="700" w:type="pct"/>
            <w:tcBorders>
              <w:top w:val="nil"/>
              <w:left w:val="nil"/>
              <w:bottom w:val="nil"/>
              <w:right w:val="nil"/>
            </w:tcBorders>
            <w:shd w:val="clear" w:color="auto" w:fill="auto"/>
            <w:noWrap/>
            <w:vAlign w:val="center"/>
            <w:hideMark/>
          </w:tcPr>
          <w:p w14:paraId="39C9FE93" w14:textId="77777777" w:rsidR="008847E1" w:rsidRPr="00AD3BD4" w:rsidRDefault="00F91604" w:rsidP="008847E1">
            <w:pPr>
              <w:rPr>
                <w:color w:val="000000"/>
                <w:sz w:val="22"/>
                <w:szCs w:val="22"/>
              </w:rPr>
            </w:pPr>
            <w:r w:rsidRPr="00DB4445">
              <w:rPr>
                <w:color w:val="000000"/>
                <w:sz w:val="22"/>
                <w:szCs w:val="22"/>
              </w:rPr>
              <w:t>10.0</w:t>
            </w:r>
          </w:p>
        </w:tc>
        <w:tc>
          <w:tcPr>
            <w:tcW w:w="599" w:type="pct"/>
            <w:tcBorders>
              <w:top w:val="nil"/>
              <w:left w:val="nil"/>
              <w:bottom w:val="nil"/>
              <w:right w:val="nil"/>
            </w:tcBorders>
            <w:shd w:val="clear" w:color="auto" w:fill="auto"/>
            <w:noWrap/>
            <w:vAlign w:val="center"/>
            <w:hideMark/>
          </w:tcPr>
          <w:p w14:paraId="15383328" w14:textId="77777777" w:rsidR="008847E1" w:rsidRPr="00AD3BD4" w:rsidRDefault="008847E1" w:rsidP="008847E1">
            <w:pPr>
              <w:rPr>
                <w:color w:val="000000"/>
                <w:sz w:val="22"/>
                <w:szCs w:val="22"/>
              </w:rPr>
            </w:pPr>
          </w:p>
        </w:tc>
      </w:tr>
      <w:tr w:rsidR="008847E1" w:rsidRPr="00AD3BD4" w14:paraId="67EC0DBB" w14:textId="77777777" w:rsidTr="00DB4445">
        <w:trPr>
          <w:trHeight w:val="340"/>
        </w:trPr>
        <w:tc>
          <w:tcPr>
            <w:tcW w:w="1532" w:type="pct"/>
            <w:tcBorders>
              <w:top w:val="nil"/>
              <w:left w:val="nil"/>
              <w:bottom w:val="nil"/>
              <w:right w:val="nil"/>
            </w:tcBorders>
            <w:shd w:val="clear" w:color="auto" w:fill="auto"/>
            <w:noWrap/>
            <w:vAlign w:val="center"/>
            <w:hideMark/>
          </w:tcPr>
          <w:p w14:paraId="6EE1E72B" w14:textId="77777777" w:rsidR="008847E1" w:rsidRPr="00AD3BD4" w:rsidRDefault="00F91604" w:rsidP="008847E1">
            <w:pPr>
              <w:rPr>
                <w:color w:val="000000"/>
                <w:sz w:val="22"/>
                <w:szCs w:val="22"/>
              </w:rPr>
            </w:pPr>
            <w:r w:rsidRPr="00DB4445">
              <w:rPr>
                <w:color w:val="000000"/>
                <w:sz w:val="22"/>
                <w:szCs w:val="22"/>
              </w:rPr>
              <w:t>Hypertension</w:t>
            </w:r>
          </w:p>
        </w:tc>
        <w:tc>
          <w:tcPr>
            <w:tcW w:w="794" w:type="pct"/>
            <w:tcBorders>
              <w:top w:val="nil"/>
              <w:left w:val="nil"/>
              <w:bottom w:val="nil"/>
              <w:right w:val="nil"/>
            </w:tcBorders>
            <w:shd w:val="clear" w:color="auto" w:fill="auto"/>
            <w:noWrap/>
            <w:vAlign w:val="center"/>
            <w:hideMark/>
          </w:tcPr>
          <w:p w14:paraId="6B6E400C" w14:textId="77777777" w:rsidR="008847E1" w:rsidRPr="00AD3BD4" w:rsidRDefault="00F91604" w:rsidP="008847E1">
            <w:pPr>
              <w:rPr>
                <w:color w:val="000000"/>
                <w:sz w:val="22"/>
                <w:szCs w:val="22"/>
              </w:rPr>
            </w:pPr>
            <w:r w:rsidRPr="00DB4445">
              <w:rPr>
                <w:color w:val="000000"/>
                <w:sz w:val="22"/>
                <w:szCs w:val="22"/>
              </w:rPr>
              <w:t>No</w:t>
            </w:r>
          </w:p>
        </w:tc>
        <w:tc>
          <w:tcPr>
            <w:tcW w:w="716" w:type="pct"/>
            <w:tcBorders>
              <w:top w:val="nil"/>
              <w:left w:val="nil"/>
              <w:bottom w:val="nil"/>
              <w:right w:val="nil"/>
            </w:tcBorders>
            <w:shd w:val="clear" w:color="auto" w:fill="auto"/>
            <w:noWrap/>
            <w:vAlign w:val="center"/>
            <w:hideMark/>
          </w:tcPr>
          <w:p w14:paraId="7F9C0E0F" w14:textId="77777777" w:rsidR="008847E1" w:rsidRPr="00AD3BD4" w:rsidRDefault="00F91604" w:rsidP="008847E1">
            <w:pPr>
              <w:rPr>
                <w:color w:val="000000"/>
                <w:sz w:val="22"/>
                <w:szCs w:val="22"/>
              </w:rPr>
            </w:pPr>
            <w:r w:rsidRPr="00DB4445">
              <w:rPr>
                <w:color w:val="000000"/>
                <w:sz w:val="22"/>
                <w:szCs w:val="22"/>
              </w:rPr>
              <w:t>45.1</w:t>
            </w:r>
          </w:p>
        </w:tc>
        <w:tc>
          <w:tcPr>
            <w:tcW w:w="659" w:type="pct"/>
            <w:tcBorders>
              <w:top w:val="nil"/>
              <w:left w:val="nil"/>
              <w:bottom w:val="nil"/>
              <w:right w:val="nil"/>
            </w:tcBorders>
            <w:shd w:val="clear" w:color="auto" w:fill="auto"/>
            <w:noWrap/>
            <w:vAlign w:val="center"/>
            <w:hideMark/>
          </w:tcPr>
          <w:p w14:paraId="20D43F7A" w14:textId="77777777" w:rsidR="008847E1" w:rsidRPr="00AD3BD4" w:rsidRDefault="00F91604" w:rsidP="008847E1">
            <w:pPr>
              <w:rPr>
                <w:color w:val="000000"/>
                <w:sz w:val="22"/>
                <w:szCs w:val="22"/>
              </w:rPr>
            </w:pPr>
            <w:r w:rsidRPr="00DB4445">
              <w:rPr>
                <w:color w:val="000000"/>
                <w:sz w:val="22"/>
                <w:szCs w:val="22"/>
              </w:rPr>
              <w:t>44.3</w:t>
            </w:r>
          </w:p>
        </w:tc>
        <w:tc>
          <w:tcPr>
            <w:tcW w:w="700" w:type="pct"/>
            <w:tcBorders>
              <w:top w:val="nil"/>
              <w:left w:val="nil"/>
              <w:bottom w:val="nil"/>
              <w:right w:val="nil"/>
            </w:tcBorders>
            <w:shd w:val="clear" w:color="auto" w:fill="auto"/>
            <w:noWrap/>
            <w:vAlign w:val="center"/>
            <w:hideMark/>
          </w:tcPr>
          <w:p w14:paraId="0993DFB3" w14:textId="77777777" w:rsidR="008847E1" w:rsidRPr="00AD3BD4" w:rsidRDefault="00F91604" w:rsidP="008847E1">
            <w:pPr>
              <w:rPr>
                <w:color w:val="000000"/>
                <w:sz w:val="22"/>
                <w:szCs w:val="22"/>
              </w:rPr>
            </w:pPr>
            <w:r w:rsidRPr="00DB4445">
              <w:rPr>
                <w:color w:val="000000"/>
                <w:sz w:val="22"/>
                <w:szCs w:val="22"/>
              </w:rPr>
              <w:t>55.6</w:t>
            </w:r>
          </w:p>
        </w:tc>
        <w:tc>
          <w:tcPr>
            <w:tcW w:w="599" w:type="pct"/>
            <w:tcBorders>
              <w:top w:val="nil"/>
              <w:left w:val="nil"/>
              <w:bottom w:val="nil"/>
              <w:right w:val="nil"/>
            </w:tcBorders>
            <w:shd w:val="clear" w:color="auto" w:fill="auto"/>
            <w:noWrap/>
            <w:vAlign w:val="center"/>
            <w:hideMark/>
          </w:tcPr>
          <w:p w14:paraId="08F9883C" w14:textId="77777777" w:rsidR="008847E1" w:rsidRPr="00AD3BD4" w:rsidRDefault="00F91604" w:rsidP="008847E1">
            <w:pPr>
              <w:rPr>
                <w:color w:val="000000"/>
                <w:sz w:val="22"/>
                <w:szCs w:val="22"/>
              </w:rPr>
            </w:pPr>
            <w:r w:rsidRPr="00DB4445">
              <w:rPr>
                <w:color w:val="000000"/>
                <w:sz w:val="22"/>
                <w:szCs w:val="22"/>
              </w:rPr>
              <w:t>&lt;0.001</w:t>
            </w:r>
          </w:p>
        </w:tc>
      </w:tr>
      <w:tr w:rsidR="008847E1" w:rsidRPr="00AD3BD4" w14:paraId="5BF33DE1" w14:textId="77777777" w:rsidTr="00DB4445">
        <w:trPr>
          <w:trHeight w:val="340"/>
        </w:trPr>
        <w:tc>
          <w:tcPr>
            <w:tcW w:w="1532" w:type="pct"/>
            <w:tcBorders>
              <w:top w:val="nil"/>
              <w:left w:val="nil"/>
              <w:bottom w:val="nil"/>
              <w:right w:val="nil"/>
            </w:tcBorders>
            <w:shd w:val="clear" w:color="auto" w:fill="auto"/>
            <w:noWrap/>
            <w:vAlign w:val="center"/>
            <w:hideMark/>
          </w:tcPr>
          <w:p w14:paraId="65D7B804" w14:textId="77777777" w:rsidR="008847E1" w:rsidRPr="00AD3BD4" w:rsidRDefault="008847E1" w:rsidP="008847E1">
            <w:pPr>
              <w:rPr>
                <w:color w:val="000000"/>
                <w:sz w:val="22"/>
                <w:szCs w:val="22"/>
              </w:rPr>
            </w:pPr>
          </w:p>
        </w:tc>
        <w:tc>
          <w:tcPr>
            <w:tcW w:w="794" w:type="pct"/>
            <w:tcBorders>
              <w:top w:val="nil"/>
              <w:left w:val="nil"/>
              <w:bottom w:val="nil"/>
              <w:right w:val="nil"/>
            </w:tcBorders>
            <w:shd w:val="clear" w:color="auto" w:fill="auto"/>
            <w:noWrap/>
            <w:vAlign w:val="center"/>
            <w:hideMark/>
          </w:tcPr>
          <w:p w14:paraId="1FBB5FAD" w14:textId="77777777" w:rsidR="008847E1" w:rsidRPr="00AD3BD4" w:rsidRDefault="00F91604" w:rsidP="008847E1">
            <w:pPr>
              <w:rPr>
                <w:color w:val="000000"/>
                <w:sz w:val="22"/>
                <w:szCs w:val="22"/>
              </w:rPr>
            </w:pPr>
            <w:r w:rsidRPr="00DB4445">
              <w:rPr>
                <w:color w:val="000000"/>
                <w:sz w:val="22"/>
                <w:szCs w:val="22"/>
              </w:rPr>
              <w:t>Yes</w:t>
            </w:r>
          </w:p>
        </w:tc>
        <w:tc>
          <w:tcPr>
            <w:tcW w:w="716" w:type="pct"/>
            <w:tcBorders>
              <w:top w:val="nil"/>
              <w:left w:val="nil"/>
              <w:bottom w:val="nil"/>
              <w:right w:val="nil"/>
            </w:tcBorders>
            <w:shd w:val="clear" w:color="auto" w:fill="auto"/>
            <w:noWrap/>
            <w:vAlign w:val="center"/>
            <w:hideMark/>
          </w:tcPr>
          <w:p w14:paraId="72522ABD" w14:textId="77777777" w:rsidR="008847E1" w:rsidRPr="00AD3BD4" w:rsidRDefault="00F91604" w:rsidP="008847E1">
            <w:pPr>
              <w:rPr>
                <w:color w:val="000000"/>
                <w:sz w:val="22"/>
                <w:szCs w:val="22"/>
              </w:rPr>
            </w:pPr>
            <w:r w:rsidRPr="00DB4445">
              <w:rPr>
                <w:color w:val="000000"/>
                <w:sz w:val="22"/>
                <w:szCs w:val="22"/>
              </w:rPr>
              <w:t>54.9</w:t>
            </w:r>
          </w:p>
        </w:tc>
        <w:tc>
          <w:tcPr>
            <w:tcW w:w="659" w:type="pct"/>
            <w:tcBorders>
              <w:top w:val="nil"/>
              <w:left w:val="nil"/>
              <w:bottom w:val="nil"/>
              <w:right w:val="nil"/>
            </w:tcBorders>
            <w:shd w:val="clear" w:color="auto" w:fill="auto"/>
            <w:noWrap/>
            <w:vAlign w:val="center"/>
            <w:hideMark/>
          </w:tcPr>
          <w:p w14:paraId="553E8C05" w14:textId="77777777" w:rsidR="008847E1" w:rsidRPr="00AD3BD4" w:rsidRDefault="00F91604" w:rsidP="008847E1">
            <w:pPr>
              <w:rPr>
                <w:color w:val="000000"/>
                <w:sz w:val="22"/>
                <w:szCs w:val="22"/>
              </w:rPr>
            </w:pPr>
            <w:r w:rsidRPr="00DB4445">
              <w:rPr>
                <w:color w:val="000000"/>
                <w:sz w:val="22"/>
                <w:szCs w:val="22"/>
              </w:rPr>
              <w:t>55.7</w:t>
            </w:r>
          </w:p>
        </w:tc>
        <w:tc>
          <w:tcPr>
            <w:tcW w:w="700" w:type="pct"/>
            <w:tcBorders>
              <w:top w:val="nil"/>
              <w:left w:val="nil"/>
              <w:bottom w:val="nil"/>
              <w:right w:val="nil"/>
            </w:tcBorders>
            <w:shd w:val="clear" w:color="auto" w:fill="auto"/>
            <w:noWrap/>
            <w:vAlign w:val="center"/>
            <w:hideMark/>
          </w:tcPr>
          <w:p w14:paraId="5B8E834B" w14:textId="77777777" w:rsidR="008847E1" w:rsidRPr="00AD3BD4" w:rsidRDefault="00F91604" w:rsidP="008847E1">
            <w:pPr>
              <w:rPr>
                <w:color w:val="000000"/>
                <w:sz w:val="22"/>
                <w:szCs w:val="22"/>
              </w:rPr>
            </w:pPr>
            <w:r w:rsidRPr="00DB4445">
              <w:rPr>
                <w:color w:val="000000"/>
                <w:sz w:val="22"/>
                <w:szCs w:val="22"/>
              </w:rPr>
              <w:t>44.4</w:t>
            </w:r>
          </w:p>
        </w:tc>
        <w:tc>
          <w:tcPr>
            <w:tcW w:w="599" w:type="pct"/>
            <w:tcBorders>
              <w:top w:val="nil"/>
              <w:left w:val="nil"/>
              <w:bottom w:val="nil"/>
              <w:right w:val="nil"/>
            </w:tcBorders>
            <w:shd w:val="clear" w:color="auto" w:fill="auto"/>
            <w:noWrap/>
            <w:vAlign w:val="center"/>
            <w:hideMark/>
          </w:tcPr>
          <w:p w14:paraId="054FA82B" w14:textId="77777777" w:rsidR="008847E1" w:rsidRPr="00AD3BD4" w:rsidRDefault="008847E1" w:rsidP="008847E1">
            <w:pPr>
              <w:rPr>
                <w:color w:val="000000"/>
                <w:sz w:val="22"/>
                <w:szCs w:val="22"/>
              </w:rPr>
            </w:pPr>
          </w:p>
        </w:tc>
      </w:tr>
      <w:tr w:rsidR="008847E1" w:rsidRPr="00AD3BD4" w14:paraId="2B04E64F" w14:textId="77777777" w:rsidTr="00DB4445">
        <w:trPr>
          <w:trHeight w:val="340"/>
        </w:trPr>
        <w:tc>
          <w:tcPr>
            <w:tcW w:w="1532" w:type="pct"/>
            <w:tcBorders>
              <w:top w:val="nil"/>
              <w:left w:val="nil"/>
              <w:bottom w:val="nil"/>
              <w:right w:val="nil"/>
            </w:tcBorders>
            <w:shd w:val="clear" w:color="auto" w:fill="auto"/>
            <w:noWrap/>
            <w:vAlign w:val="center"/>
            <w:hideMark/>
          </w:tcPr>
          <w:p w14:paraId="1D99CCCA" w14:textId="77777777" w:rsidR="008847E1" w:rsidRPr="00AD3BD4" w:rsidRDefault="00F91604" w:rsidP="008847E1">
            <w:pPr>
              <w:rPr>
                <w:color w:val="000000"/>
                <w:sz w:val="22"/>
                <w:szCs w:val="22"/>
              </w:rPr>
            </w:pPr>
            <w:r w:rsidRPr="00DB4445">
              <w:rPr>
                <w:color w:val="000000"/>
                <w:sz w:val="22"/>
                <w:szCs w:val="22"/>
              </w:rPr>
              <w:t>Stroke</w:t>
            </w:r>
          </w:p>
        </w:tc>
        <w:tc>
          <w:tcPr>
            <w:tcW w:w="794" w:type="pct"/>
            <w:tcBorders>
              <w:top w:val="nil"/>
              <w:left w:val="nil"/>
              <w:bottom w:val="nil"/>
              <w:right w:val="nil"/>
            </w:tcBorders>
            <w:shd w:val="clear" w:color="auto" w:fill="auto"/>
            <w:noWrap/>
            <w:vAlign w:val="center"/>
            <w:hideMark/>
          </w:tcPr>
          <w:p w14:paraId="30521203" w14:textId="77777777" w:rsidR="008847E1" w:rsidRPr="00AD3BD4" w:rsidRDefault="00F91604" w:rsidP="008847E1">
            <w:pPr>
              <w:rPr>
                <w:color w:val="000000"/>
                <w:sz w:val="22"/>
                <w:szCs w:val="22"/>
              </w:rPr>
            </w:pPr>
            <w:r w:rsidRPr="00DB4445">
              <w:rPr>
                <w:color w:val="000000"/>
                <w:sz w:val="22"/>
                <w:szCs w:val="22"/>
              </w:rPr>
              <w:t>No</w:t>
            </w:r>
          </w:p>
        </w:tc>
        <w:tc>
          <w:tcPr>
            <w:tcW w:w="716" w:type="pct"/>
            <w:tcBorders>
              <w:top w:val="nil"/>
              <w:left w:val="nil"/>
              <w:bottom w:val="nil"/>
              <w:right w:val="nil"/>
            </w:tcBorders>
            <w:shd w:val="clear" w:color="auto" w:fill="auto"/>
            <w:noWrap/>
            <w:vAlign w:val="center"/>
            <w:hideMark/>
          </w:tcPr>
          <w:p w14:paraId="5789D282" w14:textId="77777777" w:rsidR="008847E1" w:rsidRPr="00AD3BD4" w:rsidRDefault="00F91604" w:rsidP="008847E1">
            <w:pPr>
              <w:rPr>
                <w:color w:val="000000"/>
                <w:sz w:val="22"/>
                <w:szCs w:val="22"/>
              </w:rPr>
            </w:pPr>
            <w:r w:rsidRPr="00DB4445">
              <w:rPr>
                <w:color w:val="000000"/>
                <w:sz w:val="22"/>
                <w:szCs w:val="22"/>
              </w:rPr>
              <w:t>97.2</w:t>
            </w:r>
          </w:p>
        </w:tc>
        <w:tc>
          <w:tcPr>
            <w:tcW w:w="659" w:type="pct"/>
            <w:tcBorders>
              <w:top w:val="nil"/>
              <w:left w:val="nil"/>
              <w:bottom w:val="nil"/>
              <w:right w:val="nil"/>
            </w:tcBorders>
            <w:shd w:val="clear" w:color="auto" w:fill="auto"/>
            <w:noWrap/>
            <w:vAlign w:val="center"/>
            <w:hideMark/>
          </w:tcPr>
          <w:p w14:paraId="5D5DA1C3" w14:textId="77777777" w:rsidR="008847E1" w:rsidRPr="00AD3BD4" w:rsidRDefault="00F91604" w:rsidP="008847E1">
            <w:pPr>
              <w:rPr>
                <w:color w:val="000000"/>
                <w:sz w:val="22"/>
                <w:szCs w:val="22"/>
              </w:rPr>
            </w:pPr>
            <w:r w:rsidRPr="00DB4445">
              <w:rPr>
                <w:color w:val="000000"/>
                <w:sz w:val="22"/>
                <w:szCs w:val="22"/>
              </w:rPr>
              <w:t>97.3</w:t>
            </w:r>
          </w:p>
        </w:tc>
        <w:tc>
          <w:tcPr>
            <w:tcW w:w="700" w:type="pct"/>
            <w:tcBorders>
              <w:top w:val="nil"/>
              <w:left w:val="nil"/>
              <w:bottom w:val="nil"/>
              <w:right w:val="nil"/>
            </w:tcBorders>
            <w:shd w:val="clear" w:color="auto" w:fill="auto"/>
            <w:noWrap/>
            <w:vAlign w:val="center"/>
            <w:hideMark/>
          </w:tcPr>
          <w:p w14:paraId="6C139C31" w14:textId="77777777" w:rsidR="008847E1" w:rsidRPr="00AD3BD4" w:rsidRDefault="00F91604" w:rsidP="008847E1">
            <w:pPr>
              <w:rPr>
                <w:color w:val="000000"/>
                <w:sz w:val="22"/>
                <w:szCs w:val="22"/>
              </w:rPr>
            </w:pPr>
            <w:r w:rsidRPr="00DB4445">
              <w:rPr>
                <w:color w:val="000000"/>
                <w:sz w:val="22"/>
                <w:szCs w:val="22"/>
              </w:rPr>
              <w:t>96.6</w:t>
            </w:r>
          </w:p>
        </w:tc>
        <w:tc>
          <w:tcPr>
            <w:tcW w:w="599" w:type="pct"/>
            <w:tcBorders>
              <w:top w:val="nil"/>
              <w:left w:val="nil"/>
              <w:bottom w:val="nil"/>
              <w:right w:val="nil"/>
            </w:tcBorders>
            <w:shd w:val="clear" w:color="auto" w:fill="auto"/>
            <w:noWrap/>
            <w:vAlign w:val="center"/>
            <w:hideMark/>
          </w:tcPr>
          <w:p w14:paraId="475BE249" w14:textId="77777777" w:rsidR="008847E1" w:rsidRPr="00AD3BD4" w:rsidRDefault="00F91604" w:rsidP="008847E1">
            <w:pPr>
              <w:rPr>
                <w:color w:val="000000"/>
                <w:sz w:val="22"/>
                <w:szCs w:val="22"/>
              </w:rPr>
            </w:pPr>
            <w:r w:rsidRPr="00DB4445">
              <w:rPr>
                <w:color w:val="000000"/>
                <w:sz w:val="22"/>
                <w:szCs w:val="22"/>
              </w:rPr>
              <w:t>0.315</w:t>
            </w:r>
          </w:p>
        </w:tc>
      </w:tr>
      <w:tr w:rsidR="008847E1" w:rsidRPr="00AD3BD4" w14:paraId="7407B452" w14:textId="77777777" w:rsidTr="00DB4445">
        <w:trPr>
          <w:trHeight w:val="340"/>
        </w:trPr>
        <w:tc>
          <w:tcPr>
            <w:tcW w:w="1532" w:type="pct"/>
            <w:tcBorders>
              <w:top w:val="nil"/>
              <w:left w:val="nil"/>
              <w:bottom w:val="nil"/>
              <w:right w:val="nil"/>
            </w:tcBorders>
            <w:shd w:val="clear" w:color="auto" w:fill="auto"/>
            <w:noWrap/>
            <w:vAlign w:val="center"/>
            <w:hideMark/>
          </w:tcPr>
          <w:p w14:paraId="76042BBA" w14:textId="77777777" w:rsidR="008847E1" w:rsidRPr="00AD3BD4" w:rsidRDefault="008847E1" w:rsidP="008847E1">
            <w:pPr>
              <w:rPr>
                <w:color w:val="000000"/>
                <w:sz w:val="22"/>
                <w:szCs w:val="22"/>
              </w:rPr>
            </w:pPr>
          </w:p>
        </w:tc>
        <w:tc>
          <w:tcPr>
            <w:tcW w:w="794" w:type="pct"/>
            <w:tcBorders>
              <w:top w:val="nil"/>
              <w:left w:val="nil"/>
              <w:bottom w:val="nil"/>
              <w:right w:val="nil"/>
            </w:tcBorders>
            <w:shd w:val="clear" w:color="auto" w:fill="auto"/>
            <w:noWrap/>
            <w:vAlign w:val="center"/>
            <w:hideMark/>
          </w:tcPr>
          <w:p w14:paraId="190E8645" w14:textId="77777777" w:rsidR="008847E1" w:rsidRPr="00AD3BD4" w:rsidRDefault="00F91604" w:rsidP="008847E1">
            <w:pPr>
              <w:rPr>
                <w:color w:val="000000"/>
                <w:sz w:val="22"/>
                <w:szCs w:val="22"/>
              </w:rPr>
            </w:pPr>
            <w:r w:rsidRPr="00DB4445">
              <w:rPr>
                <w:color w:val="000000"/>
                <w:sz w:val="22"/>
                <w:szCs w:val="22"/>
              </w:rPr>
              <w:t>Yes</w:t>
            </w:r>
          </w:p>
        </w:tc>
        <w:tc>
          <w:tcPr>
            <w:tcW w:w="716" w:type="pct"/>
            <w:tcBorders>
              <w:top w:val="nil"/>
              <w:left w:val="nil"/>
              <w:bottom w:val="nil"/>
              <w:right w:val="nil"/>
            </w:tcBorders>
            <w:shd w:val="clear" w:color="auto" w:fill="auto"/>
            <w:noWrap/>
            <w:vAlign w:val="center"/>
            <w:hideMark/>
          </w:tcPr>
          <w:p w14:paraId="5D41B6BE" w14:textId="77777777" w:rsidR="008847E1" w:rsidRPr="00AD3BD4" w:rsidRDefault="00F91604" w:rsidP="008847E1">
            <w:pPr>
              <w:rPr>
                <w:color w:val="000000"/>
                <w:sz w:val="22"/>
                <w:szCs w:val="22"/>
              </w:rPr>
            </w:pPr>
            <w:r w:rsidRPr="00DB4445">
              <w:rPr>
                <w:color w:val="000000"/>
                <w:sz w:val="22"/>
                <w:szCs w:val="22"/>
              </w:rPr>
              <w:t>2.8</w:t>
            </w:r>
          </w:p>
        </w:tc>
        <w:tc>
          <w:tcPr>
            <w:tcW w:w="659" w:type="pct"/>
            <w:tcBorders>
              <w:top w:val="nil"/>
              <w:left w:val="nil"/>
              <w:bottom w:val="nil"/>
              <w:right w:val="nil"/>
            </w:tcBorders>
            <w:shd w:val="clear" w:color="auto" w:fill="auto"/>
            <w:noWrap/>
            <w:vAlign w:val="center"/>
            <w:hideMark/>
          </w:tcPr>
          <w:p w14:paraId="3D0C8146" w14:textId="77777777" w:rsidR="008847E1" w:rsidRPr="00AD3BD4" w:rsidRDefault="00F91604" w:rsidP="008847E1">
            <w:pPr>
              <w:rPr>
                <w:color w:val="000000"/>
                <w:sz w:val="22"/>
                <w:szCs w:val="22"/>
              </w:rPr>
            </w:pPr>
            <w:r w:rsidRPr="00DB4445">
              <w:rPr>
                <w:color w:val="000000"/>
                <w:sz w:val="22"/>
                <w:szCs w:val="22"/>
              </w:rPr>
              <w:t>2.7</w:t>
            </w:r>
          </w:p>
        </w:tc>
        <w:tc>
          <w:tcPr>
            <w:tcW w:w="700" w:type="pct"/>
            <w:tcBorders>
              <w:top w:val="nil"/>
              <w:left w:val="nil"/>
              <w:bottom w:val="nil"/>
              <w:right w:val="nil"/>
            </w:tcBorders>
            <w:shd w:val="clear" w:color="auto" w:fill="auto"/>
            <w:noWrap/>
            <w:vAlign w:val="center"/>
            <w:hideMark/>
          </w:tcPr>
          <w:p w14:paraId="23C823A3" w14:textId="77777777" w:rsidR="008847E1" w:rsidRPr="00AD3BD4" w:rsidRDefault="00F91604" w:rsidP="008847E1">
            <w:pPr>
              <w:rPr>
                <w:color w:val="000000"/>
                <w:sz w:val="22"/>
                <w:szCs w:val="22"/>
              </w:rPr>
            </w:pPr>
            <w:r w:rsidRPr="00DB4445">
              <w:rPr>
                <w:color w:val="000000"/>
                <w:sz w:val="22"/>
                <w:szCs w:val="22"/>
              </w:rPr>
              <w:t>3.4</w:t>
            </w:r>
          </w:p>
        </w:tc>
        <w:tc>
          <w:tcPr>
            <w:tcW w:w="599" w:type="pct"/>
            <w:tcBorders>
              <w:top w:val="nil"/>
              <w:left w:val="nil"/>
              <w:bottom w:val="nil"/>
              <w:right w:val="nil"/>
            </w:tcBorders>
            <w:shd w:val="clear" w:color="auto" w:fill="auto"/>
            <w:noWrap/>
            <w:vAlign w:val="center"/>
            <w:hideMark/>
          </w:tcPr>
          <w:p w14:paraId="500BE973" w14:textId="77777777" w:rsidR="008847E1" w:rsidRPr="00AD3BD4" w:rsidRDefault="008847E1" w:rsidP="008847E1">
            <w:pPr>
              <w:rPr>
                <w:color w:val="000000"/>
                <w:sz w:val="22"/>
                <w:szCs w:val="22"/>
              </w:rPr>
            </w:pPr>
          </w:p>
        </w:tc>
      </w:tr>
      <w:tr w:rsidR="008847E1" w:rsidRPr="00AD3BD4" w14:paraId="4DD106A3" w14:textId="77777777" w:rsidTr="00DB4445">
        <w:trPr>
          <w:trHeight w:val="340"/>
        </w:trPr>
        <w:tc>
          <w:tcPr>
            <w:tcW w:w="1532" w:type="pct"/>
            <w:tcBorders>
              <w:top w:val="nil"/>
              <w:left w:val="nil"/>
              <w:bottom w:val="nil"/>
              <w:right w:val="nil"/>
            </w:tcBorders>
            <w:shd w:val="clear" w:color="auto" w:fill="auto"/>
            <w:noWrap/>
            <w:vAlign w:val="center"/>
            <w:hideMark/>
          </w:tcPr>
          <w:p w14:paraId="669D9BEE" w14:textId="77777777" w:rsidR="008847E1" w:rsidRPr="00AD3BD4" w:rsidRDefault="00F91604" w:rsidP="008847E1">
            <w:pPr>
              <w:rPr>
                <w:color w:val="000000"/>
                <w:sz w:val="22"/>
                <w:szCs w:val="22"/>
              </w:rPr>
            </w:pPr>
            <w:r w:rsidRPr="00DB4445">
              <w:rPr>
                <w:color w:val="000000"/>
                <w:sz w:val="22"/>
                <w:szCs w:val="22"/>
              </w:rPr>
              <w:t>Obesity</w:t>
            </w:r>
          </w:p>
        </w:tc>
        <w:tc>
          <w:tcPr>
            <w:tcW w:w="794" w:type="pct"/>
            <w:tcBorders>
              <w:top w:val="nil"/>
              <w:left w:val="nil"/>
              <w:bottom w:val="nil"/>
              <w:right w:val="nil"/>
            </w:tcBorders>
            <w:shd w:val="clear" w:color="auto" w:fill="auto"/>
            <w:noWrap/>
            <w:vAlign w:val="center"/>
            <w:hideMark/>
          </w:tcPr>
          <w:p w14:paraId="4773FA43" w14:textId="77777777" w:rsidR="008847E1" w:rsidRPr="00AD3BD4" w:rsidRDefault="00F91604" w:rsidP="008847E1">
            <w:pPr>
              <w:rPr>
                <w:color w:val="000000"/>
                <w:sz w:val="22"/>
                <w:szCs w:val="22"/>
              </w:rPr>
            </w:pPr>
            <w:r w:rsidRPr="00DB4445">
              <w:rPr>
                <w:color w:val="000000"/>
                <w:sz w:val="22"/>
                <w:szCs w:val="22"/>
              </w:rPr>
              <w:t>No</w:t>
            </w:r>
          </w:p>
        </w:tc>
        <w:tc>
          <w:tcPr>
            <w:tcW w:w="716" w:type="pct"/>
            <w:tcBorders>
              <w:top w:val="nil"/>
              <w:left w:val="nil"/>
              <w:bottom w:val="nil"/>
              <w:right w:val="nil"/>
            </w:tcBorders>
            <w:shd w:val="clear" w:color="auto" w:fill="auto"/>
            <w:noWrap/>
            <w:vAlign w:val="center"/>
            <w:hideMark/>
          </w:tcPr>
          <w:p w14:paraId="4754BF65" w14:textId="77777777" w:rsidR="008847E1" w:rsidRPr="00AD3BD4" w:rsidRDefault="00F91604" w:rsidP="008847E1">
            <w:pPr>
              <w:rPr>
                <w:color w:val="000000"/>
                <w:sz w:val="22"/>
                <w:szCs w:val="22"/>
              </w:rPr>
            </w:pPr>
            <w:r w:rsidRPr="00DB4445">
              <w:rPr>
                <w:color w:val="000000"/>
                <w:sz w:val="22"/>
                <w:szCs w:val="22"/>
              </w:rPr>
              <w:t>88.5</w:t>
            </w:r>
          </w:p>
        </w:tc>
        <w:tc>
          <w:tcPr>
            <w:tcW w:w="659" w:type="pct"/>
            <w:tcBorders>
              <w:top w:val="nil"/>
              <w:left w:val="nil"/>
              <w:bottom w:val="nil"/>
              <w:right w:val="nil"/>
            </w:tcBorders>
            <w:shd w:val="clear" w:color="auto" w:fill="auto"/>
            <w:noWrap/>
            <w:vAlign w:val="center"/>
            <w:hideMark/>
          </w:tcPr>
          <w:p w14:paraId="193F647A" w14:textId="77777777" w:rsidR="008847E1" w:rsidRPr="00AD3BD4" w:rsidRDefault="00F91604" w:rsidP="008847E1">
            <w:pPr>
              <w:rPr>
                <w:color w:val="000000"/>
                <w:sz w:val="22"/>
                <w:szCs w:val="22"/>
              </w:rPr>
            </w:pPr>
            <w:r w:rsidRPr="00DB4445">
              <w:rPr>
                <w:color w:val="000000"/>
                <w:sz w:val="22"/>
                <w:szCs w:val="22"/>
              </w:rPr>
              <w:t>88.2</w:t>
            </w:r>
          </w:p>
        </w:tc>
        <w:tc>
          <w:tcPr>
            <w:tcW w:w="700" w:type="pct"/>
            <w:tcBorders>
              <w:top w:val="nil"/>
              <w:left w:val="nil"/>
              <w:bottom w:val="nil"/>
              <w:right w:val="nil"/>
            </w:tcBorders>
            <w:shd w:val="clear" w:color="auto" w:fill="auto"/>
            <w:noWrap/>
            <w:vAlign w:val="center"/>
            <w:hideMark/>
          </w:tcPr>
          <w:p w14:paraId="2FFE6D8B" w14:textId="77777777" w:rsidR="008847E1" w:rsidRPr="00AD3BD4" w:rsidRDefault="00F91604" w:rsidP="008847E1">
            <w:pPr>
              <w:rPr>
                <w:color w:val="000000"/>
                <w:sz w:val="22"/>
                <w:szCs w:val="22"/>
              </w:rPr>
            </w:pPr>
            <w:r w:rsidRPr="00DB4445">
              <w:rPr>
                <w:color w:val="000000"/>
                <w:sz w:val="22"/>
                <w:szCs w:val="22"/>
              </w:rPr>
              <w:t>92.1</w:t>
            </w:r>
          </w:p>
        </w:tc>
        <w:tc>
          <w:tcPr>
            <w:tcW w:w="599" w:type="pct"/>
            <w:tcBorders>
              <w:top w:val="nil"/>
              <w:left w:val="nil"/>
              <w:bottom w:val="nil"/>
              <w:right w:val="nil"/>
            </w:tcBorders>
            <w:shd w:val="clear" w:color="auto" w:fill="auto"/>
            <w:noWrap/>
            <w:vAlign w:val="center"/>
            <w:hideMark/>
          </w:tcPr>
          <w:p w14:paraId="4EBD4370" w14:textId="77777777" w:rsidR="008847E1" w:rsidRPr="00AD3BD4" w:rsidRDefault="00F91604" w:rsidP="008847E1">
            <w:pPr>
              <w:rPr>
                <w:color w:val="000000"/>
                <w:sz w:val="22"/>
                <w:szCs w:val="22"/>
              </w:rPr>
            </w:pPr>
            <w:r w:rsidRPr="00DB4445">
              <w:rPr>
                <w:color w:val="000000"/>
                <w:sz w:val="22"/>
                <w:szCs w:val="22"/>
              </w:rPr>
              <w:t>0.015</w:t>
            </w:r>
          </w:p>
        </w:tc>
      </w:tr>
      <w:tr w:rsidR="008847E1" w:rsidRPr="00AD3BD4" w14:paraId="6B4C8405" w14:textId="77777777" w:rsidTr="00DB4445">
        <w:trPr>
          <w:trHeight w:val="340"/>
        </w:trPr>
        <w:tc>
          <w:tcPr>
            <w:tcW w:w="1532" w:type="pct"/>
            <w:tcBorders>
              <w:top w:val="nil"/>
              <w:left w:val="nil"/>
              <w:bottom w:val="single" w:sz="4" w:space="0" w:color="auto"/>
              <w:right w:val="nil"/>
            </w:tcBorders>
            <w:shd w:val="clear" w:color="auto" w:fill="auto"/>
            <w:noWrap/>
            <w:vAlign w:val="center"/>
            <w:hideMark/>
          </w:tcPr>
          <w:p w14:paraId="66F88B15" w14:textId="77777777" w:rsidR="008847E1" w:rsidRPr="00AD3BD4" w:rsidRDefault="00F91604" w:rsidP="008847E1">
            <w:pPr>
              <w:rPr>
                <w:color w:val="000000"/>
                <w:sz w:val="22"/>
                <w:szCs w:val="22"/>
              </w:rPr>
            </w:pPr>
            <w:r w:rsidRPr="00DB4445">
              <w:rPr>
                <w:color w:val="000000"/>
                <w:sz w:val="22"/>
                <w:szCs w:val="22"/>
              </w:rPr>
              <w:t> </w:t>
            </w:r>
          </w:p>
        </w:tc>
        <w:tc>
          <w:tcPr>
            <w:tcW w:w="794" w:type="pct"/>
            <w:tcBorders>
              <w:top w:val="nil"/>
              <w:left w:val="nil"/>
              <w:bottom w:val="single" w:sz="4" w:space="0" w:color="auto"/>
              <w:right w:val="nil"/>
            </w:tcBorders>
            <w:shd w:val="clear" w:color="auto" w:fill="auto"/>
            <w:noWrap/>
            <w:vAlign w:val="center"/>
            <w:hideMark/>
          </w:tcPr>
          <w:p w14:paraId="67FC85BC" w14:textId="77777777" w:rsidR="008847E1" w:rsidRPr="00AD3BD4" w:rsidRDefault="00F91604" w:rsidP="008847E1">
            <w:pPr>
              <w:rPr>
                <w:color w:val="000000"/>
                <w:sz w:val="22"/>
                <w:szCs w:val="22"/>
              </w:rPr>
            </w:pPr>
            <w:r w:rsidRPr="00DB4445">
              <w:rPr>
                <w:color w:val="000000"/>
                <w:sz w:val="22"/>
                <w:szCs w:val="22"/>
              </w:rPr>
              <w:t>Yes</w:t>
            </w:r>
          </w:p>
        </w:tc>
        <w:tc>
          <w:tcPr>
            <w:tcW w:w="716" w:type="pct"/>
            <w:tcBorders>
              <w:top w:val="nil"/>
              <w:left w:val="nil"/>
              <w:bottom w:val="single" w:sz="4" w:space="0" w:color="auto"/>
              <w:right w:val="nil"/>
            </w:tcBorders>
            <w:shd w:val="clear" w:color="auto" w:fill="auto"/>
            <w:noWrap/>
            <w:vAlign w:val="center"/>
            <w:hideMark/>
          </w:tcPr>
          <w:p w14:paraId="5DA366B8" w14:textId="77777777" w:rsidR="008847E1" w:rsidRPr="00AD3BD4" w:rsidRDefault="00F91604" w:rsidP="008847E1">
            <w:pPr>
              <w:rPr>
                <w:color w:val="000000"/>
                <w:sz w:val="22"/>
                <w:szCs w:val="22"/>
              </w:rPr>
            </w:pPr>
            <w:r w:rsidRPr="00DB4445">
              <w:rPr>
                <w:color w:val="000000"/>
                <w:sz w:val="22"/>
                <w:szCs w:val="22"/>
              </w:rPr>
              <w:t>11.5</w:t>
            </w:r>
          </w:p>
        </w:tc>
        <w:tc>
          <w:tcPr>
            <w:tcW w:w="659" w:type="pct"/>
            <w:tcBorders>
              <w:top w:val="nil"/>
              <w:left w:val="nil"/>
              <w:bottom w:val="single" w:sz="4" w:space="0" w:color="auto"/>
              <w:right w:val="nil"/>
            </w:tcBorders>
            <w:shd w:val="clear" w:color="auto" w:fill="auto"/>
            <w:noWrap/>
            <w:vAlign w:val="center"/>
            <w:hideMark/>
          </w:tcPr>
          <w:p w14:paraId="60A8907C" w14:textId="77777777" w:rsidR="008847E1" w:rsidRPr="00AD3BD4" w:rsidRDefault="00F91604" w:rsidP="008847E1">
            <w:pPr>
              <w:rPr>
                <w:color w:val="000000"/>
                <w:sz w:val="22"/>
                <w:szCs w:val="22"/>
              </w:rPr>
            </w:pPr>
            <w:r w:rsidRPr="00DB4445">
              <w:rPr>
                <w:color w:val="000000"/>
                <w:sz w:val="22"/>
                <w:szCs w:val="22"/>
              </w:rPr>
              <w:t>11.8</w:t>
            </w:r>
          </w:p>
        </w:tc>
        <w:tc>
          <w:tcPr>
            <w:tcW w:w="700" w:type="pct"/>
            <w:tcBorders>
              <w:top w:val="nil"/>
              <w:left w:val="nil"/>
              <w:bottom w:val="single" w:sz="4" w:space="0" w:color="auto"/>
              <w:right w:val="nil"/>
            </w:tcBorders>
            <w:shd w:val="clear" w:color="auto" w:fill="auto"/>
            <w:noWrap/>
            <w:vAlign w:val="center"/>
            <w:hideMark/>
          </w:tcPr>
          <w:p w14:paraId="3DBBD79D" w14:textId="77777777" w:rsidR="008847E1" w:rsidRPr="00AD3BD4" w:rsidRDefault="00F91604" w:rsidP="008847E1">
            <w:pPr>
              <w:rPr>
                <w:color w:val="000000"/>
                <w:sz w:val="22"/>
                <w:szCs w:val="22"/>
              </w:rPr>
            </w:pPr>
            <w:r w:rsidRPr="00DB4445">
              <w:rPr>
                <w:color w:val="000000"/>
                <w:sz w:val="22"/>
                <w:szCs w:val="22"/>
              </w:rPr>
              <w:t>7.9</w:t>
            </w:r>
          </w:p>
        </w:tc>
        <w:tc>
          <w:tcPr>
            <w:tcW w:w="599" w:type="pct"/>
            <w:tcBorders>
              <w:top w:val="nil"/>
              <w:left w:val="nil"/>
              <w:bottom w:val="single" w:sz="4" w:space="0" w:color="auto"/>
              <w:right w:val="nil"/>
            </w:tcBorders>
            <w:shd w:val="clear" w:color="auto" w:fill="auto"/>
            <w:noWrap/>
            <w:vAlign w:val="center"/>
            <w:hideMark/>
          </w:tcPr>
          <w:p w14:paraId="6A4B7175" w14:textId="77777777" w:rsidR="008847E1" w:rsidRPr="00AD3BD4" w:rsidRDefault="00F91604" w:rsidP="008847E1">
            <w:pPr>
              <w:rPr>
                <w:color w:val="000000"/>
                <w:sz w:val="22"/>
                <w:szCs w:val="22"/>
              </w:rPr>
            </w:pPr>
            <w:r w:rsidRPr="00DB4445">
              <w:rPr>
                <w:color w:val="000000"/>
                <w:sz w:val="22"/>
                <w:szCs w:val="22"/>
              </w:rPr>
              <w:t> </w:t>
            </w:r>
          </w:p>
        </w:tc>
      </w:tr>
    </w:tbl>
    <w:p w14:paraId="7171B0F2" w14:textId="77777777" w:rsidR="0056194A" w:rsidRPr="00DB4445" w:rsidRDefault="00F91604" w:rsidP="008847E1">
      <w:pPr>
        <w:pStyle w:val="p"/>
        <w:spacing w:before="0" w:beforeAutospacing="0" w:after="0" w:afterAutospacing="0"/>
        <w:rPr>
          <w:rFonts w:ascii="Times New Roman" w:hAnsi="Times New Roman" w:cs="Times New Roman"/>
          <w:lang w:val="en-GB" w:eastAsia="ja-JP"/>
        </w:rPr>
      </w:pPr>
      <w:r w:rsidRPr="00DB4445">
        <w:rPr>
          <w:rFonts w:ascii="Times New Roman" w:hAnsi="Times New Roman" w:cs="Times New Roman"/>
          <w:lang w:val="en-GB" w:eastAsia="ja-JP"/>
        </w:rPr>
        <w:t>Abbreviation: SD Standard deviation</w:t>
      </w:r>
    </w:p>
    <w:p w14:paraId="319E1AF1" w14:textId="77777777" w:rsidR="008847E1" w:rsidRPr="00DB4445" w:rsidRDefault="00F91604" w:rsidP="008847E1">
      <w:pPr>
        <w:pStyle w:val="p"/>
        <w:spacing w:before="0" w:beforeAutospacing="0" w:after="0" w:afterAutospacing="0"/>
        <w:rPr>
          <w:rFonts w:ascii="Times New Roman" w:hAnsi="Times New Roman" w:cs="Times New Roman"/>
          <w:lang w:val="en-GB" w:eastAsia="ja-JP"/>
        </w:rPr>
      </w:pPr>
      <w:r w:rsidRPr="00DB4445">
        <w:rPr>
          <w:rFonts w:ascii="Times New Roman" w:hAnsi="Times New Roman" w:cs="Times New Roman"/>
          <w:lang w:val="en-GB" w:eastAsia="ja-JP"/>
        </w:rPr>
        <w:t>Data are % unless otherwise stated</w:t>
      </w:r>
    </w:p>
    <w:p w14:paraId="197C601A" w14:textId="77777777" w:rsidR="008847E1" w:rsidRPr="00DB4445" w:rsidRDefault="00F91604" w:rsidP="008847E1">
      <w:pPr>
        <w:pStyle w:val="p"/>
        <w:spacing w:before="0" w:beforeAutospacing="0" w:after="0" w:afterAutospacing="0"/>
        <w:rPr>
          <w:rFonts w:ascii="Times New Roman" w:hAnsi="Times New Roman" w:cs="Times New Roman"/>
          <w:lang w:val="en-GB" w:eastAsia="ja-JP"/>
        </w:rPr>
      </w:pPr>
      <w:r w:rsidRPr="00DB4445">
        <w:rPr>
          <w:rFonts w:ascii="Times New Roman" w:hAnsi="Times New Roman" w:cs="Times New Roman"/>
          <w:vertAlign w:val="superscript"/>
          <w:lang w:val="en-GB" w:eastAsia="ja-JP"/>
        </w:rPr>
        <w:t xml:space="preserve">a </w:t>
      </w:r>
      <w:r w:rsidRPr="00DB4445">
        <w:rPr>
          <w:rFonts w:ascii="Times New Roman" w:hAnsi="Times New Roman" w:cs="Times New Roman"/>
          <w:lang w:val="en-GB" w:eastAsia="ja-JP"/>
        </w:rPr>
        <w:t xml:space="preserve">P-value was calculated by Chi-squared tests and Student’s </w:t>
      </w:r>
      <w:r w:rsidRPr="00DB4445">
        <w:rPr>
          <w:rFonts w:ascii="Times New Roman" w:hAnsi="Times New Roman" w:cs="Times New Roman"/>
          <w:i/>
          <w:iCs/>
          <w:lang w:val="en-GB" w:eastAsia="ja-JP"/>
        </w:rPr>
        <w:t>t</w:t>
      </w:r>
      <w:r w:rsidRPr="00DB4445">
        <w:rPr>
          <w:rFonts w:ascii="Times New Roman" w:hAnsi="Times New Roman" w:cs="Times New Roman"/>
          <w:lang w:val="en-GB" w:eastAsia="ja-JP"/>
        </w:rPr>
        <w:t>-tests for categorical and continuous variables, respectively.</w:t>
      </w:r>
    </w:p>
    <w:p w14:paraId="537F8309" w14:textId="77777777" w:rsidR="00F10D6B" w:rsidRPr="00DB4445" w:rsidRDefault="00F10D6B" w:rsidP="008847E1">
      <w:pPr>
        <w:pStyle w:val="p"/>
        <w:spacing w:before="0" w:beforeAutospacing="0" w:after="0" w:afterAutospacing="0"/>
        <w:rPr>
          <w:rFonts w:ascii="Times New Roman" w:hAnsi="Times New Roman" w:cs="Times New Roman"/>
          <w:sz w:val="24"/>
          <w:szCs w:val="24"/>
          <w:lang w:val="en-GB"/>
        </w:rPr>
      </w:pPr>
    </w:p>
    <w:p w14:paraId="5DD2D5F2" w14:textId="77777777" w:rsidR="00F10D6B" w:rsidRPr="00DB4445" w:rsidRDefault="00F10D6B" w:rsidP="000C7A11">
      <w:pPr>
        <w:spacing w:line="480" w:lineRule="auto"/>
        <w:rPr>
          <w:b/>
          <w:bCs/>
        </w:rPr>
        <w:sectPr w:rsidR="00F10D6B" w:rsidRPr="00DB4445" w:rsidSect="002207A0">
          <w:pgSz w:w="11900" w:h="16840"/>
          <w:pgMar w:top="1440" w:right="1440" w:bottom="1440" w:left="1440" w:header="708" w:footer="708" w:gutter="0"/>
          <w:cols w:space="708"/>
          <w:docGrid w:linePitch="360"/>
        </w:sectPr>
      </w:pPr>
    </w:p>
    <w:tbl>
      <w:tblPr>
        <w:tblW w:w="0" w:type="auto"/>
        <w:tblLook w:val="04A0" w:firstRow="1" w:lastRow="0" w:firstColumn="1" w:lastColumn="0" w:noHBand="0" w:noVBand="1"/>
      </w:tblPr>
      <w:tblGrid>
        <w:gridCol w:w="2163"/>
        <w:gridCol w:w="1713"/>
        <w:gridCol w:w="977"/>
        <w:gridCol w:w="1214"/>
        <w:gridCol w:w="977"/>
        <w:gridCol w:w="1214"/>
        <w:gridCol w:w="977"/>
        <w:gridCol w:w="1214"/>
      </w:tblGrid>
      <w:tr w:rsidR="00F10D6B" w:rsidRPr="00AD3BD4" w14:paraId="475E8E42" w14:textId="77777777" w:rsidTr="000A1C65">
        <w:trPr>
          <w:trHeight w:val="320"/>
        </w:trPr>
        <w:tc>
          <w:tcPr>
            <w:tcW w:w="0" w:type="auto"/>
            <w:gridSpan w:val="8"/>
            <w:tcBorders>
              <w:top w:val="nil"/>
              <w:left w:val="nil"/>
              <w:bottom w:val="single" w:sz="4" w:space="0" w:color="auto"/>
              <w:right w:val="nil"/>
            </w:tcBorders>
            <w:shd w:val="clear" w:color="auto" w:fill="auto"/>
            <w:noWrap/>
            <w:vAlign w:val="center"/>
            <w:hideMark/>
          </w:tcPr>
          <w:p w14:paraId="7C669168" w14:textId="77777777" w:rsidR="00F10D6B" w:rsidRPr="00DB4445" w:rsidRDefault="00F10D6B">
            <w:pPr>
              <w:rPr>
                <w:color w:val="000000"/>
              </w:rPr>
            </w:pPr>
            <w:r w:rsidRPr="00AD3BD4">
              <w:rPr>
                <w:b/>
                <w:bCs/>
                <w:color w:val="000000"/>
              </w:rPr>
              <w:lastRenderedPageBreak/>
              <w:t xml:space="preserve">Table 2 </w:t>
            </w:r>
            <w:r w:rsidR="00F91604" w:rsidRPr="00DB4445">
              <w:rPr>
                <w:color w:val="000000"/>
              </w:rPr>
              <w:t>Association between anxiety or covariates and mild cognitive impairment (outcome) estimated by</w:t>
            </w:r>
          </w:p>
          <w:p w14:paraId="05E54396" w14:textId="77777777" w:rsidR="0008685C" w:rsidRPr="00DB4445" w:rsidRDefault="00F91604">
            <w:pPr>
              <w:rPr>
                <w:color w:val="000000"/>
              </w:rPr>
            </w:pPr>
            <w:r w:rsidRPr="00DB4445">
              <w:rPr>
                <w:color w:val="000000"/>
              </w:rPr>
              <w:t>multivariable logistic regression</w:t>
            </w:r>
          </w:p>
        </w:tc>
      </w:tr>
      <w:tr w:rsidR="00F10D6B" w:rsidRPr="00AD3BD4" w14:paraId="33F02D34" w14:textId="77777777" w:rsidTr="000A1C65">
        <w:trPr>
          <w:trHeight w:val="320"/>
        </w:trPr>
        <w:tc>
          <w:tcPr>
            <w:tcW w:w="0" w:type="auto"/>
            <w:tcBorders>
              <w:top w:val="nil"/>
              <w:left w:val="nil"/>
              <w:bottom w:val="nil"/>
              <w:right w:val="nil"/>
            </w:tcBorders>
            <w:shd w:val="clear" w:color="auto" w:fill="auto"/>
            <w:noWrap/>
            <w:vAlign w:val="center"/>
            <w:hideMark/>
          </w:tcPr>
          <w:p w14:paraId="11845FBB" w14:textId="77777777" w:rsidR="00F10D6B" w:rsidRPr="00AD3BD4" w:rsidRDefault="00F91604">
            <w:pPr>
              <w:rPr>
                <w:color w:val="000000"/>
                <w:sz w:val="22"/>
                <w:szCs w:val="22"/>
              </w:rPr>
            </w:pPr>
            <w:r w:rsidRPr="00DB4445">
              <w:rPr>
                <w:color w:val="000000"/>
                <w:sz w:val="22"/>
                <w:szCs w:val="22"/>
              </w:rPr>
              <w:t> </w:t>
            </w:r>
          </w:p>
        </w:tc>
        <w:tc>
          <w:tcPr>
            <w:tcW w:w="0" w:type="auto"/>
            <w:tcBorders>
              <w:top w:val="nil"/>
              <w:left w:val="nil"/>
              <w:bottom w:val="nil"/>
              <w:right w:val="nil"/>
            </w:tcBorders>
            <w:shd w:val="clear" w:color="auto" w:fill="auto"/>
            <w:noWrap/>
            <w:vAlign w:val="center"/>
            <w:hideMark/>
          </w:tcPr>
          <w:p w14:paraId="1E59560A" w14:textId="77777777" w:rsidR="00F10D6B" w:rsidRPr="00AD3BD4" w:rsidRDefault="00F91604">
            <w:pPr>
              <w:rPr>
                <w:color w:val="000000"/>
                <w:sz w:val="22"/>
                <w:szCs w:val="22"/>
              </w:rPr>
            </w:pPr>
            <w:r w:rsidRPr="00DB4445">
              <w:rPr>
                <w:color w:val="000000"/>
                <w:sz w:val="22"/>
                <w:szCs w:val="22"/>
              </w:rPr>
              <w:t> </w:t>
            </w:r>
          </w:p>
        </w:tc>
        <w:tc>
          <w:tcPr>
            <w:tcW w:w="0" w:type="auto"/>
            <w:tcBorders>
              <w:top w:val="nil"/>
              <w:left w:val="nil"/>
              <w:bottom w:val="nil"/>
              <w:right w:val="nil"/>
            </w:tcBorders>
            <w:shd w:val="clear" w:color="auto" w:fill="auto"/>
            <w:noWrap/>
            <w:vAlign w:val="center"/>
            <w:hideMark/>
          </w:tcPr>
          <w:p w14:paraId="64466D96" w14:textId="77777777" w:rsidR="00F10D6B" w:rsidRPr="00AD3BD4" w:rsidRDefault="00F91604">
            <w:pPr>
              <w:rPr>
                <w:color w:val="000000"/>
                <w:sz w:val="22"/>
                <w:szCs w:val="22"/>
              </w:rPr>
            </w:pPr>
            <w:r w:rsidRPr="00DB4445">
              <w:rPr>
                <w:color w:val="000000"/>
                <w:sz w:val="22"/>
                <w:szCs w:val="22"/>
              </w:rPr>
              <w:t>Model 1</w:t>
            </w:r>
          </w:p>
        </w:tc>
        <w:tc>
          <w:tcPr>
            <w:tcW w:w="0" w:type="auto"/>
            <w:tcBorders>
              <w:top w:val="nil"/>
              <w:left w:val="nil"/>
              <w:bottom w:val="nil"/>
              <w:right w:val="nil"/>
            </w:tcBorders>
            <w:shd w:val="clear" w:color="auto" w:fill="auto"/>
            <w:noWrap/>
            <w:vAlign w:val="center"/>
            <w:hideMark/>
          </w:tcPr>
          <w:p w14:paraId="7CE6F6EB" w14:textId="77777777" w:rsidR="00F10D6B" w:rsidRPr="00AD3BD4" w:rsidRDefault="00F91604">
            <w:pPr>
              <w:rPr>
                <w:color w:val="000000"/>
                <w:sz w:val="22"/>
                <w:szCs w:val="22"/>
              </w:rPr>
            </w:pPr>
            <w:r w:rsidRPr="00DB4445">
              <w:rPr>
                <w:color w:val="000000"/>
                <w:sz w:val="22"/>
                <w:szCs w:val="22"/>
              </w:rPr>
              <w:t> </w:t>
            </w:r>
          </w:p>
        </w:tc>
        <w:tc>
          <w:tcPr>
            <w:tcW w:w="0" w:type="auto"/>
            <w:tcBorders>
              <w:top w:val="nil"/>
              <w:left w:val="nil"/>
              <w:bottom w:val="nil"/>
              <w:right w:val="nil"/>
            </w:tcBorders>
            <w:shd w:val="clear" w:color="auto" w:fill="auto"/>
            <w:noWrap/>
            <w:vAlign w:val="center"/>
            <w:hideMark/>
          </w:tcPr>
          <w:p w14:paraId="439B96FF" w14:textId="77777777" w:rsidR="00F10D6B" w:rsidRPr="00AD3BD4" w:rsidRDefault="00F91604">
            <w:pPr>
              <w:rPr>
                <w:color w:val="000000"/>
                <w:sz w:val="22"/>
                <w:szCs w:val="22"/>
              </w:rPr>
            </w:pPr>
            <w:r w:rsidRPr="00DB4445">
              <w:rPr>
                <w:color w:val="000000"/>
                <w:sz w:val="22"/>
                <w:szCs w:val="22"/>
              </w:rPr>
              <w:t>Model 2</w:t>
            </w:r>
          </w:p>
        </w:tc>
        <w:tc>
          <w:tcPr>
            <w:tcW w:w="0" w:type="auto"/>
            <w:tcBorders>
              <w:top w:val="nil"/>
              <w:left w:val="nil"/>
              <w:bottom w:val="nil"/>
              <w:right w:val="nil"/>
            </w:tcBorders>
            <w:shd w:val="clear" w:color="auto" w:fill="auto"/>
            <w:noWrap/>
            <w:vAlign w:val="center"/>
            <w:hideMark/>
          </w:tcPr>
          <w:p w14:paraId="42FC97C4" w14:textId="77777777" w:rsidR="00F10D6B" w:rsidRPr="00AD3BD4" w:rsidRDefault="00F91604">
            <w:pPr>
              <w:rPr>
                <w:color w:val="000000"/>
                <w:sz w:val="22"/>
                <w:szCs w:val="22"/>
              </w:rPr>
            </w:pPr>
            <w:r w:rsidRPr="00DB4445">
              <w:rPr>
                <w:color w:val="000000"/>
                <w:sz w:val="22"/>
                <w:szCs w:val="22"/>
              </w:rPr>
              <w:t> </w:t>
            </w:r>
          </w:p>
        </w:tc>
        <w:tc>
          <w:tcPr>
            <w:tcW w:w="0" w:type="auto"/>
            <w:tcBorders>
              <w:top w:val="nil"/>
              <w:left w:val="nil"/>
              <w:bottom w:val="nil"/>
              <w:right w:val="nil"/>
            </w:tcBorders>
            <w:shd w:val="clear" w:color="auto" w:fill="auto"/>
            <w:noWrap/>
            <w:vAlign w:val="center"/>
            <w:hideMark/>
          </w:tcPr>
          <w:p w14:paraId="6F571FF4" w14:textId="77777777" w:rsidR="00F10D6B" w:rsidRPr="00AD3BD4" w:rsidRDefault="00F91604">
            <w:pPr>
              <w:rPr>
                <w:color w:val="000000"/>
                <w:sz w:val="22"/>
                <w:szCs w:val="22"/>
              </w:rPr>
            </w:pPr>
            <w:r w:rsidRPr="00DB4445">
              <w:rPr>
                <w:color w:val="000000"/>
                <w:sz w:val="22"/>
                <w:szCs w:val="22"/>
              </w:rPr>
              <w:t>Model 3</w:t>
            </w:r>
          </w:p>
        </w:tc>
        <w:tc>
          <w:tcPr>
            <w:tcW w:w="0" w:type="auto"/>
            <w:tcBorders>
              <w:top w:val="nil"/>
              <w:left w:val="nil"/>
              <w:bottom w:val="nil"/>
              <w:right w:val="nil"/>
            </w:tcBorders>
            <w:shd w:val="clear" w:color="auto" w:fill="auto"/>
            <w:noWrap/>
            <w:vAlign w:val="center"/>
            <w:hideMark/>
          </w:tcPr>
          <w:p w14:paraId="7C71C71A" w14:textId="77777777" w:rsidR="00F10D6B" w:rsidRPr="00AD3BD4" w:rsidRDefault="00F91604">
            <w:pPr>
              <w:rPr>
                <w:color w:val="000000"/>
                <w:sz w:val="22"/>
                <w:szCs w:val="22"/>
              </w:rPr>
            </w:pPr>
            <w:r w:rsidRPr="00DB4445">
              <w:rPr>
                <w:color w:val="000000"/>
                <w:sz w:val="22"/>
                <w:szCs w:val="22"/>
              </w:rPr>
              <w:t> </w:t>
            </w:r>
          </w:p>
        </w:tc>
      </w:tr>
      <w:tr w:rsidR="00F10D6B" w:rsidRPr="00AD3BD4" w14:paraId="5B151DDC" w14:textId="77777777" w:rsidTr="000A1C65">
        <w:trPr>
          <w:trHeight w:val="340"/>
        </w:trPr>
        <w:tc>
          <w:tcPr>
            <w:tcW w:w="0" w:type="auto"/>
            <w:tcBorders>
              <w:top w:val="nil"/>
              <w:left w:val="nil"/>
              <w:bottom w:val="double" w:sz="6" w:space="0" w:color="auto"/>
              <w:right w:val="nil"/>
            </w:tcBorders>
            <w:shd w:val="clear" w:color="auto" w:fill="auto"/>
            <w:noWrap/>
            <w:vAlign w:val="center"/>
            <w:hideMark/>
          </w:tcPr>
          <w:p w14:paraId="2002E801" w14:textId="77777777" w:rsidR="00F10D6B" w:rsidRPr="00AD3BD4" w:rsidRDefault="00F91604">
            <w:pPr>
              <w:rPr>
                <w:color w:val="000000"/>
                <w:sz w:val="22"/>
                <w:szCs w:val="22"/>
              </w:rPr>
            </w:pPr>
            <w:r w:rsidRPr="00DB4445">
              <w:rPr>
                <w:color w:val="000000"/>
                <w:sz w:val="22"/>
                <w:szCs w:val="22"/>
              </w:rPr>
              <w:t>Characteristic</w:t>
            </w:r>
          </w:p>
        </w:tc>
        <w:tc>
          <w:tcPr>
            <w:tcW w:w="0" w:type="auto"/>
            <w:tcBorders>
              <w:top w:val="nil"/>
              <w:left w:val="nil"/>
              <w:bottom w:val="double" w:sz="6" w:space="0" w:color="auto"/>
              <w:right w:val="nil"/>
            </w:tcBorders>
            <w:shd w:val="clear" w:color="auto" w:fill="auto"/>
            <w:noWrap/>
            <w:vAlign w:val="center"/>
            <w:hideMark/>
          </w:tcPr>
          <w:p w14:paraId="2A8B261D" w14:textId="77777777" w:rsidR="00F10D6B" w:rsidRPr="00AD3BD4" w:rsidRDefault="00F91604">
            <w:pPr>
              <w:rPr>
                <w:color w:val="000000"/>
                <w:sz w:val="22"/>
                <w:szCs w:val="22"/>
              </w:rPr>
            </w:pPr>
            <w:r w:rsidRPr="00DB4445">
              <w:rPr>
                <w:color w:val="000000"/>
                <w:sz w:val="22"/>
                <w:szCs w:val="22"/>
              </w:rPr>
              <w:t> </w:t>
            </w:r>
          </w:p>
        </w:tc>
        <w:tc>
          <w:tcPr>
            <w:tcW w:w="0" w:type="auto"/>
            <w:tcBorders>
              <w:top w:val="nil"/>
              <w:left w:val="nil"/>
              <w:bottom w:val="double" w:sz="6" w:space="0" w:color="auto"/>
              <w:right w:val="nil"/>
            </w:tcBorders>
            <w:shd w:val="clear" w:color="auto" w:fill="auto"/>
            <w:noWrap/>
            <w:vAlign w:val="center"/>
            <w:hideMark/>
          </w:tcPr>
          <w:p w14:paraId="3741DF68" w14:textId="77777777" w:rsidR="00F10D6B" w:rsidRPr="00AD3BD4" w:rsidRDefault="00F91604">
            <w:pPr>
              <w:rPr>
                <w:color w:val="000000"/>
                <w:sz w:val="22"/>
                <w:szCs w:val="22"/>
              </w:rPr>
            </w:pPr>
            <w:r w:rsidRPr="00DB4445">
              <w:rPr>
                <w:color w:val="000000"/>
                <w:sz w:val="22"/>
                <w:szCs w:val="22"/>
              </w:rPr>
              <w:t>OR</w:t>
            </w:r>
          </w:p>
        </w:tc>
        <w:tc>
          <w:tcPr>
            <w:tcW w:w="0" w:type="auto"/>
            <w:tcBorders>
              <w:top w:val="nil"/>
              <w:left w:val="nil"/>
              <w:bottom w:val="double" w:sz="6" w:space="0" w:color="auto"/>
              <w:right w:val="nil"/>
            </w:tcBorders>
            <w:shd w:val="clear" w:color="auto" w:fill="auto"/>
            <w:noWrap/>
            <w:vAlign w:val="center"/>
            <w:hideMark/>
          </w:tcPr>
          <w:p w14:paraId="75246D73" w14:textId="77777777" w:rsidR="00F10D6B" w:rsidRPr="00AD3BD4" w:rsidRDefault="00F91604">
            <w:pPr>
              <w:rPr>
                <w:color w:val="000000"/>
                <w:sz w:val="22"/>
                <w:szCs w:val="22"/>
              </w:rPr>
            </w:pPr>
            <w:r w:rsidRPr="00DB4445">
              <w:rPr>
                <w:color w:val="000000"/>
                <w:sz w:val="22"/>
                <w:szCs w:val="22"/>
              </w:rPr>
              <w:t>95%CI</w:t>
            </w:r>
          </w:p>
        </w:tc>
        <w:tc>
          <w:tcPr>
            <w:tcW w:w="0" w:type="auto"/>
            <w:tcBorders>
              <w:top w:val="nil"/>
              <w:left w:val="nil"/>
              <w:bottom w:val="double" w:sz="6" w:space="0" w:color="auto"/>
              <w:right w:val="nil"/>
            </w:tcBorders>
            <w:shd w:val="clear" w:color="auto" w:fill="auto"/>
            <w:noWrap/>
            <w:vAlign w:val="center"/>
            <w:hideMark/>
          </w:tcPr>
          <w:p w14:paraId="1187B85C" w14:textId="77777777" w:rsidR="00F10D6B" w:rsidRPr="00AD3BD4" w:rsidRDefault="00F91604">
            <w:pPr>
              <w:rPr>
                <w:color w:val="000000"/>
                <w:sz w:val="22"/>
                <w:szCs w:val="22"/>
              </w:rPr>
            </w:pPr>
            <w:r w:rsidRPr="00DB4445">
              <w:rPr>
                <w:color w:val="000000"/>
                <w:sz w:val="22"/>
                <w:szCs w:val="22"/>
              </w:rPr>
              <w:t>OR</w:t>
            </w:r>
          </w:p>
        </w:tc>
        <w:tc>
          <w:tcPr>
            <w:tcW w:w="0" w:type="auto"/>
            <w:tcBorders>
              <w:top w:val="nil"/>
              <w:left w:val="nil"/>
              <w:bottom w:val="double" w:sz="6" w:space="0" w:color="auto"/>
              <w:right w:val="nil"/>
            </w:tcBorders>
            <w:shd w:val="clear" w:color="auto" w:fill="auto"/>
            <w:noWrap/>
            <w:vAlign w:val="center"/>
            <w:hideMark/>
          </w:tcPr>
          <w:p w14:paraId="1EB86456" w14:textId="77777777" w:rsidR="00F10D6B" w:rsidRPr="00AD3BD4" w:rsidRDefault="00F91604">
            <w:pPr>
              <w:rPr>
                <w:color w:val="000000"/>
                <w:sz w:val="22"/>
                <w:szCs w:val="22"/>
              </w:rPr>
            </w:pPr>
            <w:r w:rsidRPr="00DB4445">
              <w:rPr>
                <w:color w:val="000000"/>
                <w:sz w:val="22"/>
                <w:szCs w:val="22"/>
              </w:rPr>
              <w:t>95%CI</w:t>
            </w:r>
          </w:p>
        </w:tc>
        <w:tc>
          <w:tcPr>
            <w:tcW w:w="0" w:type="auto"/>
            <w:tcBorders>
              <w:top w:val="nil"/>
              <w:left w:val="nil"/>
              <w:bottom w:val="double" w:sz="6" w:space="0" w:color="auto"/>
              <w:right w:val="nil"/>
            </w:tcBorders>
            <w:shd w:val="clear" w:color="auto" w:fill="auto"/>
            <w:noWrap/>
            <w:vAlign w:val="center"/>
            <w:hideMark/>
          </w:tcPr>
          <w:p w14:paraId="22EDF296" w14:textId="77777777" w:rsidR="00F10D6B" w:rsidRPr="00AD3BD4" w:rsidRDefault="00F91604">
            <w:pPr>
              <w:rPr>
                <w:color w:val="000000"/>
                <w:sz w:val="22"/>
                <w:szCs w:val="22"/>
              </w:rPr>
            </w:pPr>
            <w:r w:rsidRPr="00DB4445">
              <w:rPr>
                <w:color w:val="000000"/>
                <w:sz w:val="22"/>
                <w:szCs w:val="22"/>
              </w:rPr>
              <w:t>OR</w:t>
            </w:r>
          </w:p>
        </w:tc>
        <w:tc>
          <w:tcPr>
            <w:tcW w:w="0" w:type="auto"/>
            <w:tcBorders>
              <w:top w:val="nil"/>
              <w:left w:val="nil"/>
              <w:bottom w:val="double" w:sz="6" w:space="0" w:color="auto"/>
              <w:right w:val="nil"/>
            </w:tcBorders>
            <w:shd w:val="clear" w:color="auto" w:fill="auto"/>
            <w:noWrap/>
            <w:vAlign w:val="center"/>
            <w:hideMark/>
          </w:tcPr>
          <w:p w14:paraId="1D8038F0" w14:textId="77777777" w:rsidR="00F10D6B" w:rsidRPr="00AD3BD4" w:rsidRDefault="00F91604">
            <w:pPr>
              <w:rPr>
                <w:color w:val="000000"/>
                <w:sz w:val="22"/>
                <w:szCs w:val="22"/>
              </w:rPr>
            </w:pPr>
            <w:r w:rsidRPr="00DB4445">
              <w:rPr>
                <w:color w:val="000000"/>
                <w:sz w:val="22"/>
                <w:szCs w:val="22"/>
              </w:rPr>
              <w:t>95%CI</w:t>
            </w:r>
          </w:p>
        </w:tc>
      </w:tr>
      <w:tr w:rsidR="00F10D6B" w:rsidRPr="00AD3BD4" w14:paraId="73BAD275" w14:textId="77777777" w:rsidTr="000A1C65">
        <w:trPr>
          <w:trHeight w:val="340"/>
        </w:trPr>
        <w:tc>
          <w:tcPr>
            <w:tcW w:w="0" w:type="auto"/>
            <w:tcBorders>
              <w:top w:val="nil"/>
              <w:left w:val="nil"/>
              <w:bottom w:val="nil"/>
              <w:right w:val="nil"/>
            </w:tcBorders>
            <w:shd w:val="clear" w:color="auto" w:fill="auto"/>
            <w:noWrap/>
            <w:vAlign w:val="center"/>
            <w:hideMark/>
          </w:tcPr>
          <w:p w14:paraId="5427767C" w14:textId="77777777" w:rsidR="00F10D6B" w:rsidRPr="00DB4445" w:rsidRDefault="00F91604">
            <w:pPr>
              <w:rPr>
                <w:color w:val="000000"/>
                <w:sz w:val="22"/>
                <w:szCs w:val="22"/>
              </w:rPr>
            </w:pPr>
            <w:r w:rsidRPr="00DB4445">
              <w:rPr>
                <w:color w:val="000000"/>
                <w:sz w:val="22"/>
                <w:szCs w:val="22"/>
              </w:rPr>
              <w:t>Anxiety</w:t>
            </w:r>
          </w:p>
        </w:tc>
        <w:tc>
          <w:tcPr>
            <w:tcW w:w="0" w:type="auto"/>
            <w:tcBorders>
              <w:top w:val="nil"/>
              <w:left w:val="nil"/>
              <w:bottom w:val="nil"/>
              <w:right w:val="nil"/>
            </w:tcBorders>
            <w:shd w:val="clear" w:color="auto" w:fill="auto"/>
            <w:noWrap/>
            <w:vAlign w:val="center"/>
            <w:hideMark/>
          </w:tcPr>
          <w:p w14:paraId="08F94CAA" w14:textId="77777777" w:rsidR="00F10D6B" w:rsidRPr="00AD3BD4" w:rsidRDefault="00F10D6B">
            <w:pPr>
              <w:rPr>
                <w:color w:val="000000"/>
                <w:sz w:val="22"/>
                <w:szCs w:val="22"/>
              </w:rPr>
            </w:pPr>
            <w:r w:rsidRPr="00AD3BD4">
              <w:rPr>
                <w:color w:val="000000"/>
                <w:sz w:val="22"/>
                <w:szCs w:val="22"/>
              </w:rPr>
              <w:t>Yes vs. No</w:t>
            </w:r>
          </w:p>
        </w:tc>
        <w:tc>
          <w:tcPr>
            <w:tcW w:w="0" w:type="auto"/>
            <w:tcBorders>
              <w:top w:val="nil"/>
              <w:left w:val="nil"/>
              <w:bottom w:val="nil"/>
              <w:right w:val="nil"/>
            </w:tcBorders>
            <w:shd w:val="clear" w:color="auto" w:fill="auto"/>
            <w:noWrap/>
            <w:vAlign w:val="center"/>
            <w:hideMark/>
          </w:tcPr>
          <w:p w14:paraId="5EFED286" w14:textId="77777777" w:rsidR="00F10D6B" w:rsidRPr="00AD3BD4" w:rsidRDefault="00F91604">
            <w:pPr>
              <w:rPr>
                <w:color w:val="000000"/>
                <w:sz w:val="22"/>
                <w:szCs w:val="22"/>
              </w:rPr>
            </w:pPr>
            <w:r w:rsidRPr="00DB4445">
              <w:rPr>
                <w:color w:val="000000"/>
                <w:sz w:val="22"/>
                <w:szCs w:val="22"/>
              </w:rPr>
              <w:t>1.95***</w:t>
            </w:r>
          </w:p>
        </w:tc>
        <w:tc>
          <w:tcPr>
            <w:tcW w:w="0" w:type="auto"/>
            <w:tcBorders>
              <w:top w:val="nil"/>
              <w:left w:val="nil"/>
              <w:bottom w:val="nil"/>
              <w:right w:val="nil"/>
            </w:tcBorders>
            <w:shd w:val="clear" w:color="auto" w:fill="auto"/>
            <w:noWrap/>
            <w:vAlign w:val="center"/>
            <w:hideMark/>
          </w:tcPr>
          <w:p w14:paraId="70DF446E" w14:textId="77777777" w:rsidR="00F10D6B" w:rsidRPr="00AD3BD4" w:rsidRDefault="00F91604">
            <w:pPr>
              <w:rPr>
                <w:color w:val="000000"/>
                <w:sz w:val="22"/>
                <w:szCs w:val="22"/>
              </w:rPr>
            </w:pPr>
            <w:r w:rsidRPr="00DB4445">
              <w:rPr>
                <w:color w:val="000000"/>
                <w:sz w:val="22"/>
                <w:szCs w:val="22"/>
              </w:rPr>
              <w:t>[1.45,2.61]</w:t>
            </w:r>
          </w:p>
        </w:tc>
        <w:tc>
          <w:tcPr>
            <w:tcW w:w="0" w:type="auto"/>
            <w:tcBorders>
              <w:top w:val="nil"/>
              <w:left w:val="nil"/>
              <w:bottom w:val="nil"/>
              <w:right w:val="nil"/>
            </w:tcBorders>
            <w:shd w:val="clear" w:color="auto" w:fill="auto"/>
            <w:noWrap/>
            <w:vAlign w:val="center"/>
            <w:hideMark/>
          </w:tcPr>
          <w:p w14:paraId="4051236D" w14:textId="77777777" w:rsidR="00F10D6B" w:rsidRPr="00AD3BD4" w:rsidRDefault="00F91604">
            <w:pPr>
              <w:rPr>
                <w:color w:val="000000"/>
                <w:sz w:val="22"/>
                <w:szCs w:val="22"/>
              </w:rPr>
            </w:pPr>
            <w:r w:rsidRPr="00DB4445">
              <w:rPr>
                <w:color w:val="000000"/>
                <w:sz w:val="22"/>
                <w:szCs w:val="22"/>
              </w:rPr>
              <w:t>1.92***</w:t>
            </w:r>
          </w:p>
        </w:tc>
        <w:tc>
          <w:tcPr>
            <w:tcW w:w="0" w:type="auto"/>
            <w:tcBorders>
              <w:top w:val="nil"/>
              <w:left w:val="nil"/>
              <w:bottom w:val="nil"/>
              <w:right w:val="nil"/>
            </w:tcBorders>
            <w:shd w:val="clear" w:color="auto" w:fill="auto"/>
            <w:noWrap/>
            <w:vAlign w:val="center"/>
            <w:hideMark/>
          </w:tcPr>
          <w:p w14:paraId="03C8E2FE" w14:textId="77777777" w:rsidR="00F10D6B" w:rsidRPr="00AD3BD4" w:rsidRDefault="00F91604">
            <w:pPr>
              <w:rPr>
                <w:color w:val="000000"/>
                <w:sz w:val="22"/>
                <w:szCs w:val="22"/>
              </w:rPr>
            </w:pPr>
            <w:r w:rsidRPr="00DB4445">
              <w:rPr>
                <w:color w:val="000000"/>
                <w:sz w:val="22"/>
                <w:szCs w:val="22"/>
              </w:rPr>
              <w:t>[1.44,2.58]</w:t>
            </w:r>
          </w:p>
        </w:tc>
        <w:tc>
          <w:tcPr>
            <w:tcW w:w="0" w:type="auto"/>
            <w:tcBorders>
              <w:top w:val="nil"/>
              <w:left w:val="nil"/>
              <w:bottom w:val="nil"/>
              <w:right w:val="nil"/>
            </w:tcBorders>
            <w:shd w:val="clear" w:color="auto" w:fill="auto"/>
            <w:noWrap/>
            <w:vAlign w:val="center"/>
            <w:hideMark/>
          </w:tcPr>
          <w:p w14:paraId="4CB8EE4F" w14:textId="77777777" w:rsidR="00F10D6B" w:rsidRPr="00AD3BD4" w:rsidRDefault="00F91604">
            <w:pPr>
              <w:rPr>
                <w:color w:val="000000"/>
                <w:sz w:val="22"/>
                <w:szCs w:val="22"/>
              </w:rPr>
            </w:pPr>
            <w:r w:rsidRPr="00DB4445">
              <w:rPr>
                <w:color w:val="000000"/>
                <w:sz w:val="22"/>
                <w:szCs w:val="22"/>
              </w:rPr>
              <w:t>1.91***</w:t>
            </w:r>
          </w:p>
        </w:tc>
        <w:tc>
          <w:tcPr>
            <w:tcW w:w="0" w:type="auto"/>
            <w:tcBorders>
              <w:top w:val="nil"/>
              <w:left w:val="nil"/>
              <w:bottom w:val="nil"/>
              <w:right w:val="nil"/>
            </w:tcBorders>
            <w:shd w:val="clear" w:color="auto" w:fill="auto"/>
            <w:noWrap/>
            <w:vAlign w:val="center"/>
            <w:hideMark/>
          </w:tcPr>
          <w:p w14:paraId="6D9B23D7" w14:textId="77777777" w:rsidR="00F10D6B" w:rsidRPr="00AD3BD4" w:rsidRDefault="00F91604">
            <w:pPr>
              <w:rPr>
                <w:color w:val="000000"/>
                <w:sz w:val="22"/>
                <w:szCs w:val="22"/>
              </w:rPr>
            </w:pPr>
            <w:r w:rsidRPr="00DB4445">
              <w:rPr>
                <w:color w:val="000000"/>
                <w:sz w:val="22"/>
                <w:szCs w:val="22"/>
              </w:rPr>
              <w:t>[1.37,2.66]</w:t>
            </w:r>
          </w:p>
        </w:tc>
      </w:tr>
      <w:tr w:rsidR="00F10D6B" w:rsidRPr="00AD3BD4" w14:paraId="2ECC48CA" w14:textId="77777777" w:rsidTr="000A1C65">
        <w:trPr>
          <w:trHeight w:val="320"/>
        </w:trPr>
        <w:tc>
          <w:tcPr>
            <w:tcW w:w="0" w:type="auto"/>
            <w:tcBorders>
              <w:top w:val="nil"/>
              <w:left w:val="nil"/>
              <w:bottom w:val="nil"/>
              <w:right w:val="nil"/>
            </w:tcBorders>
            <w:shd w:val="clear" w:color="auto" w:fill="auto"/>
            <w:noWrap/>
            <w:vAlign w:val="center"/>
            <w:hideMark/>
          </w:tcPr>
          <w:p w14:paraId="6128CD4F" w14:textId="77777777" w:rsidR="00F10D6B" w:rsidRPr="00AD3BD4" w:rsidRDefault="00F91604">
            <w:pPr>
              <w:rPr>
                <w:color w:val="000000"/>
                <w:sz w:val="22"/>
                <w:szCs w:val="22"/>
              </w:rPr>
            </w:pPr>
            <w:r w:rsidRPr="00DB4445">
              <w:rPr>
                <w:color w:val="000000"/>
                <w:sz w:val="22"/>
                <w:szCs w:val="22"/>
              </w:rPr>
              <w:t>Age (years)</w:t>
            </w:r>
          </w:p>
        </w:tc>
        <w:tc>
          <w:tcPr>
            <w:tcW w:w="0" w:type="auto"/>
            <w:tcBorders>
              <w:top w:val="nil"/>
              <w:left w:val="nil"/>
              <w:bottom w:val="nil"/>
              <w:right w:val="nil"/>
            </w:tcBorders>
            <w:shd w:val="clear" w:color="auto" w:fill="auto"/>
            <w:noWrap/>
            <w:vAlign w:val="center"/>
            <w:hideMark/>
          </w:tcPr>
          <w:p w14:paraId="755944CF" w14:textId="77777777" w:rsidR="00F10D6B" w:rsidRPr="00AD3BD4" w:rsidRDefault="00F10D6B">
            <w:pPr>
              <w:rPr>
                <w:color w:val="000000"/>
                <w:sz w:val="22"/>
                <w:szCs w:val="22"/>
              </w:rPr>
            </w:pPr>
          </w:p>
        </w:tc>
        <w:tc>
          <w:tcPr>
            <w:tcW w:w="0" w:type="auto"/>
            <w:tcBorders>
              <w:top w:val="nil"/>
              <w:left w:val="nil"/>
              <w:bottom w:val="nil"/>
              <w:right w:val="nil"/>
            </w:tcBorders>
            <w:shd w:val="clear" w:color="auto" w:fill="auto"/>
            <w:noWrap/>
            <w:vAlign w:val="center"/>
            <w:hideMark/>
          </w:tcPr>
          <w:p w14:paraId="7CB1B5BA" w14:textId="77777777" w:rsidR="00F10D6B" w:rsidRPr="00AD3BD4" w:rsidRDefault="00F91604">
            <w:pPr>
              <w:rPr>
                <w:color w:val="000000"/>
                <w:sz w:val="22"/>
                <w:szCs w:val="22"/>
              </w:rPr>
            </w:pPr>
            <w:r w:rsidRPr="00DB4445">
              <w:rPr>
                <w:color w:val="000000"/>
                <w:sz w:val="22"/>
                <w:szCs w:val="22"/>
              </w:rPr>
              <w:t>1.03***</w:t>
            </w:r>
          </w:p>
        </w:tc>
        <w:tc>
          <w:tcPr>
            <w:tcW w:w="0" w:type="auto"/>
            <w:tcBorders>
              <w:top w:val="nil"/>
              <w:left w:val="nil"/>
              <w:bottom w:val="nil"/>
              <w:right w:val="nil"/>
            </w:tcBorders>
            <w:shd w:val="clear" w:color="auto" w:fill="auto"/>
            <w:noWrap/>
            <w:vAlign w:val="center"/>
            <w:hideMark/>
          </w:tcPr>
          <w:p w14:paraId="48959C94" w14:textId="77777777" w:rsidR="00F10D6B" w:rsidRPr="00AD3BD4" w:rsidRDefault="00F91604">
            <w:pPr>
              <w:rPr>
                <w:color w:val="000000"/>
                <w:sz w:val="22"/>
                <w:szCs w:val="22"/>
              </w:rPr>
            </w:pPr>
            <w:r w:rsidRPr="00DB4445">
              <w:rPr>
                <w:color w:val="000000"/>
                <w:sz w:val="22"/>
                <w:szCs w:val="22"/>
              </w:rPr>
              <w:t>[1.02,1.03]</w:t>
            </w:r>
          </w:p>
        </w:tc>
        <w:tc>
          <w:tcPr>
            <w:tcW w:w="0" w:type="auto"/>
            <w:tcBorders>
              <w:top w:val="nil"/>
              <w:left w:val="nil"/>
              <w:bottom w:val="nil"/>
              <w:right w:val="nil"/>
            </w:tcBorders>
            <w:shd w:val="clear" w:color="auto" w:fill="auto"/>
            <w:noWrap/>
            <w:vAlign w:val="center"/>
            <w:hideMark/>
          </w:tcPr>
          <w:p w14:paraId="2EA4A4EC" w14:textId="77777777" w:rsidR="00F10D6B" w:rsidRPr="00AD3BD4" w:rsidRDefault="00F91604">
            <w:pPr>
              <w:rPr>
                <w:color w:val="000000"/>
                <w:sz w:val="22"/>
                <w:szCs w:val="22"/>
              </w:rPr>
            </w:pPr>
            <w:r w:rsidRPr="00DB4445">
              <w:rPr>
                <w:color w:val="000000"/>
                <w:sz w:val="22"/>
                <w:szCs w:val="22"/>
              </w:rPr>
              <w:t>1.03***</w:t>
            </w:r>
          </w:p>
        </w:tc>
        <w:tc>
          <w:tcPr>
            <w:tcW w:w="0" w:type="auto"/>
            <w:tcBorders>
              <w:top w:val="nil"/>
              <w:left w:val="nil"/>
              <w:bottom w:val="nil"/>
              <w:right w:val="nil"/>
            </w:tcBorders>
            <w:shd w:val="clear" w:color="auto" w:fill="auto"/>
            <w:noWrap/>
            <w:vAlign w:val="center"/>
            <w:hideMark/>
          </w:tcPr>
          <w:p w14:paraId="7D57AC53" w14:textId="77777777" w:rsidR="00F10D6B" w:rsidRPr="00AD3BD4" w:rsidRDefault="00F91604">
            <w:pPr>
              <w:rPr>
                <w:color w:val="000000"/>
                <w:sz w:val="22"/>
                <w:szCs w:val="22"/>
              </w:rPr>
            </w:pPr>
            <w:r w:rsidRPr="00DB4445">
              <w:rPr>
                <w:color w:val="000000"/>
                <w:sz w:val="22"/>
                <w:szCs w:val="22"/>
              </w:rPr>
              <w:t>[1.02,1.03]</w:t>
            </w:r>
          </w:p>
        </w:tc>
        <w:tc>
          <w:tcPr>
            <w:tcW w:w="0" w:type="auto"/>
            <w:tcBorders>
              <w:top w:val="nil"/>
              <w:left w:val="nil"/>
              <w:bottom w:val="nil"/>
              <w:right w:val="nil"/>
            </w:tcBorders>
            <w:shd w:val="clear" w:color="auto" w:fill="auto"/>
            <w:noWrap/>
            <w:vAlign w:val="center"/>
            <w:hideMark/>
          </w:tcPr>
          <w:p w14:paraId="277AEE01" w14:textId="77777777" w:rsidR="00F10D6B" w:rsidRPr="00AD3BD4" w:rsidRDefault="00F91604">
            <w:pPr>
              <w:rPr>
                <w:color w:val="000000"/>
                <w:sz w:val="22"/>
                <w:szCs w:val="22"/>
              </w:rPr>
            </w:pPr>
            <w:r w:rsidRPr="00DB4445">
              <w:rPr>
                <w:color w:val="000000"/>
                <w:sz w:val="22"/>
                <w:szCs w:val="22"/>
              </w:rPr>
              <w:t>1.02***</w:t>
            </w:r>
          </w:p>
        </w:tc>
        <w:tc>
          <w:tcPr>
            <w:tcW w:w="0" w:type="auto"/>
            <w:tcBorders>
              <w:top w:val="nil"/>
              <w:left w:val="nil"/>
              <w:bottom w:val="nil"/>
              <w:right w:val="nil"/>
            </w:tcBorders>
            <w:shd w:val="clear" w:color="auto" w:fill="auto"/>
            <w:noWrap/>
            <w:vAlign w:val="center"/>
            <w:hideMark/>
          </w:tcPr>
          <w:p w14:paraId="32096DF6" w14:textId="77777777" w:rsidR="00F10D6B" w:rsidRPr="00AD3BD4" w:rsidRDefault="00F91604">
            <w:pPr>
              <w:rPr>
                <w:color w:val="000000"/>
                <w:sz w:val="22"/>
                <w:szCs w:val="22"/>
              </w:rPr>
            </w:pPr>
            <w:r w:rsidRPr="00DB4445">
              <w:rPr>
                <w:color w:val="000000"/>
                <w:sz w:val="22"/>
                <w:szCs w:val="22"/>
              </w:rPr>
              <w:t>[1.02,1.03]</w:t>
            </w:r>
          </w:p>
        </w:tc>
      </w:tr>
      <w:tr w:rsidR="00F10D6B" w:rsidRPr="00AD3BD4" w14:paraId="56B163CC" w14:textId="77777777" w:rsidTr="000A1C65">
        <w:trPr>
          <w:trHeight w:val="320"/>
        </w:trPr>
        <w:tc>
          <w:tcPr>
            <w:tcW w:w="0" w:type="auto"/>
            <w:tcBorders>
              <w:top w:val="nil"/>
              <w:left w:val="nil"/>
              <w:bottom w:val="nil"/>
              <w:right w:val="nil"/>
            </w:tcBorders>
            <w:shd w:val="clear" w:color="auto" w:fill="auto"/>
            <w:noWrap/>
            <w:vAlign w:val="center"/>
            <w:hideMark/>
          </w:tcPr>
          <w:p w14:paraId="6E113FBA" w14:textId="77777777" w:rsidR="00F10D6B" w:rsidRPr="00AD3BD4" w:rsidRDefault="00F91604">
            <w:pPr>
              <w:rPr>
                <w:color w:val="000000"/>
                <w:sz w:val="22"/>
                <w:szCs w:val="22"/>
              </w:rPr>
            </w:pPr>
            <w:r w:rsidRPr="00DB4445">
              <w:rPr>
                <w:color w:val="000000"/>
                <w:sz w:val="22"/>
                <w:szCs w:val="22"/>
              </w:rPr>
              <w:t>Sex</w:t>
            </w:r>
          </w:p>
        </w:tc>
        <w:tc>
          <w:tcPr>
            <w:tcW w:w="0" w:type="auto"/>
            <w:tcBorders>
              <w:top w:val="nil"/>
              <w:left w:val="nil"/>
              <w:bottom w:val="nil"/>
              <w:right w:val="nil"/>
            </w:tcBorders>
            <w:shd w:val="clear" w:color="auto" w:fill="auto"/>
            <w:noWrap/>
            <w:vAlign w:val="center"/>
            <w:hideMark/>
          </w:tcPr>
          <w:p w14:paraId="26C6B450" w14:textId="77777777" w:rsidR="00F10D6B" w:rsidRPr="00AD3BD4" w:rsidRDefault="00F91604">
            <w:pPr>
              <w:rPr>
                <w:color w:val="000000"/>
                <w:sz w:val="22"/>
                <w:szCs w:val="22"/>
              </w:rPr>
            </w:pPr>
            <w:r w:rsidRPr="00DB4445">
              <w:rPr>
                <w:color w:val="000000"/>
                <w:sz w:val="22"/>
                <w:szCs w:val="22"/>
              </w:rPr>
              <w:t>Female vs. Male</w:t>
            </w:r>
          </w:p>
        </w:tc>
        <w:tc>
          <w:tcPr>
            <w:tcW w:w="0" w:type="auto"/>
            <w:tcBorders>
              <w:top w:val="nil"/>
              <w:left w:val="nil"/>
              <w:bottom w:val="nil"/>
              <w:right w:val="nil"/>
            </w:tcBorders>
            <w:shd w:val="clear" w:color="auto" w:fill="auto"/>
            <w:noWrap/>
            <w:vAlign w:val="center"/>
            <w:hideMark/>
          </w:tcPr>
          <w:p w14:paraId="300030B6" w14:textId="77777777" w:rsidR="00F10D6B" w:rsidRPr="00AD3BD4" w:rsidRDefault="00F91604">
            <w:pPr>
              <w:rPr>
                <w:color w:val="000000"/>
                <w:sz w:val="22"/>
                <w:szCs w:val="22"/>
              </w:rPr>
            </w:pPr>
            <w:r w:rsidRPr="00DB4445">
              <w:rPr>
                <w:color w:val="000000"/>
                <w:sz w:val="22"/>
                <w:szCs w:val="22"/>
              </w:rPr>
              <w:t>1.07</w:t>
            </w:r>
          </w:p>
        </w:tc>
        <w:tc>
          <w:tcPr>
            <w:tcW w:w="0" w:type="auto"/>
            <w:tcBorders>
              <w:top w:val="nil"/>
              <w:left w:val="nil"/>
              <w:bottom w:val="nil"/>
              <w:right w:val="nil"/>
            </w:tcBorders>
            <w:shd w:val="clear" w:color="auto" w:fill="auto"/>
            <w:noWrap/>
            <w:vAlign w:val="center"/>
            <w:hideMark/>
          </w:tcPr>
          <w:p w14:paraId="1259932E" w14:textId="77777777" w:rsidR="00F10D6B" w:rsidRPr="00AD3BD4" w:rsidRDefault="00F91604">
            <w:pPr>
              <w:rPr>
                <w:color w:val="000000"/>
                <w:sz w:val="22"/>
                <w:szCs w:val="22"/>
              </w:rPr>
            </w:pPr>
            <w:r w:rsidRPr="00DB4445">
              <w:rPr>
                <w:color w:val="000000"/>
                <w:sz w:val="22"/>
                <w:szCs w:val="22"/>
              </w:rPr>
              <w:t>[0.96,1.20]</w:t>
            </w:r>
          </w:p>
        </w:tc>
        <w:tc>
          <w:tcPr>
            <w:tcW w:w="0" w:type="auto"/>
            <w:tcBorders>
              <w:top w:val="nil"/>
              <w:left w:val="nil"/>
              <w:bottom w:val="nil"/>
              <w:right w:val="nil"/>
            </w:tcBorders>
            <w:shd w:val="clear" w:color="auto" w:fill="auto"/>
            <w:noWrap/>
            <w:vAlign w:val="center"/>
            <w:hideMark/>
          </w:tcPr>
          <w:p w14:paraId="1170161E" w14:textId="77777777" w:rsidR="00F10D6B" w:rsidRPr="00AD3BD4" w:rsidRDefault="00F91604">
            <w:pPr>
              <w:rPr>
                <w:color w:val="000000"/>
                <w:sz w:val="22"/>
                <w:szCs w:val="22"/>
              </w:rPr>
            </w:pPr>
            <w:r w:rsidRPr="00DB4445">
              <w:rPr>
                <w:color w:val="000000"/>
                <w:sz w:val="22"/>
                <w:szCs w:val="22"/>
              </w:rPr>
              <w:t>1.21*</w:t>
            </w:r>
          </w:p>
        </w:tc>
        <w:tc>
          <w:tcPr>
            <w:tcW w:w="0" w:type="auto"/>
            <w:tcBorders>
              <w:top w:val="nil"/>
              <w:left w:val="nil"/>
              <w:bottom w:val="nil"/>
              <w:right w:val="nil"/>
            </w:tcBorders>
            <w:shd w:val="clear" w:color="auto" w:fill="auto"/>
            <w:noWrap/>
            <w:vAlign w:val="center"/>
            <w:hideMark/>
          </w:tcPr>
          <w:p w14:paraId="140D3E8A" w14:textId="77777777" w:rsidR="00F10D6B" w:rsidRPr="00AD3BD4" w:rsidRDefault="00F91604">
            <w:pPr>
              <w:rPr>
                <w:color w:val="000000"/>
                <w:sz w:val="22"/>
                <w:szCs w:val="22"/>
              </w:rPr>
            </w:pPr>
            <w:r w:rsidRPr="00DB4445">
              <w:rPr>
                <w:color w:val="000000"/>
                <w:sz w:val="22"/>
                <w:szCs w:val="22"/>
              </w:rPr>
              <w:t>[1.03,1.43]</w:t>
            </w:r>
          </w:p>
        </w:tc>
        <w:tc>
          <w:tcPr>
            <w:tcW w:w="0" w:type="auto"/>
            <w:tcBorders>
              <w:top w:val="nil"/>
              <w:left w:val="nil"/>
              <w:bottom w:val="nil"/>
              <w:right w:val="nil"/>
            </w:tcBorders>
            <w:shd w:val="clear" w:color="auto" w:fill="auto"/>
            <w:noWrap/>
            <w:vAlign w:val="center"/>
            <w:hideMark/>
          </w:tcPr>
          <w:p w14:paraId="5B24EC1A" w14:textId="77777777" w:rsidR="00F10D6B" w:rsidRPr="00AD3BD4" w:rsidRDefault="00F91604">
            <w:pPr>
              <w:rPr>
                <w:color w:val="000000"/>
                <w:sz w:val="22"/>
                <w:szCs w:val="22"/>
              </w:rPr>
            </w:pPr>
            <w:r w:rsidRPr="00DB4445">
              <w:rPr>
                <w:color w:val="000000"/>
                <w:sz w:val="22"/>
                <w:szCs w:val="22"/>
              </w:rPr>
              <w:t>1.20*</w:t>
            </w:r>
          </w:p>
        </w:tc>
        <w:tc>
          <w:tcPr>
            <w:tcW w:w="0" w:type="auto"/>
            <w:tcBorders>
              <w:top w:val="nil"/>
              <w:left w:val="nil"/>
              <w:bottom w:val="nil"/>
              <w:right w:val="nil"/>
            </w:tcBorders>
            <w:shd w:val="clear" w:color="auto" w:fill="auto"/>
            <w:noWrap/>
            <w:vAlign w:val="center"/>
            <w:hideMark/>
          </w:tcPr>
          <w:p w14:paraId="32829596" w14:textId="77777777" w:rsidR="00F10D6B" w:rsidRPr="00AD3BD4" w:rsidRDefault="00F91604">
            <w:pPr>
              <w:rPr>
                <w:color w:val="000000"/>
                <w:sz w:val="22"/>
                <w:szCs w:val="22"/>
              </w:rPr>
            </w:pPr>
            <w:r w:rsidRPr="00DB4445">
              <w:rPr>
                <w:color w:val="000000"/>
                <w:sz w:val="22"/>
                <w:szCs w:val="22"/>
              </w:rPr>
              <w:t>[1.01,1.43]</w:t>
            </w:r>
          </w:p>
        </w:tc>
      </w:tr>
      <w:tr w:rsidR="00F10D6B" w:rsidRPr="00AD3BD4" w14:paraId="0C01F03E" w14:textId="77777777" w:rsidTr="000A1C65">
        <w:trPr>
          <w:trHeight w:val="320"/>
        </w:trPr>
        <w:tc>
          <w:tcPr>
            <w:tcW w:w="0" w:type="auto"/>
            <w:tcBorders>
              <w:top w:val="nil"/>
              <w:left w:val="nil"/>
              <w:bottom w:val="nil"/>
              <w:right w:val="nil"/>
            </w:tcBorders>
            <w:shd w:val="clear" w:color="auto" w:fill="auto"/>
            <w:noWrap/>
            <w:vAlign w:val="center"/>
            <w:hideMark/>
          </w:tcPr>
          <w:p w14:paraId="6E4E6DCF" w14:textId="77777777" w:rsidR="00F10D6B" w:rsidRPr="00AD3BD4" w:rsidRDefault="00F91604">
            <w:pPr>
              <w:rPr>
                <w:color w:val="000000"/>
                <w:sz w:val="22"/>
                <w:szCs w:val="22"/>
              </w:rPr>
            </w:pPr>
            <w:r w:rsidRPr="00DB4445">
              <w:rPr>
                <w:color w:val="000000"/>
                <w:sz w:val="22"/>
                <w:szCs w:val="22"/>
              </w:rPr>
              <w:t>Wealth</w:t>
            </w:r>
          </w:p>
        </w:tc>
        <w:tc>
          <w:tcPr>
            <w:tcW w:w="0" w:type="auto"/>
            <w:tcBorders>
              <w:top w:val="nil"/>
              <w:left w:val="nil"/>
              <w:bottom w:val="nil"/>
              <w:right w:val="nil"/>
            </w:tcBorders>
            <w:shd w:val="clear" w:color="auto" w:fill="auto"/>
            <w:noWrap/>
            <w:vAlign w:val="center"/>
            <w:hideMark/>
          </w:tcPr>
          <w:p w14:paraId="51D7A332" w14:textId="77777777" w:rsidR="00F10D6B" w:rsidRPr="00AD3BD4" w:rsidRDefault="00F91604">
            <w:pPr>
              <w:rPr>
                <w:color w:val="000000"/>
                <w:sz w:val="22"/>
                <w:szCs w:val="22"/>
              </w:rPr>
            </w:pPr>
            <w:r w:rsidRPr="00DB4445">
              <w:rPr>
                <w:color w:val="000000"/>
                <w:sz w:val="22"/>
                <w:szCs w:val="22"/>
              </w:rPr>
              <w:t>Poorest</w:t>
            </w:r>
          </w:p>
        </w:tc>
        <w:tc>
          <w:tcPr>
            <w:tcW w:w="0" w:type="auto"/>
            <w:tcBorders>
              <w:top w:val="nil"/>
              <w:left w:val="nil"/>
              <w:bottom w:val="nil"/>
              <w:right w:val="nil"/>
            </w:tcBorders>
            <w:shd w:val="clear" w:color="auto" w:fill="auto"/>
            <w:noWrap/>
            <w:vAlign w:val="center"/>
            <w:hideMark/>
          </w:tcPr>
          <w:p w14:paraId="589C9EE3" w14:textId="77777777" w:rsidR="00F10D6B" w:rsidRPr="00AD3BD4" w:rsidRDefault="00F91604">
            <w:pPr>
              <w:rPr>
                <w:color w:val="000000"/>
                <w:sz w:val="22"/>
                <w:szCs w:val="22"/>
              </w:rPr>
            </w:pPr>
            <w:r w:rsidRPr="00DB4445">
              <w:rPr>
                <w:color w:val="000000"/>
                <w:sz w:val="22"/>
                <w:szCs w:val="22"/>
              </w:rPr>
              <w:t>1.00</w:t>
            </w:r>
          </w:p>
        </w:tc>
        <w:tc>
          <w:tcPr>
            <w:tcW w:w="0" w:type="auto"/>
            <w:tcBorders>
              <w:top w:val="nil"/>
              <w:left w:val="nil"/>
              <w:bottom w:val="nil"/>
              <w:right w:val="nil"/>
            </w:tcBorders>
            <w:shd w:val="clear" w:color="auto" w:fill="auto"/>
            <w:noWrap/>
            <w:vAlign w:val="center"/>
            <w:hideMark/>
          </w:tcPr>
          <w:p w14:paraId="0B884F9F" w14:textId="77777777" w:rsidR="00F10D6B" w:rsidRPr="00AD3BD4" w:rsidRDefault="00F10D6B">
            <w:pPr>
              <w:rPr>
                <w:color w:val="000000"/>
                <w:sz w:val="22"/>
                <w:szCs w:val="22"/>
              </w:rPr>
            </w:pPr>
          </w:p>
        </w:tc>
        <w:tc>
          <w:tcPr>
            <w:tcW w:w="0" w:type="auto"/>
            <w:tcBorders>
              <w:top w:val="nil"/>
              <w:left w:val="nil"/>
              <w:bottom w:val="nil"/>
              <w:right w:val="nil"/>
            </w:tcBorders>
            <w:shd w:val="clear" w:color="auto" w:fill="auto"/>
            <w:noWrap/>
            <w:vAlign w:val="center"/>
            <w:hideMark/>
          </w:tcPr>
          <w:p w14:paraId="0763427C" w14:textId="77777777" w:rsidR="00F10D6B" w:rsidRPr="00AD3BD4" w:rsidRDefault="00F91604">
            <w:pPr>
              <w:rPr>
                <w:color w:val="000000"/>
                <w:sz w:val="22"/>
                <w:szCs w:val="22"/>
              </w:rPr>
            </w:pPr>
            <w:r w:rsidRPr="00DB4445">
              <w:rPr>
                <w:color w:val="000000"/>
                <w:sz w:val="22"/>
                <w:szCs w:val="22"/>
              </w:rPr>
              <w:t>1.00</w:t>
            </w:r>
          </w:p>
        </w:tc>
        <w:tc>
          <w:tcPr>
            <w:tcW w:w="0" w:type="auto"/>
            <w:tcBorders>
              <w:top w:val="nil"/>
              <w:left w:val="nil"/>
              <w:bottom w:val="nil"/>
              <w:right w:val="nil"/>
            </w:tcBorders>
            <w:shd w:val="clear" w:color="auto" w:fill="auto"/>
            <w:noWrap/>
            <w:vAlign w:val="center"/>
            <w:hideMark/>
          </w:tcPr>
          <w:p w14:paraId="05FA399C" w14:textId="77777777" w:rsidR="00F10D6B" w:rsidRPr="00AD3BD4" w:rsidRDefault="00F10D6B">
            <w:pPr>
              <w:rPr>
                <w:color w:val="000000"/>
                <w:sz w:val="22"/>
                <w:szCs w:val="22"/>
              </w:rPr>
            </w:pPr>
          </w:p>
        </w:tc>
        <w:tc>
          <w:tcPr>
            <w:tcW w:w="0" w:type="auto"/>
            <w:tcBorders>
              <w:top w:val="nil"/>
              <w:left w:val="nil"/>
              <w:bottom w:val="nil"/>
              <w:right w:val="nil"/>
            </w:tcBorders>
            <w:shd w:val="clear" w:color="auto" w:fill="auto"/>
            <w:noWrap/>
            <w:vAlign w:val="center"/>
            <w:hideMark/>
          </w:tcPr>
          <w:p w14:paraId="6B80CFBD" w14:textId="77777777" w:rsidR="00F10D6B" w:rsidRPr="00AD3BD4" w:rsidRDefault="00F91604">
            <w:pPr>
              <w:rPr>
                <w:color w:val="000000"/>
                <w:sz w:val="22"/>
                <w:szCs w:val="22"/>
              </w:rPr>
            </w:pPr>
            <w:r w:rsidRPr="00DB4445">
              <w:rPr>
                <w:color w:val="000000"/>
                <w:sz w:val="22"/>
                <w:szCs w:val="22"/>
              </w:rPr>
              <w:t>1.00</w:t>
            </w:r>
          </w:p>
        </w:tc>
        <w:tc>
          <w:tcPr>
            <w:tcW w:w="0" w:type="auto"/>
            <w:tcBorders>
              <w:top w:val="nil"/>
              <w:left w:val="nil"/>
              <w:bottom w:val="nil"/>
              <w:right w:val="nil"/>
            </w:tcBorders>
            <w:shd w:val="clear" w:color="auto" w:fill="auto"/>
            <w:noWrap/>
            <w:vAlign w:val="center"/>
            <w:hideMark/>
          </w:tcPr>
          <w:p w14:paraId="47AE7D19" w14:textId="77777777" w:rsidR="00F10D6B" w:rsidRPr="00AD3BD4" w:rsidRDefault="00F10D6B">
            <w:pPr>
              <w:rPr>
                <w:color w:val="000000"/>
                <w:sz w:val="22"/>
                <w:szCs w:val="22"/>
              </w:rPr>
            </w:pPr>
          </w:p>
        </w:tc>
      </w:tr>
      <w:tr w:rsidR="00F10D6B" w:rsidRPr="00AD3BD4" w14:paraId="349FEF03" w14:textId="77777777" w:rsidTr="000A1C65">
        <w:trPr>
          <w:trHeight w:val="320"/>
        </w:trPr>
        <w:tc>
          <w:tcPr>
            <w:tcW w:w="0" w:type="auto"/>
            <w:tcBorders>
              <w:top w:val="nil"/>
              <w:left w:val="nil"/>
              <w:bottom w:val="nil"/>
              <w:right w:val="nil"/>
            </w:tcBorders>
            <w:shd w:val="clear" w:color="auto" w:fill="auto"/>
            <w:noWrap/>
            <w:vAlign w:val="center"/>
            <w:hideMark/>
          </w:tcPr>
          <w:p w14:paraId="416A2AED" w14:textId="77777777" w:rsidR="00F10D6B" w:rsidRPr="00AD3BD4" w:rsidRDefault="00F10D6B">
            <w:pPr>
              <w:rPr>
                <w:sz w:val="20"/>
                <w:szCs w:val="20"/>
              </w:rPr>
            </w:pPr>
          </w:p>
        </w:tc>
        <w:tc>
          <w:tcPr>
            <w:tcW w:w="0" w:type="auto"/>
            <w:tcBorders>
              <w:top w:val="nil"/>
              <w:left w:val="nil"/>
              <w:bottom w:val="nil"/>
              <w:right w:val="nil"/>
            </w:tcBorders>
            <w:shd w:val="clear" w:color="auto" w:fill="auto"/>
            <w:noWrap/>
            <w:vAlign w:val="center"/>
            <w:hideMark/>
          </w:tcPr>
          <w:p w14:paraId="20FDACFA" w14:textId="77777777" w:rsidR="00F10D6B" w:rsidRPr="00AD3BD4" w:rsidRDefault="00F91604">
            <w:pPr>
              <w:rPr>
                <w:color w:val="000000"/>
                <w:sz w:val="22"/>
                <w:szCs w:val="22"/>
              </w:rPr>
            </w:pPr>
            <w:r w:rsidRPr="00DB4445">
              <w:rPr>
                <w:color w:val="000000"/>
                <w:sz w:val="22"/>
                <w:szCs w:val="22"/>
              </w:rPr>
              <w:t>Poorer</w:t>
            </w:r>
          </w:p>
        </w:tc>
        <w:tc>
          <w:tcPr>
            <w:tcW w:w="0" w:type="auto"/>
            <w:tcBorders>
              <w:top w:val="nil"/>
              <w:left w:val="nil"/>
              <w:bottom w:val="nil"/>
              <w:right w:val="nil"/>
            </w:tcBorders>
            <w:shd w:val="clear" w:color="auto" w:fill="auto"/>
            <w:noWrap/>
            <w:vAlign w:val="center"/>
            <w:hideMark/>
          </w:tcPr>
          <w:p w14:paraId="3EE1B55B" w14:textId="77777777" w:rsidR="00F10D6B" w:rsidRPr="00AD3BD4" w:rsidRDefault="00F91604">
            <w:pPr>
              <w:rPr>
                <w:color w:val="000000"/>
                <w:sz w:val="22"/>
                <w:szCs w:val="22"/>
              </w:rPr>
            </w:pPr>
            <w:r w:rsidRPr="00DB4445">
              <w:rPr>
                <w:color w:val="000000"/>
                <w:sz w:val="22"/>
                <w:szCs w:val="22"/>
              </w:rPr>
              <w:t>0.95</w:t>
            </w:r>
          </w:p>
        </w:tc>
        <w:tc>
          <w:tcPr>
            <w:tcW w:w="0" w:type="auto"/>
            <w:tcBorders>
              <w:top w:val="nil"/>
              <w:left w:val="nil"/>
              <w:bottom w:val="nil"/>
              <w:right w:val="nil"/>
            </w:tcBorders>
            <w:shd w:val="clear" w:color="auto" w:fill="auto"/>
            <w:noWrap/>
            <w:vAlign w:val="center"/>
            <w:hideMark/>
          </w:tcPr>
          <w:p w14:paraId="73F74949" w14:textId="77777777" w:rsidR="00F10D6B" w:rsidRPr="00AD3BD4" w:rsidRDefault="00F91604">
            <w:pPr>
              <w:rPr>
                <w:color w:val="000000"/>
                <w:sz w:val="22"/>
                <w:szCs w:val="22"/>
              </w:rPr>
            </w:pPr>
            <w:r w:rsidRPr="00DB4445">
              <w:rPr>
                <w:color w:val="000000"/>
                <w:sz w:val="22"/>
                <w:szCs w:val="22"/>
              </w:rPr>
              <w:t>[0.80,1.13]</w:t>
            </w:r>
          </w:p>
        </w:tc>
        <w:tc>
          <w:tcPr>
            <w:tcW w:w="0" w:type="auto"/>
            <w:tcBorders>
              <w:top w:val="nil"/>
              <w:left w:val="nil"/>
              <w:bottom w:val="nil"/>
              <w:right w:val="nil"/>
            </w:tcBorders>
            <w:shd w:val="clear" w:color="auto" w:fill="auto"/>
            <w:noWrap/>
            <w:vAlign w:val="center"/>
            <w:hideMark/>
          </w:tcPr>
          <w:p w14:paraId="70C35E91" w14:textId="77777777" w:rsidR="00F10D6B" w:rsidRPr="00AD3BD4" w:rsidRDefault="00F91604">
            <w:pPr>
              <w:rPr>
                <w:color w:val="000000"/>
                <w:sz w:val="22"/>
                <w:szCs w:val="22"/>
              </w:rPr>
            </w:pPr>
            <w:r w:rsidRPr="00DB4445">
              <w:rPr>
                <w:color w:val="000000"/>
                <w:sz w:val="22"/>
                <w:szCs w:val="22"/>
              </w:rPr>
              <w:t>0.95</w:t>
            </w:r>
          </w:p>
        </w:tc>
        <w:tc>
          <w:tcPr>
            <w:tcW w:w="0" w:type="auto"/>
            <w:tcBorders>
              <w:top w:val="nil"/>
              <w:left w:val="nil"/>
              <w:bottom w:val="nil"/>
              <w:right w:val="nil"/>
            </w:tcBorders>
            <w:shd w:val="clear" w:color="auto" w:fill="auto"/>
            <w:noWrap/>
            <w:vAlign w:val="center"/>
            <w:hideMark/>
          </w:tcPr>
          <w:p w14:paraId="120FD3FE" w14:textId="77777777" w:rsidR="00F10D6B" w:rsidRPr="00AD3BD4" w:rsidRDefault="00F91604">
            <w:pPr>
              <w:rPr>
                <w:color w:val="000000"/>
                <w:sz w:val="22"/>
                <w:szCs w:val="22"/>
              </w:rPr>
            </w:pPr>
            <w:r w:rsidRPr="00DB4445">
              <w:rPr>
                <w:color w:val="000000"/>
                <w:sz w:val="22"/>
                <w:szCs w:val="22"/>
              </w:rPr>
              <w:t>[0.80,1.13]</w:t>
            </w:r>
          </w:p>
        </w:tc>
        <w:tc>
          <w:tcPr>
            <w:tcW w:w="0" w:type="auto"/>
            <w:tcBorders>
              <w:top w:val="nil"/>
              <w:left w:val="nil"/>
              <w:bottom w:val="nil"/>
              <w:right w:val="nil"/>
            </w:tcBorders>
            <w:shd w:val="clear" w:color="auto" w:fill="auto"/>
            <w:noWrap/>
            <w:vAlign w:val="center"/>
            <w:hideMark/>
          </w:tcPr>
          <w:p w14:paraId="04447FBC" w14:textId="77777777" w:rsidR="00F10D6B" w:rsidRPr="00AD3BD4" w:rsidRDefault="00F91604">
            <w:pPr>
              <w:rPr>
                <w:color w:val="000000"/>
                <w:sz w:val="22"/>
                <w:szCs w:val="22"/>
              </w:rPr>
            </w:pPr>
            <w:r w:rsidRPr="00DB4445">
              <w:rPr>
                <w:color w:val="000000"/>
                <w:sz w:val="22"/>
                <w:szCs w:val="22"/>
              </w:rPr>
              <w:t>0.95</w:t>
            </w:r>
          </w:p>
        </w:tc>
        <w:tc>
          <w:tcPr>
            <w:tcW w:w="0" w:type="auto"/>
            <w:tcBorders>
              <w:top w:val="nil"/>
              <w:left w:val="nil"/>
              <w:bottom w:val="nil"/>
              <w:right w:val="nil"/>
            </w:tcBorders>
            <w:shd w:val="clear" w:color="auto" w:fill="auto"/>
            <w:noWrap/>
            <w:vAlign w:val="center"/>
            <w:hideMark/>
          </w:tcPr>
          <w:p w14:paraId="52E4F536" w14:textId="77777777" w:rsidR="00F10D6B" w:rsidRPr="00AD3BD4" w:rsidRDefault="00F91604">
            <w:pPr>
              <w:rPr>
                <w:color w:val="000000"/>
                <w:sz w:val="22"/>
                <w:szCs w:val="22"/>
              </w:rPr>
            </w:pPr>
            <w:r w:rsidRPr="00DB4445">
              <w:rPr>
                <w:color w:val="000000"/>
                <w:sz w:val="22"/>
                <w:szCs w:val="22"/>
              </w:rPr>
              <w:t>[0.80,1.12]</w:t>
            </w:r>
          </w:p>
        </w:tc>
      </w:tr>
      <w:tr w:rsidR="00F10D6B" w:rsidRPr="00AD3BD4" w14:paraId="318A3217" w14:textId="77777777" w:rsidTr="000A1C65">
        <w:trPr>
          <w:trHeight w:val="320"/>
        </w:trPr>
        <w:tc>
          <w:tcPr>
            <w:tcW w:w="0" w:type="auto"/>
            <w:tcBorders>
              <w:top w:val="nil"/>
              <w:left w:val="nil"/>
              <w:bottom w:val="nil"/>
              <w:right w:val="nil"/>
            </w:tcBorders>
            <w:shd w:val="clear" w:color="auto" w:fill="auto"/>
            <w:noWrap/>
            <w:vAlign w:val="center"/>
            <w:hideMark/>
          </w:tcPr>
          <w:p w14:paraId="76A10A1F" w14:textId="77777777" w:rsidR="00F10D6B" w:rsidRPr="00AD3BD4" w:rsidRDefault="00F10D6B">
            <w:pPr>
              <w:rPr>
                <w:color w:val="000000"/>
                <w:sz w:val="22"/>
                <w:szCs w:val="22"/>
              </w:rPr>
            </w:pPr>
          </w:p>
        </w:tc>
        <w:tc>
          <w:tcPr>
            <w:tcW w:w="0" w:type="auto"/>
            <w:tcBorders>
              <w:top w:val="nil"/>
              <w:left w:val="nil"/>
              <w:bottom w:val="nil"/>
              <w:right w:val="nil"/>
            </w:tcBorders>
            <w:shd w:val="clear" w:color="auto" w:fill="auto"/>
            <w:noWrap/>
            <w:vAlign w:val="center"/>
            <w:hideMark/>
          </w:tcPr>
          <w:p w14:paraId="1B0E44C5" w14:textId="77777777" w:rsidR="00F10D6B" w:rsidRPr="00AD3BD4" w:rsidRDefault="00F91604">
            <w:pPr>
              <w:rPr>
                <w:color w:val="000000"/>
                <w:sz w:val="22"/>
                <w:szCs w:val="22"/>
              </w:rPr>
            </w:pPr>
            <w:r w:rsidRPr="00DB4445">
              <w:rPr>
                <w:color w:val="000000"/>
                <w:sz w:val="22"/>
                <w:szCs w:val="22"/>
              </w:rPr>
              <w:t>Middle</w:t>
            </w:r>
          </w:p>
        </w:tc>
        <w:tc>
          <w:tcPr>
            <w:tcW w:w="0" w:type="auto"/>
            <w:tcBorders>
              <w:top w:val="nil"/>
              <w:left w:val="nil"/>
              <w:bottom w:val="nil"/>
              <w:right w:val="nil"/>
            </w:tcBorders>
            <w:shd w:val="clear" w:color="auto" w:fill="auto"/>
            <w:noWrap/>
            <w:vAlign w:val="center"/>
            <w:hideMark/>
          </w:tcPr>
          <w:p w14:paraId="0D70F6A3" w14:textId="77777777" w:rsidR="00F10D6B" w:rsidRPr="00AD3BD4" w:rsidRDefault="00F91604">
            <w:pPr>
              <w:rPr>
                <w:color w:val="000000"/>
                <w:sz w:val="22"/>
                <w:szCs w:val="22"/>
              </w:rPr>
            </w:pPr>
            <w:r w:rsidRPr="00DB4445">
              <w:rPr>
                <w:color w:val="000000"/>
                <w:sz w:val="22"/>
                <w:szCs w:val="22"/>
              </w:rPr>
              <w:t>1.01</w:t>
            </w:r>
          </w:p>
        </w:tc>
        <w:tc>
          <w:tcPr>
            <w:tcW w:w="0" w:type="auto"/>
            <w:tcBorders>
              <w:top w:val="nil"/>
              <w:left w:val="nil"/>
              <w:bottom w:val="nil"/>
              <w:right w:val="nil"/>
            </w:tcBorders>
            <w:shd w:val="clear" w:color="auto" w:fill="auto"/>
            <w:noWrap/>
            <w:vAlign w:val="center"/>
            <w:hideMark/>
          </w:tcPr>
          <w:p w14:paraId="41B2801D" w14:textId="77777777" w:rsidR="00F10D6B" w:rsidRPr="00AD3BD4" w:rsidRDefault="00F91604">
            <w:pPr>
              <w:rPr>
                <w:color w:val="000000"/>
                <w:sz w:val="22"/>
                <w:szCs w:val="22"/>
              </w:rPr>
            </w:pPr>
            <w:r w:rsidRPr="00DB4445">
              <w:rPr>
                <w:color w:val="000000"/>
                <w:sz w:val="22"/>
                <w:szCs w:val="22"/>
              </w:rPr>
              <w:t>[0.83,1.23]</w:t>
            </w:r>
          </w:p>
        </w:tc>
        <w:tc>
          <w:tcPr>
            <w:tcW w:w="0" w:type="auto"/>
            <w:tcBorders>
              <w:top w:val="nil"/>
              <w:left w:val="nil"/>
              <w:bottom w:val="nil"/>
              <w:right w:val="nil"/>
            </w:tcBorders>
            <w:shd w:val="clear" w:color="auto" w:fill="auto"/>
            <w:noWrap/>
            <w:vAlign w:val="center"/>
            <w:hideMark/>
          </w:tcPr>
          <w:p w14:paraId="77E9BB83" w14:textId="77777777" w:rsidR="00F10D6B" w:rsidRPr="00AD3BD4" w:rsidRDefault="00F91604">
            <w:pPr>
              <w:rPr>
                <w:color w:val="000000"/>
                <w:sz w:val="22"/>
                <w:szCs w:val="22"/>
              </w:rPr>
            </w:pPr>
            <w:r w:rsidRPr="00DB4445">
              <w:rPr>
                <w:color w:val="000000"/>
                <w:sz w:val="22"/>
                <w:szCs w:val="22"/>
              </w:rPr>
              <w:t>1.03</w:t>
            </w:r>
          </w:p>
        </w:tc>
        <w:tc>
          <w:tcPr>
            <w:tcW w:w="0" w:type="auto"/>
            <w:tcBorders>
              <w:top w:val="nil"/>
              <w:left w:val="nil"/>
              <w:bottom w:val="nil"/>
              <w:right w:val="nil"/>
            </w:tcBorders>
            <w:shd w:val="clear" w:color="auto" w:fill="auto"/>
            <w:noWrap/>
            <w:vAlign w:val="center"/>
            <w:hideMark/>
          </w:tcPr>
          <w:p w14:paraId="5CCB8EC5" w14:textId="77777777" w:rsidR="00F10D6B" w:rsidRPr="00AD3BD4" w:rsidRDefault="00F91604">
            <w:pPr>
              <w:rPr>
                <w:color w:val="000000"/>
                <w:sz w:val="22"/>
                <w:szCs w:val="22"/>
              </w:rPr>
            </w:pPr>
            <w:r w:rsidRPr="00DB4445">
              <w:rPr>
                <w:color w:val="000000"/>
                <w:sz w:val="22"/>
                <w:szCs w:val="22"/>
              </w:rPr>
              <w:t>[0.85,1.25]</w:t>
            </w:r>
          </w:p>
        </w:tc>
        <w:tc>
          <w:tcPr>
            <w:tcW w:w="0" w:type="auto"/>
            <w:tcBorders>
              <w:top w:val="nil"/>
              <w:left w:val="nil"/>
              <w:bottom w:val="nil"/>
              <w:right w:val="nil"/>
            </w:tcBorders>
            <w:shd w:val="clear" w:color="auto" w:fill="auto"/>
            <w:noWrap/>
            <w:vAlign w:val="center"/>
            <w:hideMark/>
          </w:tcPr>
          <w:p w14:paraId="0830F0EA" w14:textId="77777777" w:rsidR="00F10D6B" w:rsidRPr="00AD3BD4" w:rsidRDefault="00F91604">
            <w:pPr>
              <w:rPr>
                <w:color w:val="000000"/>
                <w:sz w:val="22"/>
                <w:szCs w:val="22"/>
              </w:rPr>
            </w:pPr>
            <w:r w:rsidRPr="00DB4445">
              <w:rPr>
                <w:color w:val="000000"/>
                <w:sz w:val="22"/>
                <w:szCs w:val="22"/>
              </w:rPr>
              <w:t>1.03</w:t>
            </w:r>
          </w:p>
        </w:tc>
        <w:tc>
          <w:tcPr>
            <w:tcW w:w="0" w:type="auto"/>
            <w:tcBorders>
              <w:top w:val="nil"/>
              <w:left w:val="nil"/>
              <w:bottom w:val="nil"/>
              <w:right w:val="nil"/>
            </w:tcBorders>
            <w:shd w:val="clear" w:color="auto" w:fill="auto"/>
            <w:noWrap/>
            <w:vAlign w:val="center"/>
            <w:hideMark/>
          </w:tcPr>
          <w:p w14:paraId="5896F036" w14:textId="77777777" w:rsidR="00F10D6B" w:rsidRPr="00AD3BD4" w:rsidRDefault="00F91604">
            <w:pPr>
              <w:rPr>
                <w:color w:val="000000"/>
                <w:sz w:val="22"/>
                <w:szCs w:val="22"/>
              </w:rPr>
            </w:pPr>
            <w:r w:rsidRPr="00DB4445">
              <w:rPr>
                <w:color w:val="000000"/>
                <w:sz w:val="22"/>
                <w:szCs w:val="22"/>
              </w:rPr>
              <w:t>[0.85,1.26]</w:t>
            </w:r>
          </w:p>
        </w:tc>
      </w:tr>
      <w:tr w:rsidR="00F10D6B" w:rsidRPr="00AD3BD4" w14:paraId="0FD07459" w14:textId="77777777" w:rsidTr="000A1C65">
        <w:trPr>
          <w:trHeight w:val="320"/>
        </w:trPr>
        <w:tc>
          <w:tcPr>
            <w:tcW w:w="0" w:type="auto"/>
            <w:tcBorders>
              <w:top w:val="nil"/>
              <w:left w:val="nil"/>
              <w:bottom w:val="nil"/>
              <w:right w:val="nil"/>
            </w:tcBorders>
            <w:shd w:val="clear" w:color="auto" w:fill="auto"/>
            <w:noWrap/>
            <w:vAlign w:val="center"/>
            <w:hideMark/>
          </w:tcPr>
          <w:p w14:paraId="1DB07A78" w14:textId="77777777" w:rsidR="00F10D6B" w:rsidRPr="00AD3BD4" w:rsidRDefault="00F10D6B">
            <w:pPr>
              <w:rPr>
                <w:color w:val="000000"/>
                <w:sz w:val="22"/>
                <w:szCs w:val="22"/>
              </w:rPr>
            </w:pPr>
          </w:p>
        </w:tc>
        <w:tc>
          <w:tcPr>
            <w:tcW w:w="0" w:type="auto"/>
            <w:tcBorders>
              <w:top w:val="nil"/>
              <w:left w:val="nil"/>
              <w:bottom w:val="nil"/>
              <w:right w:val="nil"/>
            </w:tcBorders>
            <w:shd w:val="clear" w:color="auto" w:fill="auto"/>
            <w:noWrap/>
            <w:vAlign w:val="center"/>
            <w:hideMark/>
          </w:tcPr>
          <w:p w14:paraId="16570678" w14:textId="77777777" w:rsidR="00F10D6B" w:rsidRPr="00AD3BD4" w:rsidRDefault="00F91604">
            <w:pPr>
              <w:rPr>
                <w:color w:val="000000"/>
                <w:sz w:val="22"/>
                <w:szCs w:val="22"/>
              </w:rPr>
            </w:pPr>
            <w:r w:rsidRPr="00DB4445">
              <w:rPr>
                <w:color w:val="000000"/>
                <w:sz w:val="22"/>
                <w:szCs w:val="22"/>
              </w:rPr>
              <w:t>Richer</w:t>
            </w:r>
          </w:p>
        </w:tc>
        <w:tc>
          <w:tcPr>
            <w:tcW w:w="0" w:type="auto"/>
            <w:tcBorders>
              <w:top w:val="nil"/>
              <w:left w:val="nil"/>
              <w:bottom w:val="nil"/>
              <w:right w:val="nil"/>
            </w:tcBorders>
            <w:shd w:val="clear" w:color="auto" w:fill="auto"/>
            <w:noWrap/>
            <w:vAlign w:val="center"/>
            <w:hideMark/>
          </w:tcPr>
          <w:p w14:paraId="239FD7E7" w14:textId="77777777" w:rsidR="00F10D6B" w:rsidRPr="00AD3BD4" w:rsidRDefault="00F91604">
            <w:pPr>
              <w:rPr>
                <w:color w:val="000000"/>
                <w:sz w:val="22"/>
                <w:szCs w:val="22"/>
              </w:rPr>
            </w:pPr>
            <w:r w:rsidRPr="00DB4445">
              <w:rPr>
                <w:color w:val="000000"/>
                <w:sz w:val="22"/>
                <w:szCs w:val="22"/>
              </w:rPr>
              <w:t>0.68***</w:t>
            </w:r>
          </w:p>
        </w:tc>
        <w:tc>
          <w:tcPr>
            <w:tcW w:w="0" w:type="auto"/>
            <w:tcBorders>
              <w:top w:val="nil"/>
              <w:left w:val="nil"/>
              <w:bottom w:val="nil"/>
              <w:right w:val="nil"/>
            </w:tcBorders>
            <w:shd w:val="clear" w:color="auto" w:fill="auto"/>
            <w:noWrap/>
            <w:vAlign w:val="center"/>
            <w:hideMark/>
          </w:tcPr>
          <w:p w14:paraId="462A7622" w14:textId="77777777" w:rsidR="00F10D6B" w:rsidRPr="00AD3BD4" w:rsidRDefault="00F91604">
            <w:pPr>
              <w:rPr>
                <w:color w:val="000000"/>
                <w:sz w:val="22"/>
                <w:szCs w:val="22"/>
              </w:rPr>
            </w:pPr>
            <w:r w:rsidRPr="00DB4445">
              <w:rPr>
                <w:color w:val="000000"/>
                <w:sz w:val="22"/>
                <w:szCs w:val="22"/>
              </w:rPr>
              <w:t>[0.56,0.82]</w:t>
            </w:r>
          </w:p>
        </w:tc>
        <w:tc>
          <w:tcPr>
            <w:tcW w:w="0" w:type="auto"/>
            <w:tcBorders>
              <w:top w:val="nil"/>
              <w:left w:val="nil"/>
              <w:bottom w:val="nil"/>
              <w:right w:val="nil"/>
            </w:tcBorders>
            <w:shd w:val="clear" w:color="auto" w:fill="auto"/>
            <w:noWrap/>
            <w:vAlign w:val="center"/>
            <w:hideMark/>
          </w:tcPr>
          <w:p w14:paraId="6602DF8D" w14:textId="77777777" w:rsidR="00F10D6B" w:rsidRPr="00AD3BD4" w:rsidRDefault="00F91604">
            <w:pPr>
              <w:rPr>
                <w:color w:val="000000"/>
                <w:sz w:val="22"/>
                <w:szCs w:val="22"/>
              </w:rPr>
            </w:pPr>
            <w:r w:rsidRPr="00DB4445">
              <w:rPr>
                <w:color w:val="000000"/>
                <w:sz w:val="22"/>
                <w:szCs w:val="22"/>
              </w:rPr>
              <w:t>0.69***</w:t>
            </w:r>
          </w:p>
        </w:tc>
        <w:tc>
          <w:tcPr>
            <w:tcW w:w="0" w:type="auto"/>
            <w:tcBorders>
              <w:top w:val="nil"/>
              <w:left w:val="nil"/>
              <w:bottom w:val="nil"/>
              <w:right w:val="nil"/>
            </w:tcBorders>
            <w:shd w:val="clear" w:color="auto" w:fill="auto"/>
            <w:noWrap/>
            <w:vAlign w:val="center"/>
            <w:hideMark/>
          </w:tcPr>
          <w:p w14:paraId="1746FEF7" w14:textId="77777777" w:rsidR="00F10D6B" w:rsidRPr="00AD3BD4" w:rsidRDefault="00F91604">
            <w:pPr>
              <w:rPr>
                <w:color w:val="000000"/>
                <w:sz w:val="22"/>
                <w:szCs w:val="22"/>
              </w:rPr>
            </w:pPr>
            <w:r w:rsidRPr="00DB4445">
              <w:rPr>
                <w:color w:val="000000"/>
                <w:sz w:val="22"/>
                <w:szCs w:val="22"/>
              </w:rPr>
              <w:t>[0.57,0.83]</w:t>
            </w:r>
          </w:p>
        </w:tc>
        <w:tc>
          <w:tcPr>
            <w:tcW w:w="0" w:type="auto"/>
            <w:tcBorders>
              <w:top w:val="nil"/>
              <w:left w:val="nil"/>
              <w:bottom w:val="nil"/>
              <w:right w:val="nil"/>
            </w:tcBorders>
            <w:shd w:val="clear" w:color="auto" w:fill="auto"/>
            <w:noWrap/>
            <w:vAlign w:val="center"/>
            <w:hideMark/>
          </w:tcPr>
          <w:p w14:paraId="19AFFBEF" w14:textId="77777777" w:rsidR="00F10D6B" w:rsidRPr="00AD3BD4" w:rsidRDefault="00F91604">
            <w:pPr>
              <w:rPr>
                <w:color w:val="000000"/>
                <w:sz w:val="22"/>
                <w:szCs w:val="22"/>
              </w:rPr>
            </w:pPr>
            <w:r w:rsidRPr="00DB4445">
              <w:rPr>
                <w:color w:val="000000"/>
                <w:sz w:val="22"/>
                <w:szCs w:val="22"/>
              </w:rPr>
              <w:t>0.68***</w:t>
            </w:r>
          </w:p>
        </w:tc>
        <w:tc>
          <w:tcPr>
            <w:tcW w:w="0" w:type="auto"/>
            <w:tcBorders>
              <w:top w:val="nil"/>
              <w:left w:val="nil"/>
              <w:bottom w:val="nil"/>
              <w:right w:val="nil"/>
            </w:tcBorders>
            <w:shd w:val="clear" w:color="auto" w:fill="auto"/>
            <w:noWrap/>
            <w:vAlign w:val="center"/>
            <w:hideMark/>
          </w:tcPr>
          <w:p w14:paraId="0F60CE21" w14:textId="77777777" w:rsidR="00F10D6B" w:rsidRPr="00AD3BD4" w:rsidRDefault="00F91604">
            <w:pPr>
              <w:rPr>
                <w:color w:val="000000"/>
                <w:sz w:val="22"/>
                <w:szCs w:val="22"/>
              </w:rPr>
            </w:pPr>
            <w:r w:rsidRPr="00DB4445">
              <w:rPr>
                <w:color w:val="000000"/>
                <w:sz w:val="22"/>
                <w:szCs w:val="22"/>
              </w:rPr>
              <w:t>[0.57,0.82]</w:t>
            </w:r>
          </w:p>
        </w:tc>
      </w:tr>
      <w:tr w:rsidR="00F10D6B" w:rsidRPr="00AD3BD4" w14:paraId="4805649E" w14:textId="77777777" w:rsidTr="000A1C65">
        <w:trPr>
          <w:trHeight w:val="320"/>
        </w:trPr>
        <w:tc>
          <w:tcPr>
            <w:tcW w:w="0" w:type="auto"/>
            <w:tcBorders>
              <w:top w:val="nil"/>
              <w:left w:val="nil"/>
              <w:bottom w:val="nil"/>
              <w:right w:val="nil"/>
            </w:tcBorders>
            <w:shd w:val="clear" w:color="auto" w:fill="auto"/>
            <w:noWrap/>
            <w:vAlign w:val="center"/>
            <w:hideMark/>
          </w:tcPr>
          <w:p w14:paraId="4B0C4230" w14:textId="77777777" w:rsidR="00F10D6B" w:rsidRPr="00AD3BD4" w:rsidRDefault="00F10D6B">
            <w:pPr>
              <w:rPr>
                <w:color w:val="000000"/>
                <w:sz w:val="22"/>
                <w:szCs w:val="22"/>
              </w:rPr>
            </w:pPr>
          </w:p>
        </w:tc>
        <w:tc>
          <w:tcPr>
            <w:tcW w:w="0" w:type="auto"/>
            <w:tcBorders>
              <w:top w:val="nil"/>
              <w:left w:val="nil"/>
              <w:bottom w:val="nil"/>
              <w:right w:val="nil"/>
            </w:tcBorders>
            <w:shd w:val="clear" w:color="auto" w:fill="auto"/>
            <w:noWrap/>
            <w:vAlign w:val="center"/>
            <w:hideMark/>
          </w:tcPr>
          <w:p w14:paraId="30540CB2" w14:textId="77777777" w:rsidR="00F10D6B" w:rsidRPr="00AD3BD4" w:rsidRDefault="00F91604">
            <w:pPr>
              <w:rPr>
                <w:color w:val="000000"/>
                <w:sz w:val="22"/>
                <w:szCs w:val="22"/>
              </w:rPr>
            </w:pPr>
            <w:r w:rsidRPr="00DB4445">
              <w:rPr>
                <w:color w:val="000000"/>
                <w:sz w:val="22"/>
                <w:szCs w:val="22"/>
              </w:rPr>
              <w:t>Richest</w:t>
            </w:r>
          </w:p>
        </w:tc>
        <w:tc>
          <w:tcPr>
            <w:tcW w:w="0" w:type="auto"/>
            <w:tcBorders>
              <w:top w:val="nil"/>
              <w:left w:val="nil"/>
              <w:bottom w:val="nil"/>
              <w:right w:val="nil"/>
            </w:tcBorders>
            <w:shd w:val="clear" w:color="auto" w:fill="auto"/>
            <w:noWrap/>
            <w:vAlign w:val="center"/>
            <w:hideMark/>
          </w:tcPr>
          <w:p w14:paraId="2377D9AA" w14:textId="77777777" w:rsidR="00F10D6B" w:rsidRPr="00AD3BD4" w:rsidRDefault="00F91604">
            <w:pPr>
              <w:rPr>
                <w:color w:val="000000"/>
                <w:sz w:val="22"/>
                <w:szCs w:val="22"/>
              </w:rPr>
            </w:pPr>
            <w:r w:rsidRPr="00DB4445">
              <w:rPr>
                <w:color w:val="000000"/>
                <w:sz w:val="22"/>
                <w:szCs w:val="22"/>
              </w:rPr>
              <w:t>0.42***</w:t>
            </w:r>
          </w:p>
        </w:tc>
        <w:tc>
          <w:tcPr>
            <w:tcW w:w="0" w:type="auto"/>
            <w:tcBorders>
              <w:top w:val="nil"/>
              <w:left w:val="nil"/>
              <w:bottom w:val="nil"/>
              <w:right w:val="nil"/>
            </w:tcBorders>
            <w:shd w:val="clear" w:color="auto" w:fill="auto"/>
            <w:noWrap/>
            <w:vAlign w:val="center"/>
            <w:hideMark/>
          </w:tcPr>
          <w:p w14:paraId="47E60FCC" w14:textId="77777777" w:rsidR="00F10D6B" w:rsidRPr="00AD3BD4" w:rsidRDefault="00F91604">
            <w:pPr>
              <w:rPr>
                <w:color w:val="000000"/>
                <w:sz w:val="22"/>
                <w:szCs w:val="22"/>
              </w:rPr>
            </w:pPr>
            <w:r w:rsidRPr="00DB4445">
              <w:rPr>
                <w:color w:val="000000"/>
                <w:sz w:val="22"/>
                <w:szCs w:val="22"/>
              </w:rPr>
              <w:t>[0.34,0.52]</w:t>
            </w:r>
          </w:p>
        </w:tc>
        <w:tc>
          <w:tcPr>
            <w:tcW w:w="0" w:type="auto"/>
            <w:tcBorders>
              <w:top w:val="nil"/>
              <w:left w:val="nil"/>
              <w:bottom w:val="nil"/>
              <w:right w:val="nil"/>
            </w:tcBorders>
            <w:shd w:val="clear" w:color="auto" w:fill="auto"/>
            <w:noWrap/>
            <w:vAlign w:val="center"/>
            <w:hideMark/>
          </w:tcPr>
          <w:p w14:paraId="5FF8D20F" w14:textId="77777777" w:rsidR="00F10D6B" w:rsidRPr="00AD3BD4" w:rsidRDefault="00F91604">
            <w:pPr>
              <w:rPr>
                <w:color w:val="000000"/>
                <w:sz w:val="22"/>
                <w:szCs w:val="22"/>
              </w:rPr>
            </w:pPr>
            <w:r w:rsidRPr="00DB4445">
              <w:rPr>
                <w:color w:val="000000"/>
                <w:sz w:val="22"/>
                <w:szCs w:val="22"/>
              </w:rPr>
              <w:t>0.43***</w:t>
            </w:r>
          </w:p>
        </w:tc>
        <w:tc>
          <w:tcPr>
            <w:tcW w:w="0" w:type="auto"/>
            <w:tcBorders>
              <w:top w:val="nil"/>
              <w:left w:val="nil"/>
              <w:bottom w:val="nil"/>
              <w:right w:val="nil"/>
            </w:tcBorders>
            <w:shd w:val="clear" w:color="auto" w:fill="auto"/>
            <w:noWrap/>
            <w:vAlign w:val="center"/>
            <w:hideMark/>
          </w:tcPr>
          <w:p w14:paraId="679F7831" w14:textId="77777777" w:rsidR="00F10D6B" w:rsidRPr="00AD3BD4" w:rsidRDefault="00F91604">
            <w:pPr>
              <w:rPr>
                <w:color w:val="000000"/>
                <w:sz w:val="22"/>
                <w:szCs w:val="22"/>
              </w:rPr>
            </w:pPr>
            <w:r w:rsidRPr="00DB4445">
              <w:rPr>
                <w:color w:val="000000"/>
                <w:sz w:val="22"/>
                <w:szCs w:val="22"/>
              </w:rPr>
              <w:t>[0.35,0.53]</w:t>
            </w:r>
          </w:p>
        </w:tc>
        <w:tc>
          <w:tcPr>
            <w:tcW w:w="0" w:type="auto"/>
            <w:tcBorders>
              <w:top w:val="nil"/>
              <w:left w:val="nil"/>
              <w:bottom w:val="nil"/>
              <w:right w:val="nil"/>
            </w:tcBorders>
            <w:shd w:val="clear" w:color="auto" w:fill="auto"/>
            <w:noWrap/>
            <w:vAlign w:val="center"/>
            <w:hideMark/>
          </w:tcPr>
          <w:p w14:paraId="6BD2DB78" w14:textId="77777777" w:rsidR="00F10D6B" w:rsidRPr="00AD3BD4" w:rsidRDefault="00F91604">
            <w:pPr>
              <w:rPr>
                <w:color w:val="000000"/>
                <w:sz w:val="22"/>
                <w:szCs w:val="22"/>
              </w:rPr>
            </w:pPr>
            <w:r w:rsidRPr="00DB4445">
              <w:rPr>
                <w:color w:val="000000"/>
                <w:sz w:val="22"/>
                <w:szCs w:val="22"/>
              </w:rPr>
              <w:t>0.42***</w:t>
            </w:r>
          </w:p>
        </w:tc>
        <w:tc>
          <w:tcPr>
            <w:tcW w:w="0" w:type="auto"/>
            <w:tcBorders>
              <w:top w:val="nil"/>
              <w:left w:val="nil"/>
              <w:bottom w:val="nil"/>
              <w:right w:val="nil"/>
            </w:tcBorders>
            <w:shd w:val="clear" w:color="auto" w:fill="auto"/>
            <w:noWrap/>
            <w:vAlign w:val="center"/>
            <w:hideMark/>
          </w:tcPr>
          <w:p w14:paraId="133A8B79" w14:textId="77777777" w:rsidR="00F10D6B" w:rsidRPr="00AD3BD4" w:rsidRDefault="00F91604">
            <w:pPr>
              <w:rPr>
                <w:color w:val="000000"/>
                <w:sz w:val="22"/>
                <w:szCs w:val="22"/>
              </w:rPr>
            </w:pPr>
            <w:r w:rsidRPr="00DB4445">
              <w:rPr>
                <w:color w:val="000000"/>
                <w:sz w:val="22"/>
                <w:szCs w:val="22"/>
              </w:rPr>
              <w:t>[0.34,0.51]</w:t>
            </w:r>
          </w:p>
        </w:tc>
      </w:tr>
      <w:tr w:rsidR="00F10D6B" w:rsidRPr="00AD3BD4" w14:paraId="75F4D4EE" w14:textId="77777777" w:rsidTr="000A1C65">
        <w:trPr>
          <w:trHeight w:val="320"/>
        </w:trPr>
        <w:tc>
          <w:tcPr>
            <w:tcW w:w="0" w:type="auto"/>
            <w:tcBorders>
              <w:top w:val="nil"/>
              <w:left w:val="nil"/>
              <w:bottom w:val="nil"/>
              <w:right w:val="nil"/>
            </w:tcBorders>
            <w:shd w:val="clear" w:color="auto" w:fill="auto"/>
            <w:noWrap/>
            <w:vAlign w:val="center"/>
            <w:hideMark/>
          </w:tcPr>
          <w:p w14:paraId="11F1DC11" w14:textId="77777777" w:rsidR="00F10D6B" w:rsidRPr="00AD3BD4" w:rsidRDefault="00F91604">
            <w:pPr>
              <w:rPr>
                <w:color w:val="000000"/>
                <w:sz w:val="22"/>
                <w:szCs w:val="22"/>
              </w:rPr>
            </w:pPr>
            <w:r w:rsidRPr="00DB4445">
              <w:rPr>
                <w:color w:val="000000"/>
                <w:sz w:val="22"/>
                <w:szCs w:val="22"/>
              </w:rPr>
              <w:t>Education (years)</w:t>
            </w:r>
          </w:p>
        </w:tc>
        <w:tc>
          <w:tcPr>
            <w:tcW w:w="0" w:type="auto"/>
            <w:tcBorders>
              <w:top w:val="nil"/>
              <w:left w:val="nil"/>
              <w:bottom w:val="nil"/>
              <w:right w:val="nil"/>
            </w:tcBorders>
            <w:shd w:val="clear" w:color="auto" w:fill="auto"/>
            <w:noWrap/>
            <w:vAlign w:val="center"/>
            <w:hideMark/>
          </w:tcPr>
          <w:p w14:paraId="0694236A" w14:textId="77777777" w:rsidR="00F10D6B" w:rsidRPr="00AD3BD4" w:rsidRDefault="00F10D6B">
            <w:pPr>
              <w:rPr>
                <w:color w:val="000000"/>
                <w:sz w:val="22"/>
                <w:szCs w:val="22"/>
              </w:rPr>
            </w:pPr>
          </w:p>
        </w:tc>
        <w:tc>
          <w:tcPr>
            <w:tcW w:w="0" w:type="auto"/>
            <w:tcBorders>
              <w:top w:val="nil"/>
              <w:left w:val="nil"/>
              <w:bottom w:val="nil"/>
              <w:right w:val="nil"/>
            </w:tcBorders>
            <w:shd w:val="clear" w:color="auto" w:fill="auto"/>
            <w:noWrap/>
            <w:vAlign w:val="center"/>
            <w:hideMark/>
          </w:tcPr>
          <w:p w14:paraId="7C1F4590" w14:textId="77777777" w:rsidR="00F10D6B" w:rsidRPr="00AD3BD4" w:rsidRDefault="00F91604">
            <w:pPr>
              <w:rPr>
                <w:color w:val="000000"/>
                <w:sz w:val="22"/>
                <w:szCs w:val="22"/>
              </w:rPr>
            </w:pPr>
            <w:r w:rsidRPr="00DB4445">
              <w:rPr>
                <w:color w:val="000000"/>
                <w:sz w:val="22"/>
                <w:szCs w:val="22"/>
              </w:rPr>
              <w:t>0.97**</w:t>
            </w:r>
          </w:p>
        </w:tc>
        <w:tc>
          <w:tcPr>
            <w:tcW w:w="0" w:type="auto"/>
            <w:tcBorders>
              <w:top w:val="nil"/>
              <w:left w:val="nil"/>
              <w:bottom w:val="nil"/>
              <w:right w:val="nil"/>
            </w:tcBorders>
            <w:shd w:val="clear" w:color="auto" w:fill="auto"/>
            <w:noWrap/>
            <w:vAlign w:val="center"/>
            <w:hideMark/>
          </w:tcPr>
          <w:p w14:paraId="56BC9E05" w14:textId="77777777" w:rsidR="00F10D6B" w:rsidRPr="00AD3BD4" w:rsidRDefault="00F91604">
            <w:pPr>
              <w:rPr>
                <w:color w:val="000000"/>
                <w:sz w:val="22"/>
                <w:szCs w:val="22"/>
              </w:rPr>
            </w:pPr>
            <w:r w:rsidRPr="00DB4445">
              <w:rPr>
                <w:color w:val="000000"/>
                <w:sz w:val="22"/>
                <w:szCs w:val="22"/>
              </w:rPr>
              <w:t>[0.96,0.99]</w:t>
            </w:r>
          </w:p>
        </w:tc>
        <w:tc>
          <w:tcPr>
            <w:tcW w:w="0" w:type="auto"/>
            <w:tcBorders>
              <w:top w:val="nil"/>
              <w:left w:val="nil"/>
              <w:bottom w:val="nil"/>
              <w:right w:val="nil"/>
            </w:tcBorders>
            <w:shd w:val="clear" w:color="auto" w:fill="auto"/>
            <w:noWrap/>
            <w:vAlign w:val="center"/>
            <w:hideMark/>
          </w:tcPr>
          <w:p w14:paraId="1D0717A3" w14:textId="77777777" w:rsidR="00F10D6B" w:rsidRPr="00AD3BD4" w:rsidRDefault="00F91604">
            <w:pPr>
              <w:rPr>
                <w:color w:val="000000"/>
                <w:sz w:val="22"/>
                <w:szCs w:val="22"/>
              </w:rPr>
            </w:pPr>
            <w:r w:rsidRPr="00DB4445">
              <w:rPr>
                <w:color w:val="000000"/>
                <w:sz w:val="22"/>
                <w:szCs w:val="22"/>
              </w:rPr>
              <w:t>0.97**</w:t>
            </w:r>
          </w:p>
        </w:tc>
        <w:tc>
          <w:tcPr>
            <w:tcW w:w="0" w:type="auto"/>
            <w:tcBorders>
              <w:top w:val="nil"/>
              <w:left w:val="nil"/>
              <w:bottom w:val="nil"/>
              <w:right w:val="nil"/>
            </w:tcBorders>
            <w:shd w:val="clear" w:color="auto" w:fill="auto"/>
            <w:noWrap/>
            <w:vAlign w:val="center"/>
            <w:hideMark/>
          </w:tcPr>
          <w:p w14:paraId="34227852" w14:textId="77777777" w:rsidR="00F10D6B" w:rsidRPr="00AD3BD4" w:rsidRDefault="00F91604">
            <w:pPr>
              <w:rPr>
                <w:color w:val="000000"/>
                <w:sz w:val="22"/>
                <w:szCs w:val="22"/>
              </w:rPr>
            </w:pPr>
            <w:r w:rsidRPr="00DB4445">
              <w:rPr>
                <w:color w:val="000000"/>
                <w:sz w:val="22"/>
                <w:szCs w:val="22"/>
              </w:rPr>
              <w:t>[0.96,0.99]</w:t>
            </w:r>
          </w:p>
        </w:tc>
        <w:tc>
          <w:tcPr>
            <w:tcW w:w="0" w:type="auto"/>
            <w:tcBorders>
              <w:top w:val="nil"/>
              <w:left w:val="nil"/>
              <w:bottom w:val="nil"/>
              <w:right w:val="nil"/>
            </w:tcBorders>
            <w:shd w:val="clear" w:color="auto" w:fill="auto"/>
            <w:noWrap/>
            <w:vAlign w:val="center"/>
            <w:hideMark/>
          </w:tcPr>
          <w:p w14:paraId="296EACCB" w14:textId="77777777" w:rsidR="00F10D6B" w:rsidRPr="00AD3BD4" w:rsidRDefault="00F91604">
            <w:pPr>
              <w:rPr>
                <w:color w:val="000000"/>
                <w:sz w:val="22"/>
                <w:szCs w:val="22"/>
              </w:rPr>
            </w:pPr>
            <w:r w:rsidRPr="00DB4445">
              <w:rPr>
                <w:color w:val="000000"/>
                <w:sz w:val="22"/>
                <w:szCs w:val="22"/>
              </w:rPr>
              <w:t>0.97**</w:t>
            </w:r>
          </w:p>
        </w:tc>
        <w:tc>
          <w:tcPr>
            <w:tcW w:w="0" w:type="auto"/>
            <w:tcBorders>
              <w:top w:val="nil"/>
              <w:left w:val="nil"/>
              <w:bottom w:val="nil"/>
              <w:right w:val="nil"/>
            </w:tcBorders>
            <w:shd w:val="clear" w:color="auto" w:fill="auto"/>
            <w:noWrap/>
            <w:vAlign w:val="center"/>
            <w:hideMark/>
          </w:tcPr>
          <w:p w14:paraId="15E7BAC5" w14:textId="77777777" w:rsidR="00F10D6B" w:rsidRPr="00AD3BD4" w:rsidRDefault="00F91604">
            <w:pPr>
              <w:rPr>
                <w:color w:val="000000"/>
                <w:sz w:val="22"/>
                <w:szCs w:val="22"/>
              </w:rPr>
            </w:pPr>
            <w:r w:rsidRPr="00DB4445">
              <w:rPr>
                <w:color w:val="000000"/>
                <w:sz w:val="22"/>
                <w:szCs w:val="22"/>
              </w:rPr>
              <w:t>[0.96,0.99]</w:t>
            </w:r>
          </w:p>
        </w:tc>
      </w:tr>
      <w:tr w:rsidR="00F10D6B" w:rsidRPr="00AD3BD4" w14:paraId="2E02A105" w14:textId="77777777" w:rsidTr="000A1C65">
        <w:trPr>
          <w:trHeight w:val="320"/>
        </w:trPr>
        <w:tc>
          <w:tcPr>
            <w:tcW w:w="0" w:type="auto"/>
            <w:tcBorders>
              <w:top w:val="nil"/>
              <w:left w:val="nil"/>
              <w:bottom w:val="nil"/>
              <w:right w:val="nil"/>
            </w:tcBorders>
            <w:shd w:val="clear" w:color="auto" w:fill="auto"/>
            <w:noWrap/>
            <w:vAlign w:val="center"/>
            <w:hideMark/>
          </w:tcPr>
          <w:p w14:paraId="4C99A599" w14:textId="77777777" w:rsidR="00F10D6B" w:rsidRPr="00AD3BD4" w:rsidRDefault="00F91604">
            <w:pPr>
              <w:rPr>
                <w:color w:val="000000"/>
                <w:sz w:val="22"/>
                <w:szCs w:val="22"/>
              </w:rPr>
            </w:pPr>
            <w:r w:rsidRPr="00DB4445">
              <w:rPr>
                <w:color w:val="000000"/>
                <w:sz w:val="22"/>
                <w:szCs w:val="22"/>
              </w:rPr>
              <w:t>Physical activity</w:t>
            </w:r>
          </w:p>
        </w:tc>
        <w:tc>
          <w:tcPr>
            <w:tcW w:w="0" w:type="auto"/>
            <w:tcBorders>
              <w:top w:val="nil"/>
              <w:left w:val="nil"/>
              <w:bottom w:val="nil"/>
              <w:right w:val="nil"/>
            </w:tcBorders>
            <w:shd w:val="clear" w:color="auto" w:fill="auto"/>
            <w:noWrap/>
            <w:vAlign w:val="center"/>
            <w:hideMark/>
          </w:tcPr>
          <w:p w14:paraId="3D72B13A" w14:textId="77777777" w:rsidR="00F10D6B" w:rsidRPr="00AD3BD4" w:rsidRDefault="00F91604">
            <w:pPr>
              <w:rPr>
                <w:color w:val="000000"/>
                <w:sz w:val="22"/>
                <w:szCs w:val="22"/>
              </w:rPr>
            </w:pPr>
            <w:r w:rsidRPr="00DB4445">
              <w:rPr>
                <w:color w:val="000000"/>
                <w:sz w:val="22"/>
                <w:szCs w:val="22"/>
              </w:rPr>
              <w:t>High</w:t>
            </w:r>
          </w:p>
        </w:tc>
        <w:tc>
          <w:tcPr>
            <w:tcW w:w="0" w:type="auto"/>
            <w:tcBorders>
              <w:top w:val="nil"/>
              <w:left w:val="nil"/>
              <w:bottom w:val="nil"/>
              <w:right w:val="nil"/>
            </w:tcBorders>
            <w:shd w:val="clear" w:color="auto" w:fill="auto"/>
            <w:noWrap/>
            <w:vAlign w:val="center"/>
            <w:hideMark/>
          </w:tcPr>
          <w:p w14:paraId="7405E552" w14:textId="77777777" w:rsidR="00F10D6B" w:rsidRPr="00AD3BD4" w:rsidRDefault="00F10D6B">
            <w:pPr>
              <w:rPr>
                <w:color w:val="000000"/>
                <w:sz w:val="22"/>
                <w:szCs w:val="22"/>
              </w:rPr>
            </w:pPr>
          </w:p>
        </w:tc>
        <w:tc>
          <w:tcPr>
            <w:tcW w:w="0" w:type="auto"/>
            <w:tcBorders>
              <w:top w:val="nil"/>
              <w:left w:val="nil"/>
              <w:bottom w:val="nil"/>
              <w:right w:val="nil"/>
            </w:tcBorders>
            <w:shd w:val="clear" w:color="auto" w:fill="auto"/>
            <w:noWrap/>
            <w:vAlign w:val="center"/>
            <w:hideMark/>
          </w:tcPr>
          <w:p w14:paraId="213B602B" w14:textId="77777777" w:rsidR="00F10D6B" w:rsidRPr="00AD3BD4" w:rsidRDefault="00F10D6B">
            <w:pPr>
              <w:rPr>
                <w:sz w:val="20"/>
                <w:szCs w:val="20"/>
              </w:rPr>
            </w:pPr>
          </w:p>
        </w:tc>
        <w:tc>
          <w:tcPr>
            <w:tcW w:w="0" w:type="auto"/>
            <w:tcBorders>
              <w:top w:val="nil"/>
              <w:left w:val="nil"/>
              <w:bottom w:val="nil"/>
              <w:right w:val="nil"/>
            </w:tcBorders>
            <w:shd w:val="clear" w:color="auto" w:fill="auto"/>
            <w:noWrap/>
            <w:vAlign w:val="center"/>
            <w:hideMark/>
          </w:tcPr>
          <w:p w14:paraId="7DE52251" w14:textId="77777777" w:rsidR="00F10D6B" w:rsidRPr="00AD3BD4" w:rsidRDefault="00F91604">
            <w:pPr>
              <w:rPr>
                <w:color w:val="000000"/>
                <w:sz w:val="22"/>
                <w:szCs w:val="22"/>
              </w:rPr>
            </w:pPr>
            <w:r w:rsidRPr="00DB4445">
              <w:rPr>
                <w:color w:val="000000"/>
                <w:sz w:val="22"/>
                <w:szCs w:val="22"/>
              </w:rPr>
              <w:t>1.00</w:t>
            </w:r>
          </w:p>
        </w:tc>
        <w:tc>
          <w:tcPr>
            <w:tcW w:w="0" w:type="auto"/>
            <w:tcBorders>
              <w:top w:val="nil"/>
              <w:left w:val="nil"/>
              <w:bottom w:val="nil"/>
              <w:right w:val="nil"/>
            </w:tcBorders>
            <w:shd w:val="clear" w:color="auto" w:fill="auto"/>
            <w:noWrap/>
            <w:vAlign w:val="center"/>
            <w:hideMark/>
          </w:tcPr>
          <w:p w14:paraId="5A626F51" w14:textId="77777777" w:rsidR="00F10D6B" w:rsidRPr="00AD3BD4" w:rsidRDefault="00F10D6B">
            <w:pPr>
              <w:rPr>
                <w:color w:val="000000"/>
                <w:sz w:val="22"/>
                <w:szCs w:val="22"/>
              </w:rPr>
            </w:pPr>
          </w:p>
        </w:tc>
        <w:tc>
          <w:tcPr>
            <w:tcW w:w="0" w:type="auto"/>
            <w:tcBorders>
              <w:top w:val="nil"/>
              <w:left w:val="nil"/>
              <w:bottom w:val="nil"/>
              <w:right w:val="nil"/>
            </w:tcBorders>
            <w:shd w:val="clear" w:color="auto" w:fill="auto"/>
            <w:noWrap/>
            <w:vAlign w:val="center"/>
            <w:hideMark/>
          </w:tcPr>
          <w:p w14:paraId="0D5553DD" w14:textId="77777777" w:rsidR="00F10D6B" w:rsidRPr="00AD3BD4" w:rsidRDefault="00F91604">
            <w:pPr>
              <w:rPr>
                <w:color w:val="000000"/>
                <w:sz w:val="22"/>
                <w:szCs w:val="22"/>
              </w:rPr>
            </w:pPr>
            <w:r w:rsidRPr="00DB4445">
              <w:rPr>
                <w:color w:val="000000"/>
                <w:sz w:val="22"/>
                <w:szCs w:val="22"/>
              </w:rPr>
              <w:t>1.00</w:t>
            </w:r>
          </w:p>
        </w:tc>
        <w:tc>
          <w:tcPr>
            <w:tcW w:w="0" w:type="auto"/>
            <w:tcBorders>
              <w:top w:val="nil"/>
              <w:left w:val="nil"/>
              <w:bottom w:val="nil"/>
              <w:right w:val="nil"/>
            </w:tcBorders>
            <w:shd w:val="clear" w:color="auto" w:fill="auto"/>
            <w:noWrap/>
            <w:vAlign w:val="center"/>
            <w:hideMark/>
          </w:tcPr>
          <w:p w14:paraId="1D7F0C2B" w14:textId="77777777" w:rsidR="00F10D6B" w:rsidRPr="00AD3BD4" w:rsidRDefault="00F10D6B">
            <w:pPr>
              <w:rPr>
                <w:color w:val="000000"/>
                <w:sz w:val="22"/>
                <w:szCs w:val="22"/>
              </w:rPr>
            </w:pPr>
          </w:p>
        </w:tc>
      </w:tr>
      <w:tr w:rsidR="00F10D6B" w:rsidRPr="00AD3BD4" w14:paraId="3D9383DF" w14:textId="77777777" w:rsidTr="000A1C65">
        <w:trPr>
          <w:trHeight w:val="320"/>
        </w:trPr>
        <w:tc>
          <w:tcPr>
            <w:tcW w:w="0" w:type="auto"/>
            <w:tcBorders>
              <w:top w:val="nil"/>
              <w:left w:val="nil"/>
              <w:bottom w:val="nil"/>
              <w:right w:val="nil"/>
            </w:tcBorders>
            <w:shd w:val="clear" w:color="auto" w:fill="auto"/>
            <w:noWrap/>
            <w:vAlign w:val="center"/>
            <w:hideMark/>
          </w:tcPr>
          <w:p w14:paraId="35E7F6A9" w14:textId="77777777" w:rsidR="00F10D6B" w:rsidRPr="00AD3BD4" w:rsidRDefault="00F10D6B">
            <w:pPr>
              <w:rPr>
                <w:sz w:val="20"/>
                <w:szCs w:val="20"/>
              </w:rPr>
            </w:pPr>
          </w:p>
        </w:tc>
        <w:tc>
          <w:tcPr>
            <w:tcW w:w="0" w:type="auto"/>
            <w:tcBorders>
              <w:top w:val="nil"/>
              <w:left w:val="nil"/>
              <w:bottom w:val="nil"/>
              <w:right w:val="nil"/>
            </w:tcBorders>
            <w:shd w:val="clear" w:color="auto" w:fill="auto"/>
            <w:noWrap/>
            <w:vAlign w:val="center"/>
            <w:hideMark/>
          </w:tcPr>
          <w:p w14:paraId="1EEE93ED" w14:textId="77777777" w:rsidR="00F10D6B" w:rsidRPr="00AD3BD4" w:rsidRDefault="00F91604">
            <w:pPr>
              <w:rPr>
                <w:color w:val="000000"/>
                <w:sz w:val="22"/>
                <w:szCs w:val="22"/>
              </w:rPr>
            </w:pPr>
            <w:r w:rsidRPr="00DB4445">
              <w:rPr>
                <w:color w:val="000000"/>
                <w:sz w:val="22"/>
                <w:szCs w:val="22"/>
              </w:rPr>
              <w:t>Moderate</w:t>
            </w:r>
          </w:p>
        </w:tc>
        <w:tc>
          <w:tcPr>
            <w:tcW w:w="0" w:type="auto"/>
            <w:tcBorders>
              <w:top w:val="nil"/>
              <w:left w:val="nil"/>
              <w:bottom w:val="nil"/>
              <w:right w:val="nil"/>
            </w:tcBorders>
            <w:shd w:val="clear" w:color="auto" w:fill="auto"/>
            <w:noWrap/>
            <w:vAlign w:val="center"/>
            <w:hideMark/>
          </w:tcPr>
          <w:p w14:paraId="41ADBF78" w14:textId="77777777" w:rsidR="00F10D6B" w:rsidRPr="00AD3BD4" w:rsidRDefault="00F10D6B">
            <w:pPr>
              <w:rPr>
                <w:color w:val="000000"/>
                <w:sz w:val="22"/>
                <w:szCs w:val="22"/>
              </w:rPr>
            </w:pPr>
          </w:p>
        </w:tc>
        <w:tc>
          <w:tcPr>
            <w:tcW w:w="0" w:type="auto"/>
            <w:tcBorders>
              <w:top w:val="nil"/>
              <w:left w:val="nil"/>
              <w:bottom w:val="nil"/>
              <w:right w:val="nil"/>
            </w:tcBorders>
            <w:shd w:val="clear" w:color="auto" w:fill="auto"/>
            <w:noWrap/>
            <w:vAlign w:val="center"/>
            <w:hideMark/>
          </w:tcPr>
          <w:p w14:paraId="4197264D" w14:textId="77777777" w:rsidR="00F10D6B" w:rsidRPr="00AD3BD4" w:rsidRDefault="00F10D6B">
            <w:pPr>
              <w:rPr>
                <w:sz w:val="20"/>
                <w:szCs w:val="20"/>
              </w:rPr>
            </w:pPr>
          </w:p>
        </w:tc>
        <w:tc>
          <w:tcPr>
            <w:tcW w:w="0" w:type="auto"/>
            <w:tcBorders>
              <w:top w:val="nil"/>
              <w:left w:val="nil"/>
              <w:bottom w:val="nil"/>
              <w:right w:val="nil"/>
            </w:tcBorders>
            <w:shd w:val="clear" w:color="auto" w:fill="auto"/>
            <w:noWrap/>
            <w:vAlign w:val="center"/>
            <w:hideMark/>
          </w:tcPr>
          <w:p w14:paraId="5EA52B4B" w14:textId="77777777" w:rsidR="00F10D6B" w:rsidRPr="00AD3BD4" w:rsidRDefault="00F91604">
            <w:pPr>
              <w:rPr>
                <w:color w:val="000000"/>
                <w:sz w:val="22"/>
                <w:szCs w:val="22"/>
              </w:rPr>
            </w:pPr>
            <w:r w:rsidRPr="00DB4445">
              <w:rPr>
                <w:color w:val="000000"/>
                <w:sz w:val="22"/>
                <w:szCs w:val="22"/>
              </w:rPr>
              <w:t>0.74***</w:t>
            </w:r>
          </w:p>
        </w:tc>
        <w:tc>
          <w:tcPr>
            <w:tcW w:w="0" w:type="auto"/>
            <w:tcBorders>
              <w:top w:val="nil"/>
              <w:left w:val="nil"/>
              <w:bottom w:val="nil"/>
              <w:right w:val="nil"/>
            </w:tcBorders>
            <w:shd w:val="clear" w:color="auto" w:fill="auto"/>
            <w:noWrap/>
            <w:vAlign w:val="center"/>
            <w:hideMark/>
          </w:tcPr>
          <w:p w14:paraId="017AB57D" w14:textId="77777777" w:rsidR="00F10D6B" w:rsidRPr="00AD3BD4" w:rsidRDefault="00F91604">
            <w:pPr>
              <w:rPr>
                <w:color w:val="000000"/>
                <w:sz w:val="22"/>
                <w:szCs w:val="22"/>
              </w:rPr>
            </w:pPr>
            <w:r w:rsidRPr="00DB4445">
              <w:rPr>
                <w:color w:val="000000"/>
                <w:sz w:val="22"/>
                <w:szCs w:val="22"/>
              </w:rPr>
              <w:t>[0.65,0.84]</w:t>
            </w:r>
          </w:p>
        </w:tc>
        <w:tc>
          <w:tcPr>
            <w:tcW w:w="0" w:type="auto"/>
            <w:tcBorders>
              <w:top w:val="nil"/>
              <w:left w:val="nil"/>
              <w:bottom w:val="nil"/>
              <w:right w:val="nil"/>
            </w:tcBorders>
            <w:shd w:val="clear" w:color="auto" w:fill="auto"/>
            <w:noWrap/>
            <w:vAlign w:val="center"/>
            <w:hideMark/>
          </w:tcPr>
          <w:p w14:paraId="5B913CB3" w14:textId="77777777" w:rsidR="00F10D6B" w:rsidRPr="00AD3BD4" w:rsidRDefault="00F91604">
            <w:pPr>
              <w:rPr>
                <w:color w:val="000000"/>
                <w:sz w:val="22"/>
                <w:szCs w:val="22"/>
              </w:rPr>
            </w:pPr>
            <w:r w:rsidRPr="00DB4445">
              <w:rPr>
                <w:color w:val="000000"/>
                <w:sz w:val="22"/>
                <w:szCs w:val="22"/>
              </w:rPr>
              <w:t>0.74***</w:t>
            </w:r>
          </w:p>
        </w:tc>
        <w:tc>
          <w:tcPr>
            <w:tcW w:w="0" w:type="auto"/>
            <w:tcBorders>
              <w:top w:val="nil"/>
              <w:left w:val="nil"/>
              <w:bottom w:val="nil"/>
              <w:right w:val="nil"/>
            </w:tcBorders>
            <w:shd w:val="clear" w:color="auto" w:fill="auto"/>
            <w:noWrap/>
            <w:vAlign w:val="center"/>
            <w:hideMark/>
          </w:tcPr>
          <w:p w14:paraId="6DD27305" w14:textId="77777777" w:rsidR="00F10D6B" w:rsidRPr="00AD3BD4" w:rsidRDefault="00F91604">
            <w:pPr>
              <w:rPr>
                <w:color w:val="000000"/>
                <w:sz w:val="22"/>
                <w:szCs w:val="22"/>
              </w:rPr>
            </w:pPr>
            <w:r w:rsidRPr="00DB4445">
              <w:rPr>
                <w:color w:val="000000"/>
                <w:sz w:val="22"/>
                <w:szCs w:val="22"/>
              </w:rPr>
              <w:t>[0.65,0.84]</w:t>
            </w:r>
          </w:p>
        </w:tc>
      </w:tr>
      <w:tr w:rsidR="00F10D6B" w:rsidRPr="00AD3BD4" w14:paraId="3B9693F3" w14:textId="77777777" w:rsidTr="000A1C65">
        <w:trPr>
          <w:trHeight w:val="320"/>
        </w:trPr>
        <w:tc>
          <w:tcPr>
            <w:tcW w:w="0" w:type="auto"/>
            <w:tcBorders>
              <w:top w:val="nil"/>
              <w:left w:val="nil"/>
              <w:bottom w:val="nil"/>
              <w:right w:val="nil"/>
            </w:tcBorders>
            <w:shd w:val="clear" w:color="auto" w:fill="auto"/>
            <w:noWrap/>
            <w:vAlign w:val="center"/>
            <w:hideMark/>
          </w:tcPr>
          <w:p w14:paraId="5F36E1FE" w14:textId="77777777" w:rsidR="00F10D6B" w:rsidRPr="00AD3BD4" w:rsidRDefault="00F10D6B">
            <w:pPr>
              <w:rPr>
                <w:color w:val="000000"/>
                <w:sz w:val="22"/>
                <w:szCs w:val="22"/>
              </w:rPr>
            </w:pPr>
          </w:p>
        </w:tc>
        <w:tc>
          <w:tcPr>
            <w:tcW w:w="0" w:type="auto"/>
            <w:tcBorders>
              <w:top w:val="nil"/>
              <w:left w:val="nil"/>
              <w:bottom w:val="nil"/>
              <w:right w:val="nil"/>
            </w:tcBorders>
            <w:shd w:val="clear" w:color="auto" w:fill="auto"/>
            <w:noWrap/>
            <w:vAlign w:val="center"/>
            <w:hideMark/>
          </w:tcPr>
          <w:p w14:paraId="5788C143" w14:textId="77777777" w:rsidR="00F10D6B" w:rsidRPr="00AD3BD4" w:rsidRDefault="00F91604">
            <w:pPr>
              <w:rPr>
                <w:color w:val="000000"/>
                <w:sz w:val="22"/>
                <w:szCs w:val="22"/>
              </w:rPr>
            </w:pPr>
            <w:r w:rsidRPr="00DB4445">
              <w:rPr>
                <w:color w:val="000000"/>
                <w:sz w:val="22"/>
                <w:szCs w:val="22"/>
              </w:rPr>
              <w:t>Low</w:t>
            </w:r>
          </w:p>
        </w:tc>
        <w:tc>
          <w:tcPr>
            <w:tcW w:w="0" w:type="auto"/>
            <w:tcBorders>
              <w:top w:val="nil"/>
              <w:left w:val="nil"/>
              <w:bottom w:val="nil"/>
              <w:right w:val="nil"/>
            </w:tcBorders>
            <w:shd w:val="clear" w:color="auto" w:fill="auto"/>
            <w:noWrap/>
            <w:vAlign w:val="center"/>
            <w:hideMark/>
          </w:tcPr>
          <w:p w14:paraId="346B0813" w14:textId="77777777" w:rsidR="00F10D6B" w:rsidRPr="00AD3BD4" w:rsidRDefault="00F10D6B">
            <w:pPr>
              <w:rPr>
                <w:color w:val="000000"/>
                <w:sz w:val="22"/>
                <w:szCs w:val="22"/>
              </w:rPr>
            </w:pPr>
          </w:p>
        </w:tc>
        <w:tc>
          <w:tcPr>
            <w:tcW w:w="0" w:type="auto"/>
            <w:tcBorders>
              <w:top w:val="nil"/>
              <w:left w:val="nil"/>
              <w:bottom w:val="nil"/>
              <w:right w:val="nil"/>
            </w:tcBorders>
            <w:shd w:val="clear" w:color="auto" w:fill="auto"/>
            <w:noWrap/>
            <w:vAlign w:val="center"/>
            <w:hideMark/>
          </w:tcPr>
          <w:p w14:paraId="0921877D" w14:textId="77777777" w:rsidR="00F10D6B" w:rsidRPr="00AD3BD4" w:rsidRDefault="00F10D6B">
            <w:pPr>
              <w:rPr>
                <w:sz w:val="20"/>
                <w:szCs w:val="20"/>
              </w:rPr>
            </w:pPr>
          </w:p>
        </w:tc>
        <w:tc>
          <w:tcPr>
            <w:tcW w:w="0" w:type="auto"/>
            <w:tcBorders>
              <w:top w:val="nil"/>
              <w:left w:val="nil"/>
              <w:bottom w:val="nil"/>
              <w:right w:val="nil"/>
            </w:tcBorders>
            <w:shd w:val="clear" w:color="auto" w:fill="auto"/>
            <w:noWrap/>
            <w:vAlign w:val="center"/>
            <w:hideMark/>
          </w:tcPr>
          <w:p w14:paraId="66577DEE" w14:textId="77777777" w:rsidR="00F10D6B" w:rsidRPr="00AD3BD4" w:rsidRDefault="00F91604">
            <w:pPr>
              <w:rPr>
                <w:color w:val="000000"/>
                <w:sz w:val="22"/>
                <w:szCs w:val="22"/>
              </w:rPr>
            </w:pPr>
            <w:r w:rsidRPr="00DB4445">
              <w:rPr>
                <w:color w:val="000000"/>
                <w:sz w:val="22"/>
                <w:szCs w:val="22"/>
              </w:rPr>
              <w:t>1.15*</w:t>
            </w:r>
          </w:p>
        </w:tc>
        <w:tc>
          <w:tcPr>
            <w:tcW w:w="0" w:type="auto"/>
            <w:tcBorders>
              <w:top w:val="nil"/>
              <w:left w:val="nil"/>
              <w:bottom w:val="nil"/>
              <w:right w:val="nil"/>
            </w:tcBorders>
            <w:shd w:val="clear" w:color="auto" w:fill="auto"/>
            <w:noWrap/>
            <w:vAlign w:val="center"/>
            <w:hideMark/>
          </w:tcPr>
          <w:p w14:paraId="45870427" w14:textId="77777777" w:rsidR="00F10D6B" w:rsidRPr="00AD3BD4" w:rsidRDefault="00F91604">
            <w:pPr>
              <w:rPr>
                <w:color w:val="000000"/>
                <w:sz w:val="22"/>
                <w:szCs w:val="22"/>
              </w:rPr>
            </w:pPr>
            <w:r w:rsidRPr="00DB4445">
              <w:rPr>
                <w:color w:val="000000"/>
                <w:sz w:val="22"/>
                <w:szCs w:val="22"/>
              </w:rPr>
              <w:t>[1.00,1.32]</w:t>
            </w:r>
          </w:p>
        </w:tc>
        <w:tc>
          <w:tcPr>
            <w:tcW w:w="0" w:type="auto"/>
            <w:tcBorders>
              <w:top w:val="nil"/>
              <w:left w:val="nil"/>
              <w:bottom w:val="nil"/>
              <w:right w:val="nil"/>
            </w:tcBorders>
            <w:shd w:val="clear" w:color="auto" w:fill="auto"/>
            <w:noWrap/>
            <w:vAlign w:val="center"/>
            <w:hideMark/>
          </w:tcPr>
          <w:p w14:paraId="67B72D33" w14:textId="77777777" w:rsidR="00F10D6B" w:rsidRPr="00AD3BD4" w:rsidRDefault="00F91604">
            <w:pPr>
              <w:rPr>
                <w:color w:val="000000"/>
                <w:sz w:val="22"/>
                <w:szCs w:val="22"/>
              </w:rPr>
            </w:pPr>
            <w:r w:rsidRPr="00DB4445">
              <w:rPr>
                <w:color w:val="000000"/>
                <w:sz w:val="22"/>
                <w:szCs w:val="22"/>
              </w:rPr>
              <w:t>1.14</w:t>
            </w:r>
          </w:p>
        </w:tc>
        <w:tc>
          <w:tcPr>
            <w:tcW w:w="0" w:type="auto"/>
            <w:tcBorders>
              <w:top w:val="nil"/>
              <w:left w:val="nil"/>
              <w:bottom w:val="nil"/>
              <w:right w:val="nil"/>
            </w:tcBorders>
            <w:shd w:val="clear" w:color="auto" w:fill="auto"/>
            <w:noWrap/>
            <w:vAlign w:val="center"/>
            <w:hideMark/>
          </w:tcPr>
          <w:p w14:paraId="794DDFFB" w14:textId="77777777" w:rsidR="00F10D6B" w:rsidRPr="00AD3BD4" w:rsidRDefault="00F91604">
            <w:pPr>
              <w:rPr>
                <w:color w:val="000000"/>
                <w:sz w:val="22"/>
                <w:szCs w:val="22"/>
              </w:rPr>
            </w:pPr>
            <w:r w:rsidRPr="00DB4445">
              <w:rPr>
                <w:color w:val="000000"/>
                <w:sz w:val="22"/>
                <w:szCs w:val="22"/>
              </w:rPr>
              <w:t>[0.98,1.31]</w:t>
            </w:r>
          </w:p>
        </w:tc>
      </w:tr>
      <w:tr w:rsidR="00F10D6B" w:rsidRPr="00AD3BD4" w14:paraId="473CBBE5" w14:textId="77777777" w:rsidTr="000A1C65">
        <w:trPr>
          <w:trHeight w:val="320"/>
        </w:trPr>
        <w:tc>
          <w:tcPr>
            <w:tcW w:w="0" w:type="auto"/>
            <w:tcBorders>
              <w:top w:val="nil"/>
              <w:left w:val="nil"/>
              <w:bottom w:val="nil"/>
              <w:right w:val="nil"/>
            </w:tcBorders>
            <w:shd w:val="clear" w:color="auto" w:fill="auto"/>
            <w:noWrap/>
            <w:vAlign w:val="center"/>
            <w:hideMark/>
          </w:tcPr>
          <w:p w14:paraId="1AB69D2F" w14:textId="77777777" w:rsidR="00F10D6B" w:rsidRPr="00AD3BD4" w:rsidRDefault="00F91604">
            <w:pPr>
              <w:rPr>
                <w:color w:val="000000"/>
                <w:sz w:val="22"/>
                <w:szCs w:val="22"/>
              </w:rPr>
            </w:pPr>
            <w:r w:rsidRPr="00DB4445">
              <w:rPr>
                <w:color w:val="000000"/>
                <w:sz w:val="22"/>
                <w:szCs w:val="22"/>
              </w:rPr>
              <w:t>Alcohol consumption</w:t>
            </w:r>
          </w:p>
        </w:tc>
        <w:tc>
          <w:tcPr>
            <w:tcW w:w="0" w:type="auto"/>
            <w:tcBorders>
              <w:top w:val="nil"/>
              <w:left w:val="nil"/>
              <w:bottom w:val="nil"/>
              <w:right w:val="nil"/>
            </w:tcBorders>
            <w:shd w:val="clear" w:color="auto" w:fill="auto"/>
            <w:noWrap/>
            <w:vAlign w:val="center"/>
            <w:hideMark/>
          </w:tcPr>
          <w:p w14:paraId="6AB8C79F" w14:textId="77777777" w:rsidR="00F10D6B" w:rsidRPr="00AD3BD4" w:rsidRDefault="00F91604">
            <w:pPr>
              <w:rPr>
                <w:color w:val="000000"/>
                <w:sz w:val="22"/>
                <w:szCs w:val="22"/>
              </w:rPr>
            </w:pPr>
            <w:r w:rsidRPr="00DB4445">
              <w:rPr>
                <w:color w:val="000000"/>
                <w:sz w:val="22"/>
                <w:szCs w:val="22"/>
              </w:rPr>
              <w:t>Yes vs. No</w:t>
            </w:r>
          </w:p>
        </w:tc>
        <w:tc>
          <w:tcPr>
            <w:tcW w:w="0" w:type="auto"/>
            <w:tcBorders>
              <w:top w:val="nil"/>
              <w:left w:val="nil"/>
              <w:bottom w:val="nil"/>
              <w:right w:val="nil"/>
            </w:tcBorders>
            <w:shd w:val="clear" w:color="auto" w:fill="auto"/>
            <w:noWrap/>
            <w:vAlign w:val="center"/>
            <w:hideMark/>
          </w:tcPr>
          <w:p w14:paraId="4DCF1DC4" w14:textId="77777777" w:rsidR="00F10D6B" w:rsidRPr="00AD3BD4" w:rsidRDefault="00F10D6B">
            <w:pPr>
              <w:rPr>
                <w:color w:val="000000"/>
                <w:sz w:val="22"/>
                <w:szCs w:val="22"/>
              </w:rPr>
            </w:pPr>
          </w:p>
        </w:tc>
        <w:tc>
          <w:tcPr>
            <w:tcW w:w="0" w:type="auto"/>
            <w:tcBorders>
              <w:top w:val="nil"/>
              <w:left w:val="nil"/>
              <w:bottom w:val="nil"/>
              <w:right w:val="nil"/>
            </w:tcBorders>
            <w:shd w:val="clear" w:color="auto" w:fill="auto"/>
            <w:noWrap/>
            <w:vAlign w:val="center"/>
            <w:hideMark/>
          </w:tcPr>
          <w:p w14:paraId="1DB5BD79" w14:textId="77777777" w:rsidR="00F10D6B" w:rsidRPr="00AD3BD4" w:rsidRDefault="00F10D6B">
            <w:pPr>
              <w:rPr>
                <w:sz w:val="20"/>
                <w:szCs w:val="20"/>
              </w:rPr>
            </w:pPr>
          </w:p>
        </w:tc>
        <w:tc>
          <w:tcPr>
            <w:tcW w:w="0" w:type="auto"/>
            <w:tcBorders>
              <w:top w:val="nil"/>
              <w:left w:val="nil"/>
              <w:bottom w:val="nil"/>
              <w:right w:val="nil"/>
            </w:tcBorders>
            <w:shd w:val="clear" w:color="auto" w:fill="auto"/>
            <w:noWrap/>
            <w:vAlign w:val="center"/>
            <w:hideMark/>
          </w:tcPr>
          <w:p w14:paraId="6032998E" w14:textId="77777777" w:rsidR="00F10D6B" w:rsidRPr="00AD3BD4" w:rsidRDefault="00F91604">
            <w:pPr>
              <w:rPr>
                <w:color w:val="000000"/>
                <w:sz w:val="22"/>
                <w:szCs w:val="22"/>
              </w:rPr>
            </w:pPr>
            <w:r w:rsidRPr="00DB4445">
              <w:rPr>
                <w:color w:val="000000"/>
                <w:sz w:val="22"/>
                <w:szCs w:val="22"/>
              </w:rPr>
              <w:t>1.02</w:t>
            </w:r>
          </w:p>
        </w:tc>
        <w:tc>
          <w:tcPr>
            <w:tcW w:w="0" w:type="auto"/>
            <w:tcBorders>
              <w:top w:val="nil"/>
              <w:left w:val="nil"/>
              <w:bottom w:val="nil"/>
              <w:right w:val="nil"/>
            </w:tcBorders>
            <w:shd w:val="clear" w:color="auto" w:fill="auto"/>
            <w:noWrap/>
            <w:vAlign w:val="center"/>
            <w:hideMark/>
          </w:tcPr>
          <w:p w14:paraId="1039CB2F" w14:textId="77777777" w:rsidR="00F10D6B" w:rsidRPr="00AD3BD4" w:rsidRDefault="00F91604">
            <w:pPr>
              <w:rPr>
                <w:color w:val="000000"/>
                <w:sz w:val="22"/>
                <w:szCs w:val="22"/>
              </w:rPr>
            </w:pPr>
            <w:r w:rsidRPr="00DB4445">
              <w:rPr>
                <w:color w:val="000000"/>
                <w:sz w:val="22"/>
                <w:szCs w:val="22"/>
              </w:rPr>
              <w:t>[0.87,1.21]</w:t>
            </w:r>
          </w:p>
        </w:tc>
        <w:tc>
          <w:tcPr>
            <w:tcW w:w="0" w:type="auto"/>
            <w:tcBorders>
              <w:top w:val="nil"/>
              <w:left w:val="nil"/>
              <w:bottom w:val="nil"/>
              <w:right w:val="nil"/>
            </w:tcBorders>
            <w:shd w:val="clear" w:color="auto" w:fill="auto"/>
            <w:noWrap/>
            <w:vAlign w:val="center"/>
            <w:hideMark/>
          </w:tcPr>
          <w:p w14:paraId="14348173" w14:textId="77777777" w:rsidR="00F10D6B" w:rsidRPr="00AD3BD4" w:rsidRDefault="00F91604">
            <w:pPr>
              <w:rPr>
                <w:color w:val="000000"/>
                <w:sz w:val="22"/>
                <w:szCs w:val="22"/>
              </w:rPr>
            </w:pPr>
            <w:r w:rsidRPr="00DB4445">
              <w:rPr>
                <w:color w:val="000000"/>
                <w:sz w:val="22"/>
                <w:szCs w:val="22"/>
              </w:rPr>
              <w:t>1.05</w:t>
            </w:r>
          </w:p>
        </w:tc>
        <w:tc>
          <w:tcPr>
            <w:tcW w:w="0" w:type="auto"/>
            <w:tcBorders>
              <w:top w:val="nil"/>
              <w:left w:val="nil"/>
              <w:bottom w:val="nil"/>
              <w:right w:val="nil"/>
            </w:tcBorders>
            <w:shd w:val="clear" w:color="auto" w:fill="auto"/>
            <w:noWrap/>
            <w:vAlign w:val="center"/>
            <w:hideMark/>
          </w:tcPr>
          <w:p w14:paraId="3D56D52C" w14:textId="77777777" w:rsidR="00F10D6B" w:rsidRPr="00AD3BD4" w:rsidRDefault="00F91604">
            <w:pPr>
              <w:rPr>
                <w:color w:val="000000"/>
                <w:sz w:val="22"/>
                <w:szCs w:val="22"/>
              </w:rPr>
            </w:pPr>
            <w:r w:rsidRPr="00DB4445">
              <w:rPr>
                <w:color w:val="000000"/>
                <w:sz w:val="22"/>
                <w:szCs w:val="22"/>
              </w:rPr>
              <w:t>[0.89,1.24]</w:t>
            </w:r>
          </w:p>
        </w:tc>
      </w:tr>
      <w:tr w:rsidR="00F10D6B" w:rsidRPr="00AD3BD4" w14:paraId="3EBD2CA8" w14:textId="77777777" w:rsidTr="000A1C65">
        <w:trPr>
          <w:trHeight w:val="320"/>
        </w:trPr>
        <w:tc>
          <w:tcPr>
            <w:tcW w:w="0" w:type="auto"/>
            <w:tcBorders>
              <w:top w:val="nil"/>
              <w:left w:val="nil"/>
              <w:bottom w:val="nil"/>
              <w:right w:val="nil"/>
            </w:tcBorders>
            <w:shd w:val="clear" w:color="auto" w:fill="auto"/>
            <w:noWrap/>
            <w:vAlign w:val="center"/>
            <w:hideMark/>
          </w:tcPr>
          <w:p w14:paraId="000121E7" w14:textId="77777777" w:rsidR="00F10D6B" w:rsidRPr="00AD3BD4" w:rsidRDefault="00F91604">
            <w:pPr>
              <w:rPr>
                <w:color w:val="000000"/>
                <w:sz w:val="22"/>
                <w:szCs w:val="22"/>
              </w:rPr>
            </w:pPr>
            <w:r w:rsidRPr="00DB4445">
              <w:rPr>
                <w:color w:val="000000"/>
                <w:sz w:val="22"/>
                <w:szCs w:val="22"/>
              </w:rPr>
              <w:t>Smoking</w:t>
            </w:r>
          </w:p>
        </w:tc>
        <w:tc>
          <w:tcPr>
            <w:tcW w:w="0" w:type="auto"/>
            <w:tcBorders>
              <w:top w:val="nil"/>
              <w:left w:val="nil"/>
              <w:bottom w:val="nil"/>
              <w:right w:val="nil"/>
            </w:tcBorders>
            <w:shd w:val="clear" w:color="auto" w:fill="auto"/>
            <w:noWrap/>
            <w:vAlign w:val="center"/>
            <w:hideMark/>
          </w:tcPr>
          <w:p w14:paraId="467E4900" w14:textId="77777777" w:rsidR="00F10D6B" w:rsidRPr="00AD3BD4" w:rsidRDefault="00F91604">
            <w:pPr>
              <w:rPr>
                <w:color w:val="000000"/>
                <w:sz w:val="22"/>
                <w:szCs w:val="22"/>
              </w:rPr>
            </w:pPr>
            <w:r w:rsidRPr="00DB4445">
              <w:rPr>
                <w:color w:val="000000"/>
                <w:sz w:val="22"/>
                <w:szCs w:val="22"/>
              </w:rPr>
              <w:t>Never</w:t>
            </w:r>
          </w:p>
        </w:tc>
        <w:tc>
          <w:tcPr>
            <w:tcW w:w="0" w:type="auto"/>
            <w:tcBorders>
              <w:top w:val="nil"/>
              <w:left w:val="nil"/>
              <w:bottom w:val="nil"/>
              <w:right w:val="nil"/>
            </w:tcBorders>
            <w:shd w:val="clear" w:color="auto" w:fill="auto"/>
            <w:noWrap/>
            <w:vAlign w:val="center"/>
            <w:hideMark/>
          </w:tcPr>
          <w:p w14:paraId="75C353AC" w14:textId="77777777" w:rsidR="00F10D6B" w:rsidRPr="00AD3BD4" w:rsidRDefault="00F10D6B">
            <w:pPr>
              <w:rPr>
                <w:color w:val="000000"/>
                <w:sz w:val="22"/>
                <w:szCs w:val="22"/>
              </w:rPr>
            </w:pPr>
          </w:p>
        </w:tc>
        <w:tc>
          <w:tcPr>
            <w:tcW w:w="0" w:type="auto"/>
            <w:tcBorders>
              <w:top w:val="nil"/>
              <w:left w:val="nil"/>
              <w:bottom w:val="nil"/>
              <w:right w:val="nil"/>
            </w:tcBorders>
            <w:shd w:val="clear" w:color="auto" w:fill="auto"/>
            <w:noWrap/>
            <w:vAlign w:val="center"/>
            <w:hideMark/>
          </w:tcPr>
          <w:p w14:paraId="616DF0E8" w14:textId="77777777" w:rsidR="00F10D6B" w:rsidRPr="00AD3BD4" w:rsidRDefault="00F10D6B">
            <w:pPr>
              <w:rPr>
                <w:sz w:val="20"/>
                <w:szCs w:val="20"/>
              </w:rPr>
            </w:pPr>
          </w:p>
        </w:tc>
        <w:tc>
          <w:tcPr>
            <w:tcW w:w="0" w:type="auto"/>
            <w:tcBorders>
              <w:top w:val="nil"/>
              <w:left w:val="nil"/>
              <w:bottom w:val="nil"/>
              <w:right w:val="nil"/>
            </w:tcBorders>
            <w:shd w:val="clear" w:color="auto" w:fill="auto"/>
            <w:noWrap/>
            <w:vAlign w:val="center"/>
            <w:hideMark/>
          </w:tcPr>
          <w:p w14:paraId="51BFE533" w14:textId="77777777" w:rsidR="00F10D6B" w:rsidRPr="00AD3BD4" w:rsidRDefault="00F91604">
            <w:pPr>
              <w:rPr>
                <w:color w:val="000000"/>
                <w:sz w:val="22"/>
                <w:szCs w:val="22"/>
              </w:rPr>
            </w:pPr>
            <w:r w:rsidRPr="00DB4445">
              <w:rPr>
                <w:color w:val="000000"/>
                <w:sz w:val="22"/>
                <w:szCs w:val="22"/>
              </w:rPr>
              <w:t>1.00</w:t>
            </w:r>
          </w:p>
        </w:tc>
        <w:tc>
          <w:tcPr>
            <w:tcW w:w="0" w:type="auto"/>
            <w:tcBorders>
              <w:top w:val="nil"/>
              <w:left w:val="nil"/>
              <w:bottom w:val="nil"/>
              <w:right w:val="nil"/>
            </w:tcBorders>
            <w:shd w:val="clear" w:color="auto" w:fill="auto"/>
            <w:noWrap/>
            <w:vAlign w:val="center"/>
            <w:hideMark/>
          </w:tcPr>
          <w:p w14:paraId="49C8A51A" w14:textId="77777777" w:rsidR="00F10D6B" w:rsidRPr="00AD3BD4" w:rsidRDefault="00F10D6B">
            <w:pPr>
              <w:rPr>
                <w:color w:val="000000"/>
                <w:sz w:val="22"/>
                <w:szCs w:val="22"/>
              </w:rPr>
            </w:pPr>
          </w:p>
        </w:tc>
        <w:tc>
          <w:tcPr>
            <w:tcW w:w="0" w:type="auto"/>
            <w:tcBorders>
              <w:top w:val="nil"/>
              <w:left w:val="nil"/>
              <w:bottom w:val="nil"/>
              <w:right w:val="nil"/>
            </w:tcBorders>
            <w:shd w:val="clear" w:color="auto" w:fill="auto"/>
            <w:noWrap/>
            <w:vAlign w:val="center"/>
            <w:hideMark/>
          </w:tcPr>
          <w:p w14:paraId="3172AC8A" w14:textId="77777777" w:rsidR="00F10D6B" w:rsidRPr="00AD3BD4" w:rsidRDefault="00F91604">
            <w:pPr>
              <w:rPr>
                <w:color w:val="000000"/>
                <w:sz w:val="22"/>
                <w:szCs w:val="22"/>
              </w:rPr>
            </w:pPr>
            <w:r w:rsidRPr="00DB4445">
              <w:rPr>
                <w:color w:val="000000"/>
                <w:sz w:val="22"/>
                <w:szCs w:val="22"/>
              </w:rPr>
              <w:t>1.00</w:t>
            </w:r>
          </w:p>
        </w:tc>
        <w:tc>
          <w:tcPr>
            <w:tcW w:w="0" w:type="auto"/>
            <w:tcBorders>
              <w:top w:val="nil"/>
              <w:left w:val="nil"/>
              <w:bottom w:val="nil"/>
              <w:right w:val="nil"/>
            </w:tcBorders>
            <w:shd w:val="clear" w:color="auto" w:fill="auto"/>
            <w:noWrap/>
            <w:vAlign w:val="center"/>
            <w:hideMark/>
          </w:tcPr>
          <w:p w14:paraId="1751F8A9" w14:textId="77777777" w:rsidR="00F10D6B" w:rsidRPr="00AD3BD4" w:rsidRDefault="00F10D6B">
            <w:pPr>
              <w:rPr>
                <w:color w:val="000000"/>
                <w:sz w:val="22"/>
                <w:szCs w:val="22"/>
              </w:rPr>
            </w:pPr>
          </w:p>
        </w:tc>
      </w:tr>
      <w:tr w:rsidR="00F10D6B" w:rsidRPr="00AD3BD4" w14:paraId="7DAF8730" w14:textId="77777777" w:rsidTr="000A1C65">
        <w:trPr>
          <w:trHeight w:val="320"/>
        </w:trPr>
        <w:tc>
          <w:tcPr>
            <w:tcW w:w="0" w:type="auto"/>
            <w:tcBorders>
              <w:top w:val="nil"/>
              <w:left w:val="nil"/>
              <w:bottom w:val="nil"/>
              <w:right w:val="nil"/>
            </w:tcBorders>
            <w:shd w:val="clear" w:color="auto" w:fill="auto"/>
            <w:noWrap/>
            <w:vAlign w:val="center"/>
            <w:hideMark/>
          </w:tcPr>
          <w:p w14:paraId="7A670AE2" w14:textId="77777777" w:rsidR="00F10D6B" w:rsidRPr="00AD3BD4" w:rsidRDefault="00F10D6B">
            <w:pPr>
              <w:rPr>
                <w:sz w:val="20"/>
                <w:szCs w:val="20"/>
              </w:rPr>
            </w:pPr>
          </w:p>
        </w:tc>
        <w:tc>
          <w:tcPr>
            <w:tcW w:w="0" w:type="auto"/>
            <w:tcBorders>
              <w:top w:val="nil"/>
              <w:left w:val="nil"/>
              <w:bottom w:val="nil"/>
              <w:right w:val="nil"/>
            </w:tcBorders>
            <w:shd w:val="clear" w:color="auto" w:fill="auto"/>
            <w:noWrap/>
            <w:vAlign w:val="center"/>
            <w:hideMark/>
          </w:tcPr>
          <w:p w14:paraId="5E1988D8" w14:textId="77777777" w:rsidR="00F10D6B" w:rsidRPr="00AD3BD4" w:rsidRDefault="00F91604">
            <w:pPr>
              <w:rPr>
                <w:color w:val="000000"/>
                <w:sz w:val="22"/>
                <w:szCs w:val="22"/>
              </w:rPr>
            </w:pPr>
            <w:r w:rsidRPr="00DB4445">
              <w:rPr>
                <w:color w:val="000000"/>
                <w:sz w:val="22"/>
                <w:szCs w:val="22"/>
              </w:rPr>
              <w:t>Current</w:t>
            </w:r>
          </w:p>
        </w:tc>
        <w:tc>
          <w:tcPr>
            <w:tcW w:w="0" w:type="auto"/>
            <w:tcBorders>
              <w:top w:val="nil"/>
              <w:left w:val="nil"/>
              <w:bottom w:val="nil"/>
              <w:right w:val="nil"/>
            </w:tcBorders>
            <w:shd w:val="clear" w:color="auto" w:fill="auto"/>
            <w:noWrap/>
            <w:vAlign w:val="center"/>
            <w:hideMark/>
          </w:tcPr>
          <w:p w14:paraId="14A3B358" w14:textId="77777777" w:rsidR="00F10D6B" w:rsidRPr="00AD3BD4" w:rsidRDefault="00F10D6B">
            <w:pPr>
              <w:rPr>
                <w:color w:val="000000"/>
                <w:sz w:val="22"/>
                <w:szCs w:val="22"/>
              </w:rPr>
            </w:pPr>
          </w:p>
        </w:tc>
        <w:tc>
          <w:tcPr>
            <w:tcW w:w="0" w:type="auto"/>
            <w:tcBorders>
              <w:top w:val="nil"/>
              <w:left w:val="nil"/>
              <w:bottom w:val="nil"/>
              <w:right w:val="nil"/>
            </w:tcBorders>
            <w:shd w:val="clear" w:color="auto" w:fill="auto"/>
            <w:noWrap/>
            <w:vAlign w:val="center"/>
            <w:hideMark/>
          </w:tcPr>
          <w:p w14:paraId="6723E785" w14:textId="77777777" w:rsidR="00F10D6B" w:rsidRPr="00AD3BD4" w:rsidRDefault="00F10D6B">
            <w:pPr>
              <w:rPr>
                <w:sz w:val="20"/>
                <w:szCs w:val="20"/>
              </w:rPr>
            </w:pPr>
          </w:p>
        </w:tc>
        <w:tc>
          <w:tcPr>
            <w:tcW w:w="0" w:type="auto"/>
            <w:tcBorders>
              <w:top w:val="nil"/>
              <w:left w:val="nil"/>
              <w:bottom w:val="nil"/>
              <w:right w:val="nil"/>
            </w:tcBorders>
            <w:shd w:val="clear" w:color="auto" w:fill="auto"/>
            <w:noWrap/>
            <w:vAlign w:val="center"/>
            <w:hideMark/>
          </w:tcPr>
          <w:p w14:paraId="6775CE21" w14:textId="77777777" w:rsidR="00F10D6B" w:rsidRPr="00AD3BD4" w:rsidRDefault="00F91604">
            <w:pPr>
              <w:rPr>
                <w:color w:val="000000"/>
                <w:sz w:val="22"/>
                <w:szCs w:val="22"/>
              </w:rPr>
            </w:pPr>
            <w:r w:rsidRPr="00DB4445">
              <w:rPr>
                <w:color w:val="000000"/>
                <w:sz w:val="22"/>
                <w:szCs w:val="22"/>
              </w:rPr>
              <w:t>1.19*</w:t>
            </w:r>
          </w:p>
        </w:tc>
        <w:tc>
          <w:tcPr>
            <w:tcW w:w="0" w:type="auto"/>
            <w:tcBorders>
              <w:top w:val="nil"/>
              <w:left w:val="nil"/>
              <w:bottom w:val="nil"/>
              <w:right w:val="nil"/>
            </w:tcBorders>
            <w:shd w:val="clear" w:color="auto" w:fill="auto"/>
            <w:noWrap/>
            <w:vAlign w:val="center"/>
            <w:hideMark/>
          </w:tcPr>
          <w:p w14:paraId="2D71A8A6" w14:textId="77777777" w:rsidR="00F10D6B" w:rsidRPr="00AD3BD4" w:rsidRDefault="00F91604">
            <w:pPr>
              <w:rPr>
                <w:color w:val="000000"/>
                <w:sz w:val="22"/>
                <w:szCs w:val="22"/>
              </w:rPr>
            </w:pPr>
            <w:r w:rsidRPr="00DB4445">
              <w:rPr>
                <w:color w:val="000000"/>
                <w:sz w:val="22"/>
                <w:szCs w:val="22"/>
              </w:rPr>
              <w:t>[1.01,1.40]</w:t>
            </w:r>
          </w:p>
        </w:tc>
        <w:tc>
          <w:tcPr>
            <w:tcW w:w="0" w:type="auto"/>
            <w:tcBorders>
              <w:top w:val="nil"/>
              <w:left w:val="nil"/>
              <w:bottom w:val="nil"/>
              <w:right w:val="nil"/>
            </w:tcBorders>
            <w:shd w:val="clear" w:color="auto" w:fill="auto"/>
            <w:noWrap/>
            <w:vAlign w:val="center"/>
            <w:hideMark/>
          </w:tcPr>
          <w:p w14:paraId="7C5FA7EA" w14:textId="77777777" w:rsidR="00F10D6B" w:rsidRPr="00AD3BD4" w:rsidRDefault="00F91604">
            <w:pPr>
              <w:rPr>
                <w:color w:val="000000"/>
                <w:sz w:val="22"/>
                <w:szCs w:val="22"/>
              </w:rPr>
            </w:pPr>
            <w:r w:rsidRPr="00DB4445">
              <w:rPr>
                <w:color w:val="000000"/>
                <w:sz w:val="22"/>
                <w:szCs w:val="22"/>
              </w:rPr>
              <w:t>1.19*</w:t>
            </w:r>
          </w:p>
        </w:tc>
        <w:tc>
          <w:tcPr>
            <w:tcW w:w="0" w:type="auto"/>
            <w:tcBorders>
              <w:top w:val="nil"/>
              <w:left w:val="nil"/>
              <w:bottom w:val="nil"/>
              <w:right w:val="nil"/>
            </w:tcBorders>
            <w:shd w:val="clear" w:color="auto" w:fill="auto"/>
            <w:noWrap/>
            <w:vAlign w:val="center"/>
            <w:hideMark/>
          </w:tcPr>
          <w:p w14:paraId="7CB9C460" w14:textId="77777777" w:rsidR="00F10D6B" w:rsidRPr="00AD3BD4" w:rsidRDefault="00F91604">
            <w:pPr>
              <w:rPr>
                <w:color w:val="000000"/>
                <w:sz w:val="22"/>
                <w:szCs w:val="22"/>
              </w:rPr>
            </w:pPr>
            <w:r w:rsidRPr="00DB4445">
              <w:rPr>
                <w:color w:val="000000"/>
                <w:sz w:val="22"/>
                <w:szCs w:val="22"/>
              </w:rPr>
              <w:t>[1.01,1.41]</w:t>
            </w:r>
          </w:p>
        </w:tc>
      </w:tr>
      <w:tr w:rsidR="00F10D6B" w:rsidRPr="00AD3BD4" w14:paraId="519EBD30" w14:textId="77777777" w:rsidTr="000A1C65">
        <w:trPr>
          <w:trHeight w:val="320"/>
        </w:trPr>
        <w:tc>
          <w:tcPr>
            <w:tcW w:w="0" w:type="auto"/>
            <w:tcBorders>
              <w:top w:val="nil"/>
              <w:left w:val="nil"/>
              <w:bottom w:val="nil"/>
              <w:right w:val="nil"/>
            </w:tcBorders>
            <w:shd w:val="clear" w:color="auto" w:fill="auto"/>
            <w:noWrap/>
            <w:vAlign w:val="center"/>
            <w:hideMark/>
          </w:tcPr>
          <w:p w14:paraId="51E2476E" w14:textId="77777777" w:rsidR="00F10D6B" w:rsidRPr="00AD3BD4" w:rsidRDefault="00F10D6B">
            <w:pPr>
              <w:rPr>
                <w:color w:val="000000"/>
                <w:sz w:val="22"/>
                <w:szCs w:val="22"/>
              </w:rPr>
            </w:pPr>
          </w:p>
        </w:tc>
        <w:tc>
          <w:tcPr>
            <w:tcW w:w="0" w:type="auto"/>
            <w:tcBorders>
              <w:top w:val="nil"/>
              <w:left w:val="nil"/>
              <w:bottom w:val="nil"/>
              <w:right w:val="nil"/>
            </w:tcBorders>
            <w:shd w:val="clear" w:color="auto" w:fill="auto"/>
            <w:noWrap/>
            <w:vAlign w:val="center"/>
            <w:hideMark/>
          </w:tcPr>
          <w:p w14:paraId="70DB1EB3" w14:textId="77777777" w:rsidR="00F10D6B" w:rsidRPr="00AD3BD4" w:rsidRDefault="00F91604">
            <w:pPr>
              <w:rPr>
                <w:color w:val="000000"/>
                <w:sz w:val="22"/>
                <w:szCs w:val="22"/>
              </w:rPr>
            </w:pPr>
            <w:r w:rsidRPr="00DB4445">
              <w:rPr>
                <w:color w:val="000000"/>
                <w:sz w:val="22"/>
                <w:szCs w:val="22"/>
              </w:rPr>
              <w:t>Former</w:t>
            </w:r>
          </w:p>
        </w:tc>
        <w:tc>
          <w:tcPr>
            <w:tcW w:w="0" w:type="auto"/>
            <w:tcBorders>
              <w:top w:val="nil"/>
              <w:left w:val="nil"/>
              <w:bottom w:val="nil"/>
              <w:right w:val="nil"/>
            </w:tcBorders>
            <w:shd w:val="clear" w:color="auto" w:fill="auto"/>
            <w:noWrap/>
            <w:vAlign w:val="center"/>
            <w:hideMark/>
          </w:tcPr>
          <w:p w14:paraId="2135ADC5" w14:textId="77777777" w:rsidR="00F10D6B" w:rsidRPr="00AD3BD4" w:rsidRDefault="00F10D6B">
            <w:pPr>
              <w:rPr>
                <w:color w:val="000000"/>
                <w:sz w:val="22"/>
                <w:szCs w:val="22"/>
              </w:rPr>
            </w:pPr>
          </w:p>
        </w:tc>
        <w:tc>
          <w:tcPr>
            <w:tcW w:w="0" w:type="auto"/>
            <w:tcBorders>
              <w:top w:val="nil"/>
              <w:left w:val="nil"/>
              <w:bottom w:val="nil"/>
              <w:right w:val="nil"/>
            </w:tcBorders>
            <w:shd w:val="clear" w:color="auto" w:fill="auto"/>
            <w:noWrap/>
            <w:vAlign w:val="center"/>
            <w:hideMark/>
          </w:tcPr>
          <w:p w14:paraId="2358120B" w14:textId="77777777" w:rsidR="00F10D6B" w:rsidRPr="00AD3BD4" w:rsidRDefault="00F10D6B">
            <w:pPr>
              <w:rPr>
                <w:sz w:val="20"/>
                <w:szCs w:val="20"/>
              </w:rPr>
            </w:pPr>
          </w:p>
        </w:tc>
        <w:tc>
          <w:tcPr>
            <w:tcW w:w="0" w:type="auto"/>
            <w:tcBorders>
              <w:top w:val="nil"/>
              <w:left w:val="nil"/>
              <w:bottom w:val="nil"/>
              <w:right w:val="nil"/>
            </w:tcBorders>
            <w:shd w:val="clear" w:color="auto" w:fill="auto"/>
            <w:noWrap/>
            <w:vAlign w:val="center"/>
            <w:hideMark/>
          </w:tcPr>
          <w:p w14:paraId="04B901AC" w14:textId="77777777" w:rsidR="00F10D6B" w:rsidRPr="00AD3BD4" w:rsidRDefault="00F91604">
            <w:pPr>
              <w:rPr>
                <w:color w:val="000000"/>
                <w:sz w:val="22"/>
                <w:szCs w:val="22"/>
              </w:rPr>
            </w:pPr>
            <w:r w:rsidRPr="00DB4445">
              <w:rPr>
                <w:color w:val="000000"/>
                <w:sz w:val="22"/>
                <w:szCs w:val="22"/>
              </w:rPr>
              <w:t>1.22</w:t>
            </w:r>
          </w:p>
        </w:tc>
        <w:tc>
          <w:tcPr>
            <w:tcW w:w="0" w:type="auto"/>
            <w:tcBorders>
              <w:top w:val="nil"/>
              <w:left w:val="nil"/>
              <w:bottom w:val="nil"/>
              <w:right w:val="nil"/>
            </w:tcBorders>
            <w:shd w:val="clear" w:color="auto" w:fill="auto"/>
            <w:noWrap/>
            <w:vAlign w:val="center"/>
            <w:hideMark/>
          </w:tcPr>
          <w:p w14:paraId="4881D683" w14:textId="77777777" w:rsidR="00F10D6B" w:rsidRPr="00AD3BD4" w:rsidRDefault="00F91604">
            <w:pPr>
              <w:rPr>
                <w:color w:val="000000"/>
                <w:sz w:val="22"/>
                <w:szCs w:val="22"/>
              </w:rPr>
            </w:pPr>
            <w:r w:rsidRPr="00DB4445">
              <w:rPr>
                <w:color w:val="000000"/>
                <w:sz w:val="22"/>
                <w:szCs w:val="22"/>
              </w:rPr>
              <w:t>[0.99,1.50]</w:t>
            </w:r>
          </w:p>
        </w:tc>
        <w:tc>
          <w:tcPr>
            <w:tcW w:w="0" w:type="auto"/>
            <w:tcBorders>
              <w:top w:val="nil"/>
              <w:left w:val="nil"/>
              <w:bottom w:val="nil"/>
              <w:right w:val="nil"/>
            </w:tcBorders>
            <w:shd w:val="clear" w:color="auto" w:fill="auto"/>
            <w:noWrap/>
            <w:vAlign w:val="center"/>
            <w:hideMark/>
          </w:tcPr>
          <w:p w14:paraId="380F2DD1" w14:textId="77777777" w:rsidR="00F10D6B" w:rsidRPr="00AD3BD4" w:rsidRDefault="00F91604">
            <w:pPr>
              <w:rPr>
                <w:color w:val="000000"/>
                <w:sz w:val="22"/>
                <w:szCs w:val="22"/>
              </w:rPr>
            </w:pPr>
            <w:r w:rsidRPr="00DB4445">
              <w:rPr>
                <w:color w:val="000000"/>
                <w:sz w:val="22"/>
                <w:szCs w:val="22"/>
              </w:rPr>
              <w:t>1.19</w:t>
            </w:r>
          </w:p>
        </w:tc>
        <w:tc>
          <w:tcPr>
            <w:tcW w:w="0" w:type="auto"/>
            <w:tcBorders>
              <w:top w:val="nil"/>
              <w:left w:val="nil"/>
              <w:bottom w:val="nil"/>
              <w:right w:val="nil"/>
            </w:tcBorders>
            <w:shd w:val="clear" w:color="auto" w:fill="auto"/>
            <w:noWrap/>
            <w:vAlign w:val="center"/>
            <w:hideMark/>
          </w:tcPr>
          <w:p w14:paraId="395D76AE" w14:textId="77777777" w:rsidR="00F10D6B" w:rsidRPr="00AD3BD4" w:rsidRDefault="00F91604">
            <w:pPr>
              <w:rPr>
                <w:color w:val="000000"/>
                <w:sz w:val="22"/>
                <w:szCs w:val="22"/>
              </w:rPr>
            </w:pPr>
            <w:r w:rsidRPr="00DB4445">
              <w:rPr>
                <w:color w:val="000000"/>
                <w:sz w:val="22"/>
                <w:szCs w:val="22"/>
              </w:rPr>
              <w:t>[0.96,1.48]</w:t>
            </w:r>
          </w:p>
        </w:tc>
      </w:tr>
      <w:tr w:rsidR="00F10D6B" w:rsidRPr="00AD3BD4" w14:paraId="52FBBE46" w14:textId="77777777" w:rsidTr="000A1C65">
        <w:trPr>
          <w:trHeight w:val="320"/>
        </w:trPr>
        <w:tc>
          <w:tcPr>
            <w:tcW w:w="0" w:type="auto"/>
            <w:tcBorders>
              <w:top w:val="nil"/>
              <w:left w:val="nil"/>
              <w:bottom w:val="nil"/>
              <w:right w:val="nil"/>
            </w:tcBorders>
            <w:shd w:val="clear" w:color="auto" w:fill="auto"/>
            <w:noWrap/>
            <w:vAlign w:val="center"/>
            <w:hideMark/>
          </w:tcPr>
          <w:p w14:paraId="51CCBB52" w14:textId="77777777" w:rsidR="00F10D6B" w:rsidRPr="00AD3BD4" w:rsidRDefault="00F91604">
            <w:pPr>
              <w:rPr>
                <w:color w:val="000000"/>
                <w:sz w:val="22"/>
                <w:szCs w:val="22"/>
              </w:rPr>
            </w:pPr>
            <w:r w:rsidRPr="00DB4445">
              <w:rPr>
                <w:color w:val="000000"/>
                <w:sz w:val="22"/>
                <w:szCs w:val="22"/>
              </w:rPr>
              <w:t>Depression</w:t>
            </w:r>
          </w:p>
        </w:tc>
        <w:tc>
          <w:tcPr>
            <w:tcW w:w="0" w:type="auto"/>
            <w:tcBorders>
              <w:top w:val="nil"/>
              <w:left w:val="nil"/>
              <w:bottom w:val="nil"/>
              <w:right w:val="nil"/>
            </w:tcBorders>
            <w:shd w:val="clear" w:color="auto" w:fill="auto"/>
            <w:noWrap/>
            <w:vAlign w:val="center"/>
            <w:hideMark/>
          </w:tcPr>
          <w:p w14:paraId="363B0D4F" w14:textId="77777777" w:rsidR="00F10D6B" w:rsidRPr="00AD3BD4" w:rsidRDefault="00F91604">
            <w:pPr>
              <w:rPr>
                <w:color w:val="000000"/>
                <w:sz w:val="22"/>
                <w:szCs w:val="22"/>
              </w:rPr>
            </w:pPr>
            <w:r w:rsidRPr="00DB4445">
              <w:rPr>
                <w:color w:val="000000"/>
                <w:sz w:val="22"/>
                <w:szCs w:val="22"/>
              </w:rPr>
              <w:t>Yes vs. No</w:t>
            </w:r>
          </w:p>
        </w:tc>
        <w:tc>
          <w:tcPr>
            <w:tcW w:w="0" w:type="auto"/>
            <w:tcBorders>
              <w:top w:val="nil"/>
              <w:left w:val="nil"/>
              <w:bottom w:val="nil"/>
              <w:right w:val="nil"/>
            </w:tcBorders>
            <w:shd w:val="clear" w:color="auto" w:fill="auto"/>
            <w:noWrap/>
            <w:vAlign w:val="center"/>
            <w:hideMark/>
          </w:tcPr>
          <w:p w14:paraId="127A6558" w14:textId="77777777" w:rsidR="00F10D6B" w:rsidRPr="00AD3BD4" w:rsidRDefault="00F10D6B">
            <w:pPr>
              <w:rPr>
                <w:color w:val="000000"/>
                <w:sz w:val="22"/>
                <w:szCs w:val="22"/>
              </w:rPr>
            </w:pPr>
          </w:p>
        </w:tc>
        <w:tc>
          <w:tcPr>
            <w:tcW w:w="0" w:type="auto"/>
            <w:tcBorders>
              <w:top w:val="nil"/>
              <w:left w:val="nil"/>
              <w:bottom w:val="nil"/>
              <w:right w:val="nil"/>
            </w:tcBorders>
            <w:shd w:val="clear" w:color="auto" w:fill="auto"/>
            <w:noWrap/>
            <w:vAlign w:val="center"/>
            <w:hideMark/>
          </w:tcPr>
          <w:p w14:paraId="7C8EAC0B" w14:textId="77777777" w:rsidR="00F10D6B" w:rsidRPr="00AD3BD4" w:rsidRDefault="00F10D6B">
            <w:pPr>
              <w:rPr>
                <w:sz w:val="20"/>
                <w:szCs w:val="20"/>
              </w:rPr>
            </w:pPr>
          </w:p>
        </w:tc>
        <w:tc>
          <w:tcPr>
            <w:tcW w:w="0" w:type="auto"/>
            <w:tcBorders>
              <w:top w:val="nil"/>
              <w:left w:val="nil"/>
              <w:bottom w:val="nil"/>
              <w:right w:val="nil"/>
            </w:tcBorders>
            <w:shd w:val="clear" w:color="auto" w:fill="auto"/>
            <w:noWrap/>
            <w:vAlign w:val="center"/>
            <w:hideMark/>
          </w:tcPr>
          <w:p w14:paraId="086B225A" w14:textId="77777777" w:rsidR="00F10D6B" w:rsidRPr="00AD3BD4" w:rsidRDefault="00F10D6B">
            <w:pPr>
              <w:rPr>
                <w:sz w:val="20"/>
                <w:szCs w:val="20"/>
              </w:rPr>
            </w:pPr>
          </w:p>
        </w:tc>
        <w:tc>
          <w:tcPr>
            <w:tcW w:w="0" w:type="auto"/>
            <w:tcBorders>
              <w:top w:val="nil"/>
              <w:left w:val="nil"/>
              <w:bottom w:val="nil"/>
              <w:right w:val="nil"/>
            </w:tcBorders>
            <w:shd w:val="clear" w:color="auto" w:fill="auto"/>
            <w:noWrap/>
            <w:vAlign w:val="center"/>
            <w:hideMark/>
          </w:tcPr>
          <w:p w14:paraId="11119005" w14:textId="77777777" w:rsidR="00F10D6B" w:rsidRPr="00AD3BD4" w:rsidRDefault="00F10D6B">
            <w:pPr>
              <w:rPr>
                <w:sz w:val="20"/>
                <w:szCs w:val="20"/>
              </w:rPr>
            </w:pPr>
          </w:p>
        </w:tc>
        <w:tc>
          <w:tcPr>
            <w:tcW w:w="0" w:type="auto"/>
            <w:tcBorders>
              <w:top w:val="nil"/>
              <w:left w:val="nil"/>
              <w:bottom w:val="nil"/>
              <w:right w:val="nil"/>
            </w:tcBorders>
            <w:shd w:val="clear" w:color="auto" w:fill="auto"/>
            <w:noWrap/>
            <w:vAlign w:val="center"/>
            <w:hideMark/>
          </w:tcPr>
          <w:p w14:paraId="69CEC191" w14:textId="77777777" w:rsidR="00F10D6B" w:rsidRPr="00AD3BD4" w:rsidRDefault="00F91604">
            <w:pPr>
              <w:rPr>
                <w:color w:val="000000"/>
                <w:sz w:val="22"/>
                <w:szCs w:val="22"/>
              </w:rPr>
            </w:pPr>
            <w:r w:rsidRPr="00DB4445">
              <w:rPr>
                <w:color w:val="000000"/>
                <w:sz w:val="22"/>
                <w:szCs w:val="22"/>
              </w:rPr>
              <w:t>0.85</w:t>
            </w:r>
          </w:p>
        </w:tc>
        <w:tc>
          <w:tcPr>
            <w:tcW w:w="0" w:type="auto"/>
            <w:tcBorders>
              <w:top w:val="nil"/>
              <w:left w:val="nil"/>
              <w:bottom w:val="nil"/>
              <w:right w:val="nil"/>
            </w:tcBorders>
            <w:shd w:val="clear" w:color="auto" w:fill="auto"/>
            <w:noWrap/>
            <w:vAlign w:val="center"/>
            <w:hideMark/>
          </w:tcPr>
          <w:p w14:paraId="3BE4C8E5" w14:textId="77777777" w:rsidR="00F10D6B" w:rsidRPr="00AD3BD4" w:rsidRDefault="00F91604">
            <w:pPr>
              <w:rPr>
                <w:color w:val="000000"/>
                <w:sz w:val="22"/>
                <w:szCs w:val="22"/>
              </w:rPr>
            </w:pPr>
            <w:r w:rsidRPr="00DB4445">
              <w:rPr>
                <w:color w:val="000000"/>
                <w:sz w:val="22"/>
                <w:szCs w:val="22"/>
              </w:rPr>
              <w:t>[0.62,1.15]</w:t>
            </w:r>
          </w:p>
        </w:tc>
      </w:tr>
      <w:tr w:rsidR="00F10D6B" w:rsidRPr="00AD3BD4" w14:paraId="18268EA2" w14:textId="77777777" w:rsidTr="000A1C65">
        <w:trPr>
          <w:trHeight w:val="320"/>
        </w:trPr>
        <w:tc>
          <w:tcPr>
            <w:tcW w:w="0" w:type="auto"/>
            <w:tcBorders>
              <w:top w:val="nil"/>
              <w:left w:val="nil"/>
              <w:bottom w:val="nil"/>
              <w:right w:val="nil"/>
            </w:tcBorders>
            <w:shd w:val="clear" w:color="auto" w:fill="auto"/>
            <w:noWrap/>
            <w:vAlign w:val="center"/>
            <w:hideMark/>
          </w:tcPr>
          <w:p w14:paraId="1EBF6F67" w14:textId="77777777" w:rsidR="00F10D6B" w:rsidRPr="00AD3BD4" w:rsidRDefault="00F91604">
            <w:pPr>
              <w:rPr>
                <w:color w:val="000000"/>
                <w:sz w:val="22"/>
                <w:szCs w:val="22"/>
              </w:rPr>
            </w:pPr>
            <w:r w:rsidRPr="00DB4445">
              <w:rPr>
                <w:color w:val="000000"/>
                <w:sz w:val="22"/>
                <w:szCs w:val="22"/>
              </w:rPr>
              <w:t>Diabetes</w:t>
            </w:r>
          </w:p>
        </w:tc>
        <w:tc>
          <w:tcPr>
            <w:tcW w:w="0" w:type="auto"/>
            <w:tcBorders>
              <w:top w:val="nil"/>
              <w:left w:val="nil"/>
              <w:bottom w:val="nil"/>
              <w:right w:val="nil"/>
            </w:tcBorders>
            <w:shd w:val="clear" w:color="auto" w:fill="auto"/>
            <w:noWrap/>
            <w:vAlign w:val="center"/>
            <w:hideMark/>
          </w:tcPr>
          <w:p w14:paraId="31219271" w14:textId="77777777" w:rsidR="00F10D6B" w:rsidRPr="00AD3BD4" w:rsidRDefault="00F91604">
            <w:pPr>
              <w:rPr>
                <w:color w:val="000000"/>
                <w:sz w:val="22"/>
                <w:szCs w:val="22"/>
              </w:rPr>
            </w:pPr>
            <w:r w:rsidRPr="00DB4445">
              <w:rPr>
                <w:color w:val="000000"/>
                <w:sz w:val="22"/>
                <w:szCs w:val="22"/>
              </w:rPr>
              <w:t>Yes vs. No</w:t>
            </w:r>
          </w:p>
        </w:tc>
        <w:tc>
          <w:tcPr>
            <w:tcW w:w="0" w:type="auto"/>
            <w:tcBorders>
              <w:top w:val="nil"/>
              <w:left w:val="nil"/>
              <w:bottom w:val="nil"/>
              <w:right w:val="nil"/>
            </w:tcBorders>
            <w:shd w:val="clear" w:color="auto" w:fill="auto"/>
            <w:noWrap/>
            <w:vAlign w:val="center"/>
            <w:hideMark/>
          </w:tcPr>
          <w:p w14:paraId="6FFBD296" w14:textId="77777777" w:rsidR="00F10D6B" w:rsidRPr="00AD3BD4" w:rsidRDefault="00F10D6B">
            <w:pPr>
              <w:rPr>
                <w:color w:val="000000"/>
                <w:sz w:val="22"/>
                <w:szCs w:val="22"/>
              </w:rPr>
            </w:pPr>
          </w:p>
        </w:tc>
        <w:tc>
          <w:tcPr>
            <w:tcW w:w="0" w:type="auto"/>
            <w:tcBorders>
              <w:top w:val="nil"/>
              <w:left w:val="nil"/>
              <w:bottom w:val="nil"/>
              <w:right w:val="nil"/>
            </w:tcBorders>
            <w:shd w:val="clear" w:color="auto" w:fill="auto"/>
            <w:noWrap/>
            <w:vAlign w:val="center"/>
            <w:hideMark/>
          </w:tcPr>
          <w:p w14:paraId="2ACAC705" w14:textId="77777777" w:rsidR="00F10D6B" w:rsidRPr="00AD3BD4" w:rsidRDefault="00F10D6B">
            <w:pPr>
              <w:rPr>
                <w:sz w:val="20"/>
                <w:szCs w:val="20"/>
              </w:rPr>
            </w:pPr>
          </w:p>
        </w:tc>
        <w:tc>
          <w:tcPr>
            <w:tcW w:w="0" w:type="auto"/>
            <w:tcBorders>
              <w:top w:val="nil"/>
              <w:left w:val="nil"/>
              <w:bottom w:val="nil"/>
              <w:right w:val="nil"/>
            </w:tcBorders>
            <w:shd w:val="clear" w:color="auto" w:fill="auto"/>
            <w:noWrap/>
            <w:vAlign w:val="center"/>
            <w:hideMark/>
          </w:tcPr>
          <w:p w14:paraId="4041CE7A" w14:textId="77777777" w:rsidR="00F10D6B" w:rsidRPr="00AD3BD4" w:rsidRDefault="00F10D6B">
            <w:pPr>
              <w:rPr>
                <w:sz w:val="20"/>
                <w:szCs w:val="20"/>
              </w:rPr>
            </w:pPr>
          </w:p>
        </w:tc>
        <w:tc>
          <w:tcPr>
            <w:tcW w:w="0" w:type="auto"/>
            <w:tcBorders>
              <w:top w:val="nil"/>
              <w:left w:val="nil"/>
              <w:bottom w:val="nil"/>
              <w:right w:val="nil"/>
            </w:tcBorders>
            <w:shd w:val="clear" w:color="auto" w:fill="auto"/>
            <w:noWrap/>
            <w:vAlign w:val="center"/>
            <w:hideMark/>
          </w:tcPr>
          <w:p w14:paraId="379AF8FC" w14:textId="77777777" w:rsidR="00F10D6B" w:rsidRPr="00AD3BD4" w:rsidRDefault="00F10D6B">
            <w:pPr>
              <w:rPr>
                <w:sz w:val="20"/>
                <w:szCs w:val="20"/>
              </w:rPr>
            </w:pPr>
          </w:p>
        </w:tc>
        <w:tc>
          <w:tcPr>
            <w:tcW w:w="0" w:type="auto"/>
            <w:tcBorders>
              <w:top w:val="nil"/>
              <w:left w:val="nil"/>
              <w:bottom w:val="nil"/>
              <w:right w:val="nil"/>
            </w:tcBorders>
            <w:shd w:val="clear" w:color="auto" w:fill="auto"/>
            <w:noWrap/>
            <w:vAlign w:val="center"/>
            <w:hideMark/>
          </w:tcPr>
          <w:p w14:paraId="4F4EAD25" w14:textId="77777777" w:rsidR="00F10D6B" w:rsidRPr="00AD3BD4" w:rsidRDefault="00F91604">
            <w:pPr>
              <w:rPr>
                <w:color w:val="000000"/>
                <w:sz w:val="22"/>
                <w:szCs w:val="22"/>
              </w:rPr>
            </w:pPr>
            <w:r w:rsidRPr="00DB4445">
              <w:rPr>
                <w:color w:val="000000"/>
                <w:sz w:val="22"/>
                <w:szCs w:val="22"/>
              </w:rPr>
              <w:t>1.08</w:t>
            </w:r>
          </w:p>
        </w:tc>
        <w:tc>
          <w:tcPr>
            <w:tcW w:w="0" w:type="auto"/>
            <w:tcBorders>
              <w:top w:val="nil"/>
              <w:left w:val="nil"/>
              <w:bottom w:val="nil"/>
              <w:right w:val="nil"/>
            </w:tcBorders>
            <w:shd w:val="clear" w:color="auto" w:fill="auto"/>
            <w:noWrap/>
            <w:vAlign w:val="center"/>
            <w:hideMark/>
          </w:tcPr>
          <w:p w14:paraId="185536DE" w14:textId="77777777" w:rsidR="00F10D6B" w:rsidRPr="00AD3BD4" w:rsidRDefault="00F91604">
            <w:pPr>
              <w:rPr>
                <w:color w:val="000000"/>
                <w:sz w:val="22"/>
                <w:szCs w:val="22"/>
              </w:rPr>
            </w:pPr>
            <w:r w:rsidRPr="00DB4445">
              <w:rPr>
                <w:color w:val="000000"/>
                <w:sz w:val="22"/>
                <w:szCs w:val="22"/>
              </w:rPr>
              <w:t>[0.86,1.35]</w:t>
            </w:r>
          </w:p>
        </w:tc>
      </w:tr>
      <w:tr w:rsidR="00F10D6B" w:rsidRPr="00AD3BD4" w14:paraId="79E32CA6" w14:textId="77777777" w:rsidTr="000A1C65">
        <w:trPr>
          <w:trHeight w:val="320"/>
        </w:trPr>
        <w:tc>
          <w:tcPr>
            <w:tcW w:w="0" w:type="auto"/>
            <w:tcBorders>
              <w:top w:val="nil"/>
              <w:left w:val="nil"/>
              <w:bottom w:val="nil"/>
              <w:right w:val="nil"/>
            </w:tcBorders>
            <w:shd w:val="clear" w:color="auto" w:fill="auto"/>
            <w:noWrap/>
            <w:vAlign w:val="center"/>
            <w:hideMark/>
          </w:tcPr>
          <w:p w14:paraId="1A3AA83B" w14:textId="77777777" w:rsidR="00F10D6B" w:rsidRPr="00AD3BD4" w:rsidRDefault="00F91604">
            <w:pPr>
              <w:rPr>
                <w:color w:val="000000"/>
                <w:sz w:val="22"/>
                <w:szCs w:val="22"/>
              </w:rPr>
            </w:pPr>
            <w:r w:rsidRPr="00DB4445">
              <w:rPr>
                <w:color w:val="000000"/>
                <w:sz w:val="22"/>
                <w:szCs w:val="22"/>
              </w:rPr>
              <w:t>Hypertension</w:t>
            </w:r>
          </w:p>
        </w:tc>
        <w:tc>
          <w:tcPr>
            <w:tcW w:w="0" w:type="auto"/>
            <w:tcBorders>
              <w:top w:val="nil"/>
              <w:left w:val="nil"/>
              <w:bottom w:val="nil"/>
              <w:right w:val="nil"/>
            </w:tcBorders>
            <w:shd w:val="clear" w:color="auto" w:fill="auto"/>
            <w:noWrap/>
            <w:vAlign w:val="center"/>
            <w:hideMark/>
          </w:tcPr>
          <w:p w14:paraId="5754AEEE" w14:textId="77777777" w:rsidR="00F10D6B" w:rsidRPr="00AD3BD4" w:rsidRDefault="00F91604">
            <w:pPr>
              <w:rPr>
                <w:color w:val="000000"/>
                <w:sz w:val="22"/>
                <w:szCs w:val="22"/>
              </w:rPr>
            </w:pPr>
            <w:r w:rsidRPr="00DB4445">
              <w:rPr>
                <w:color w:val="000000"/>
                <w:sz w:val="22"/>
                <w:szCs w:val="22"/>
              </w:rPr>
              <w:t>Yes vs. No</w:t>
            </w:r>
          </w:p>
        </w:tc>
        <w:tc>
          <w:tcPr>
            <w:tcW w:w="0" w:type="auto"/>
            <w:tcBorders>
              <w:top w:val="nil"/>
              <w:left w:val="nil"/>
              <w:bottom w:val="nil"/>
              <w:right w:val="nil"/>
            </w:tcBorders>
            <w:shd w:val="clear" w:color="auto" w:fill="auto"/>
            <w:noWrap/>
            <w:vAlign w:val="center"/>
            <w:hideMark/>
          </w:tcPr>
          <w:p w14:paraId="66C7D5F2" w14:textId="77777777" w:rsidR="00F10D6B" w:rsidRPr="00AD3BD4" w:rsidRDefault="00F10D6B">
            <w:pPr>
              <w:rPr>
                <w:color w:val="000000"/>
                <w:sz w:val="22"/>
                <w:szCs w:val="22"/>
              </w:rPr>
            </w:pPr>
          </w:p>
        </w:tc>
        <w:tc>
          <w:tcPr>
            <w:tcW w:w="0" w:type="auto"/>
            <w:tcBorders>
              <w:top w:val="nil"/>
              <w:left w:val="nil"/>
              <w:bottom w:val="nil"/>
              <w:right w:val="nil"/>
            </w:tcBorders>
            <w:shd w:val="clear" w:color="auto" w:fill="auto"/>
            <w:noWrap/>
            <w:vAlign w:val="center"/>
            <w:hideMark/>
          </w:tcPr>
          <w:p w14:paraId="1B679DED" w14:textId="77777777" w:rsidR="00F10D6B" w:rsidRPr="00AD3BD4" w:rsidRDefault="00F10D6B">
            <w:pPr>
              <w:rPr>
                <w:sz w:val="20"/>
                <w:szCs w:val="20"/>
              </w:rPr>
            </w:pPr>
          </w:p>
        </w:tc>
        <w:tc>
          <w:tcPr>
            <w:tcW w:w="0" w:type="auto"/>
            <w:tcBorders>
              <w:top w:val="nil"/>
              <w:left w:val="nil"/>
              <w:bottom w:val="nil"/>
              <w:right w:val="nil"/>
            </w:tcBorders>
            <w:shd w:val="clear" w:color="auto" w:fill="auto"/>
            <w:noWrap/>
            <w:vAlign w:val="center"/>
            <w:hideMark/>
          </w:tcPr>
          <w:p w14:paraId="71224DFC" w14:textId="77777777" w:rsidR="00F10D6B" w:rsidRPr="00AD3BD4" w:rsidRDefault="00F10D6B">
            <w:pPr>
              <w:rPr>
                <w:sz w:val="20"/>
                <w:szCs w:val="20"/>
              </w:rPr>
            </w:pPr>
          </w:p>
        </w:tc>
        <w:tc>
          <w:tcPr>
            <w:tcW w:w="0" w:type="auto"/>
            <w:tcBorders>
              <w:top w:val="nil"/>
              <w:left w:val="nil"/>
              <w:bottom w:val="nil"/>
              <w:right w:val="nil"/>
            </w:tcBorders>
            <w:shd w:val="clear" w:color="auto" w:fill="auto"/>
            <w:noWrap/>
            <w:vAlign w:val="center"/>
            <w:hideMark/>
          </w:tcPr>
          <w:p w14:paraId="4C16A1ED" w14:textId="77777777" w:rsidR="00F10D6B" w:rsidRPr="00AD3BD4" w:rsidRDefault="00F10D6B">
            <w:pPr>
              <w:rPr>
                <w:sz w:val="20"/>
                <w:szCs w:val="20"/>
              </w:rPr>
            </w:pPr>
          </w:p>
        </w:tc>
        <w:tc>
          <w:tcPr>
            <w:tcW w:w="0" w:type="auto"/>
            <w:tcBorders>
              <w:top w:val="nil"/>
              <w:left w:val="nil"/>
              <w:bottom w:val="nil"/>
              <w:right w:val="nil"/>
            </w:tcBorders>
            <w:shd w:val="clear" w:color="auto" w:fill="auto"/>
            <w:noWrap/>
            <w:vAlign w:val="center"/>
            <w:hideMark/>
          </w:tcPr>
          <w:p w14:paraId="1B4ED1CC" w14:textId="77777777" w:rsidR="00F10D6B" w:rsidRPr="00AD3BD4" w:rsidRDefault="00F91604">
            <w:pPr>
              <w:rPr>
                <w:color w:val="000000"/>
                <w:sz w:val="22"/>
                <w:szCs w:val="22"/>
              </w:rPr>
            </w:pPr>
            <w:r w:rsidRPr="00DB4445">
              <w:rPr>
                <w:color w:val="000000"/>
                <w:sz w:val="22"/>
                <w:szCs w:val="22"/>
              </w:rPr>
              <w:t>1.07</w:t>
            </w:r>
          </w:p>
        </w:tc>
        <w:tc>
          <w:tcPr>
            <w:tcW w:w="0" w:type="auto"/>
            <w:tcBorders>
              <w:top w:val="nil"/>
              <w:left w:val="nil"/>
              <w:bottom w:val="nil"/>
              <w:right w:val="nil"/>
            </w:tcBorders>
            <w:shd w:val="clear" w:color="auto" w:fill="auto"/>
            <w:noWrap/>
            <w:vAlign w:val="center"/>
            <w:hideMark/>
          </w:tcPr>
          <w:p w14:paraId="39D34AA3" w14:textId="77777777" w:rsidR="00F10D6B" w:rsidRPr="00AD3BD4" w:rsidRDefault="00F91604">
            <w:pPr>
              <w:rPr>
                <w:color w:val="000000"/>
                <w:sz w:val="22"/>
                <w:szCs w:val="22"/>
              </w:rPr>
            </w:pPr>
            <w:r w:rsidRPr="00DB4445">
              <w:rPr>
                <w:color w:val="000000"/>
                <w:sz w:val="22"/>
                <w:szCs w:val="22"/>
              </w:rPr>
              <w:t>[0.97,1.19]</w:t>
            </w:r>
          </w:p>
        </w:tc>
      </w:tr>
      <w:tr w:rsidR="00F10D6B" w:rsidRPr="00AD3BD4" w14:paraId="0DD9612E" w14:textId="77777777" w:rsidTr="000A1C65">
        <w:trPr>
          <w:trHeight w:val="320"/>
        </w:trPr>
        <w:tc>
          <w:tcPr>
            <w:tcW w:w="0" w:type="auto"/>
            <w:tcBorders>
              <w:top w:val="nil"/>
              <w:left w:val="nil"/>
              <w:bottom w:val="nil"/>
              <w:right w:val="nil"/>
            </w:tcBorders>
            <w:shd w:val="clear" w:color="auto" w:fill="auto"/>
            <w:noWrap/>
            <w:vAlign w:val="center"/>
            <w:hideMark/>
          </w:tcPr>
          <w:p w14:paraId="1B34C98D" w14:textId="77777777" w:rsidR="00F10D6B" w:rsidRPr="00AD3BD4" w:rsidRDefault="00F91604">
            <w:pPr>
              <w:rPr>
                <w:color w:val="000000"/>
                <w:sz w:val="22"/>
                <w:szCs w:val="22"/>
              </w:rPr>
            </w:pPr>
            <w:r w:rsidRPr="00DB4445">
              <w:rPr>
                <w:color w:val="000000"/>
                <w:sz w:val="22"/>
                <w:szCs w:val="22"/>
              </w:rPr>
              <w:t>Stroke</w:t>
            </w:r>
          </w:p>
        </w:tc>
        <w:tc>
          <w:tcPr>
            <w:tcW w:w="0" w:type="auto"/>
            <w:tcBorders>
              <w:top w:val="nil"/>
              <w:left w:val="nil"/>
              <w:bottom w:val="nil"/>
              <w:right w:val="nil"/>
            </w:tcBorders>
            <w:shd w:val="clear" w:color="auto" w:fill="auto"/>
            <w:noWrap/>
            <w:vAlign w:val="center"/>
            <w:hideMark/>
          </w:tcPr>
          <w:p w14:paraId="5324F9C4" w14:textId="77777777" w:rsidR="00F10D6B" w:rsidRPr="00AD3BD4" w:rsidRDefault="00F91604">
            <w:pPr>
              <w:rPr>
                <w:color w:val="000000"/>
                <w:sz w:val="22"/>
                <w:szCs w:val="22"/>
              </w:rPr>
            </w:pPr>
            <w:r w:rsidRPr="00DB4445">
              <w:rPr>
                <w:color w:val="000000"/>
                <w:sz w:val="22"/>
                <w:szCs w:val="22"/>
              </w:rPr>
              <w:t>Yes vs. No</w:t>
            </w:r>
          </w:p>
        </w:tc>
        <w:tc>
          <w:tcPr>
            <w:tcW w:w="0" w:type="auto"/>
            <w:tcBorders>
              <w:top w:val="nil"/>
              <w:left w:val="nil"/>
              <w:bottom w:val="nil"/>
              <w:right w:val="nil"/>
            </w:tcBorders>
            <w:shd w:val="clear" w:color="auto" w:fill="auto"/>
            <w:noWrap/>
            <w:vAlign w:val="center"/>
            <w:hideMark/>
          </w:tcPr>
          <w:p w14:paraId="4C8EC259" w14:textId="77777777" w:rsidR="00F10D6B" w:rsidRPr="00AD3BD4" w:rsidRDefault="00F10D6B">
            <w:pPr>
              <w:rPr>
                <w:color w:val="000000"/>
                <w:sz w:val="22"/>
                <w:szCs w:val="22"/>
              </w:rPr>
            </w:pPr>
          </w:p>
        </w:tc>
        <w:tc>
          <w:tcPr>
            <w:tcW w:w="0" w:type="auto"/>
            <w:tcBorders>
              <w:top w:val="nil"/>
              <w:left w:val="nil"/>
              <w:bottom w:val="nil"/>
              <w:right w:val="nil"/>
            </w:tcBorders>
            <w:shd w:val="clear" w:color="auto" w:fill="auto"/>
            <w:noWrap/>
            <w:vAlign w:val="center"/>
            <w:hideMark/>
          </w:tcPr>
          <w:p w14:paraId="1BC2AAA0" w14:textId="77777777" w:rsidR="00F10D6B" w:rsidRPr="00AD3BD4" w:rsidRDefault="00F10D6B">
            <w:pPr>
              <w:rPr>
                <w:sz w:val="20"/>
                <w:szCs w:val="20"/>
              </w:rPr>
            </w:pPr>
          </w:p>
        </w:tc>
        <w:tc>
          <w:tcPr>
            <w:tcW w:w="0" w:type="auto"/>
            <w:tcBorders>
              <w:top w:val="nil"/>
              <w:left w:val="nil"/>
              <w:bottom w:val="nil"/>
              <w:right w:val="nil"/>
            </w:tcBorders>
            <w:shd w:val="clear" w:color="auto" w:fill="auto"/>
            <w:noWrap/>
            <w:vAlign w:val="center"/>
            <w:hideMark/>
          </w:tcPr>
          <w:p w14:paraId="16186AE2" w14:textId="77777777" w:rsidR="00F10D6B" w:rsidRPr="00AD3BD4" w:rsidRDefault="00F10D6B">
            <w:pPr>
              <w:rPr>
                <w:sz w:val="20"/>
                <w:szCs w:val="20"/>
              </w:rPr>
            </w:pPr>
          </w:p>
        </w:tc>
        <w:tc>
          <w:tcPr>
            <w:tcW w:w="0" w:type="auto"/>
            <w:tcBorders>
              <w:top w:val="nil"/>
              <w:left w:val="nil"/>
              <w:bottom w:val="nil"/>
              <w:right w:val="nil"/>
            </w:tcBorders>
            <w:shd w:val="clear" w:color="auto" w:fill="auto"/>
            <w:noWrap/>
            <w:vAlign w:val="center"/>
            <w:hideMark/>
          </w:tcPr>
          <w:p w14:paraId="41C920C4" w14:textId="77777777" w:rsidR="00F10D6B" w:rsidRPr="00AD3BD4" w:rsidRDefault="00F10D6B">
            <w:pPr>
              <w:rPr>
                <w:sz w:val="20"/>
                <w:szCs w:val="20"/>
              </w:rPr>
            </w:pPr>
          </w:p>
        </w:tc>
        <w:tc>
          <w:tcPr>
            <w:tcW w:w="0" w:type="auto"/>
            <w:tcBorders>
              <w:top w:val="nil"/>
              <w:left w:val="nil"/>
              <w:bottom w:val="nil"/>
              <w:right w:val="nil"/>
            </w:tcBorders>
            <w:shd w:val="clear" w:color="auto" w:fill="auto"/>
            <w:noWrap/>
            <w:vAlign w:val="center"/>
            <w:hideMark/>
          </w:tcPr>
          <w:p w14:paraId="5BFACFAD" w14:textId="77777777" w:rsidR="00F10D6B" w:rsidRPr="00AD3BD4" w:rsidRDefault="00F91604">
            <w:pPr>
              <w:rPr>
                <w:color w:val="000000"/>
                <w:sz w:val="22"/>
                <w:szCs w:val="22"/>
              </w:rPr>
            </w:pPr>
            <w:r w:rsidRPr="00DB4445">
              <w:rPr>
                <w:color w:val="000000"/>
                <w:sz w:val="22"/>
                <w:szCs w:val="22"/>
              </w:rPr>
              <w:t>1.99***</w:t>
            </w:r>
          </w:p>
        </w:tc>
        <w:tc>
          <w:tcPr>
            <w:tcW w:w="0" w:type="auto"/>
            <w:tcBorders>
              <w:top w:val="nil"/>
              <w:left w:val="nil"/>
              <w:bottom w:val="nil"/>
              <w:right w:val="nil"/>
            </w:tcBorders>
            <w:shd w:val="clear" w:color="auto" w:fill="auto"/>
            <w:noWrap/>
            <w:vAlign w:val="center"/>
            <w:hideMark/>
          </w:tcPr>
          <w:p w14:paraId="3FFDFCD6" w14:textId="77777777" w:rsidR="00F10D6B" w:rsidRPr="00AD3BD4" w:rsidRDefault="00F91604">
            <w:pPr>
              <w:rPr>
                <w:color w:val="000000"/>
                <w:sz w:val="22"/>
                <w:szCs w:val="22"/>
              </w:rPr>
            </w:pPr>
            <w:r w:rsidRPr="00DB4445">
              <w:rPr>
                <w:color w:val="000000"/>
                <w:sz w:val="22"/>
                <w:szCs w:val="22"/>
              </w:rPr>
              <w:t>[1.53,2.58]</w:t>
            </w:r>
          </w:p>
        </w:tc>
      </w:tr>
      <w:tr w:rsidR="00F10D6B" w:rsidRPr="00AD3BD4" w14:paraId="0B4A3211" w14:textId="77777777" w:rsidTr="000A1C65">
        <w:trPr>
          <w:trHeight w:val="320"/>
        </w:trPr>
        <w:tc>
          <w:tcPr>
            <w:tcW w:w="0" w:type="auto"/>
            <w:tcBorders>
              <w:top w:val="nil"/>
              <w:left w:val="nil"/>
              <w:bottom w:val="single" w:sz="4" w:space="0" w:color="auto"/>
              <w:right w:val="nil"/>
            </w:tcBorders>
            <w:shd w:val="clear" w:color="auto" w:fill="auto"/>
            <w:noWrap/>
            <w:vAlign w:val="center"/>
            <w:hideMark/>
          </w:tcPr>
          <w:p w14:paraId="6771E778" w14:textId="77777777" w:rsidR="00F10D6B" w:rsidRPr="00AD3BD4" w:rsidRDefault="00F91604">
            <w:pPr>
              <w:rPr>
                <w:color w:val="000000"/>
                <w:sz w:val="22"/>
                <w:szCs w:val="22"/>
              </w:rPr>
            </w:pPr>
            <w:r w:rsidRPr="00DB4445">
              <w:rPr>
                <w:color w:val="000000"/>
                <w:sz w:val="22"/>
                <w:szCs w:val="22"/>
              </w:rPr>
              <w:t>Obesity</w:t>
            </w:r>
          </w:p>
        </w:tc>
        <w:tc>
          <w:tcPr>
            <w:tcW w:w="0" w:type="auto"/>
            <w:tcBorders>
              <w:top w:val="nil"/>
              <w:left w:val="nil"/>
              <w:bottom w:val="single" w:sz="4" w:space="0" w:color="auto"/>
              <w:right w:val="nil"/>
            </w:tcBorders>
            <w:shd w:val="clear" w:color="auto" w:fill="auto"/>
            <w:noWrap/>
            <w:vAlign w:val="center"/>
            <w:hideMark/>
          </w:tcPr>
          <w:p w14:paraId="17C9C48E" w14:textId="77777777" w:rsidR="00F10D6B" w:rsidRPr="00AD3BD4" w:rsidRDefault="00F91604">
            <w:pPr>
              <w:rPr>
                <w:color w:val="000000"/>
                <w:sz w:val="22"/>
                <w:szCs w:val="22"/>
              </w:rPr>
            </w:pPr>
            <w:r w:rsidRPr="00DB4445">
              <w:rPr>
                <w:color w:val="000000"/>
                <w:sz w:val="22"/>
                <w:szCs w:val="22"/>
              </w:rPr>
              <w:t>Yes vs. No</w:t>
            </w:r>
          </w:p>
        </w:tc>
        <w:tc>
          <w:tcPr>
            <w:tcW w:w="0" w:type="auto"/>
            <w:tcBorders>
              <w:top w:val="nil"/>
              <w:left w:val="nil"/>
              <w:bottom w:val="single" w:sz="4" w:space="0" w:color="auto"/>
              <w:right w:val="nil"/>
            </w:tcBorders>
            <w:shd w:val="clear" w:color="auto" w:fill="auto"/>
            <w:noWrap/>
            <w:vAlign w:val="center"/>
            <w:hideMark/>
          </w:tcPr>
          <w:p w14:paraId="32864CE2" w14:textId="77777777" w:rsidR="00F10D6B" w:rsidRPr="00AD3BD4" w:rsidRDefault="00F91604">
            <w:pPr>
              <w:rPr>
                <w:color w:val="000000"/>
                <w:sz w:val="22"/>
                <w:szCs w:val="22"/>
              </w:rPr>
            </w:pPr>
            <w:r w:rsidRPr="00DB4445">
              <w:rPr>
                <w:color w:val="000000"/>
                <w:sz w:val="22"/>
                <w:szCs w:val="22"/>
              </w:rPr>
              <w:t> </w:t>
            </w:r>
          </w:p>
        </w:tc>
        <w:tc>
          <w:tcPr>
            <w:tcW w:w="0" w:type="auto"/>
            <w:tcBorders>
              <w:top w:val="nil"/>
              <w:left w:val="nil"/>
              <w:bottom w:val="single" w:sz="4" w:space="0" w:color="auto"/>
              <w:right w:val="nil"/>
            </w:tcBorders>
            <w:shd w:val="clear" w:color="auto" w:fill="auto"/>
            <w:noWrap/>
            <w:vAlign w:val="center"/>
            <w:hideMark/>
          </w:tcPr>
          <w:p w14:paraId="65405703" w14:textId="77777777" w:rsidR="00F10D6B" w:rsidRPr="00AD3BD4" w:rsidRDefault="00F91604">
            <w:pPr>
              <w:rPr>
                <w:color w:val="000000"/>
                <w:sz w:val="22"/>
                <w:szCs w:val="22"/>
              </w:rPr>
            </w:pPr>
            <w:r w:rsidRPr="00DB4445">
              <w:rPr>
                <w:color w:val="000000"/>
                <w:sz w:val="22"/>
                <w:szCs w:val="22"/>
              </w:rPr>
              <w:t> </w:t>
            </w:r>
          </w:p>
        </w:tc>
        <w:tc>
          <w:tcPr>
            <w:tcW w:w="0" w:type="auto"/>
            <w:tcBorders>
              <w:top w:val="nil"/>
              <w:left w:val="nil"/>
              <w:bottom w:val="single" w:sz="4" w:space="0" w:color="auto"/>
              <w:right w:val="nil"/>
            </w:tcBorders>
            <w:shd w:val="clear" w:color="auto" w:fill="auto"/>
            <w:noWrap/>
            <w:vAlign w:val="center"/>
            <w:hideMark/>
          </w:tcPr>
          <w:p w14:paraId="7056F0EB" w14:textId="77777777" w:rsidR="00F10D6B" w:rsidRPr="00AD3BD4" w:rsidRDefault="00F91604">
            <w:pPr>
              <w:rPr>
                <w:color w:val="000000"/>
                <w:sz w:val="22"/>
                <w:szCs w:val="22"/>
              </w:rPr>
            </w:pPr>
            <w:r w:rsidRPr="00DB4445">
              <w:rPr>
                <w:color w:val="000000"/>
                <w:sz w:val="22"/>
                <w:szCs w:val="22"/>
              </w:rPr>
              <w:t> </w:t>
            </w:r>
          </w:p>
        </w:tc>
        <w:tc>
          <w:tcPr>
            <w:tcW w:w="0" w:type="auto"/>
            <w:tcBorders>
              <w:top w:val="nil"/>
              <w:left w:val="nil"/>
              <w:bottom w:val="single" w:sz="4" w:space="0" w:color="auto"/>
              <w:right w:val="nil"/>
            </w:tcBorders>
            <w:shd w:val="clear" w:color="auto" w:fill="auto"/>
            <w:noWrap/>
            <w:vAlign w:val="center"/>
            <w:hideMark/>
          </w:tcPr>
          <w:p w14:paraId="5265579D" w14:textId="77777777" w:rsidR="00F10D6B" w:rsidRPr="00AD3BD4" w:rsidRDefault="00F91604">
            <w:pPr>
              <w:rPr>
                <w:color w:val="000000"/>
                <w:sz w:val="22"/>
                <w:szCs w:val="22"/>
              </w:rPr>
            </w:pPr>
            <w:r w:rsidRPr="00DB4445">
              <w:rPr>
                <w:color w:val="000000"/>
                <w:sz w:val="22"/>
                <w:szCs w:val="22"/>
              </w:rPr>
              <w:t> </w:t>
            </w:r>
          </w:p>
        </w:tc>
        <w:tc>
          <w:tcPr>
            <w:tcW w:w="0" w:type="auto"/>
            <w:tcBorders>
              <w:top w:val="nil"/>
              <w:left w:val="nil"/>
              <w:bottom w:val="single" w:sz="4" w:space="0" w:color="auto"/>
              <w:right w:val="nil"/>
            </w:tcBorders>
            <w:shd w:val="clear" w:color="auto" w:fill="auto"/>
            <w:noWrap/>
            <w:vAlign w:val="center"/>
            <w:hideMark/>
          </w:tcPr>
          <w:p w14:paraId="14DEFFC6" w14:textId="77777777" w:rsidR="00F10D6B" w:rsidRPr="00AD3BD4" w:rsidRDefault="00F91604">
            <w:pPr>
              <w:rPr>
                <w:color w:val="000000"/>
                <w:sz w:val="22"/>
                <w:szCs w:val="22"/>
              </w:rPr>
            </w:pPr>
            <w:r w:rsidRPr="00DB4445">
              <w:rPr>
                <w:color w:val="000000"/>
                <w:sz w:val="22"/>
                <w:szCs w:val="22"/>
              </w:rPr>
              <w:t>1.36**</w:t>
            </w:r>
          </w:p>
        </w:tc>
        <w:tc>
          <w:tcPr>
            <w:tcW w:w="0" w:type="auto"/>
            <w:tcBorders>
              <w:top w:val="nil"/>
              <w:left w:val="nil"/>
              <w:bottom w:val="single" w:sz="4" w:space="0" w:color="auto"/>
              <w:right w:val="nil"/>
            </w:tcBorders>
            <w:shd w:val="clear" w:color="auto" w:fill="auto"/>
            <w:noWrap/>
            <w:vAlign w:val="center"/>
            <w:hideMark/>
          </w:tcPr>
          <w:p w14:paraId="4A070B52" w14:textId="77777777" w:rsidR="00F10D6B" w:rsidRPr="00AD3BD4" w:rsidRDefault="00F91604">
            <w:pPr>
              <w:rPr>
                <w:color w:val="000000"/>
                <w:sz w:val="22"/>
                <w:szCs w:val="22"/>
              </w:rPr>
            </w:pPr>
            <w:r w:rsidRPr="00DB4445">
              <w:rPr>
                <w:color w:val="000000"/>
                <w:sz w:val="22"/>
                <w:szCs w:val="22"/>
              </w:rPr>
              <w:t>[1.09,1.70]</w:t>
            </w:r>
          </w:p>
        </w:tc>
      </w:tr>
    </w:tbl>
    <w:p w14:paraId="386F7185" w14:textId="77777777" w:rsidR="00F715F6" w:rsidRPr="00DB4445" w:rsidRDefault="00F91604" w:rsidP="00F10D6B">
      <w:pPr>
        <w:rPr>
          <w:sz w:val="20"/>
          <w:szCs w:val="20"/>
        </w:rPr>
      </w:pPr>
      <w:r w:rsidRPr="00DB4445">
        <w:rPr>
          <w:sz w:val="20"/>
          <w:szCs w:val="20"/>
        </w:rPr>
        <w:t>Abbreviation: OR Odds ratio; CI Confidence interval</w:t>
      </w:r>
    </w:p>
    <w:p w14:paraId="2662CFC3" w14:textId="77777777" w:rsidR="009A2406" w:rsidRPr="00DB4445" w:rsidRDefault="00F91604" w:rsidP="00F10D6B">
      <w:pPr>
        <w:rPr>
          <w:sz w:val="20"/>
          <w:szCs w:val="20"/>
        </w:rPr>
      </w:pPr>
      <w:r w:rsidRPr="00DB4445">
        <w:rPr>
          <w:sz w:val="20"/>
          <w:szCs w:val="20"/>
        </w:rPr>
        <w:t>Models are adjusted for all variables in the respective columns and country.</w:t>
      </w:r>
    </w:p>
    <w:p w14:paraId="37C93A84" w14:textId="77777777" w:rsidR="009B5B20" w:rsidRPr="00DB4445" w:rsidRDefault="00F91604" w:rsidP="00F10D6B">
      <w:pPr>
        <w:rPr>
          <w:sz w:val="20"/>
          <w:szCs w:val="20"/>
        </w:rPr>
      </w:pPr>
      <w:r w:rsidRPr="00DB4445">
        <w:rPr>
          <w:sz w:val="20"/>
          <w:szCs w:val="20"/>
        </w:rPr>
        <w:t>* p&lt;0.05, ** p&lt;0.01, *** p&lt;0.001</w:t>
      </w:r>
    </w:p>
    <w:p w14:paraId="3DD6A927" w14:textId="77777777" w:rsidR="007B4C1E" w:rsidRPr="00DB4445" w:rsidRDefault="007B4C1E" w:rsidP="00F10D6B">
      <w:pPr>
        <w:rPr>
          <w:sz w:val="20"/>
          <w:szCs w:val="20"/>
        </w:rPr>
        <w:sectPr w:rsidR="007B4C1E" w:rsidRPr="00DB4445" w:rsidSect="00F10D6B">
          <w:pgSz w:w="16840" w:h="11900" w:orient="landscape"/>
          <w:pgMar w:top="1440" w:right="1440" w:bottom="1440" w:left="1440" w:header="708" w:footer="708" w:gutter="0"/>
          <w:cols w:space="708"/>
          <w:docGrid w:linePitch="360"/>
        </w:sectPr>
      </w:pPr>
    </w:p>
    <w:p w14:paraId="6F2416C8" w14:textId="77777777" w:rsidR="007B4C1E" w:rsidRPr="00DB4445" w:rsidRDefault="00933A98" w:rsidP="00F10D6B">
      <w:pPr>
        <w:rPr>
          <w:sz w:val="20"/>
          <w:szCs w:val="20"/>
        </w:rPr>
      </w:pPr>
      <w:r w:rsidRPr="00DB4445">
        <w:rPr>
          <w:noProof/>
          <w:lang w:val="en-US" w:eastAsia="en-US"/>
        </w:rPr>
        <w:lastRenderedPageBreak/>
        <w:drawing>
          <wp:inline distT="0" distB="0" distL="0" distR="0" wp14:anchorId="77655313" wp14:editId="05310488">
            <wp:extent cx="5400000" cy="4320000"/>
            <wp:effectExtent l="0" t="0" r="10795" b="10795"/>
            <wp:docPr id="6" name="Chart 6">
              <a:extLst xmlns:a="http://schemas.openxmlformats.org/drawingml/2006/main">
                <a:ext uri="{FF2B5EF4-FFF2-40B4-BE49-F238E27FC236}">
                  <a16:creationId xmlns:a16="http://schemas.microsoft.com/office/drawing/2014/main" id="{3B9B0CCA-9532-974D-997E-698060A6A4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68AD9C9" w14:textId="77777777" w:rsidR="007B4C1E" w:rsidRPr="00DB4445" w:rsidRDefault="00F91604" w:rsidP="00F10D6B">
      <w:r w:rsidRPr="00DB4445">
        <w:rPr>
          <w:b/>
          <w:bCs/>
        </w:rPr>
        <w:t xml:space="preserve">Figure 1 </w:t>
      </w:r>
      <w:r w:rsidRPr="00DB4445">
        <w:t>Prevalence of mild cognitive impairment by anxiety status</w:t>
      </w:r>
    </w:p>
    <w:p w14:paraId="27D1D9D9" w14:textId="77777777" w:rsidR="00E02283" w:rsidRPr="00DB4445" w:rsidRDefault="00F91604" w:rsidP="00F10D6B">
      <w:pPr>
        <w:rPr>
          <w:sz w:val="20"/>
          <w:szCs w:val="20"/>
        </w:rPr>
      </w:pPr>
      <w:r w:rsidRPr="00DB4445">
        <w:rPr>
          <w:sz w:val="20"/>
          <w:szCs w:val="20"/>
        </w:rPr>
        <w:t>Bars denote 95% confidence intervals.</w:t>
      </w:r>
    </w:p>
    <w:p w14:paraId="389F2DE7" w14:textId="77777777" w:rsidR="009A2406" w:rsidRPr="00DB4445" w:rsidRDefault="009A2406" w:rsidP="00F10D6B"/>
    <w:p w14:paraId="4DB0C91D" w14:textId="77777777" w:rsidR="00DB1282" w:rsidRPr="00DB4445" w:rsidRDefault="00DB1282" w:rsidP="00F10D6B">
      <w:pPr>
        <w:sectPr w:rsidR="00DB1282" w:rsidRPr="00DB4445" w:rsidSect="007B4C1E">
          <w:pgSz w:w="11900" w:h="16840"/>
          <w:pgMar w:top="1440" w:right="1440" w:bottom="1440" w:left="1440" w:header="708" w:footer="708" w:gutter="0"/>
          <w:cols w:space="708"/>
          <w:docGrid w:linePitch="360"/>
        </w:sectPr>
      </w:pPr>
    </w:p>
    <w:p w14:paraId="12204158" w14:textId="77777777" w:rsidR="00DB1282" w:rsidRPr="00DB4445" w:rsidRDefault="00933A98" w:rsidP="00DB1282">
      <w:pPr>
        <w:rPr>
          <w:sz w:val="20"/>
          <w:szCs w:val="20"/>
        </w:rPr>
      </w:pPr>
      <w:r w:rsidRPr="00DB4445">
        <w:rPr>
          <w:noProof/>
          <w:lang w:val="en-US" w:eastAsia="en-US"/>
        </w:rPr>
        <w:lastRenderedPageBreak/>
        <w:drawing>
          <wp:inline distT="0" distB="0" distL="0" distR="0" wp14:anchorId="44877600" wp14:editId="1BC6B85E">
            <wp:extent cx="5400000" cy="4320000"/>
            <wp:effectExtent l="0" t="0" r="10795" b="10795"/>
            <wp:docPr id="3" name="Chart 3">
              <a:extLst xmlns:a="http://schemas.openxmlformats.org/drawingml/2006/main">
                <a:ext uri="{FF2B5EF4-FFF2-40B4-BE49-F238E27FC236}">
                  <a16:creationId xmlns:a16="http://schemas.microsoft.com/office/drawing/2014/main" id="{F5623572-431F-3742-B81C-445BD7E9AE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A777E58" w14:textId="77777777" w:rsidR="00DB1282" w:rsidRPr="00DB4445" w:rsidRDefault="00F91604" w:rsidP="00DB1282">
      <w:r w:rsidRPr="00DB4445">
        <w:rPr>
          <w:b/>
          <w:bCs/>
        </w:rPr>
        <w:t xml:space="preserve">Figure 2 </w:t>
      </w:r>
      <w:r w:rsidRPr="00DB4445">
        <w:t>Prevalence of anxiety by mild cognitive impairment status</w:t>
      </w:r>
    </w:p>
    <w:p w14:paraId="5536EAB5" w14:textId="77777777" w:rsidR="00DB1282" w:rsidRPr="00DB4445" w:rsidRDefault="00F91604" w:rsidP="00DB1282">
      <w:pPr>
        <w:rPr>
          <w:sz w:val="20"/>
          <w:szCs w:val="20"/>
        </w:rPr>
      </w:pPr>
      <w:r w:rsidRPr="00DB4445">
        <w:rPr>
          <w:sz w:val="20"/>
          <w:szCs w:val="20"/>
        </w:rPr>
        <w:t>Abbreviation: MCI Mild cognitive impairment</w:t>
      </w:r>
    </w:p>
    <w:p w14:paraId="36D6FB98" w14:textId="77777777" w:rsidR="00DB1282" w:rsidRPr="00DB4445" w:rsidRDefault="00F91604" w:rsidP="00DB1282">
      <w:pPr>
        <w:rPr>
          <w:sz w:val="20"/>
          <w:szCs w:val="20"/>
        </w:rPr>
      </w:pPr>
      <w:r w:rsidRPr="00DB4445">
        <w:rPr>
          <w:sz w:val="20"/>
          <w:szCs w:val="20"/>
        </w:rPr>
        <w:t>Bars denote 95% confidence intervals.</w:t>
      </w:r>
    </w:p>
    <w:p w14:paraId="707EC7E3" w14:textId="77777777" w:rsidR="00DB1282" w:rsidRPr="00DB4445" w:rsidRDefault="00DB1282" w:rsidP="00F10D6B"/>
    <w:p w14:paraId="4AC74F38" w14:textId="77777777" w:rsidR="00D742BF" w:rsidRPr="00DB4445" w:rsidRDefault="00D742BF" w:rsidP="00F10D6B"/>
    <w:p w14:paraId="5B36E5A4" w14:textId="77777777" w:rsidR="00DB1282" w:rsidRPr="00DB4445" w:rsidRDefault="00DB1282" w:rsidP="00F10D6B"/>
    <w:p w14:paraId="6414BDA9" w14:textId="77777777" w:rsidR="00D82629" w:rsidRPr="00DB4445" w:rsidRDefault="00D82629" w:rsidP="000C7A11">
      <w:pPr>
        <w:spacing w:line="480" w:lineRule="auto"/>
        <w:sectPr w:rsidR="00D82629" w:rsidRPr="00DB4445" w:rsidSect="007B4C1E">
          <w:pgSz w:w="11900" w:h="16840"/>
          <w:pgMar w:top="1440" w:right="1440" w:bottom="1440" w:left="1440" w:header="708" w:footer="708" w:gutter="0"/>
          <w:cols w:space="708"/>
          <w:docGrid w:linePitch="360"/>
        </w:sectPr>
      </w:pPr>
    </w:p>
    <w:p w14:paraId="0ABCEA9E" w14:textId="77777777" w:rsidR="00F715F6" w:rsidRPr="00DB4445" w:rsidRDefault="00933A98" w:rsidP="00D82629">
      <w:r w:rsidRPr="00DB4445">
        <w:rPr>
          <w:noProof/>
          <w:lang w:val="en-US" w:eastAsia="en-US"/>
        </w:rPr>
        <w:lastRenderedPageBreak/>
        <w:drawing>
          <wp:inline distT="0" distB="0" distL="0" distR="0" wp14:anchorId="319BA3E0" wp14:editId="3AEA84EB">
            <wp:extent cx="5727700" cy="3838575"/>
            <wp:effectExtent l="12700" t="12700" r="1270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727700" cy="3838575"/>
                    </a:xfrm>
                    <a:prstGeom prst="rect">
                      <a:avLst/>
                    </a:prstGeom>
                    <a:ln>
                      <a:solidFill>
                        <a:schemeClr val="tx1"/>
                      </a:solidFill>
                    </a:ln>
                  </pic:spPr>
                </pic:pic>
              </a:graphicData>
            </a:graphic>
          </wp:inline>
        </w:drawing>
      </w:r>
    </w:p>
    <w:p w14:paraId="0C816A4C" w14:textId="77777777" w:rsidR="000C7A11" w:rsidRPr="00DB4445" w:rsidRDefault="00F91604" w:rsidP="0077458F">
      <w:r w:rsidRPr="00DB4445">
        <w:rPr>
          <w:b/>
          <w:bCs/>
        </w:rPr>
        <w:t xml:space="preserve">Figure 3 </w:t>
      </w:r>
      <w:r w:rsidRPr="00DB4445">
        <w:t>Country-wise association between anxiety and mild cognitive impairment (outcome) estimated by multivariable logistic regression</w:t>
      </w:r>
    </w:p>
    <w:p w14:paraId="5BD7903E" w14:textId="77777777" w:rsidR="00194831" w:rsidRPr="00DB4445" w:rsidRDefault="00F91604" w:rsidP="0077458F">
      <w:pPr>
        <w:rPr>
          <w:sz w:val="20"/>
          <w:szCs w:val="20"/>
        </w:rPr>
      </w:pPr>
      <w:r w:rsidRPr="00DB4445">
        <w:rPr>
          <w:sz w:val="20"/>
          <w:szCs w:val="20"/>
        </w:rPr>
        <w:t>Abbreviation: OR Odds ratio; CI Confidence interval</w:t>
      </w:r>
    </w:p>
    <w:p w14:paraId="77C581EC" w14:textId="77777777" w:rsidR="00AE352C" w:rsidRPr="00AD3BD4" w:rsidRDefault="00F91604" w:rsidP="00AE352C">
      <w:pPr>
        <w:rPr>
          <w:sz w:val="20"/>
          <w:szCs w:val="20"/>
        </w:rPr>
      </w:pPr>
      <w:r w:rsidRPr="00DB4445">
        <w:rPr>
          <w:sz w:val="20"/>
          <w:szCs w:val="20"/>
        </w:rPr>
        <w:t>Models are adjusted for age, sex, wealth, education, physical activity, alcohol use, smoking, depression, diabetes, hypertension, stroke, and obesity.</w:t>
      </w:r>
    </w:p>
    <w:p w14:paraId="2A78CD36" w14:textId="390ADA3A" w:rsidR="00B40F1D" w:rsidRPr="00AD3BD4" w:rsidRDefault="00F91604" w:rsidP="002856F2">
      <w:r w:rsidRPr="00DB4445">
        <w:rPr>
          <w:sz w:val="20"/>
          <w:szCs w:val="20"/>
        </w:rPr>
        <w:t>Overall estimate was obtained by me</w:t>
      </w:r>
      <w:r w:rsidR="002856F2">
        <w:rPr>
          <w:sz w:val="20"/>
          <w:szCs w:val="20"/>
        </w:rPr>
        <w:t>ta-analysis with random effects</w:t>
      </w:r>
    </w:p>
    <w:sectPr w:rsidR="00B40F1D" w:rsidRPr="00AD3BD4" w:rsidSect="002856F2">
      <w:pgSz w:w="11900" w:h="16840"/>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E8A6E" w16cex:dateUtc="2020-10-24T09:11:00Z"/>
  <w16cex:commentExtensible w16cex:durableId="233E8A22" w16cex:dateUtc="2020-10-24T09:10:00Z"/>
  <w16cex:commentExtensible w16cex:durableId="233ABA22" w16cex:dateUtc="2020-10-21T19:46:00Z"/>
  <w16cex:commentExtensible w16cex:durableId="233D40DD" w16cex:dateUtc="2020-10-23T02:45:00Z"/>
  <w16cex:commentExtensible w16cex:durableId="233E8AF9" w16cex:dateUtc="2020-10-24T09:14:00Z"/>
  <w16cex:commentExtensible w16cex:durableId="233E8B40" w16cex:dateUtc="2020-10-24T09:15:00Z"/>
  <w16cex:commentExtensible w16cex:durableId="233E8B8D" w16cex:dateUtc="2020-10-24T09:16:00Z"/>
  <w16cex:commentExtensible w16cex:durableId="233ABA39" w16cex:dateUtc="2020-10-21T19:46:00Z"/>
  <w16cex:commentExtensible w16cex:durableId="233ABA45" w16cex:dateUtc="2020-10-21T19:46:00Z"/>
  <w16cex:commentExtensible w16cex:durableId="233ABA6A" w16cex:dateUtc="2020-10-21T19:47:00Z"/>
  <w16cex:commentExtensible w16cex:durableId="233ABA7E" w16cex:dateUtc="2020-10-21T19:47:00Z"/>
  <w16cex:commentExtensible w16cex:durableId="233ABA8A" w16cex:dateUtc="2020-10-21T19:47:00Z"/>
  <w16cex:commentExtensible w16cex:durableId="233ABA9A" w16cex:dateUtc="2020-10-21T19:48:00Z"/>
  <w16cex:commentExtensible w16cex:durableId="233ABAA6" w16cex:dateUtc="2020-10-21T19:48:00Z"/>
  <w16cex:commentExtensible w16cex:durableId="233D4500" w16cex:dateUtc="2020-10-23T03:03:00Z"/>
  <w16cex:commentExtensible w16cex:durableId="233E8CF0" w16cex:dateUtc="2020-10-24T09: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A82916" w16cid:durableId="233E8A6E"/>
  <w16cid:commentId w16cid:paraId="1D5050B4" w16cid:durableId="233E8A22"/>
  <w16cid:commentId w16cid:paraId="51F9FC38" w16cid:durableId="233AB625"/>
  <w16cid:commentId w16cid:paraId="552E21E7" w16cid:durableId="233AB626"/>
  <w16cid:commentId w16cid:paraId="36B05959" w16cid:durableId="233ABA22"/>
  <w16cid:commentId w16cid:paraId="6CC3DA22" w16cid:durableId="233D408B"/>
  <w16cid:commentId w16cid:paraId="411BDA36" w16cid:durableId="233D408C"/>
  <w16cid:commentId w16cid:paraId="2F88E6DA" w16cid:durableId="233D40DD"/>
  <w16cid:commentId w16cid:paraId="52E2E740" w16cid:durableId="233E8AF9"/>
  <w16cid:commentId w16cid:paraId="51AB8EEC" w16cid:durableId="233E8B40"/>
  <w16cid:commentId w16cid:paraId="69061A2F" w16cid:durableId="233E8B8D"/>
  <w16cid:commentId w16cid:paraId="0BDDED67" w16cid:durableId="233AB627"/>
  <w16cid:commentId w16cid:paraId="4FA96198" w16cid:durableId="233AB628"/>
  <w16cid:commentId w16cid:paraId="4F569523" w16cid:durableId="233ABA39"/>
  <w16cid:commentId w16cid:paraId="7AAD31C3" w16cid:durableId="233ABA45"/>
  <w16cid:commentId w16cid:paraId="5BE93560" w16cid:durableId="233AB629"/>
  <w16cid:commentId w16cid:paraId="681DE8D9" w16cid:durableId="233ABA6A"/>
  <w16cid:commentId w16cid:paraId="778DDE77" w16cid:durableId="233ABA7E"/>
  <w16cid:commentId w16cid:paraId="3DDC3B9E" w16cid:durableId="233ABA8A"/>
  <w16cid:commentId w16cid:paraId="2943A135" w16cid:durableId="233ABA9A"/>
  <w16cid:commentId w16cid:paraId="31E1CCC3" w16cid:durableId="233ABAA6"/>
  <w16cid:commentId w16cid:paraId="2EE9A07E" w16cid:durableId="233D4500"/>
  <w16cid:commentId w16cid:paraId="1F024835" w16cid:durableId="233E8CF0"/>
  <w16cid:commentId w16cid:paraId="5CC8BBC7" w16cid:durableId="233D409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54A4C" w14:textId="77777777" w:rsidR="00944A57" w:rsidRDefault="00944A57" w:rsidP="00B40F1D">
      <w:r>
        <w:separator/>
      </w:r>
    </w:p>
  </w:endnote>
  <w:endnote w:type="continuationSeparator" w:id="0">
    <w:p w14:paraId="3A762A3F" w14:textId="77777777" w:rsidR="00944A57" w:rsidRDefault="00944A57" w:rsidP="00B40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00376169"/>
      <w:docPartObj>
        <w:docPartGallery w:val="Page Numbers (Bottom of Page)"/>
        <w:docPartUnique/>
      </w:docPartObj>
    </w:sdtPr>
    <w:sdtContent>
      <w:p w14:paraId="588DE565" w14:textId="77777777" w:rsidR="00DB4445" w:rsidRDefault="00DB4445" w:rsidP="0065432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A630AD" w14:textId="77777777" w:rsidR="00DB4445" w:rsidRDefault="00DB444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35649806"/>
      <w:docPartObj>
        <w:docPartGallery w:val="Page Numbers (Bottom of Page)"/>
        <w:docPartUnique/>
      </w:docPartObj>
    </w:sdtPr>
    <w:sdtContent>
      <w:p w14:paraId="45F11410" w14:textId="7CB11CCE" w:rsidR="00DB4445" w:rsidRDefault="00DB4445" w:rsidP="0065432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856F2">
          <w:rPr>
            <w:rStyle w:val="PageNumber"/>
            <w:noProof/>
          </w:rPr>
          <w:t>3</w:t>
        </w:r>
        <w:r>
          <w:rPr>
            <w:rStyle w:val="PageNumber"/>
          </w:rPr>
          <w:fldChar w:fldCharType="end"/>
        </w:r>
      </w:p>
    </w:sdtContent>
  </w:sdt>
  <w:p w14:paraId="4C9B87C6" w14:textId="77777777" w:rsidR="00DB4445" w:rsidRDefault="00DB44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6A19A" w14:textId="77777777" w:rsidR="00944A57" w:rsidRDefault="00944A57" w:rsidP="00B40F1D">
      <w:r>
        <w:separator/>
      </w:r>
    </w:p>
  </w:footnote>
  <w:footnote w:type="continuationSeparator" w:id="0">
    <w:p w14:paraId="33634F59" w14:textId="77777777" w:rsidR="00944A57" w:rsidRDefault="00944A57" w:rsidP="00B40F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79E5"/>
    <w:multiLevelType w:val="multilevel"/>
    <w:tmpl w:val="0EDE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124FA"/>
    <w:multiLevelType w:val="multilevel"/>
    <w:tmpl w:val="A11A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42C76"/>
    <w:multiLevelType w:val="multilevel"/>
    <w:tmpl w:val="BAFE4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DE5ECF"/>
    <w:multiLevelType w:val="multilevel"/>
    <w:tmpl w:val="C75EE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D40E8A"/>
    <w:multiLevelType w:val="multilevel"/>
    <w:tmpl w:val="CFCA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6F288A"/>
    <w:multiLevelType w:val="multilevel"/>
    <w:tmpl w:val="CCEE6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B85FAD"/>
    <w:multiLevelType w:val="multilevel"/>
    <w:tmpl w:val="5D5A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8524D8"/>
    <w:multiLevelType w:val="multilevel"/>
    <w:tmpl w:val="55AA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291544"/>
    <w:multiLevelType w:val="hybridMultilevel"/>
    <w:tmpl w:val="067400C6"/>
    <w:lvl w:ilvl="0" w:tplc="DABC08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3F3B10"/>
    <w:multiLevelType w:val="multilevel"/>
    <w:tmpl w:val="12165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F474AB"/>
    <w:multiLevelType w:val="hybridMultilevel"/>
    <w:tmpl w:val="3880064E"/>
    <w:lvl w:ilvl="0" w:tplc="98AA3B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4705B1"/>
    <w:multiLevelType w:val="multilevel"/>
    <w:tmpl w:val="0012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F11365"/>
    <w:multiLevelType w:val="multilevel"/>
    <w:tmpl w:val="7DF0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E14996"/>
    <w:multiLevelType w:val="multilevel"/>
    <w:tmpl w:val="7D9E9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7"/>
  </w:num>
  <w:num w:numId="4">
    <w:abstractNumId w:val="4"/>
  </w:num>
  <w:num w:numId="5">
    <w:abstractNumId w:val="2"/>
  </w:num>
  <w:num w:numId="6">
    <w:abstractNumId w:val="12"/>
  </w:num>
  <w:num w:numId="7">
    <w:abstractNumId w:val="6"/>
  </w:num>
  <w:num w:numId="8">
    <w:abstractNumId w:val="13"/>
  </w:num>
  <w:num w:numId="9">
    <w:abstractNumId w:val="9"/>
  </w:num>
  <w:num w:numId="10">
    <w:abstractNumId w:val="5"/>
  </w:num>
  <w:num w:numId="11">
    <w:abstractNumId w:val="11"/>
  </w:num>
  <w:num w:numId="12">
    <w:abstractNumId w:val="3"/>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e3MDI0NTA0MDcwMjJT0lEKTi0uzszPAykwrAUAQS7E+iw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vtaa5vxrx0zfze5s53v0zvez99dafp2e5f5&quot;&gt;My EndNote Library&lt;record-ids&gt;&lt;item&gt;722&lt;/item&gt;&lt;item&gt;1822&lt;/item&gt;&lt;item&gt;4450&lt;/item&gt;&lt;item&gt;4454&lt;/item&gt;&lt;item&gt;4455&lt;/item&gt;&lt;item&gt;4456&lt;/item&gt;&lt;item&gt;4483&lt;/item&gt;&lt;item&gt;6583&lt;/item&gt;&lt;item&gt;6854&lt;/item&gt;&lt;item&gt;6929&lt;/item&gt;&lt;item&gt;6930&lt;/item&gt;&lt;item&gt;6987&lt;/item&gt;&lt;/record-ids&gt;&lt;/item&gt;&lt;/Libraries&gt;"/>
  </w:docVars>
  <w:rsids>
    <w:rsidRoot w:val="005518EA"/>
    <w:rsid w:val="000304D6"/>
    <w:rsid w:val="00040D64"/>
    <w:rsid w:val="000776D3"/>
    <w:rsid w:val="00077BD4"/>
    <w:rsid w:val="0008685C"/>
    <w:rsid w:val="00090424"/>
    <w:rsid w:val="00095BDE"/>
    <w:rsid w:val="000A1C65"/>
    <w:rsid w:val="000C436C"/>
    <w:rsid w:val="000C7A11"/>
    <w:rsid w:val="000D69FF"/>
    <w:rsid w:val="000E1658"/>
    <w:rsid w:val="000E7107"/>
    <w:rsid w:val="000E7121"/>
    <w:rsid w:val="00104F17"/>
    <w:rsid w:val="00106F17"/>
    <w:rsid w:val="00107110"/>
    <w:rsid w:val="001076D4"/>
    <w:rsid w:val="001160D5"/>
    <w:rsid w:val="00117F16"/>
    <w:rsid w:val="001431DF"/>
    <w:rsid w:val="001635D4"/>
    <w:rsid w:val="00163AE6"/>
    <w:rsid w:val="00164414"/>
    <w:rsid w:val="0017495E"/>
    <w:rsid w:val="001801FF"/>
    <w:rsid w:val="00194831"/>
    <w:rsid w:val="001C6607"/>
    <w:rsid w:val="001D32BA"/>
    <w:rsid w:val="001D3707"/>
    <w:rsid w:val="002036C5"/>
    <w:rsid w:val="002207A0"/>
    <w:rsid w:val="002229F4"/>
    <w:rsid w:val="00251C15"/>
    <w:rsid w:val="00254F48"/>
    <w:rsid w:val="00261034"/>
    <w:rsid w:val="00263106"/>
    <w:rsid w:val="00270B1A"/>
    <w:rsid w:val="002726A5"/>
    <w:rsid w:val="002856F2"/>
    <w:rsid w:val="00286D87"/>
    <w:rsid w:val="002930D2"/>
    <w:rsid w:val="002A0D74"/>
    <w:rsid w:val="002B2187"/>
    <w:rsid w:val="002B5FF9"/>
    <w:rsid w:val="002D24DA"/>
    <w:rsid w:val="002E0188"/>
    <w:rsid w:val="003133F0"/>
    <w:rsid w:val="0031353B"/>
    <w:rsid w:val="00325E21"/>
    <w:rsid w:val="00341C75"/>
    <w:rsid w:val="00342D33"/>
    <w:rsid w:val="003434D0"/>
    <w:rsid w:val="0034385B"/>
    <w:rsid w:val="00347446"/>
    <w:rsid w:val="00390732"/>
    <w:rsid w:val="003B6E67"/>
    <w:rsid w:val="003C3CAB"/>
    <w:rsid w:val="003D0688"/>
    <w:rsid w:val="003D7797"/>
    <w:rsid w:val="003E361A"/>
    <w:rsid w:val="003E4E9C"/>
    <w:rsid w:val="003E679D"/>
    <w:rsid w:val="003F1970"/>
    <w:rsid w:val="003F3241"/>
    <w:rsid w:val="00400409"/>
    <w:rsid w:val="00410018"/>
    <w:rsid w:val="0041697E"/>
    <w:rsid w:val="00426C45"/>
    <w:rsid w:val="00427611"/>
    <w:rsid w:val="00433295"/>
    <w:rsid w:val="004430DB"/>
    <w:rsid w:val="004447EC"/>
    <w:rsid w:val="00445BD9"/>
    <w:rsid w:val="00467952"/>
    <w:rsid w:val="0047652D"/>
    <w:rsid w:val="0048238A"/>
    <w:rsid w:val="004A3828"/>
    <w:rsid w:val="004A6535"/>
    <w:rsid w:val="004B1125"/>
    <w:rsid w:val="004B79E6"/>
    <w:rsid w:val="004B7F08"/>
    <w:rsid w:val="004D3EBB"/>
    <w:rsid w:val="004E2245"/>
    <w:rsid w:val="004F2B58"/>
    <w:rsid w:val="004F4E91"/>
    <w:rsid w:val="00517B41"/>
    <w:rsid w:val="00544307"/>
    <w:rsid w:val="00547297"/>
    <w:rsid w:val="005518EA"/>
    <w:rsid w:val="0055231E"/>
    <w:rsid w:val="0056194A"/>
    <w:rsid w:val="00576531"/>
    <w:rsid w:val="005929AF"/>
    <w:rsid w:val="005A46C1"/>
    <w:rsid w:val="005B111A"/>
    <w:rsid w:val="005C1570"/>
    <w:rsid w:val="005D52F1"/>
    <w:rsid w:val="005D682A"/>
    <w:rsid w:val="005E4A6D"/>
    <w:rsid w:val="00606B55"/>
    <w:rsid w:val="00614823"/>
    <w:rsid w:val="0064382E"/>
    <w:rsid w:val="00643F9D"/>
    <w:rsid w:val="00651492"/>
    <w:rsid w:val="00652ADB"/>
    <w:rsid w:val="00654328"/>
    <w:rsid w:val="00673015"/>
    <w:rsid w:val="0067425D"/>
    <w:rsid w:val="00676E7C"/>
    <w:rsid w:val="00684C81"/>
    <w:rsid w:val="00692AF3"/>
    <w:rsid w:val="00694F7F"/>
    <w:rsid w:val="006A0632"/>
    <w:rsid w:val="006A6985"/>
    <w:rsid w:val="006B1FFC"/>
    <w:rsid w:val="006C333B"/>
    <w:rsid w:val="006C694B"/>
    <w:rsid w:val="006F022E"/>
    <w:rsid w:val="006F03AB"/>
    <w:rsid w:val="007018C5"/>
    <w:rsid w:val="00703279"/>
    <w:rsid w:val="00704278"/>
    <w:rsid w:val="00705643"/>
    <w:rsid w:val="00705B62"/>
    <w:rsid w:val="00721F92"/>
    <w:rsid w:val="00722E49"/>
    <w:rsid w:val="00723575"/>
    <w:rsid w:val="00723FD2"/>
    <w:rsid w:val="0073095E"/>
    <w:rsid w:val="007319A0"/>
    <w:rsid w:val="00761844"/>
    <w:rsid w:val="007648EB"/>
    <w:rsid w:val="0077458F"/>
    <w:rsid w:val="0078560E"/>
    <w:rsid w:val="0078566B"/>
    <w:rsid w:val="007A47D5"/>
    <w:rsid w:val="007B4C1E"/>
    <w:rsid w:val="007C49B6"/>
    <w:rsid w:val="007D5E7B"/>
    <w:rsid w:val="007D77FF"/>
    <w:rsid w:val="00805A6C"/>
    <w:rsid w:val="00810215"/>
    <w:rsid w:val="00826106"/>
    <w:rsid w:val="00831596"/>
    <w:rsid w:val="0083577D"/>
    <w:rsid w:val="00856348"/>
    <w:rsid w:val="0087685C"/>
    <w:rsid w:val="008804EC"/>
    <w:rsid w:val="00880A36"/>
    <w:rsid w:val="0088391A"/>
    <w:rsid w:val="008843F2"/>
    <w:rsid w:val="008847E1"/>
    <w:rsid w:val="008B1856"/>
    <w:rsid w:val="008B4CC8"/>
    <w:rsid w:val="008B4DAF"/>
    <w:rsid w:val="008B7456"/>
    <w:rsid w:val="008B792B"/>
    <w:rsid w:val="008C4F1A"/>
    <w:rsid w:val="008D3D5D"/>
    <w:rsid w:val="009043E0"/>
    <w:rsid w:val="00906846"/>
    <w:rsid w:val="00920666"/>
    <w:rsid w:val="00921026"/>
    <w:rsid w:val="009277F4"/>
    <w:rsid w:val="00933A98"/>
    <w:rsid w:val="00936A93"/>
    <w:rsid w:val="00936DF6"/>
    <w:rsid w:val="009445CC"/>
    <w:rsid w:val="00944A57"/>
    <w:rsid w:val="009461FD"/>
    <w:rsid w:val="009637A8"/>
    <w:rsid w:val="00970707"/>
    <w:rsid w:val="00976500"/>
    <w:rsid w:val="00987627"/>
    <w:rsid w:val="009925DD"/>
    <w:rsid w:val="0099345F"/>
    <w:rsid w:val="009A2406"/>
    <w:rsid w:val="009B5B20"/>
    <w:rsid w:val="009C2509"/>
    <w:rsid w:val="009D48C1"/>
    <w:rsid w:val="009E0038"/>
    <w:rsid w:val="009F0420"/>
    <w:rsid w:val="009F3A5B"/>
    <w:rsid w:val="00A06C1E"/>
    <w:rsid w:val="00A26451"/>
    <w:rsid w:val="00A51F7E"/>
    <w:rsid w:val="00A52D62"/>
    <w:rsid w:val="00A53A28"/>
    <w:rsid w:val="00A54B35"/>
    <w:rsid w:val="00A92925"/>
    <w:rsid w:val="00AA4552"/>
    <w:rsid w:val="00AB78BA"/>
    <w:rsid w:val="00AD0967"/>
    <w:rsid w:val="00AD3BD4"/>
    <w:rsid w:val="00AE352C"/>
    <w:rsid w:val="00AE5B9E"/>
    <w:rsid w:val="00AE7991"/>
    <w:rsid w:val="00AF2ADF"/>
    <w:rsid w:val="00B0776A"/>
    <w:rsid w:val="00B13578"/>
    <w:rsid w:val="00B16A23"/>
    <w:rsid w:val="00B16E73"/>
    <w:rsid w:val="00B21C60"/>
    <w:rsid w:val="00B22B78"/>
    <w:rsid w:val="00B23DA1"/>
    <w:rsid w:val="00B24B47"/>
    <w:rsid w:val="00B263B8"/>
    <w:rsid w:val="00B27CF3"/>
    <w:rsid w:val="00B40F1D"/>
    <w:rsid w:val="00B5451F"/>
    <w:rsid w:val="00B67472"/>
    <w:rsid w:val="00B911D6"/>
    <w:rsid w:val="00B917BD"/>
    <w:rsid w:val="00BB5403"/>
    <w:rsid w:val="00BC1338"/>
    <w:rsid w:val="00BC63AE"/>
    <w:rsid w:val="00BC7318"/>
    <w:rsid w:val="00BD28C7"/>
    <w:rsid w:val="00BE79EC"/>
    <w:rsid w:val="00BF25D3"/>
    <w:rsid w:val="00BF6C9A"/>
    <w:rsid w:val="00C13C55"/>
    <w:rsid w:val="00C15C3B"/>
    <w:rsid w:val="00C221FB"/>
    <w:rsid w:val="00C2243A"/>
    <w:rsid w:val="00C22B2E"/>
    <w:rsid w:val="00C22B3D"/>
    <w:rsid w:val="00C26262"/>
    <w:rsid w:val="00C34AF5"/>
    <w:rsid w:val="00C379EB"/>
    <w:rsid w:val="00C55086"/>
    <w:rsid w:val="00C636A8"/>
    <w:rsid w:val="00C755E5"/>
    <w:rsid w:val="00C75863"/>
    <w:rsid w:val="00C835CC"/>
    <w:rsid w:val="00C84036"/>
    <w:rsid w:val="00C8606F"/>
    <w:rsid w:val="00CA3955"/>
    <w:rsid w:val="00CC2B46"/>
    <w:rsid w:val="00CE1DD0"/>
    <w:rsid w:val="00CE2577"/>
    <w:rsid w:val="00CE54A4"/>
    <w:rsid w:val="00CE5D46"/>
    <w:rsid w:val="00CF1E65"/>
    <w:rsid w:val="00CF2FDB"/>
    <w:rsid w:val="00CF381C"/>
    <w:rsid w:val="00D014CE"/>
    <w:rsid w:val="00D10AD1"/>
    <w:rsid w:val="00D10F11"/>
    <w:rsid w:val="00D157F8"/>
    <w:rsid w:val="00D406F8"/>
    <w:rsid w:val="00D47E07"/>
    <w:rsid w:val="00D50B55"/>
    <w:rsid w:val="00D57699"/>
    <w:rsid w:val="00D624DF"/>
    <w:rsid w:val="00D72CBB"/>
    <w:rsid w:val="00D742BF"/>
    <w:rsid w:val="00D77AA9"/>
    <w:rsid w:val="00D82629"/>
    <w:rsid w:val="00D949AB"/>
    <w:rsid w:val="00DA2493"/>
    <w:rsid w:val="00DA31D1"/>
    <w:rsid w:val="00DA3768"/>
    <w:rsid w:val="00DB1282"/>
    <w:rsid w:val="00DB4445"/>
    <w:rsid w:val="00DB7BEB"/>
    <w:rsid w:val="00DC3DD8"/>
    <w:rsid w:val="00DE4ADD"/>
    <w:rsid w:val="00DE5600"/>
    <w:rsid w:val="00DF7AB1"/>
    <w:rsid w:val="00E02283"/>
    <w:rsid w:val="00E03B50"/>
    <w:rsid w:val="00E054DD"/>
    <w:rsid w:val="00E11933"/>
    <w:rsid w:val="00E21FFA"/>
    <w:rsid w:val="00E2283D"/>
    <w:rsid w:val="00E65B35"/>
    <w:rsid w:val="00E673A1"/>
    <w:rsid w:val="00E77B8A"/>
    <w:rsid w:val="00EC60B0"/>
    <w:rsid w:val="00ED645C"/>
    <w:rsid w:val="00ED6F1A"/>
    <w:rsid w:val="00EE024B"/>
    <w:rsid w:val="00EF02C3"/>
    <w:rsid w:val="00F01684"/>
    <w:rsid w:val="00F06FA3"/>
    <w:rsid w:val="00F0761F"/>
    <w:rsid w:val="00F10D6B"/>
    <w:rsid w:val="00F4452F"/>
    <w:rsid w:val="00F60D8C"/>
    <w:rsid w:val="00F61102"/>
    <w:rsid w:val="00F6377E"/>
    <w:rsid w:val="00F7007D"/>
    <w:rsid w:val="00F712F9"/>
    <w:rsid w:val="00F715F6"/>
    <w:rsid w:val="00F7578B"/>
    <w:rsid w:val="00F91108"/>
    <w:rsid w:val="00F91604"/>
    <w:rsid w:val="00F964AE"/>
    <w:rsid w:val="00F978DA"/>
    <w:rsid w:val="00FA017D"/>
    <w:rsid w:val="00FA44AF"/>
    <w:rsid w:val="00FB4917"/>
    <w:rsid w:val="00FC2221"/>
    <w:rsid w:val="00FE338B"/>
    <w:rsid w:val="00FE3A65"/>
    <w:rsid w:val="00FF344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58E93"/>
  <w15:docId w15:val="{B9A74CFA-CCEB-40C2-B578-697B209BA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D6B"/>
    <w:rPr>
      <w:rFonts w:ascii="Times New Roman" w:eastAsia="Times New Roman" w:hAnsi="Times New Roman" w:cs="Times New Roman"/>
    </w:rPr>
  </w:style>
  <w:style w:type="paragraph" w:styleId="Heading3">
    <w:name w:val="heading 3"/>
    <w:basedOn w:val="Normal"/>
    <w:link w:val="Heading3Char"/>
    <w:uiPriority w:val="9"/>
    <w:qFormat/>
    <w:rsid w:val="00694F7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707"/>
    <w:rPr>
      <w:rFonts w:eastAsiaTheme="minorEastAsia"/>
      <w:sz w:val="18"/>
      <w:szCs w:val="18"/>
    </w:rPr>
  </w:style>
  <w:style w:type="character" w:customStyle="1" w:styleId="BalloonTextChar">
    <w:name w:val="Balloon Text Char"/>
    <w:basedOn w:val="DefaultParagraphFont"/>
    <w:link w:val="BalloonText"/>
    <w:uiPriority w:val="99"/>
    <w:semiHidden/>
    <w:rsid w:val="001D3707"/>
    <w:rPr>
      <w:rFonts w:ascii="Times New Roman" w:hAnsi="Times New Roman" w:cs="Times New Roman"/>
      <w:sz w:val="18"/>
      <w:szCs w:val="18"/>
    </w:rPr>
  </w:style>
  <w:style w:type="character" w:styleId="Hyperlink">
    <w:name w:val="Hyperlink"/>
    <w:basedOn w:val="DefaultParagraphFont"/>
    <w:uiPriority w:val="99"/>
    <w:unhideWhenUsed/>
    <w:rsid w:val="00263106"/>
    <w:rPr>
      <w:color w:val="0000FF"/>
      <w:u w:val="single"/>
    </w:rPr>
  </w:style>
  <w:style w:type="paragraph" w:customStyle="1" w:styleId="EndNoteBibliographyTitle">
    <w:name w:val="EndNote Bibliography Title"/>
    <w:basedOn w:val="Normal"/>
    <w:link w:val="EndNoteBibliographyTitleChar"/>
    <w:rsid w:val="00B40F1D"/>
    <w:pPr>
      <w:jc w:val="center"/>
    </w:pPr>
    <w:rPr>
      <w:rFonts w:ascii="Calibri" w:eastAsiaTheme="minorEastAsia" w:hAnsi="Calibri" w:cs="Calibri"/>
    </w:rPr>
  </w:style>
  <w:style w:type="character" w:customStyle="1" w:styleId="EndNoteBibliographyTitleChar">
    <w:name w:val="EndNote Bibliography Title Char"/>
    <w:basedOn w:val="DefaultParagraphFont"/>
    <w:link w:val="EndNoteBibliographyTitle"/>
    <w:rsid w:val="00B40F1D"/>
    <w:rPr>
      <w:rFonts w:ascii="Calibri" w:hAnsi="Calibri" w:cs="Calibri"/>
    </w:rPr>
  </w:style>
  <w:style w:type="paragraph" w:customStyle="1" w:styleId="EndNoteBibliography">
    <w:name w:val="EndNote Bibliography"/>
    <w:basedOn w:val="Normal"/>
    <w:link w:val="EndNoteBibliographyChar"/>
    <w:rsid w:val="00B40F1D"/>
    <w:rPr>
      <w:rFonts w:ascii="Calibri" w:eastAsiaTheme="minorEastAsia" w:hAnsi="Calibri" w:cs="Calibri"/>
    </w:rPr>
  </w:style>
  <w:style w:type="character" w:customStyle="1" w:styleId="EndNoteBibliographyChar">
    <w:name w:val="EndNote Bibliography Char"/>
    <w:basedOn w:val="DefaultParagraphFont"/>
    <w:link w:val="EndNoteBibliography"/>
    <w:rsid w:val="00B40F1D"/>
    <w:rPr>
      <w:rFonts w:ascii="Calibri" w:hAnsi="Calibri" w:cs="Calibri"/>
    </w:rPr>
  </w:style>
  <w:style w:type="paragraph" w:styleId="Footer">
    <w:name w:val="footer"/>
    <w:basedOn w:val="Normal"/>
    <w:link w:val="FooterChar"/>
    <w:uiPriority w:val="99"/>
    <w:unhideWhenUsed/>
    <w:rsid w:val="00B40F1D"/>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B40F1D"/>
  </w:style>
  <w:style w:type="character" w:styleId="PageNumber">
    <w:name w:val="page number"/>
    <w:basedOn w:val="DefaultParagraphFont"/>
    <w:uiPriority w:val="99"/>
    <w:semiHidden/>
    <w:unhideWhenUsed/>
    <w:rsid w:val="00B40F1D"/>
  </w:style>
  <w:style w:type="paragraph" w:customStyle="1" w:styleId="p">
    <w:name w:val="p"/>
    <w:basedOn w:val="Normal"/>
    <w:rsid w:val="00445BD9"/>
    <w:pPr>
      <w:spacing w:before="100" w:beforeAutospacing="1" w:after="100" w:afterAutospacing="1"/>
    </w:pPr>
    <w:rPr>
      <w:rFonts w:ascii="Times" w:eastAsiaTheme="minorEastAsia" w:hAnsi="Times" w:cstheme="minorBidi"/>
      <w:sz w:val="20"/>
      <w:szCs w:val="20"/>
      <w:lang w:val="en-US" w:eastAsia="en-US"/>
    </w:rPr>
  </w:style>
  <w:style w:type="character" w:styleId="CommentReference">
    <w:name w:val="annotation reference"/>
    <w:basedOn w:val="DefaultParagraphFont"/>
    <w:uiPriority w:val="99"/>
    <w:semiHidden/>
    <w:unhideWhenUsed/>
    <w:rsid w:val="00B263B8"/>
    <w:rPr>
      <w:sz w:val="16"/>
      <w:szCs w:val="16"/>
    </w:rPr>
  </w:style>
  <w:style w:type="paragraph" w:styleId="CommentText">
    <w:name w:val="annotation text"/>
    <w:basedOn w:val="Normal"/>
    <w:link w:val="CommentTextChar"/>
    <w:uiPriority w:val="99"/>
    <w:semiHidden/>
    <w:unhideWhenUsed/>
    <w:rsid w:val="00B263B8"/>
    <w:rPr>
      <w:sz w:val="20"/>
      <w:szCs w:val="20"/>
    </w:rPr>
  </w:style>
  <w:style w:type="character" w:customStyle="1" w:styleId="CommentTextChar">
    <w:name w:val="Comment Text Char"/>
    <w:basedOn w:val="DefaultParagraphFont"/>
    <w:link w:val="CommentText"/>
    <w:uiPriority w:val="99"/>
    <w:semiHidden/>
    <w:rsid w:val="00B263B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63B8"/>
    <w:rPr>
      <w:b/>
      <w:bCs/>
    </w:rPr>
  </w:style>
  <w:style w:type="character" w:customStyle="1" w:styleId="CommentSubjectChar">
    <w:name w:val="Comment Subject Char"/>
    <w:basedOn w:val="CommentTextChar"/>
    <w:link w:val="CommentSubject"/>
    <w:uiPriority w:val="99"/>
    <w:semiHidden/>
    <w:rsid w:val="00B263B8"/>
    <w:rPr>
      <w:rFonts w:ascii="Times New Roman" w:eastAsia="Times New Roman" w:hAnsi="Times New Roman" w:cs="Times New Roman"/>
      <w:b/>
      <w:bCs/>
      <w:sz w:val="20"/>
      <w:szCs w:val="20"/>
    </w:rPr>
  </w:style>
  <w:style w:type="character" w:customStyle="1" w:styleId="docsum-authors">
    <w:name w:val="docsum-authors"/>
    <w:basedOn w:val="DefaultParagraphFont"/>
    <w:rsid w:val="00FB4917"/>
  </w:style>
  <w:style w:type="character" w:customStyle="1" w:styleId="docsum-journal-citation">
    <w:name w:val="docsum-journal-citation"/>
    <w:basedOn w:val="DefaultParagraphFont"/>
    <w:rsid w:val="00FB4917"/>
  </w:style>
  <w:style w:type="character" w:customStyle="1" w:styleId="citation-part">
    <w:name w:val="citation-part"/>
    <w:basedOn w:val="DefaultParagraphFont"/>
    <w:rsid w:val="00FB4917"/>
  </w:style>
  <w:style w:type="character" w:customStyle="1" w:styleId="docsum-pmid">
    <w:name w:val="docsum-pmid"/>
    <w:basedOn w:val="DefaultParagraphFont"/>
    <w:rsid w:val="00FB4917"/>
  </w:style>
  <w:style w:type="character" w:customStyle="1" w:styleId="publication-type">
    <w:name w:val="publication-type"/>
    <w:basedOn w:val="DefaultParagraphFont"/>
    <w:rsid w:val="008B4CC8"/>
  </w:style>
  <w:style w:type="paragraph" w:styleId="Revision">
    <w:name w:val="Revision"/>
    <w:hidden/>
    <w:uiPriority w:val="99"/>
    <w:semiHidden/>
    <w:rsid w:val="00CA3955"/>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8B7456"/>
    <w:rPr>
      <w:color w:val="605E5C"/>
      <w:shd w:val="clear" w:color="auto" w:fill="E1DFDD"/>
    </w:rPr>
  </w:style>
  <w:style w:type="character" w:styleId="FollowedHyperlink">
    <w:name w:val="FollowedHyperlink"/>
    <w:basedOn w:val="DefaultParagraphFont"/>
    <w:uiPriority w:val="99"/>
    <w:semiHidden/>
    <w:unhideWhenUsed/>
    <w:rsid w:val="003B6E67"/>
    <w:rPr>
      <w:color w:val="954F72" w:themeColor="followedHyperlink"/>
      <w:u w:val="single"/>
    </w:rPr>
  </w:style>
  <w:style w:type="character" w:customStyle="1" w:styleId="Heading3Char">
    <w:name w:val="Heading 3 Char"/>
    <w:basedOn w:val="DefaultParagraphFont"/>
    <w:link w:val="Heading3"/>
    <w:uiPriority w:val="9"/>
    <w:rsid w:val="00694F7F"/>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E03B50"/>
    <w:pPr>
      <w:tabs>
        <w:tab w:val="center" w:pos="4513"/>
        <w:tab w:val="right" w:pos="9026"/>
      </w:tabs>
      <w:snapToGrid w:val="0"/>
    </w:pPr>
  </w:style>
  <w:style w:type="character" w:customStyle="1" w:styleId="HeaderChar">
    <w:name w:val="Header Char"/>
    <w:basedOn w:val="DefaultParagraphFont"/>
    <w:link w:val="Header"/>
    <w:uiPriority w:val="99"/>
    <w:rsid w:val="00E03B50"/>
    <w:rPr>
      <w:rFonts w:ascii="Times New Roman" w:eastAsia="Times New Roman" w:hAnsi="Times New Roman" w:cs="Times New Roman"/>
    </w:rPr>
  </w:style>
  <w:style w:type="paragraph" w:styleId="ListParagraph">
    <w:name w:val="List Paragraph"/>
    <w:basedOn w:val="Normal"/>
    <w:uiPriority w:val="34"/>
    <w:qFormat/>
    <w:rsid w:val="00DB4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93403">
      <w:bodyDiv w:val="1"/>
      <w:marLeft w:val="0"/>
      <w:marRight w:val="0"/>
      <w:marTop w:val="0"/>
      <w:marBottom w:val="0"/>
      <w:divBdr>
        <w:top w:val="none" w:sz="0" w:space="0" w:color="auto"/>
        <w:left w:val="none" w:sz="0" w:space="0" w:color="auto"/>
        <w:bottom w:val="none" w:sz="0" w:space="0" w:color="auto"/>
        <w:right w:val="none" w:sz="0" w:space="0" w:color="auto"/>
      </w:divBdr>
      <w:divsChild>
        <w:div w:id="1672563558">
          <w:marLeft w:val="0"/>
          <w:marRight w:val="0"/>
          <w:marTop w:val="0"/>
          <w:marBottom w:val="0"/>
          <w:divBdr>
            <w:top w:val="none" w:sz="0" w:space="0" w:color="auto"/>
            <w:left w:val="none" w:sz="0" w:space="0" w:color="auto"/>
            <w:bottom w:val="none" w:sz="0" w:space="0" w:color="auto"/>
            <w:right w:val="none" w:sz="0" w:space="0" w:color="auto"/>
          </w:divBdr>
          <w:divsChild>
            <w:div w:id="1829326185">
              <w:marLeft w:val="0"/>
              <w:marRight w:val="0"/>
              <w:marTop w:val="0"/>
              <w:marBottom w:val="0"/>
              <w:divBdr>
                <w:top w:val="none" w:sz="0" w:space="0" w:color="auto"/>
                <w:left w:val="none" w:sz="0" w:space="0" w:color="auto"/>
                <w:bottom w:val="none" w:sz="0" w:space="0" w:color="auto"/>
                <w:right w:val="none" w:sz="0" w:space="0" w:color="auto"/>
              </w:divBdr>
            </w:div>
          </w:divsChild>
        </w:div>
        <w:div w:id="1297762754">
          <w:marLeft w:val="0"/>
          <w:marRight w:val="0"/>
          <w:marTop w:val="0"/>
          <w:marBottom w:val="0"/>
          <w:divBdr>
            <w:top w:val="none" w:sz="0" w:space="0" w:color="auto"/>
            <w:left w:val="none" w:sz="0" w:space="0" w:color="auto"/>
            <w:bottom w:val="none" w:sz="0" w:space="0" w:color="auto"/>
            <w:right w:val="none" w:sz="0" w:space="0" w:color="auto"/>
          </w:divBdr>
        </w:div>
        <w:div w:id="848717077">
          <w:marLeft w:val="0"/>
          <w:marRight w:val="0"/>
          <w:marTop w:val="0"/>
          <w:marBottom w:val="0"/>
          <w:divBdr>
            <w:top w:val="none" w:sz="0" w:space="0" w:color="auto"/>
            <w:left w:val="none" w:sz="0" w:space="0" w:color="auto"/>
            <w:bottom w:val="none" w:sz="0" w:space="0" w:color="auto"/>
            <w:right w:val="none" w:sz="0" w:space="0" w:color="auto"/>
          </w:divBdr>
          <w:divsChild>
            <w:div w:id="1427186225">
              <w:marLeft w:val="0"/>
              <w:marRight w:val="0"/>
              <w:marTop w:val="0"/>
              <w:marBottom w:val="0"/>
              <w:divBdr>
                <w:top w:val="none" w:sz="0" w:space="0" w:color="auto"/>
                <w:left w:val="none" w:sz="0" w:space="0" w:color="auto"/>
                <w:bottom w:val="none" w:sz="0" w:space="0" w:color="auto"/>
                <w:right w:val="none" w:sz="0" w:space="0" w:color="auto"/>
              </w:divBdr>
              <w:divsChild>
                <w:div w:id="64377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64462">
      <w:bodyDiv w:val="1"/>
      <w:marLeft w:val="0"/>
      <w:marRight w:val="0"/>
      <w:marTop w:val="0"/>
      <w:marBottom w:val="0"/>
      <w:divBdr>
        <w:top w:val="none" w:sz="0" w:space="0" w:color="auto"/>
        <w:left w:val="none" w:sz="0" w:space="0" w:color="auto"/>
        <w:bottom w:val="none" w:sz="0" w:space="0" w:color="auto"/>
        <w:right w:val="none" w:sz="0" w:space="0" w:color="auto"/>
      </w:divBdr>
      <w:divsChild>
        <w:div w:id="1327325781">
          <w:marLeft w:val="0"/>
          <w:marRight w:val="0"/>
          <w:marTop w:val="0"/>
          <w:marBottom w:val="0"/>
          <w:divBdr>
            <w:top w:val="none" w:sz="0" w:space="0" w:color="auto"/>
            <w:left w:val="none" w:sz="0" w:space="0" w:color="auto"/>
            <w:bottom w:val="none" w:sz="0" w:space="0" w:color="auto"/>
            <w:right w:val="none" w:sz="0" w:space="0" w:color="auto"/>
          </w:divBdr>
        </w:div>
      </w:divsChild>
    </w:div>
    <w:div w:id="271792468">
      <w:bodyDiv w:val="1"/>
      <w:marLeft w:val="0"/>
      <w:marRight w:val="0"/>
      <w:marTop w:val="0"/>
      <w:marBottom w:val="0"/>
      <w:divBdr>
        <w:top w:val="none" w:sz="0" w:space="0" w:color="auto"/>
        <w:left w:val="none" w:sz="0" w:space="0" w:color="auto"/>
        <w:bottom w:val="none" w:sz="0" w:space="0" w:color="auto"/>
        <w:right w:val="none" w:sz="0" w:space="0" w:color="auto"/>
      </w:divBdr>
      <w:divsChild>
        <w:div w:id="46730551">
          <w:marLeft w:val="0"/>
          <w:marRight w:val="0"/>
          <w:marTop w:val="0"/>
          <w:marBottom w:val="0"/>
          <w:divBdr>
            <w:top w:val="none" w:sz="0" w:space="0" w:color="auto"/>
            <w:left w:val="none" w:sz="0" w:space="0" w:color="auto"/>
            <w:bottom w:val="none" w:sz="0" w:space="0" w:color="auto"/>
            <w:right w:val="none" w:sz="0" w:space="0" w:color="auto"/>
          </w:divBdr>
        </w:div>
      </w:divsChild>
    </w:div>
    <w:div w:id="420176763">
      <w:bodyDiv w:val="1"/>
      <w:marLeft w:val="0"/>
      <w:marRight w:val="0"/>
      <w:marTop w:val="0"/>
      <w:marBottom w:val="0"/>
      <w:divBdr>
        <w:top w:val="none" w:sz="0" w:space="0" w:color="auto"/>
        <w:left w:val="none" w:sz="0" w:space="0" w:color="auto"/>
        <w:bottom w:val="none" w:sz="0" w:space="0" w:color="auto"/>
        <w:right w:val="none" w:sz="0" w:space="0" w:color="auto"/>
      </w:divBdr>
    </w:div>
    <w:div w:id="554318562">
      <w:bodyDiv w:val="1"/>
      <w:marLeft w:val="0"/>
      <w:marRight w:val="0"/>
      <w:marTop w:val="0"/>
      <w:marBottom w:val="0"/>
      <w:divBdr>
        <w:top w:val="none" w:sz="0" w:space="0" w:color="auto"/>
        <w:left w:val="none" w:sz="0" w:space="0" w:color="auto"/>
        <w:bottom w:val="none" w:sz="0" w:space="0" w:color="auto"/>
        <w:right w:val="none" w:sz="0" w:space="0" w:color="auto"/>
      </w:divBdr>
    </w:div>
    <w:div w:id="639267837">
      <w:bodyDiv w:val="1"/>
      <w:marLeft w:val="0"/>
      <w:marRight w:val="0"/>
      <w:marTop w:val="0"/>
      <w:marBottom w:val="0"/>
      <w:divBdr>
        <w:top w:val="none" w:sz="0" w:space="0" w:color="auto"/>
        <w:left w:val="none" w:sz="0" w:space="0" w:color="auto"/>
        <w:bottom w:val="none" w:sz="0" w:space="0" w:color="auto"/>
        <w:right w:val="none" w:sz="0" w:space="0" w:color="auto"/>
      </w:divBdr>
      <w:divsChild>
        <w:div w:id="481317154">
          <w:marLeft w:val="0"/>
          <w:marRight w:val="0"/>
          <w:marTop w:val="0"/>
          <w:marBottom w:val="0"/>
          <w:divBdr>
            <w:top w:val="none" w:sz="0" w:space="0" w:color="auto"/>
            <w:left w:val="none" w:sz="0" w:space="0" w:color="auto"/>
            <w:bottom w:val="none" w:sz="0" w:space="0" w:color="auto"/>
            <w:right w:val="none" w:sz="0" w:space="0" w:color="auto"/>
          </w:divBdr>
          <w:divsChild>
            <w:div w:id="1077678442">
              <w:marLeft w:val="0"/>
              <w:marRight w:val="0"/>
              <w:marTop w:val="0"/>
              <w:marBottom w:val="0"/>
              <w:divBdr>
                <w:top w:val="none" w:sz="0" w:space="0" w:color="auto"/>
                <w:left w:val="none" w:sz="0" w:space="0" w:color="auto"/>
                <w:bottom w:val="none" w:sz="0" w:space="0" w:color="auto"/>
                <w:right w:val="none" w:sz="0" w:space="0" w:color="auto"/>
              </w:divBdr>
            </w:div>
          </w:divsChild>
        </w:div>
        <w:div w:id="1941797189">
          <w:marLeft w:val="0"/>
          <w:marRight w:val="0"/>
          <w:marTop w:val="0"/>
          <w:marBottom w:val="0"/>
          <w:divBdr>
            <w:top w:val="none" w:sz="0" w:space="0" w:color="auto"/>
            <w:left w:val="none" w:sz="0" w:space="0" w:color="auto"/>
            <w:bottom w:val="none" w:sz="0" w:space="0" w:color="auto"/>
            <w:right w:val="none" w:sz="0" w:space="0" w:color="auto"/>
          </w:divBdr>
        </w:div>
        <w:div w:id="173036978">
          <w:marLeft w:val="0"/>
          <w:marRight w:val="0"/>
          <w:marTop w:val="0"/>
          <w:marBottom w:val="0"/>
          <w:divBdr>
            <w:top w:val="none" w:sz="0" w:space="0" w:color="auto"/>
            <w:left w:val="none" w:sz="0" w:space="0" w:color="auto"/>
            <w:bottom w:val="none" w:sz="0" w:space="0" w:color="auto"/>
            <w:right w:val="none" w:sz="0" w:space="0" w:color="auto"/>
          </w:divBdr>
          <w:divsChild>
            <w:div w:id="143397112">
              <w:marLeft w:val="0"/>
              <w:marRight w:val="0"/>
              <w:marTop w:val="0"/>
              <w:marBottom w:val="0"/>
              <w:divBdr>
                <w:top w:val="none" w:sz="0" w:space="0" w:color="auto"/>
                <w:left w:val="none" w:sz="0" w:space="0" w:color="auto"/>
                <w:bottom w:val="none" w:sz="0" w:space="0" w:color="auto"/>
                <w:right w:val="none" w:sz="0" w:space="0" w:color="auto"/>
              </w:divBdr>
              <w:divsChild>
                <w:div w:id="170317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19854">
      <w:bodyDiv w:val="1"/>
      <w:marLeft w:val="0"/>
      <w:marRight w:val="0"/>
      <w:marTop w:val="0"/>
      <w:marBottom w:val="0"/>
      <w:divBdr>
        <w:top w:val="none" w:sz="0" w:space="0" w:color="auto"/>
        <w:left w:val="none" w:sz="0" w:space="0" w:color="auto"/>
        <w:bottom w:val="none" w:sz="0" w:space="0" w:color="auto"/>
        <w:right w:val="none" w:sz="0" w:space="0" w:color="auto"/>
      </w:divBdr>
      <w:divsChild>
        <w:div w:id="24261320">
          <w:marLeft w:val="0"/>
          <w:marRight w:val="0"/>
          <w:marTop w:val="0"/>
          <w:marBottom w:val="0"/>
          <w:divBdr>
            <w:top w:val="none" w:sz="0" w:space="0" w:color="auto"/>
            <w:left w:val="none" w:sz="0" w:space="0" w:color="auto"/>
            <w:bottom w:val="none" w:sz="0" w:space="0" w:color="auto"/>
            <w:right w:val="none" w:sz="0" w:space="0" w:color="auto"/>
          </w:divBdr>
        </w:div>
      </w:divsChild>
    </w:div>
    <w:div w:id="1019887967">
      <w:bodyDiv w:val="1"/>
      <w:marLeft w:val="0"/>
      <w:marRight w:val="0"/>
      <w:marTop w:val="0"/>
      <w:marBottom w:val="0"/>
      <w:divBdr>
        <w:top w:val="none" w:sz="0" w:space="0" w:color="auto"/>
        <w:left w:val="none" w:sz="0" w:space="0" w:color="auto"/>
        <w:bottom w:val="none" w:sz="0" w:space="0" w:color="auto"/>
        <w:right w:val="none" w:sz="0" w:space="0" w:color="auto"/>
      </w:divBdr>
    </w:div>
    <w:div w:id="1022514193">
      <w:bodyDiv w:val="1"/>
      <w:marLeft w:val="0"/>
      <w:marRight w:val="0"/>
      <w:marTop w:val="0"/>
      <w:marBottom w:val="0"/>
      <w:divBdr>
        <w:top w:val="none" w:sz="0" w:space="0" w:color="auto"/>
        <w:left w:val="none" w:sz="0" w:space="0" w:color="auto"/>
        <w:bottom w:val="none" w:sz="0" w:space="0" w:color="auto"/>
        <w:right w:val="none" w:sz="0" w:space="0" w:color="auto"/>
      </w:divBdr>
      <w:divsChild>
        <w:div w:id="1859155300">
          <w:marLeft w:val="0"/>
          <w:marRight w:val="0"/>
          <w:marTop w:val="0"/>
          <w:marBottom w:val="0"/>
          <w:divBdr>
            <w:top w:val="none" w:sz="0" w:space="0" w:color="auto"/>
            <w:left w:val="none" w:sz="0" w:space="0" w:color="auto"/>
            <w:bottom w:val="none" w:sz="0" w:space="0" w:color="auto"/>
            <w:right w:val="none" w:sz="0" w:space="0" w:color="auto"/>
          </w:divBdr>
          <w:divsChild>
            <w:div w:id="1377119024">
              <w:marLeft w:val="0"/>
              <w:marRight w:val="0"/>
              <w:marTop w:val="0"/>
              <w:marBottom w:val="0"/>
              <w:divBdr>
                <w:top w:val="none" w:sz="0" w:space="0" w:color="auto"/>
                <w:left w:val="none" w:sz="0" w:space="0" w:color="auto"/>
                <w:bottom w:val="none" w:sz="0" w:space="0" w:color="auto"/>
                <w:right w:val="none" w:sz="0" w:space="0" w:color="auto"/>
              </w:divBdr>
            </w:div>
          </w:divsChild>
        </w:div>
        <w:div w:id="743987828">
          <w:marLeft w:val="0"/>
          <w:marRight w:val="0"/>
          <w:marTop w:val="0"/>
          <w:marBottom w:val="0"/>
          <w:divBdr>
            <w:top w:val="none" w:sz="0" w:space="0" w:color="auto"/>
            <w:left w:val="none" w:sz="0" w:space="0" w:color="auto"/>
            <w:bottom w:val="none" w:sz="0" w:space="0" w:color="auto"/>
            <w:right w:val="none" w:sz="0" w:space="0" w:color="auto"/>
          </w:divBdr>
        </w:div>
        <w:div w:id="1788354470">
          <w:marLeft w:val="0"/>
          <w:marRight w:val="0"/>
          <w:marTop w:val="0"/>
          <w:marBottom w:val="0"/>
          <w:divBdr>
            <w:top w:val="none" w:sz="0" w:space="0" w:color="auto"/>
            <w:left w:val="none" w:sz="0" w:space="0" w:color="auto"/>
            <w:bottom w:val="none" w:sz="0" w:space="0" w:color="auto"/>
            <w:right w:val="none" w:sz="0" w:space="0" w:color="auto"/>
          </w:divBdr>
          <w:divsChild>
            <w:div w:id="1338730176">
              <w:marLeft w:val="0"/>
              <w:marRight w:val="0"/>
              <w:marTop w:val="0"/>
              <w:marBottom w:val="0"/>
              <w:divBdr>
                <w:top w:val="none" w:sz="0" w:space="0" w:color="auto"/>
                <w:left w:val="none" w:sz="0" w:space="0" w:color="auto"/>
                <w:bottom w:val="none" w:sz="0" w:space="0" w:color="auto"/>
                <w:right w:val="none" w:sz="0" w:space="0" w:color="auto"/>
              </w:divBdr>
              <w:divsChild>
                <w:div w:id="8549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476949">
      <w:bodyDiv w:val="1"/>
      <w:marLeft w:val="0"/>
      <w:marRight w:val="0"/>
      <w:marTop w:val="0"/>
      <w:marBottom w:val="0"/>
      <w:divBdr>
        <w:top w:val="none" w:sz="0" w:space="0" w:color="auto"/>
        <w:left w:val="none" w:sz="0" w:space="0" w:color="auto"/>
        <w:bottom w:val="none" w:sz="0" w:space="0" w:color="auto"/>
        <w:right w:val="none" w:sz="0" w:space="0" w:color="auto"/>
      </w:divBdr>
    </w:div>
    <w:div w:id="1108428148">
      <w:bodyDiv w:val="1"/>
      <w:marLeft w:val="0"/>
      <w:marRight w:val="0"/>
      <w:marTop w:val="0"/>
      <w:marBottom w:val="0"/>
      <w:divBdr>
        <w:top w:val="none" w:sz="0" w:space="0" w:color="auto"/>
        <w:left w:val="none" w:sz="0" w:space="0" w:color="auto"/>
        <w:bottom w:val="none" w:sz="0" w:space="0" w:color="auto"/>
        <w:right w:val="none" w:sz="0" w:space="0" w:color="auto"/>
      </w:divBdr>
      <w:divsChild>
        <w:div w:id="1652100901">
          <w:marLeft w:val="0"/>
          <w:marRight w:val="0"/>
          <w:marTop w:val="0"/>
          <w:marBottom w:val="0"/>
          <w:divBdr>
            <w:top w:val="none" w:sz="0" w:space="0" w:color="auto"/>
            <w:left w:val="none" w:sz="0" w:space="0" w:color="auto"/>
            <w:bottom w:val="none" w:sz="0" w:space="0" w:color="auto"/>
            <w:right w:val="none" w:sz="0" w:space="0" w:color="auto"/>
          </w:divBdr>
          <w:divsChild>
            <w:div w:id="252710512">
              <w:marLeft w:val="0"/>
              <w:marRight w:val="0"/>
              <w:marTop w:val="0"/>
              <w:marBottom w:val="0"/>
              <w:divBdr>
                <w:top w:val="none" w:sz="0" w:space="0" w:color="auto"/>
                <w:left w:val="none" w:sz="0" w:space="0" w:color="auto"/>
                <w:bottom w:val="none" w:sz="0" w:space="0" w:color="auto"/>
                <w:right w:val="none" w:sz="0" w:space="0" w:color="auto"/>
              </w:divBdr>
            </w:div>
          </w:divsChild>
        </w:div>
        <w:div w:id="849880780">
          <w:marLeft w:val="0"/>
          <w:marRight w:val="0"/>
          <w:marTop w:val="0"/>
          <w:marBottom w:val="0"/>
          <w:divBdr>
            <w:top w:val="none" w:sz="0" w:space="0" w:color="auto"/>
            <w:left w:val="none" w:sz="0" w:space="0" w:color="auto"/>
            <w:bottom w:val="none" w:sz="0" w:space="0" w:color="auto"/>
            <w:right w:val="none" w:sz="0" w:space="0" w:color="auto"/>
          </w:divBdr>
        </w:div>
        <w:div w:id="762264261">
          <w:marLeft w:val="0"/>
          <w:marRight w:val="0"/>
          <w:marTop w:val="0"/>
          <w:marBottom w:val="0"/>
          <w:divBdr>
            <w:top w:val="none" w:sz="0" w:space="0" w:color="auto"/>
            <w:left w:val="none" w:sz="0" w:space="0" w:color="auto"/>
            <w:bottom w:val="none" w:sz="0" w:space="0" w:color="auto"/>
            <w:right w:val="none" w:sz="0" w:space="0" w:color="auto"/>
          </w:divBdr>
          <w:divsChild>
            <w:div w:id="263347808">
              <w:marLeft w:val="0"/>
              <w:marRight w:val="0"/>
              <w:marTop w:val="0"/>
              <w:marBottom w:val="0"/>
              <w:divBdr>
                <w:top w:val="none" w:sz="0" w:space="0" w:color="auto"/>
                <w:left w:val="none" w:sz="0" w:space="0" w:color="auto"/>
                <w:bottom w:val="none" w:sz="0" w:space="0" w:color="auto"/>
                <w:right w:val="none" w:sz="0" w:space="0" w:color="auto"/>
              </w:divBdr>
              <w:divsChild>
                <w:div w:id="181922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629458">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420906374">
      <w:bodyDiv w:val="1"/>
      <w:marLeft w:val="0"/>
      <w:marRight w:val="0"/>
      <w:marTop w:val="0"/>
      <w:marBottom w:val="0"/>
      <w:divBdr>
        <w:top w:val="none" w:sz="0" w:space="0" w:color="auto"/>
        <w:left w:val="none" w:sz="0" w:space="0" w:color="auto"/>
        <w:bottom w:val="none" w:sz="0" w:space="0" w:color="auto"/>
        <w:right w:val="none" w:sz="0" w:space="0" w:color="auto"/>
      </w:divBdr>
      <w:divsChild>
        <w:div w:id="199442552">
          <w:marLeft w:val="0"/>
          <w:marRight w:val="0"/>
          <w:marTop w:val="0"/>
          <w:marBottom w:val="0"/>
          <w:divBdr>
            <w:top w:val="none" w:sz="0" w:space="0" w:color="auto"/>
            <w:left w:val="none" w:sz="0" w:space="0" w:color="auto"/>
            <w:bottom w:val="none" w:sz="0" w:space="0" w:color="auto"/>
            <w:right w:val="none" w:sz="0" w:space="0" w:color="auto"/>
          </w:divBdr>
        </w:div>
      </w:divsChild>
    </w:div>
    <w:div w:id="1435713860">
      <w:bodyDiv w:val="1"/>
      <w:marLeft w:val="0"/>
      <w:marRight w:val="0"/>
      <w:marTop w:val="0"/>
      <w:marBottom w:val="0"/>
      <w:divBdr>
        <w:top w:val="none" w:sz="0" w:space="0" w:color="auto"/>
        <w:left w:val="none" w:sz="0" w:space="0" w:color="auto"/>
        <w:bottom w:val="none" w:sz="0" w:space="0" w:color="auto"/>
        <w:right w:val="none" w:sz="0" w:space="0" w:color="auto"/>
      </w:divBdr>
      <w:divsChild>
        <w:div w:id="317851180">
          <w:marLeft w:val="0"/>
          <w:marRight w:val="0"/>
          <w:marTop w:val="0"/>
          <w:marBottom w:val="0"/>
          <w:divBdr>
            <w:top w:val="none" w:sz="0" w:space="0" w:color="auto"/>
            <w:left w:val="none" w:sz="0" w:space="0" w:color="auto"/>
            <w:bottom w:val="none" w:sz="0" w:space="0" w:color="auto"/>
            <w:right w:val="none" w:sz="0" w:space="0" w:color="auto"/>
          </w:divBdr>
        </w:div>
      </w:divsChild>
    </w:div>
    <w:div w:id="1518351232">
      <w:bodyDiv w:val="1"/>
      <w:marLeft w:val="0"/>
      <w:marRight w:val="0"/>
      <w:marTop w:val="0"/>
      <w:marBottom w:val="0"/>
      <w:divBdr>
        <w:top w:val="none" w:sz="0" w:space="0" w:color="auto"/>
        <w:left w:val="none" w:sz="0" w:space="0" w:color="auto"/>
        <w:bottom w:val="none" w:sz="0" w:space="0" w:color="auto"/>
        <w:right w:val="none" w:sz="0" w:space="0" w:color="auto"/>
      </w:divBdr>
      <w:divsChild>
        <w:div w:id="1068771353">
          <w:marLeft w:val="0"/>
          <w:marRight w:val="0"/>
          <w:marTop w:val="0"/>
          <w:marBottom w:val="0"/>
          <w:divBdr>
            <w:top w:val="none" w:sz="0" w:space="0" w:color="auto"/>
            <w:left w:val="none" w:sz="0" w:space="0" w:color="auto"/>
            <w:bottom w:val="none" w:sz="0" w:space="0" w:color="auto"/>
            <w:right w:val="none" w:sz="0" w:space="0" w:color="auto"/>
          </w:divBdr>
        </w:div>
      </w:divsChild>
    </w:div>
    <w:div w:id="1782602926">
      <w:bodyDiv w:val="1"/>
      <w:marLeft w:val="0"/>
      <w:marRight w:val="0"/>
      <w:marTop w:val="0"/>
      <w:marBottom w:val="0"/>
      <w:divBdr>
        <w:top w:val="none" w:sz="0" w:space="0" w:color="auto"/>
        <w:left w:val="none" w:sz="0" w:space="0" w:color="auto"/>
        <w:bottom w:val="none" w:sz="0" w:space="0" w:color="auto"/>
        <w:right w:val="none" w:sz="0" w:space="0" w:color="auto"/>
      </w:divBdr>
      <w:divsChild>
        <w:div w:id="1513571866">
          <w:marLeft w:val="0"/>
          <w:marRight w:val="0"/>
          <w:marTop w:val="0"/>
          <w:marBottom w:val="0"/>
          <w:divBdr>
            <w:top w:val="none" w:sz="0" w:space="0" w:color="auto"/>
            <w:left w:val="none" w:sz="0" w:space="0" w:color="auto"/>
            <w:bottom w:val="none" w:sz="0" w:space="0" w:color="auto"/>
            <w:right w:val="none" w:sz="0" w:space="0" w:color="auto"/>
          </w:divBdr>
        </w:div>
      </w:divsChild>
    </w:div>
    <w:div w:id="1862013766">
      <w:bodyDiv w:val="1"/>
      <w:marLeft w:val="0"/>
      <w:marRight w:val="0"/>
      <w:marTop w:val="0"/>
      <w:marBottom w:val="0"/>
      <w:divBdr>
        <w:top w:val="none" w:sz="0" w:space="0" w:color="auto"/>
        <w:left w:val="none" w:sz="0" w:space="0" w:color="auto"/>
        <w:bottom w:val="none" w:sz="0" w:space="0" w:color="auto"/>
        <w:right w:val="none" w:sz="0" w:space="0" w:color="auto"/>
      </w:divBdr>
      <w:divsChild>
        <w:div w:id="1767113361">
          <w:marLeft w:val="0"/>
          <w:marRight w:val="0"/>
          <w:marTop w:val="0"/>
          <w:marBottom w:val="0"/>
          <w:divBdr>
            <w:top w:val="none" w:sz="0" w:space="0" w:color="auto"/>
            <w:left w:val="none" w:sz="0" w:space="0" w:color="auto"/>
            <w:bottom w:val="none" w:sz="0" w:space="0" w:color="auto"/>
            <w:right w:val="none" w:sz="0" w:space="0" w:color="auto"/>
          </w:divBdr>
          <w:divsChild>
            <w:div w:id="1231498940">
              <w:marLeft w:val="0"/>
              <w:marRight w:val="0"/>
              <w:marTop w:val="0"/>
              <w:marBottom w:val="0"/>
              <w:divBdr>
                <w:top w:val="none" w:sz="0" w:space="0" w:color="auto"/>
                <w:left w:val="none" w:sz="0" w:space="0" w:color="auto"/>
                <w:bottom w:val="none" w:sz="0" w:space="0" w:color="auto"/>
                <w:right w:val="none" w:sz="0" w:space="0" w:color="auto"/>
              </w:divBdr>
            </w:div>
          </w:divsChild>
        </w:div>
        <w:div w:id="1115101566">
          <w:marLeft w:val="0"/>
          <w:marRight w:val="0"/>
          <w:marTop w:val="0"/>
          <w:marBottom w:val="0"/>
          <w:divBdr>
            <w:top w:val="none" w:sz="0" w:space="0" w:color="auto"/>
            <w:left w:val="none" w:sz="0" w:space="0" w:color="auto"/>
            <w:bottom w:val="none" w:sz="0" w:space="0" w:color="auto"/>
            <w:right w:val="none" w:sz="0" w:space="0" w:color="auto"/>
          </w:divBdr>
        </w:div>
        <w:div w:id="579874455">
          <w:marLeft w:val="0"/>
          <w:marRight w:val="0"/>
          <w:marTop w:val="0"/>
          <w:marBottom w:val="0"/>
          <w:divBdr>
            <w:top w:val="none" w:sz="0" w:space="0" w:color="auto"/>
            <w:left w:val="none" w:sz="0" w:space="0" w:color="auto"/>
            <w:bottom w:val="none" w:sz="0" w:space="0" w:color="auto"/>
            <w:right w:val="none" w:sz="0" w:space="0" w:color="auto"/>
          </w:divBdr>
          <w:divsChild>
            <w:div w:id="873930448">
              <w:marLeft w:val="0"/>
              <w:marRight w:val="0"/>
              <w:marTop w:val="0"/>
              <w:marBottom w:val="0"/>
              <w:divBdr>
                <w:top w:val="none" w:sz="0" w:space="0" w:color="auto"/>
                <w:left w:val="none" w:sz="0" w:space="0" w:color="auto"/>
                <w:bottom w:val="none" w:sz="0" w:space="0" w:color="auto"/>
                <w:right w:val="none" w:sz="0" w:space="0" w:color="auto"/>
              </w:divBdr>
              <w:divsChild>
                <w:div w:id="213556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40175">
      <w:bodyDiv w:val="1"/>
      <w:marLeft w:val="0"/>
      <w:marRight w:val="0"/>
      <w:marTop w:val="0"/>
      <w:marBottom w:val="0"/>
      <w:divBdr>
        <w:top w:val="none" w:sz="0" w:space="0" w:color="auto"/>
        <w:left w:val="none" w:sz="0" w:space="0" w:color="auto"/>
        <w:bottom w:val="none" w:sz="0" w:space="0" w:color="auto"/>
        <w:right w:val="none" w:sz="0" w:space="0" w:color="auto"/>
      </w:divBdr>
      <w:divsChild>
        <w:div w:id="1913154084">
          <w:marLeft w:val="0"/>
          <w:marRight w:val="0"/>
          <w:marTop w:val="0"/>
          <w:marBottom w:val="0"/>
          <w:divBdr>
            <w:top w:val="none" w:sz="0" w:space="0" w:color="auto"/>
            <w:left w:val="none" w:sz="0" w:space="0" w:color="auto"/>
            <w:bottom w:val="none" w:sz="0" w:space="0" w:color="auto"/>
            <w:right w:val="none" w:sz="0" w:space="0" w:color="auto"/>
          </w:divBdr>
          <w:divsChild>
            <w:div w:id="1032608347">
              <w:marLeft w:val="0"/>
              <w:marRight w:val="0"/>
              <w:marTop w:val="0"/>
              <w:marBottom w:val="0"/>
              <w:divBdr>
                <w:top w:val="none" w:sz="0" w:space="0" w:color="auto"/>
                <w:left w:val="none" w:sz="0" w:space="0" w:color="auto"/>
                <w:bottom w:val="none" w:sz="0" w:space="0" w:color="auto"/>
                <w:right w:val="none" w:sz="0" w:space="0" w:color="auto"/>
              </w:divBdr>
            </w:div>
          </w:divsChild>
        </w:div>
        <w:div w:id="1284851193">
          <w:marLeft w:val="0"/>
          <w:marRight w:val="0"/>
          <w:marTop w:val="0"/>
          <w:marBottom w:val="0"/>
          <w:divBdr>
            <w:top w:val="none" w:sz="0" w:space="0" w:color="auto"/>
            <w:left w:val="none" w:sz="0" w:space="0" w:color="auto"/>
            <w:bottom w:val="none" w:sz="0" w:space="0" w:color="auto"/>
            <w:right w:val="none" w:sz="0" w:space="0" w:color="auto"/>
          </w:divBdr>
        </w:div>
        <w:div w:id="1544253024">
          <w:marLeft w:val="0"/>
          <w:marRight w:val="0"/>
          <w:marTop w:val="0"/>
          <w:marBottom w:val="0"/>
          <w:divBdr>
            <w:top w:val="none" w:sz="0" w:space="0" w:color="auto"/>
            <w:left w:val="none" w:sz="0" w:space="0" w:color="auto"/>
            <w:bottom w:val="none" w:sz="0" w:space="0" w:color="auto"/>
            <w:right w:val="none" w:sz="0" w:space="0" w:color="auto"/>
          </w:divBdr>
          <w:divsChild>
            <w:div w:id="242222746">
              <w:marLeft w:val="0"/>
              <w:marRight w:val="0"/>
              <w:marTop w:val="0"/>
              <w:marBottom w:val="0"/>
              <w:divBdr>
                <w:top w:val="none" w:sz="0" w:space="0" w:color="auto"/>
                <w:left w:val="none" w:sz="0" w:space="0" w:color="auto"/>
                <w:bottom w:val="none" w:sz="0" w:space="0" w:color="auto"/>
                <w:right w:val="none" w:sz="0" w:space="0" w:color="auto"/>
              </w:divBdr>
              <w:divsChild>
                <w:div w:id="13202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Users\aikoyanagi\Downloads\anxiety_MC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aikoyanagi\Downloads\anxiety_MC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'Figure 2'!$C$1</c:f>
              <c:strCache>
                <c:ptCount val="1"/>
                <c:pt idx="0">
                  <c:v>No anxiety</c:v>
                </c:pt>
              </c:strCache>
            </c:strRef>
          </c:tx>
          <c:spPr>
            <a:solidFill>
              <a:schemeClr val="accent1"/>
            </a:solidFill>
            <a:ln>
              <a:noFill/>
            </a:ln>
            <a:effectLst/>
          </c:spPr>
          <c:invertIfNegative val="0"/>
          <c:errBars>
            <c:errBarType val="both"/>
            <c:errValType val="cust"/>
            <c:noEndCap val="0"/>
            <c:plus>
              <c:numRef>
                <c:f>'Figure 2'!$F$2:$F$7</c:f>
                <c:numCache>
                  <c:formatCode>General</c:formatCode>
                  <c:ptCount val="6"/>
                  <c:pt idx="0">
                    <c:v>1.6000000000000019</c:v>
                  </c:pt>
                  <c:pt idx="1">
                    <c:v>1.1000000000000005</c:v>
                  </c:pt>
                  <c:pt idx="2">
                    <c:v>1.5999999999999992</c:v>
                  </c:pt>
                  <c:pt idx="3">
                    <c:v>9</c:v>
                  </c:pt>
                  <c:pt idx="4">
                    <c:v>1.8000000000000007</c:v>
                  </c:pt>
                  <c:pt idx="5">
                    <c:v>1.899999999999999</c:v>
                  </c:pt>
                </c:numCache>
              </c:numRef>
            </c:plus>
            <c:minus>
              <c:numRef>
                <c:f>'Figure 2'!$E$2:$E$7</c:f>
                <c:numCache>
                  <c:formatCode>General</c:formatCode>
                  <c:ptCount val="6"/>
                  <c:pt idx="0">
                    <c:v>1.5</c:v>
                  </c:pt>
                  <c:pt idx="1">
                    <c:v>1</c:v>
                  </c:pt>
                  <c:pt idx="2">
                    <c:v>1.3000000000000007</c:v>
                  </c:pt>
                  <c:pt idx="3">
                    <c:v>6.4</c:v>
                  </c:pt>
                  <c:pt idx="4">
                    <c:v>1.5</c:v>
                  </c:pt>
                  <c:pt idx="5">
                    <c:v>1.5</c:v>
                  </c:pt>
                </c:numCache>
              </c:numRef>
            </c:minus>
            <c:spPr>
              <a:noFill/>
              <a:ln w="9525" cap="flat" cmpd="sng" algn="ctr">
                <a:solidFill>
                  <a:schemeClr val="tx1">
                    <a:lumMod val="65000"/>
                    <a:lumOff val="35000"/>
                  </a:schemeClr>
                </a:solidFill>
                <a:round/>
              </a:ln>
              <a:effectLst/>
            </c:spPr>
          </c:errBars>
          <c:cat>
            <c:strRef>
              <c:f>'Figure 2'!$B$2:$B$7</c:f>
              <c:strCache>
                <c:ptCount val="6"/>
                <c:pt idx="0">
                  <c:v>China</c:v>
                </c:pt>
                <c:pt idx="1">
                  <c:v>Ghana</c:v>
                </c:pt>
                <c:pt idx="2">
                  <c:v>India</c:v>
                </c:pt>
                <c:pt idx="3">
                  <c:v>Mexico</c:v>
                </c:pt>
                <c:pt idx="4">
                  <c:v>Russia</c:v>
                </c:pt>
                <c:pt idx="5">
                  <c:v>South Africa</c:v>
                </c:pt>
              </c:strCache>
            </c:strRef>
          </c:cat>
          <c:val>
            <c:numRef>
              <c:f>'Figure 2'!$C$2:$C$7</c:f>
              <c:numCache>
                <c:formatCode>General</c:formatCode>
                <c:ptCount val="6"/>
                <c:pt idx="0">
                  <c:v>24.2</c:v>
                </c:pt>
                <c:pt idx="1">
                  <c:v>6.8</c:v>
                </c:pt>
                <c:pt idx="2">
                  <c:v>8.8000000000000007</c:v>
                </c:pt>
                <c:pt idx="3">
                  <c:v>17.5</c:v>
                </c:pt>
                <c:pt idx="4">
                  <c:v>8.5</c:v>
                </c:pt>
                <c:pt idx="5">
                  <c:v>7.8</c:v>
                </c:pt>
              </c:numCache>
            </c:numRef>
          </c:val>
          <c:extLst>
            <c:ext xmlns:c16="http://schemas.microsoft.com/office/drawing/2014/chart" uri="{C3380CC4-5D6E-409C-BE32-E72D297353CC}">
              <c16:uniqueId val="{00000000-1CB2-BF43-B60A-BE4B62B5FEAF}"/>
            </c:ext>
          </c:extLst>
        </c:ser>
        <c:ser>
          <c:idx val="1"/>
          <c:order val="1"/>
          <c:tx>
            <c:strRef>
              <c:f>'Figure 2'!$D$1</c:f>
              <c:strCache>
                <c:ptCount val="1"/>
                <c:pt idx="0">
                  <c:v>Anxiety</c:v>
                </c:pt>
              </c:strCache>
            </c:strRef>
          </c:tx>
          <c:spPr>
            <a:solidFill>
              <a:schemeClr val="accent2"/>
            </a:solidFill>
            <a:ln>
              <a:noFill/>
            </a:ln>
            <a:effectLst/>
          </c:spPr>
          <c:invertIfNegative val="0"/>
          <c:errBars>
            <c:errBarType val="both"/>
            <c:errValType val="cust"/>
            <c:noEndCap val="0"/>
            <c:plus>
              <c:numRef>
                <c:f>'Figure 2'!$H$2:$H$7</c:f>
                <c:numCache>
                  <c:formatCode>General</c:formatCode>
                  <c:ptCount val="6"/>
                  <c:pt idx="0">
                    <c:v>12.200000000000001</c:v>
                  </c:pt>
                  <c:pt idx="1">
                    <c:v>5.6000000000000005</c:v>
                  </c:pt>
                  <c:pt idx="2">
                    <c:v>3.5999999999999988</c:v>
                  </c:pt>
                  <c:pt idx="3">
                    <c:v>18.900000000000002</c:v>
                  </c:pt>
                  <c:pt idx="4">
                    <c:v>18.200000000000003</c:v>
                  </c:pt>
                  <c:pt idx="5">
                    <c:v>7.1000000000000005</c:v>
                  </c:pt>
                </c:numCache>
              </c:numRef>
            </c:plus>
            <c:minus>
              <c:numRef>
                <c:f>'Figure 2'!$G$2:$G$7</c:f>
                <c:numCache>
                  <c:formatCode>General</c:formatCode>
                  <c:ptCount val="6"/>
                  <c:pt idx="0">
                    <c:v>10.900000000000002</c:v>
                  </c:pt>
                  <c:pt idx="1">
                    <c:v>4.4999999999999982</c:v>
                  </c:pt>
                  <c:pt idx="2">
                    <c:v>3</c:v>
                  </c:pt>
                  <c:pt idx="3">
                    <c:v>11.100000000000001</c:v>
                  </c:pt>
                  <c:pt idx="4">
                    <c:v>17.3</c:v>
                  </c:pt>
                  <c:pt idx="5">
                    <c:v>5.0999999999999996</c:v>
                  </c:pt>
                </c:numCache>
              </c:numRef>
            </c:minus>
            <c:spPr>
              <a:noFill/>
              <a:ln w="9525" cap="flat" cmpd="sng" algn="ctr">
                <a:solidFill>
                  <a:schemeClr val="tx1">
                    <a:lumMod val="65000"/>
                    <a:lumOff val="35000"/>
                  </a:schemeClr>
                </a:solidFill>
                <a:round/>
              </a:ln>
              <a:effectLst/>
            </c:spPr>
          </c:errBars>
          <c:cat>
            <c:strRef>
              <c:f>'Figure 2'!$B$2:$B$7</c:f>
              <c:strCache>
                <c:ptCount val="6"/>
                <c:pt idx="0">
                  <c:v>China</c:v>
                </c:pt>
                <c:pt idx="1">
                  <c:v>Ghana</c:v>
                </c:pt>
                <c:pt idx="2">
                  <c:v>India</c:v>
                </c:pt>
                <c:pt idx="3">
                  <c:v>Mexico</c:v>
                </c:pt>
                <c:pt idx="4">
                  <c:v>Russia</c:v>
                </c:pt>
                <c:pt idx="5">
                  <c:v>South Africa</c:v>
                </c:pt>
              </c:strCache>
            </c:strRef>
          </c:cat>
          <c:val>
            <c:numRef>
              <c:f>'Figure 2'!$D$2:$D$7</c:f>
              <c:numCache>
                <c:formatCode>General</c:formatCode>
                <c:ptCount val="6"/>
                <c:pt idx="0">
                  <c:v>38.1</c:v>
                </c:pt>
                <c:pt idx="1">
                  <c:v>16.899999999999999</c:v>
                </c:pt>
                <c:pt idx="2">
                  <c:v>14.1</c:v>
                </c:pt>
                <c:pt idx="3">
                  <c:v>20.3</c:v>
                </c:pt>
                <c:pt idx="4">
                  <c:v>46.5</c:v>
                </c:pt>
                <c:pt idx="5">
                  <c:v>14.7</c:v>
                </c:pt>
              </c:numCache>
            </c:numRef>
          </c:val>
          <c:extLst>
            <c:ext xmlns:c16="http://schemas.microsoft.com/office/drawing/2014/chart" uri="{C3380CC4-5D6E-409C-BE32-E72D297353CC}">
              <c16:uniqueId val="{00000001-1CB2-BF43-B60A-BE4B62B5FEAF}"/>
            </c:ext>
          </c:extLst>
        </c:ser>
        <c:dLbls>
          <c:showLegendKey val="0"/>
          <c:showVal val="0"/>
          <c:showCatName val="0"/>
          <c:showSerName val="0"/>
          <c:showPercent val="0"/>
          <c:showBubbleSize val="0"/>
        </c:dLbls>
        <c:gapWidth val="219"/>
        <c:overlap val="-27"/>
        <c:axId val="763541656"/>
        <c:axId val="763543224"/>
      </c:barChart>
      <c:catAx>
        <c:axId val="763541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3543224"/>
        <c:crosses val="autoZero"/>
        <c:auto val="1"/>
        <c:lblAlgn val="ctr"/>
        <c:lblOffset val="100"/>
        <c:noMultiLvlLbl val="0"/>
      </c:catAx>
      <c:valAx>
        <c:axId val="76354322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Prevalence</a:t>
                </a:r>
                <a:r>
                  <a:rPr lang="en-US" baseline="0"/>
                  <a:t> of mild cognitive impairment (%)</a:t>
                </a:r>
                <a:endParaRPr lang="en-U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354165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'Figure S1'!$C$1</c:f>
              <c:strCache>
                <c:ptCount val="1"/>
                <c:pt idx="0">
                  <c:v>No MCI</c:v>
                </c:pt>
              </c:strCache>
            </c:strRef>
          </c:tx>
          <c:spPr>
            <a:solidFill>
              <a:schemeClr val="accent1"/>
            </a:solidFill>
            <a:ln>
              <a:noFill/>
            </a:ln>
            <a:effectLst/>
          </c:spPr>
          <c:invertIfNegative val="0"/>
          <c:errBars>
            <c:errBarType val="both"/>
            <c:errValType val="cust"/>
            <c:noEndCap val="0"/>
            <c:plus>
              <c:numRef>
                <c:f>'Figure S1'!$F$2:$F$7</c:f>
                <c:numCache>
                  <c:formatCode>General</c:formatCode>
                  <c:ptCount val="6"/>
                  <c:pt idx="0">
                    <c:v>0.2</c:v>
                  </c:pt>
                  <c:pt idx="1">
                    <c:v>1.0999999999999992</c:v>
                  </c:pt>
                  <c:pt idx="2">
                    <c:v>2.3000000000000007</c:v>
                  </c:pt>
                  <c:pt idx="3">
                    <c:v>3.5</c:v>
                  </c:pt>
                  <c:pt idx="4">
                    <c:v>1</c:v>
                  </c:pt>
                  <c:pt idx="5">
                    <c:v>2.0999999999999988</c:v>
                  </c:pt>
                </c:numCache>
              </c:numRef>
            </c:plus>
            <c:minus>
              <c:numRef>
                <c:f>'Figure S1'!$E$2:$E$7</c:f>
                <c:numCache>
                  <c:formatCode>General</c:formatCode>
                  <c:ptCount val="6"/>
                  <c:pt idx="0">
                    <c:v>0.2</c:v>
                  </c:pt>
                  <c:pt idx="1">
                    <c:v>1</c:v>
                  </c:pt>
                  <c:pt idx="2">
                    <c:v>2.1000000000000014</c:v>
                  </c:pt>
                  <c:pt idx="3">
                    <c:v>2</c:v>
                  </c:pt>
                  <c:pt idx="4">
                    <c:v>0.59999999999999987</c:v>
                  </c:pt>
                  <c:pt idx="5">
                    <c:v>1.7000000000000002</c:v>
                  </c:pt>
                </c:numCache>
              </c:numRef>
            </c:minus>
            <c:spPr>
              <a:noFill/>
              <a:ln w="9525" cap="flat" cmpd="sng" algn="ctr">
                <a:solidFill>
                  <a:schemeClr val="tx1">
                    <a:lumMod val="65000"/>
                    <a:lumOff val="35000"/>
                  </a:schemeClr>
                </a:solidFill>
                <a:round/>
              </a:ln>
              <a:effectLst/>
            </c:spPr>
          </c:errBars>
          <c:cat>
            <c:strRef>
              <c:f>'Figure S1'!$B$2:$B$7</c:f>
              <c:strCache>
                <c:ptCount val="6"/>
                <c:pt idx="0">
                  <c:v>China</c:v>
                </c:pt>
                <c:pt idx="1">
                  <c:v>Ghana</c:v>
                </c:pt>
                <c:pt idx="2">
                  <c:v>India</c:v>
                </c:pt>
                <c:pt idx="3">
                  <c:v>Mexico</c:v>
                </c:pt>
                <c:pt idx="4">
                  <c:v>Russia</c:v>
                </c:pt>
                <c:pt idx="5">
                  <c:v>South Africa</c:v>
                </c:pt>
              </c:strCache>
            </c:strRef>
          </c:cat>
          <c:val>
            <c:numRef>
              <c:f>'Figure S1'!$C$2:$C$7</c:f>
              <c:numCache>
                <c:formatCode>General</c:formatCode>
                <c:ptCount val="6"/>
                <c:pt idx="0">
                  <c:v>0.5</c:v>
                </c:pt>
                <c:pt idx="1">
                  <c:v>5.9</c:v>
                </c:pt>
                <c:pt idx="2">
                  <c:v>15.3</c:v>
                </c:pt>
                <c:pt idx="3">
                  <c:v>4.5</c:v>
                </c:pt>
                <c:pt idx="4">
                  <c:v>1.9000000000000001</c:v>
                </c:pt>
                <c:pt idx="5">
                  <c:v>8.4</c:v>
                </c:pt>
              </c:numCache>
            </c:numRef>
          </c:val>
          <c:extLst>
            <c:ext xmlns:c16="http://schemas.microsoft.com/office/drawing/2014/chart" uri="{C3380CC4-5D6E-409C-BE32-E72D297353CC}">
              <c16:uniqueId val="{00000000-DF08-8243-AB4A-D3C0C2BA53ED}"/>
            </c:ext>
          </c:extLst>
        </c:ser>
        <c:ser>
          <c:idx val="1"/>
          <c:order val="1"/>
          <c:tx>
            <c:strRef>
              <c:f>'Figure S1'!$D$1</c:f>
              <c:strCache>
                <c:ptCount val="1"/>
                <c:pt idx="0">
                  <c:v>MCI</c:v>
                </c:pt>
              </c:strCache>
            </c:strRef>
          </c:tx>
          <c:spPr>
            <a:solidFill>
              <a:schemeClr val="accent2"/>
            </a:solidFill>
            <a:ln>
              <a:noFill/>
            </a:ln>
            <a:effectLst/>
          </c:spPr>
          <c:invertIfNegative val="0"/>
          <c:errBars>
            <c:errBarType val="both"/>
            <c:errValType val="cust"/>
            <c:noEndCap val="0"/>
            <c:plus>
              <c:numRef>
                <c:f>'Figure S1'!$H$2:$H$7</c:f>
                <c:numCache>
                  <c:formatCode>General</c:formatCode>
                  <c:ptCount val="6"/>
                  <c:pt idx="0">
                    <c:v>0.6000000000000002</c:v>
                  </c:pt>
                  <c:pt idx="1">
                    <c:v>5.4999999999999982</c:v>
                  </c:pt>
                  <c:pt idx="2">
                    <c:v>5.6000000000000005</c:v>
                  </c:pt>
                  <c:pt idx="3">
                    <c:v>6.3</c:v>
                  </c:pt>
                  <c:pt idx="4">
                    <c:v>9.4</c:v>
                  </c:pt>
                  <c:pt idx="5">
                    <c:v>7.1999999999999975</c:v>
                  </c:pt>
                </c:numCache>
              </c:numRef>
            </c:plus>
            <c:minus>
              <c:numRef>
                <c:f>'Figure S1'!$G$2:$G$7</c:f>
                <c:numCache>
                  <c:formatCode>General</c:formatCode>
                  <c:ptCount val="6"/>
                  <c:pt idx="0">
                    <c:v>0.30000000000000016</c:v>
                  </c:pt>
                  <c:pt idx="1">
                    <c:v>4.3000000000000007</c:v>
                  </c:pt>
                  <c:pt idx="2">
                    <c:v>4.8999999999999986</c:v>
                  </c:pt>
                  <c:pt idx="3">
                    <c:v>3</c:v>
                  </c:pt>
                  <c:pt idx="4">
                    <c:v>6.2999999999999989</c:v>
                  </c:pt>
                  <c:pt idx="5">
                    <c:v>5.2999999999999989</c:v>
                  </c:pt>
                </c:numCache>
              </c:numRef>
            </c:minus>
            <c:spPr>
              <a:noFill/>
              <a:ln w="9525" cap="flat" cmpd="sng" algn="ctr">
                <a:solidFill>
                  <a:schemeClr val="tx1">
                    <a:lumMod val="65000"/>
                    <a:lumOff val="35000"/>
                  </a:schemeClr>
                </a:solidFill>
                <a:round/>
              </a:ln>
              <a:effectLst/>
            </c:spPr>
          </c:errBars>
          <c:cat>
            <c:strRef>
              <c:f>'Figure S1'!$B$2:$B$7</c:f>
              <c:strCache>
                <c:ptCount val="6"/>
                <c:pt idx="0">
                  <c:v>China</c:v>
                </c:pt>
                <c:pt idx="1">
                  <c:v>Ghana</c:v>
                </c:pt>
                <c:pt idx="2">
                  <c:v>India</c:v>
                </c:pt>
                <c:pt idx="3">
                  <c:v>Mexico</c:v>
                </c:pt>
                <c:pt idx="4">
                  <c:v>Russia</c:v>
                </c:pt>
                <c:pt idx="5">
                  <c:v>South Africa</c:v>
                </c:pt>
              </c:strCache>
            </c:strRef>
          </c:cat>
          <c:val>
            <c:numRef>
              <c:f>'Figure S1'!$D$2:$D$7</c:f>
              <c:numCache>
                <c:formatCode>General</c:formatCode>
                <c:ptCount val="6"/>
                <c:pt idx="0">
                  <c:v>0.9</c:v>
                </c:pt>
                <c:pt idx="1">
                  <c:v>14.9</c:v>
                </c:pt>
                <c:pt idx="2">
                  <c:v>23.4</c:v>
                </c:pt>
                <c:pt idx="3">
                  <c:v>5.3</c:v>
                </c:pt>
                <c:pt idx="4">
                  <c:v>15.6</c:v>
                </c:pt>
                <c:pt idx="5">
                  <c:v>15.7</c:v>
                </c:pt>
              </c:numCache>
            </c:numRef>
          </c:val>
          <c:extLst>
            <c:ext xmlns:c16="http://schemas.microsoft.com/office/drawing/2014/chart" uri="{C3380CC4-5D6E-409C-BE32-E72D297353CC}">
              <c16:uniqueId val="{00000001-DF08-8243-AB4A-D3C0C2BA53ED}"/>
            </c:ext>
          </c:extLst>
        </c:ser>
        <c:dLbls>
          <c:showLegendKey val="0"/>
          <c:showVal val="0"/>
          <c:showCatName val="0"/>
          <c:showSerName val="0"/>
          <c:showPercent val="0"/>
          <c:showBubbleSize val="0"/>
        </c:dLbls>
        <c:gapWidth val="219"/>
        <c:overlap val="-27"/>
        <c:axId val="763544008"/>
        <c:axId val="763543616"/>
      </c:barChart>
      <c:catAx>
        <c:axId val="763544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3543616"/>
        <c:crosses val="autoZero"/>
        <c:auto val="1"/>
        <c:lblAlgn val="ctr"/>
        <c:lblOffset val="100"/>
        <c:noMultiLvlLbl val="0"/>
      </c:catAx>
      <c:valAx>
        <c:axId val="76354361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Prevalence</a:t>
                </a:r>
                <a:r>
                  <a:rPr lang="en-US" baseline="0"/>
                  <a:t> of anxiety (%)</a:t>
                </a:r>
                <a:endParaRPr lang="en-U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354400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29B0E5E-0865-40E8-95C3-D02B80339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6396</Words>
  <Characters>36458</Characters>
  <Application>Microsoft Office Word</Application>
  <DocSecurity>0</DocSecurity>
  <Lines>303</Lines>
  <Paragraphs>85</Paragraphs>
  <ScaleCrop>false</ScaleCrop>
  <HeadingPairs>
    <vt:vector size="8" baseType="variant">
      <vt:variant>
        <vt:lpstr>Title</vt:lpstr>
      </vt:variant>
      <vt:variant>
        <vt:i4>1</vt:i4>
      </vt:variant>
      <vt:variant>
        <vt:lpstr>제목</vt:lpstr>
      </vt:variant>
      <vt:variant>
        <vt:i4>1</vt:i4>
      </vt:variant>
      <vt:variant>
        <vt:lpstr>Konu Başlığı</vt:lpstr>
      </vt:variant>
      <vt:variant>
        <vt:i4>1</vt:i4>
      </vt:variant>
      <vt:variant>
        <vt:lpstr>Titel</vt:lpstr>
      </vt:variant>
      <vt:variant>
        <vt:i4>1</vt:i4>
      </vt:variant>
    </vt:vector>
  </HeadingPairs>
  <TitlesOfParts>
    <vt:vector size="4" baseType="lpstr">
      <vt:lpstr/>
      <vt:lpstr/>
      <vt:lpstr/>
      <vt:lpstr/>
    </vt:vector>
  </TitlesOfParts>
  <Company/>
  <LinksUpToDate>false</LinksUpToDate>
  <CharactersWithSpaces>42769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 Koyanagi</dc:creator>
  <cp:keywords/>
  <dc:description/>
  <cp:lastModifiedBy>Mark Tully</cp:lastModifiedBy>
  <cp:revision>3</cp:revision>
  <cp:lastPrinted>2020-10-18T20:34:00Z</cp:lastPrinted>
  <dcterms:created xsi:type="dcterms:W3CDTF">2021-05-07T15:43:00Z</dcterms:created>
  <dcterms:modified xsi:type="dcterms:W3CDTF">2021-05-07T15:43:00Z</dcterms:modified>
</cp:coreProperties>
</file>